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ticket-to-machine-not-ticket-to-human"/>
    <w:p>
      <w:pPr>
        <w:pStyle w:val="Heading1"/>
      </w:pPr>
      <w:r>
        <w:t xml:space="preserve">Ticket-to-Machine, Not Ticket-to-Human</w:t>
      </w:r>
    </w:p>
    <w:p>
      <w:pPr>
        <w:pStyle w:val="FirstParagraph"/>
      </w:pPr>
      <w:r>
        <w:rPr>
          <w:b/>
          <w:bCs/>
        </w:rPr>
        <w:t xml:space="preserve">Why changing state isn’t compliance evidence</w:t>
      </w:r>
    </w:p>
    <w:bookmarkStart w:id="9" w:name="problem-solution-ask"/>
    <w:p>
      <w:pPr>
        <w:pStyle w:val="Heading2"/>
      </w:pPr>
      <w:r>
        <w:t xml:space="preserve">Problem, solution, ask</w:t>
      </w:r>
    </w:p>
    <w:p>
      <w:pPr>
        <w:pStyle w:val="FirstParagraph"/>
      </w:pPr>
      <w:r>
        <w:rPr>
          <w:b/>
          <w:bCs/>
        </w:rPr>
        <w:t xml:space="preserve">Problem.</w:t>
      </w:r>
      <w:r>
        <w:t xml:space="preserve"> </w:t>
      </w:r>
      <w:r>
        <w:t xml:space="preserve">Native cloud and virtualization tools genuinely remediate; none can answer the four questions an assessor asks about a finding — who owns it, by when, under whose approval, with what evidence. Configuration Settings (CM-6) is not tool-attestable on any platform surveyed. And raising a ticket does not fix that if a human still logs into the console because the ticket told them to.</w:t>
      </w:r>
    </w:p>
    <w:p>
      <w:pPr>
        <w:pStyle w:val="BodyText"/>
      </w:pPr>
      <w:r>
        <w:rPr>
          <w:b/>
          <w:bCs/>
        </w:rPr>
        <w:t xml:space="preserve">Solution.</w:t>
      </w:r>
      <w:r>
        <w:t xml:space="preserve"> </w:t>
      </w:r>
      <w:r>
        <w:t xml:space="preserve">A coordination layer in front of the native tools, where the ticket authorizes a machine to execute under a service identity and the human’s role stops at approval. Where no machine actuator exists yet, the closure is a declared exception through a recorded privileged session, not a silent one.</w:t>
      </w:r>
    </w:p>
    <w:p>
      <w:pPr>
        <w:pStyle w:val="BodyText"/>
      </w:pPr>
      <w:r>
        <w:rPr>
          <w:b/>
          <w:bCs/>
        </w:rPr>
        <w:t xml:space="preserve">Ask.</w:t>
      </w:r>
      <w:r>
        <w:t xml:space="preserve"> </w:t>
      </w:r>
      <w:r>
        <w:t xml:space="preserve">Confirm, row by row, whether the coordination-layer contract entitles the integrations each platform needs. Where it does not, license the integration or book a declared exception with a named compensating control. Never route the gap through a human at the console.</w:t>
      </w:r>
    </w:p>
    <w:bookmarkEnd w:id="9"/>
    <w:bookmarkStart w:id="10" w:name="the-question-precisely"/>
    <w:p>
      <w:pPr>
        <w:pStyle w:val="Heading2"/>
      </w:pPr>
      <w:r>
        <w:t xml:space="preserve">The question, precisely</w:t>
      </w:r>
    </w:p>
    <w:p>
      <w:pPr>
        <w:pStyle w:val="FirstParagraph"/>
      </w:pPr>
      <w:r>
        <w:t xml:space="preserve">“Does the native cloud portal already do this?” is really three separate questions:</w:t>
      </w:r>
    </w:p>
    <w:p>
      <w:pPr>
        <w:pStyle w:val="Compact"/>
        <w:numPr>
          <w:ilvl w:val="0"/>
          <w:numId w:val="1001"/>
        </w:numPr>
      </w:pPr>
      <w:r>
        <w:t xml:space="preserve">Can the native tool detect drift and change state? Yes.</w:t>
      </w:r>
    </w:p>
    <w:p>
      <w:pPr>
        <w:pStyle w:val="Compact"/>
        <w:numPr>
          <w:ilvl w:val="0"/>
          <w:numId w:val="1001"/>
        </w:numPr>
      </w:pPr>
      <w:r>
        <w:t xml:space="preserve">Can the native tool’s own dashboard show current compliance posture? Yes, for its own boundary.</w:t>
      </w:r>
    </w:p>
    <w:p>
      <w:pPr>
        <w:pStyle w:val="Compact"/>
        <w:numPr>
          <w:ilvl w:val="0"/>
          <w:numId w:val="1001"/>
        </w:numPr>
      </w:pPr>
      <w:r>
        <w:t xml:space="preserve">Can the native tool’s dashboard, by itself, serve as the evidence artifact an assessor relies on for an authorization decision? No.</w:t>
      </w:r>
    </w:p>
    <w:p>
      <w:pPr>
        <w:pStyle w:val="FirstParagraph"/>
      </w:pPr>
      <w:r>
        <w:t xml:space="preserve">A console shows current state. An evidence record has to show who owns the finding, the clock they are working against, the approval trail for any exception, and a re-test that proves closure. None of the native consoles are built to be a system of record for ownership and approval across an organization’s workflow.</w:t>
      </w:r>
    </w:p>
    <w:bookmarkEnd w:id="10"/>
    <w:bookmarkStart w:id="11" w:name="one-coordination-pattern"/>
    <w:p>
      <w:pPr>
        <w:pStyle w:val="Heading2"/>
      </w:pPr>
      <w:r>
        <w:t xml:space="preserve">One coordination pattern</w:t>
      </w:r>
    </w:p>
    <w:p>
      <w:pPr>
        <w:pStyle w:val="FirstParagraph"/>
      </w:pPr>
      <w:r>
        <w:t xml:space="preserve">Test → Detect drift → Raise a typed task against the reconciled configuration item → Actuate on the native surface → Close with evidence.</w:t>
      </w:r>
    </w:p>
    <w:p>
      <w:pPr>
        <w:pStyle w:val="BodyText"/>
      </w:pPr>
      <w:r>
        <w:t xml:space="preserve">Actuation always stays platform-native. The coordination layer’s role is never to write the configuration, apply the patch, or fix the firewall rule — it is to make sure every drift becomes an owned, clocked, approved, evidenced piece of work.</w:t>
      </w:r>
    </w:p>
    <w:bookmarkEnd w:id="11"/>
    <w:bookmarkStart w:id="12" w:name="ticket-to-machine-not-ticket-to-human-1"/>
    <w:p>
      <w:pPr>
        <w:pStyle w:val="Heading2"/>
      </w:pPr>
      <w:r>
        <w:t xml:space="preserve">Ticket-to-machine, not ticket-to-human</w:t>
      </w:r>
    </w:p>
    <w:p>
      <w:pPr>
        <w:pStyle w:val="FirstParagraph"/>
      </w:pPr>
      <w:r>
        <w:t xml:space="preserve">The default shape of change management is ticket → a human opens the console (or runs a script) because the ticket told them to → replies “done.” Adding a ticket in front of that does not change who is at the keyboard.</w:t>
      </w:r>
    </w:p>
    <w:p>
      <w:pPr>
        <w:pStyle w:val="BodyText"/>
      </w:pPr>
      <w:r>
        <w:t xml:space="preserve">The ticket should authorize a machine, not a person, wherever a machine can reach the surface. A human approves the change; the platform executes it under a service identity. The human’s role stops at approval.</w:t>
      </w:r>
    </w:p>
    <w:p>
      <w:pPr>
        <w:pStyle w:val="BodyText"/>
      </w:pPr>
      <w:r>
        <w:t xml:space="preserve">Running a change through an orchestrator produces, automatically, everything an assessor checks for: the change traces to a prior approval, the artifact that ran is version-controlled and access-restricted, the execution is logged and attributable to the task rather than to a person’s memory, and the result is a re-testable, reproducible record.</w:t>
      </w:r>
    </w:p>
    <w:p>
      <w:pPr>
        <w:pStyle w:val="BodyText"/>
      </w:pPr>
      <w:r>
        <w:t xml:space="preserve">Where no machine actuator exists yet, the fallback is a declared exception, not a silent one. The compensating control is a time-boxed, proxied, recorded privileged session — approved first, then executed, with the recording itself as the evidence artifact.</w:t>
      </w:r>
    </w:p>
    <w:bookmarkEnd w:id="12"/>
    <w:bookmarkStart w:id="13" w:name="leadership-takeaway"/>
    <w:p>
      <w:pPr>
        <w:pStyle w:val="Heading2"/>
      </w:pPr>
      <w:r>
        <w:t xml:space="preserve">Leadership takeaway</w:t>
      </w:r>
    </w:p>
    <w:p>
      <w:pPr>
        <w:pStyle w:val="FirstParagraph"/>
      </w:pPr>
      <w:r>
        <w:t xml:space="preserve">Native tools change state. They do not produce the ownership, clock, approval, and evidence record that authorization requires. The coordination layer supplies that record. The ticket must authorize a machine, not a person, wherever a machine can reach the surface.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2026-10-19T10:11:59Z</dcterms:created>
  <dcterms:modified xsi:type="dcterms:W3CDTF">2026-10-19T10:11:59Z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