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3" w:name="zero-trust-governance-principles"/>
    <w:p>
      <w:pPr>
        <w:pStyle w:val="Heading1"/>
      </w:pPr>
      <w:r>
        <w:t xml:space="preserve">Zero Trust Governance Principles</w:t>
      </w:r>
    </w:p>
    <w:p>
      <w:pPr>
        <w:pStyle w:val="FirstParagraph"/>
      </w:pPr>
      <w:r>
        <w:rPr>
          <w:b/>
          <w:bCs/>
        </w:rPr>
        <w:t xml:space="preserve">Why cross-cutting capabilities — not another per-pillar tool — move a program past Initial maturity</w:t>
      </w:r>
    </w:p>
    <w:bookmarkStart w:id="9" w:name="problem-solution-ask"/>
    <w:p>
      <w:pPr>
        <w:pStyle w:val="Heading2"/>
      </w:pPr>
      <w:r>
        <w:t xml:space="preserve">Problem, solution, ask</w:t>
      </w:r>
    </w:p>
    <w:p>
      <w:pPr>
        <w:pStyle w:val="FirstParagraph"/>
      </w:pPr>
      <w:r>
        <w:rPr>
          <w:b/>
          <w:bCs/>
        </w:rPr>
        <w:t xml:space="preserve">Problem.</w:t>
      </w:r>
      <w:r>
        <w:t xml:space="preserve"> </w:t>
      </w:r>
      <w:r>
        <w:t xml:space="preserve">Programs read the Zero Trust Maturity Model as a five-pillar shopping list, spend two-plus years buying a tool per pillar, and stall at Initial or low Advanced — because the model defines maturity as five pillars operated through three cross-cutting capabilities (Visibility and Analytics, Automation and Orchestration, Governance), and Governance is the one programs invest in least.</w:t>
      </w:r>
    </w:p>
    <w:p>
      <w:pPr>
        <w:pStyle w:val="BodyText"/>
      </w:pPr>
      <w:r>
        <w:rPr>
          <w:b/>
          <w:bCs/>
        </w:rPr>
        <w:t xml:space="preserve">Solution.</w:t>
      </w:r>
      <w:r>
        <w:t xml:space="preserve"> </w:t>
      </w:r>
      <w:r>
        <w:t xml:space="preserve">Five governance principles: identity is a necessary anchor but not a self-authenticating one; privileged and administrative identity needs controls of its own; continuous evidence is a governance property, not a tool feature; governance must enforce, not only observe; and the cloud boundary must be modeled, not assumed away.</w:t>
      </w:r>
    </w:p>
    <w:p>
      <w:pPr>
        <w:pStyle w:val="BodyText"/>
      </w:pPr>
      <w:r>
        <w:rPr>
          <w:b/>
          <w:bCs/>
        </w:rPr>
        <w:t xml:space="preserve">Ask.</w:t>
      </w:r>
      <w:r>
        <w:t xml:space="preserve"> </w:t>
      </w:r>
      <w:r>
        <w:t xml:space="preserve">Eight governance decisions this quarter, none of them a procurement: inventory which pillar evidence is reproducible, name a cross-pillar correlation owner, stand up drift detection as a governance function, model the cloud boundary, reconcile Network, cloud-service-provider, and virtualization asset identity to one authoritative source, assign agency-level Zero Trust ownership separate from any cloud service provider, convert one detective control to preventive, and time-box privileged access.</w:t>
      </w:r>
    </w:p>
    <w:bookmarkEnd w:id="9"/>
    <w:bookmarkStart w:id="10" w:name="why-programs-stall-below-advanced"/>
    <w:p>
      <w:pPr>
        <w:pStyle w:val="Heading2"/>
      </w:pPr>
      <w:r>
        <w:t xml:space="preserve">Why programs stall below Advanced</w:t>
      </w:r>
    </w:p>
    <w:p>
      <w:pPr>
        <w:pStyle w:val="FirstParagraph"/>
      </w:pPr>
      <w:r>
        <w:t xml:space="preserve">Three failure patterns recur: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Pillars are administered, not governed.</w:t>
      </w:r>
      <w:r>
        <w:t xml:space="preserve"> </w:t>
      </w:r>
      <w:r>
        <w:t xml:space="preserve">Each pillar gets an owner, a tool, and a roadmap, but there is no shared authority correlating decisions across them. Cross-pillar policy decisions degrade to the lowest common denominator.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Evidence is per-tool, not per-claim.</w:t>
      </w:r>
      <w:r>
        <w:t xml:space="preserve"> </w:t>
      </w:r>
      <w:r>
        <w:t xml:space="preserve">Each pillar’s tool emits evidence shaped by its own schema. Assembling that into a single authorization narrative is a manual, point-in-time exercise that does not survive re-execution.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Drift is discovered at audit time, not continuously.</w:t>
      </w:r>
      <w:r>
        <w:t xml:space="preserve"> </w:t>
      </w:r>
      <w:r>
        <w:t xml:space="preserve">The gap between declared policy and runtime reality surfaces only when an assessor finds it.</w:t>
      </w:r>
    </w:p>
    <w:p>
      <w:pPr>
        <w:pStyle w:val="FirstParagraph"/>
      </w:pPr>
      <w:r>
        <w:t xml:space="preserve">Advanced and Optimal stage criteria call for continuous verification, automated policy evaluation, and cross-pillar correlation. None of the three is achievable by adding another per-pillar tool.</w:t>
      </w:r>
    </w:p>
    <w:bookmarkEnd w:id="10"/>
    <w:bookmarkStart w:id="11" w:name="the-five-principles"/>
    <w:p>
      <w:pPr>
        <w:pStyle w:val="Heading2"/>
      </w:pPr>
      <w:r>
        <w:t xml:space="preserve">The five principles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Identity is a necessary anchor, not a sufficient one.</w:t>
      </w:r>
      <w:r>
        <w:t xml:space="preserve"> </w:t>
      </w:r>
      <w:r>
        <w:t xml:space="preserve">Identity must function as the addressing root the other pillars resolve against, and that root must be defended as the highest-value target. It is not self-authenticating once established. Continuous access evaluation, short token lifetimes, and phishing-resistant credentials are required.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Privileged and administrative identity needs controls of its own.</w:t>
      </w:r>
      <w:r>
        <w:t xml:space="preserve"> </w:t>
      </w:r>
      <w:r>
        <w:t xml:space="preserve">Administrative identity is the root of the root. Privileged access is time-boxed and just-in-time, not standing. Break-glass accounts are governed artifacts, not unwritten exceptions.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Continuous evidence is a governance property, not a tool feature.</w:t>
      </w:r>
      <w:r>
        <w:t xml:space="preserve"> </w:t>
      </w:r>
      <w:r>
        <w:t xml:space="preserve">Evidence must be reproducible, machine-readable, and regenerable from the closure stream. Per-tool evidence that cannot be re-executed is an assertion, not evidence.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Governance must enforce, not only observe.</w:t>
      </w:r>
      <w:r>
        <w:t xml:space="preserve"> </w:t>
      </w:r>
      <w:r>
        <w:t xml:space="preserve">A program that names an owner and writes a policy but never wires in automated, preventive enforcement has built a reporting system, not a control.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The cloud boundary must be modeled, not assumed away.</w:t>
      </w:r>
      <w:r>
        <w:t xml:space="preserve"> </w:t>
      </w:r>
      <w:r>
        <w:t xml:space="preserve">Network, every cloud service provider, and on-premises virtualization must be assessed as one governed system. A cloud service provider’s own tool can only ever see its own platform; the organization is the only party positioned to hold one Zero Trust posture across all of them.</w:t>
      </w:r>
    </w:p>
    <w:bookmarkEnd w:id="11"/>
    <w:bookmarkStart w:id="12" w:name="leadership-takeaway"/>
    <w:p>
      <w:pPr>
        <w:pStyle w:val="Heading2"/>
      </w:pPr>
      <w:r>
        <w:t xml:space="preserve">Leadership takeaway</w:t>
      </w:r>
    </w:p>
    <w:p>
      <w:pPr>
        <w:pStyle w:val="FirstParagraph"/>
      </w:pPr>
      <w:r>
        <w:t xml:space="preserve">Zero Trust has to be owned and assessed at the agency level, even though — especially because — individual cloud service providers each offer their own native assessment tool. Governance is the capability most programs shortchange, not because no vendor sells governance-adjacent tooling, but because none of those tools substitutes for the organizational authority and enforcement mandate governance actually requires.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extraction for project use. No internal branding or document identifiers. Claims are grounded in CISA, NIST, and OMB sources.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2026-10-19T10:11:59Z</dcterms:created>
  <dcterms:modified xsi:type="dcterms:W3CDTF">2026-10-19T10:11:59Z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