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Zero Trust Governance — Whitepaper</w:t>
      </w:r>
    </w:p>
    <w:p>
      <w:pPr>
        <w:pStyle w:val="Subtitle"/>
      </w:pPr>
      <w:r>
        <w:t xml:space="preserve">Implementing CISA Zero Trust maturity through FMP’s governance model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2026-06-01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6" w:name="zero-trust-governance"/>
    <w:p>
      <w:pPr>
        <w:pStyle w:val="Heading1"/>
      </w:pPr>
      <w:r>
        <w:t xml:space="preserve">Zero Trust Governance</w:t>
      </w:r>
    </w:p>
    <w:bookmarkStart w:id="25" w:name="X3c0ed2f2d721abfe75a985df6f3b064c0262eb2"/>
    <w:p>
      <w:pPr>
        <w:pStyle w:val="Heading2"/>
      </w:pPr>
      <w:r>
        <w:t xml:space="preserve">Implementing CISA Zero Trust maturity through FMP’s governance model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Agency Zero Trust programs assemble point solutions per ZTMM</w:t>
            </w:r>
            <w:r>
              <w:t xml:space="preserve"> </w:t>
            </w:r>
            <w:r>
              <w:t xml:space="preserve">pillar and discover late that they are structurally unable to reach Advanced</w:t>
            </w:r>
            <w:r>
              <w:t xml:space="preserve"> </w:t>
            </w:r>
            <w:r>
              <w:t xml:space="preserve">or Optimal, because the substrate the pillars sit on cannot produce</w:t>
            </w:r>
            <w:r>
              <w:t xml:space="preserve"> </w:t>
            </w:r>
            <w:r>
              <w:t xml:space="preserve">continuous, canonical, drift-detected, cross-pillar evidence.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FMP does not replace pillar tooling; it supplies the shared</w:t>
            </w:r>
            <w:r>
              <w:t xml:space="preserve"> </w:t>
            </w:r>
            <w:r>
              <w:t xml:space="preserve">canonical fabric beneath all five pillars — identity as the root namespace</w:t>
            </w:r>
            <w:r>
              <w:t xml:space="preserve"> </w:t>
            </w:r>
            <w:r>
              <w:t xml:space="preserve">(the program decision), a provenance envelope on every claim, the drift taxonomy as</w:t>
            </w:r>
            <w:r>
              <w:t xml:space="preserve"> </w:t>
            </w:r>
            <w:r>
              <w:t xml:space="preserve">continuous verification, OSCAL-native evidence, and an explicit</w:t>
            </w:r>
            <w:r>
              <w:t xml:space="preserve"> </w:t>
            </w:r>
            <w:r>
              <w:t xml:space="preserve">boundary-impact model for GCC-Moderate.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Four steps this quarter (§8): inventory which pillar evidence is</w:t>
            </w:r>
            <w:r>
              <w:t xml:space="preserve"> </w:t>
            </w:r>
            <w:r>
              <w:t xml:space="preserve">reproducible without operator coordination, bring one adapter under the</w:t>
            </w:r>
            <w:r>
              <w:t xml:space="preserve"> </w:t>
            </w:r>
            <w:r>
              <w:t xml:space="preserve">canonical taxonomy, run</w:t>
            </w:r>
            <w:r>
              <w:t xml:space="preserve"> </w:t>
            </w:r>
            <w:r>
              <w:rPr>
                <w:rStyle w:val="VerbatimChar"/>
              </w:rPr>
              <w:t xml:space="preserve">fmp substrate walk</w:t>
            </w:r>
            <w:r>
              <w:t xml:space="preserve"> </w:t>
            </w:r>
            <w:r>
              <w:t xml:space="preserve">in CI, and — if the agency</w:t>
            </w:r>
            <w:r>
              <w:t xml:space="preserve"> </w:t>
            </w:r>
            <w:r>
              <w:t xml:space="preserve">operates in GCC-Moderate — instantiate the boundary impact model so platform</w:t>
            </w:r>
            <w:r>
              <w:t xml:space="preserve"> </w:t>
            </w:r>
            <w:r>
              <w:t xml:space="preserve">feature gaps become governed findings.</w:t>
            </w:r>
          </w:p>
          <w:p/>
        </w:tc>
      </w:tr>
    </w:tbl>
    <w:bookmarkStart w:id="12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CISA’s Zero Trust Maturity Model (ZTMM) defines five pillars (Identity,</w:t>
      </w:r>
      <w:r>
        <w:t xml:space="preserve"> </w:t>
      </w:r>
      <w:r>
        <w:t xml:space="preserve">Devices, Networks, Applications &amp; Workloads, Data) and four maturity</w:t>
      </w:r>
      <w:r>
        <w:t xml:space="preserve"> </w:t>
      </w:r>
      <w:r>
        <w:t xml:space="preserve">stages (Traditional → Initial → Advanced → Optimal). Most federal agency</w:t>
      </w:r>
      <w:r>
        <w:t xml:space="preserve"> </w:t>
      </w:r>
      <w:r>
        <w:t xml:space="preserve">Zero Trust programs spend their first two years assembling</w:t>
      </w:r>
      <w:r>
        <w:t xml:space="preserve"> </w:t>
      </w:r>
      <w:r>
        <w:rPr>
          <w:b/>
          <w:bCs/>
        </w:rPr>
        <w:t xml:space="preserve">point</w:t>
      </w:r>
      <w:r>
        <w:rPr>
          <w:b/>
          <w:bCs/>
        </w:rPr>
        <w:t xml:space="preserve"> </w:t>
      </w:r>
      <w:r>
        <w:rPr>
          <w:b/>
          <w:bCs/>
        </w:rPr>
        <w:t xml:space="preserve">solutions per pillar</w:t>
      </w:r>
      <w:r>
        <w:t xml:space="preserve"> </w:t>
      </w:r>
      <w:r>
        <w:t xml:space="preserve">and discover, late, that the program is structurally</w:t>
      </w:r>
      <w:r>
        <w:t xml:space="preserve"> </w:t>
      </w:r>
      <w:r>
        <w:t xml:space="preserve">unable to reach Advanced or Optimal because the substrate the pillars sit</w:t>
      </w:r>
      <w:r>
        <w:t xml:space="preserve"> </w:t>
      </w:r>
      <w:r>
        <w:t xml:space="preserve">on cannot produce continuous, canonical, drift-detected evidence.</w:t>
      </w:r>
    </w:p>
    <w:p>
      <w:pPr>
        <w:pStyle w:val="BodyText"/>
      </w:pPr>
      <w:r>
        <w:t xml:space="preserve">FMP closes that structural gap. This whitepaper explains how the</w:t>
      </w:r>
      <w:r>
        <w:t xml:space="preserve"> </w:t>
      </w:r>
      <w:r>
        <w:t xml:space="preserve">FMP substrate maps onto the five ZTMM</w:t>
      </w:r>
      <w:r>
        <w:t xml:space="preserve"> </w:t>
      </w:r>
      <w:r>
        <w:t xml:space="preserve">pillars, why Advanced/Optimal maturity requires a substrate (not just</w:t>
      </w:r>
      <w:r>
        <w:t xml:space="preserve"> </w:t>
      </w:r>
      <w:r>
        <w:t xml:space="preserve">better tools), and what an agency can ship today versus what remains</w:t>
      </w:r>
      <w:r>
        <w:t xml:space="preserve"> </w:t>
      </w:r>
      <w:r>
        <w:t xml:space="preserve">target-state.</w:t>
      </w:r>
    </w:p>
    <w:bookmarkEnd w:id="12"/>
    <w:bookmarkStart w:id="14" w:name="Xd894e8493866287fbdaac3c23021391fe6a9c68"/>
    <w:p>
      <w:pPr>
        <w:pStyle w:val="Heading3"/>
      </w:pPr>
      <w:r>
        <w:t xml:space="preserve">1. Why Zero Trust programs stall at Initial maturity</w:t>
      </w:r>
    </w:p>
    <w:p>
      <w:pPr>
        <w:pStyle w:val="FirstParagraph"/>
      </w:pPr>
      <w:r>
        <w:t xml:space="preserve">Federal Zero Trust programs stall for the same structural reason,</w:t>
      </w:r>
      <w:r>
        <w:t xml:space="preserve"> </w:t>
      </w:r>
      <w:r>
        <w:t xml:space="preserve">independent of which pillar tools an agency has bought: pillars get</w:t>
      </w:r>
      <w:r>
        <w:t xml:space="preserve"> </w:t>
      </w:r>
      <w:r>
        <w:t xml:space="preserve">administered per-tool instead of governed against a shared canonical</w:t>
      </w:r>
      <w:r>
        <w:t xml:space="preserve"> </w:t>
      </w:r>
      <w:r>
        <w:t xml:space="preserve">truth, so the cross-pillar correlation, continuous evidence, and</w:t>
      </w:r>
      <w:r>
        <w:t xml:space="preserve"> </w:t>
      </w:r>
      <w:r>
        <w:t xml:space="preserve">automated policy evaluation the ZTMM’s Advanced and Optimal stages</w:t>
      </w:r>
      <w:r>
        <w:t xml:space="preserve"> </w:t>
      </w:r>
      <w:r>
        <w:t xml:space="preserve">require are structurally out of reach. The full argument — three named</w:t>
      </w:r>
      <w:r>
        <w:t xml:space="preserve"> </w:t>
      </w:r>
      <w:r>
        <w:t xml:space="preserve">failure patterns, each grounded in a specific documented incident</w:t>
      </w:r>
      <w:r>
        <w:t xml:space="preserve"> </w:t>
      </w:r>
      <w:r>
        <w:t xml:space="preserve">(Storm-0558, the ESXiArgs and ESXi AD-integration CVEs) rather than</w:t>
      </w:r>
      <w:r>
        <w:t xml:space="preserve"> </w:t>
      </w:r>
      <w:r>
        <w:t xml:space="preserve">asserted in the abstract — is made in</w:t>
      </w:r>
      <w:r>
        <w:t xml:space="preserve"> </w:t>
      </w:r>
      <w:hyperlink r:id="rId13">
        <w:r>
          <w:rPr>
            <w:rStyle w:val="Hyperlink"/>
          </w:rPr>
          <w:t xml:space="preserve">Zero Trust Governance Principles §1</w:t>
        </w:r>
      </w:hyperlink>
      <w:r>
        <w:t xml:space="preserve">;</w:t>
      </w:r>
      <w:r>
        <w:t xml:space="preserve"> </w:t>
      </w:r>
      <w:r>
        <w:t xml:space="preserve">this paper does not repeat it and instead moves directly to FMP’s</w:t>
      </w:r>
      <w:r>
        <w:t xml:space="preserve"> </w:t>
      </w:r>
      <w:r>
        <w:t xml:space="preserve">contribution.</w:t>
      </w:r>
    </w:p>
    <w:bookmarkEnd w:id="14"/>
    <w:bookmarkStart w:id="15" w:name="Xeb960a0583c3d311d98c20d494685a4b4acf024"/>
    <w:p>
      <w:pPr>
        <w:pStyle w:val="Heading3"/>
      </w:pPr>
      <w:r>
        <w:t xml:space="preserve">2. The substrate’s contribution to each pillar</w:t>
      </w:r>
    </w:p>
    <w:p>
      <w:pPr>
        <w:pStyle w:val="FirstParagraph"/>
      </w:pPr>
      <w:r>
        <w:t xml:space="preserve">FMP does not replace per-pillar tooling. It provides the</w:t>
      </w:r>
      <w:r>
        <w:t xml:space="preserve"> </w:t>
      </w:r>
      <w:r>
        <w:rPr>
          <w:b/>
          <w:bCs/>
        </w:rPr>
        <w:t xml:space="preserve">shared</w:t>
      </w:r>
      <w:r>
        <w:rPr>
          <w:b/>
          <w:bCs/>
        </w:rPr>
        <w:t xml:space="preserve"> </w:t>
      </w:r>
      <w:r>
        <w:rPr>
          <w:b/>
          <w:bCs/>
        </w:rPr>
        <w:t xml:space="preserve">canonical fabric</w:t>
      </w:r>
      <w:r>
        <w:t xml:space="preserve"> </w:t>
      </w:r>
      <w:r>
        <w:t xml:space="preserve">that ties pillars together. Per-pillar contribution: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ZTMM pillar</w:t>
            </w:r>
          </w:p>
        </w:tc>
        <w:tc>
          <w:tcPr/>
          <w:p>
            <w:pPr>
              <w:pStyle w:val="Compact"/>
            </w:pPr>
            <w:r>
              <w:t xml:space="preserve">FMP contribution</w:t>
            </w:r>
          </w:p>
        </w:tc>
        <w:tc>
          <w:tcPr/>
          <w:p>
            <w:pPr>
              <w:pStyle w:val="Compact"/>
            </w:pPr>
            <w:r>
              <w:t xml:space="preserve">Canon anchor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Identity-plane SSOT; identity-as-root-namespace per the program decision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adr-008-zero-trust-identity.md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Devices</w:t>
            </w:r>
          </w:p>
        </w:tc>
        <w:tc>
          <w:tcPr/>
          <w:p>
            <w:pPr>
              <w:pStyle w:val="Compact"/>
            </w:pPr>
            <w:r>
              <w:t xml:space="preserve">Device claims normalized into the provenance envelope; drift findings per device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15_ProvenanceProfile.qmd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Networks</w:t>
            </w:r>
          </w:p>
        </w:tc>
        <w:tc>
          <w:tcPr/>
          <w:p>
            <w:pPr>
              <w:pStyle w:val="Compact"/>
            </w:pPr>
            <w:r>
              <w:t xml:space="preserve">Identity-derived addressing; addressing plane is computed from identity, not parallel-administered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01_UnifiedArchitecture.qmd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Applications &amp; Workloads</w:t>
            </w:r>
          </w:p>
        </w:tc>
        <w:tc>
          <w:tcPr/>
          <w:p>
            <w:pPr>
              <w:pStyle w:val="Compact"/>
            </w:pPr>
            <w:r>
              <w:t xml:space="preserve">Adapter taxonomy maps workload controls onto canonical KSI rules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adapter-registry.yaml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modernization-registry.yaml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Provenance envelope on every claim; deterministic evidence chain per the program decision / the program decision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15_ProvenanceProfile.qmd</w:t>
            </w:r>
            <w:r>
              <w:t xml:space="preserve">, the program decision, the program decision</w:t>
            </w:r>
          </w:p>
        </w:tc>
      </w:tr>
    </w:tbl>
    <w:p>
      <w:pPr>
        <w:pStyle w:val="BodyText"/>
      </w:pPr>
      <w:r>
        <w:t xml:space="preserve">The substrate’s contribution is</w:t>
      </w:r>
      <w:r>
        <w:t xml:space="preserve"> </w:t>
      </w:r>
      <w:r>
        <w:rPr>
          <w:b/>
          <w:bCs/>
        </w:rPr>
        <w:t xml:space="preserve">uniform across pillars</w:t>
      </w:r>
      <w:r>
        <w:t xml:space="preserve">: SSOT, provenance</w:t>
      </w:r>
      <w:r>
        <w:t xml:space="preserve"> </w:t>
      </w:r>
      <w:r>
        <w:t xml:space="preserve">envelope, drift taxonomy, and OSCAL-native evidence. Each pillar still</w:t>
      </w:r>
      <w:r>
        <w:t xml:space="preserve"> </w:t>
      </w:r>
      <w:r>
        <w:t xml:space="preserve">keeps its tool-level capability; the substrate is what makes those tools’</w:t>
      </w:r>
      <w:r>
        <w:t xml:space="preserve"> </w:t>
      </w:r>
      <w:r>
        <w:t xml:space="preserve">output reproducibly verifiable in one assessor-readable form.</w:t>
      </w:r>
    </w:p>
    <w:p>
      <w:pPr>
        <w:pStyle w:val="BodyText"/>
      </w:pPr>
      <w:r>
        <w:t xml:space="preserve">What the table’s canon anchors produce concretely, per pillar:</w:t>
      </w:r>
    </w:p>
    <w:p>
      <w:pPr>
        <w:pStyle w:val="BodyText"/>
      </w:pPr>
      <w:r>
        <w:rPr>
          <w:b/>
          <w:bCs/>
        </w:rPr>
        <w:t xml:space="preserve">Identity, in practice.</w:t>
      </w:r>
      <w:r>
        <w:t xml:space="preserve"> </w:t>
      </w:r>
      <w:r>
        <w:t xml:space="preserve">An agency onboards a new SaaS integration that</w:t>
      </w:r>
      <w:r>
        <w:t xml:space="preserve"> </w:t>
      </w:r>
      <w:r>
        <w:t xml:space="preserve">authenticates through Entra ID. Per the program decision, the integration’s device and</w:t>
      </w:r>
      <w:r>
        <w:t xml:space="preserve"> </w:t>
      </w:r>
      <w:r>
        <w:t xml:space="preserve">workload objects do not get a separate identity system stood up for the</w:t>
      </w:r>
      <w:r>
        <w:t xml:space="preserve"> </w:t>
      </w:r>
      <w:r>
        <w:t xml:space="preserve">integration — device claims and workload access decisions key off the</w:t>
      </w:r>
      <w:r>
        <w:t xml:space="preserve"> </w:t>
      </w:r>
      <w:r>
        <w:t xml:space="preserve">same Entra object ID the identity plane already governs. A control like</w:t>
      </w:r>
      <w:r>
        <w:t xml:space="preserve"> </w:t>
      </w:r>
      <w:r>
        <w:rPr>
          <w:rStyle w:val="VerbatimChar"/>
        </w:rPr>
        <w:t xml:space="preserve">KSI-IA-02</w:t>
      </w:r>
      <w:r>
        <w:t xml:space="preserve"> </w:t>
      </w:r>
      <w:r>
        <w:t xml:space="preserve">(phishing-resistant MFA,</w:t>
      </w:r>
      <w:r>
        <w:t xml:space="preserve"> </w:t>
      </w:r>
      <w:r>
        <w:rPr>
          <w:rStyle w:val="VerbatimChar"/>
        </w:rPr>
        <w:t xml:space="preserve">src/fmp/rules/ksi/iam/</w:t>
      </w:r>
      <w:r>
        <w:t xml:space="preserve"> </w:t>
      </w:r>
      <w:r>
        <w:t xml:space="preserve">— an FMP-internal</w:t>
      </w:r>
      <w:r>
        <w:t xml:space="preserve"> </w:t>
      </w:r>
      <w:r>
        <w:t xml:space="preserve">rule id named after NIST IA-2, not the FedRAMP 20x indicator, which is</w:t>
      </w:r>
      <w:r>
        <w:t xml:space="preserve"> </w:t>
      </w:r>
      <w:r>
        <w:rPr>
          <w:rStyle w:val="VerbatimChar"/>
        </w:rPr>
        <w:t xml:space="preserve">KSI-IAM-APM</w:t>
      </w:r>
      <w:r>
        <w:t xml:space="preserve">) and the</w:t>
      </w:r>
      <w:r>
        <w:t xml:space="preserve"> </w:t>
      </w:r>
      <w:r>
        <w:t xml:space="preserve">integration’s own access decision resolve against that one identity</w:t>
      </w:r>
      <w:r>
        <w:t xml:space="preserve"> </w:t>
      </w:r>
      <w:r>
        <w:t xml:space="preserve">record, so a drift finding on it — a stale service-principal credential,</w:t>
      </w:r>
      <w:r>
        <w:t xml:space="preserve"> </w:t>
      </w:r>
      <w:r>
        <w:t xml:space="preserve">say — is visible to whichever pillar consumes that identity, rather than</w:t>
      </w:r>
      <w:r>
        <w:t xml:space="preserve"> </w:t>
      </w:r>
      <w:r>
        <w:t xml:space="preserve">surfacing as two disconnected findings a human has to manually correlate.</w:t>
      </w:r>
      <w:r>
        <w:t xml:space="preserve"> </w:t>
      </w:r>
      <w:r>
        <w:t xml:space="preserve">For the credential-family detail behind</w:t>
      </w:r>
      <w:r>
        <w:t xml:space="preserve"> </w:t>
      </w:r>
      <w:r>
        <w:rPr>
          <w:rStyle w:val="VerbatimChar"/>
        </w:rPr>
        <w:t xml:space="preserve">KSI-IA-02</w:t>
      </w:r>
      <w:r>
        <w:t xml:space="preserve"> </w:t>
      </w:r>
      <w:r>
        <w:t xml:space="preserve">— why PIV and</w:t>
      </w:r>
      <w:r>
        <w:t xml:space="preserve"> </w:t>
      </w:r>
      <w:r>
        <w:t xml:space="preserve">FIDO2/WebAuthn qualify as phishing-resistant and OTP/push/SMS do not — see</w:t>
      </w:r>
      <w:r>
        <w:t xml:space="preserve"> </w:t>
      </w:r>
      <w:r>
        <w:t xml:space="preserve">the compliance series Vol I Book 03,</w:t>
      </w:r>
      <w:r>
        <w:t xml:space="preserve"> </w:t>
      </w:r>
      <w:r>
        <w:t xml:space="preserve">“Certificate-Based Authentication and</w:t>
      </w:r>
      <w:r>
        <w:t xml:space="preserve"> </w:t>
      </w:r>
      <w:r>
        <w:t xml:space="preserve">Phishing-Resistant MFA”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Devices, in practice.</w:t>
      </w:r>
      <w:r>
        <w:t xml:space="preserve"> </w:t>
      </w:r>
      <w:r>
        <w:t xml:space="preserve">A managed endpoint’s compliance state (Intune)</w:t>
      </w:r>
      <w:r>
        <w:t xml:space="preserve"> </w:t>
      </w:r>
      <w:r>
        <w:t xml:space="preserve">and its Conditional Access risk signal (Entra) are captured by two</w:t>
      </w:r>
      <w:r>
        <w:t xml:space="preserve"> </w:t>
      </w:r>
      <w:r>
        <w:t xml:space="preserve">different adapters but wrapped in the same provenance envelope per</w:t>
      </w:r>
      <w:r>
        <w:t xml:space="preserve"> </w:t>
      </w:r>
      <w:r>
        <w:rPr>
          <w:rStyle w:val="VerbatimChar"/>
        </w:rPr>
        <w:t xml:space="preserve">15_ProvenanceProfile.qmd</w:t>
      </w:r>
      <w:r>
        <w:t xml:space="preserve">. Each claim carries the device’s</w:t>
      </w:r>
      <w:r>
        <w:t xml:space="preserve"> </w:t>
      </w:r>
      <w:r>
        <w:rPr>
          <w:rStyle w:val="VerbatimChar"/>
        </w:rPr>
        <w:t xml:space="preserve">issuer_identity</w:t>
      </w:r>
      <w:r>
        <w:t xml:space="preserve"> </w:t>
      </w:r>
      <w:r>
        <w:t xml:space="preserve">rather than a locally-scoped device ID, so a single</w:t>
      </w:r>
      <w:r>
        <w:t xml:space="preserve"> </w:t>
      </w:r>
      <w:r>
        <w:t xml:space="preserve">drift finding — e.g. </w:t>
      </w:r>
      <w:r>
        <w:rPr>
          <w:rStyle w:val="VerbatimChar"/>
        </w:rPr>
        <w:t xml:space="preserve">DRIFT-SEMANTIC</w:t>
      </w:r>
      <w:r>
        <w:t xml:space="preserve"> </w:t>
      </w:r>
      <w:r>
        <w:t xml:space="preserve">for a device whose Intune-reported</w:t>
      </w:r>
      <w:r>
        <w:t xml:space="preserve"> </w:t>
      </w:r>
      <w:r>
        <w:t xml:space="preserve">compliance state has gone stale relative to its last check-in — can be</w:t>
      </w:r>
      <w:r>
        <w:t xml:space="preserve"> </w:t>
      </w:r>
      <w:r>
        <w:t xml:space="preserve">filtered by identity, by device, or by pillar without re-querying either</w:t>
      </w:r>
      <w:r>
        <w:t xml:space="preserve"> </w:t>
      </w:r>
      <w:r>
        <w:t xml:space="preserve">source tool.</w:t>
      </w:r>
    </w:p>
    <w:p>
      <w:pPr>
        <w:pStyle w:val="BodyText"/>
      </w:pPr>
      <w:r>
        <w:rPr>
          <w:b/>
          <w:bCs/>
        </w:rPr>
        <w:t xml:space="preserve">Data, in practice.</w:t>
      </w:r>
      <w:r>
        <w:t xml:space="preserve"> </w:t>
      </w:r>
      <w:r>
        <w:t xml:space="preserve">A data-classification claim (a SharePoint site’s</w:t>
      </w:r>
      <w:r>
        <w:t xml:space="preserve"> </w:t>
      </w:r>
      <w:r>
        <w:t xml:space="preserve">sensitivity label, captured via the M365 adapter) carries the same</w:t>
      </w:r>
      <w:r>
        <w:t xml:space="preserve"> </w:t>
      </w:r>
      <w:r>
        <w:t xml:space="preserve">SHA-256-hashed provenance chain and the program decision reproducibility guarantee as</w:t>
      </w:r>
      <w:r>
        <w:t xml:space="preserve"> </w:t>
      </w:r>
      <w:r>
        <w:t xml:space="preserve">an identity or device claim. If an assessor needs to confirm a data</w:t>
      </w:r>
      <w:r>
        <w:t xml:space="preserve"> </w:t>
      </w:r>
      <w:r>
        <w:t xml:space="preserve">classification hasn’t silently drifted since the last ATO package was</w:t>
      </w:r>
      <w:r>
        <w:t xml:space="preserve"> </w:t>
      </w:r>
      <w:r>
        <w:t xml:space="preserve">assembled, the same bundle re-execution used for identity or device</w:t>
      </w:r>
      <w:r>
        <w:t xml:space="preserve"> </w:t>
      </w:r>
      <w:r>
        <w:t xml:space="preserve">evidence works unmodified — data evidence is not a structurally</w:t>
      </w:r>
      <w:r>
        <w:t xml:space="preserve"> </w:t>
      </w:r>
      <w:r>
        <w:t xml:space="preserve">different artifact type that needs its own tooling.</w:t>
      </w:r>
    </w:p>
    <w:bookmarkEnd w:id="15"/>
    <w:bookmarkStart w:id="16" w:name="Xf5408e7c45da3ba10796a3127e32225d3d0d041"/>
    <w:p>
      <w:pPr>
        <w:pStyle w:val="Heading3"/>
      </w:pPr>
      <w:r>
        <w:t xml:space="preserve">3. Identity as the root namespace (the program decision)</w:t>
      </w:r>
    </w:p>
    <w:p>
      <w:pPr>
        <w:pStyle w:val="FirstParagraph"/>
      </w:pPr>
      <w:r>
        <w:t xml:space="preserve">CISA’s identity pillar treats identity as one of five concerns. FMP’s</w:t>
      </w:r>
      <w:r>
        <w:t xml:space="preserve"> </w:t>
      </w:r>
      <w:r>
        <w:t xml:space="preserve">canon takes a stronger position, declared in</w:t>
      </w:r>
      <w:r>
        <w:t xml:space="preserve"> </w:t>
      </w:r>
      <w:r>
        <w:t xml:space="preserve">the program decision:</w:t>
      </w:r>
      <w:r>
        <w:t xml:space="preserve"> </w:t>
      </w:r>
      <w:r>
        <w:rPr>
          <w:b/>
          <w:bCs/>
        </w:rPr>
        <w:t xml:space="preserve">identity is the root namespace.</w:t>
      </w:r>
      <w:r>
        <w:t xml:space="preserve"> </w:t>
      </w:r>
      <w:r>
        <w:t xml:space="preserve">Devices, addresses, network paths,</w:t>
      </w:r>
      <w:r>
        <w:t xml:space="preserve"> </w:t>
      </w:r>
      <w:r>
        <w:t xml:space="preserve">applications, and data classifications are</w:t>
      </w:r>
      <w:r>
        <w:t xml:space="preserve"> </w:t>
      </w:r>
      <w:r>
        <w:rPr>
          <w:i/>
          <w:iCs/>
        </w:rPr>
        <w:t xml:space="preserve">named</w:t>
      </w:r>
      <w:r>
        <w:t xml:space="preserve"> </w:t>
      </w:r>
      <w:r>
        <w:t xml:space="preserve">via identity; they do</w:t>
      </w:r>
      <w:r>
        <w:t xml:space="preserve"> </w:t>
      </w:r>
      <w:r>
        <w:t xml:space="preserve">not have parallel naming systems.</w:t>
      </w:r>
    </w:p>
    <w:p>
      <w:pPr>
        <w:pStyle w:val="BodyText"/>
      </w:pPr>
      <w:r>
        <w:t xml:space="preserve">Operationally:</w:t>
      </w:r>
    </w:p>
    <w:p>
      <w:pPr>
        <w:pStyle w:val="Compact"/>
        <w:numPr>
          <w:ilvl w:val="0"/>
          <w:numId w:val="1001"/>
        </w:numPr>
      </w:pPr>
      <w:r>
        <w:t xml:space="preserve">A device claim’s</w:t>
      </w:r>
      <w:r>
        <w:t xml:space="preserve"> </w:t>
      </w:r>
      <w:r>
        <w:rPr>
          <w:rStyle w:val="VerbatimChar"/>
        </w:rPr>
        <w:t xml:space="preserve">issuer_identity</w:t>
      </w:r>
      <w:r>
        <w:t xml:space="preserve"> </w:t>
      </w:r>
      <w:r>
        <w:t xml:space="preserve">is an identity-plane object</w:t>
      </w:r>
      <w:r>
        <w:t xml:space="preserve"> </w:t>
      </w:r>
      <w:r>
        <w:t xml:space="preserve">(e.g. an Entra ID object ID), not a separate device-pillar object.</w:t>
      </w:r>
    </w:p>
    <w:p>
      <w:pPr>
        <w:pStyle w:val="Compact"/>
        <w:numPr>
          <w:ilvl w:val="0"/>
          <w:numId w:val="1001"/>
        </w:numPr>
      </w:pPr>
      <w:r>
        <w:t xml:space="preserve">An address is computed from identity context per the addressing plane,</w:t>
      </w:r>
      <w:r>
        <w:t xml:space="preserve"> </w:t>
      </w:r>
      <w:r>
        <w:t xml:space="preserve">not assigned by an independent IPAM.</w:t>
      </w:r>
    </w:p>
    <w:p>
      <w:pPr>
        <w:pStyle w:val="Compact"/>
        <w:numPr>
          <w:ilvl w:val="0"/>
          <w:numId w:val="1001"/>
        </w:numPr>
      </w:pPr>
      <w:r>
        <w:t xml:space="preserve">A workload’s access decision consumes identity claims as authoritative</w:t>
      </w:r>
      <w:r>
        <w:t xml:space="preserve"> </w:t>
      </w:r>
      <w:r>
        <w:t xml:space="preserve">input rather than as one signal among many.</w:t>
      </w:r>
    </w:p>
    <w:p>
      <w:pPr>
        <w:pStyle w:val="FirstParagraph"/>
      </w:pPr>
      <w:r>
        <w:t xml:space="preserve">This is the architectural reason FMP can scale Zero Trust beyond Initial</w:t>
      </w:r>
      <w:r>
        <w:t xml:space="preserve"> </w:t>
      </w:r>
      <w:r>
        <w:t xml:space="preserve">maturity: the cross-pillar correlation problem reduces to</w:t>
      </w:r>
      <w:r>
        <w:t xml:space="preserve"> </w:t>
      </w:r>
      <w:r>
        <w:rPr>
          <w:i/>
          <w:iCs/>
        </w:rPr>
        <w:t xml:space="preserve">resolving</w:t>
      </w:r>
      <w:r>
        <w:rPr>
          <w:i/>
          <w:iCs/>
        </w:rPr>
        <w:t xml:space="preserve"> </w:t>
      </w:r>
      <w:r>
        <w:rPr>
          <w:i/>
          <w:iCs/>
        </w:rPr>
        <w:t xml:space="preserve">identity</w:t>
      </w:r>
      <w:r>
        <w:t xml:space="preserve">, which the canon and the identity plane already do</w:t>
      </w:r>
      <w:r>
        <w:t xml:space="preserve"> </w:t>
      </w:r>
      <w:r>
        <w:t xml:space="preserve">authoritatively.</w:t>
      </w:r>
    </w:p>
    <w:p>
      <w:pPr>
        <w:pStyle w:val="BodyText"/>
      </w:pPr>
      <w:r>
        <w:t xml:space="preserve">This is a naming and addressing claim, not a trust claim: identity as</w:t>
      </w:r>
      <w:r>
        <w:t xml:space="preserve"> </w:t>
      </w:r>
      <w:r>
        <w:t xml:space="preserve">root namespace means every other pillar resolves its objects through the</w:t>
      </w:r>
      <w:r>
        <w:t xml:space="preserve"> </w:t>
      </w:r>
      <w:r>
        <w:t xml:space="preserve">identity plane, not that a validated identity should be trusted</w:t>
      </w:r>
      <w:r>
        <w:t xml:space="preserve"> </w:t>
      </w:r>
      <w:r>
        <w:t xml:space="preserve">unconditionally once issued.</w:t>
      </w:r>
      <w:r>
        <w:t xml:space="preserve"> </w:t>
      </w:r>
      <w:hyperlink r:id="rId13">
        <w:r>
          <w:rPr>
            <w:rStyle w:val="Hyperlink"/>
          </w:rPr>
          <w:t xml:space="preserve">Zero Trust Governance Principles §4</w:t>
        </w:r>
      </w:hyperlink>
      <w:r>
        <w:t xml:space="preserve"> </w:t>
      </w:r>
      <w:r>
        <w:t xml:space="preserve">makes the point directly — treating identity as a self-authenticating</w:t>
      </w:r>
      <w:r>
        <w:t xml:space="preserve"> </w:t>
      </w:r>
      <w:r>
        <w:t xml:space="preserve">root recreates the same failure mode Zero Trust is supposed to retire —</w:t>
      </w:r>
      <w:r>
        <w:t xml:space="preserve"> </w:t>
      </w:r>
      <w:r>
        <w:t xml:space="preserve">which is exactly why the identity plane itself still needs the</w:t>
      </w:r>
      <w:r>
        <w:t xml:space="preserve"> </w:t>
      </w:r>
      <w:r>
        <w:t xml:space="preserve">operational hardening (continuous re-evaluation, short token lifetimes,</w:t>
      </w:r>
      <w:r>
        <w:t xml:space="preserve"> </w:t>
      </w:r>
      <w:r>
        <w:t xml:space="preserve">hardware-bound credentials) that principle describes.</w:t>
      </w:r>
    </w:p>
    <w:bookmarkEnd w:id="16"/>
    <w:bookmarkStart w:id="17" w:name="continuous-verification-through-drift"/>
    <w:p>
      <w:pPr>
        <w:pStyle w:val="Heading3"/>
      </w:pPr>
      <w:r>
        <w:t xml:space="preserve">4. Continuous verification through drift</w:t>
      </w:r>
    </w:p>
    <w:p>
      <w:pPr>
        <w:pStyle w:val="FirstParagraph"/>
      </w:pPr>
      <w:r>
        <w:t xml:space="preserve">CISA’s Optimal column requires continuous verification. FMP’s drift</w:t>
      </w:r>
      <w:r>
        <w:t xml:space="preserve"> </w:t>
      </w:r>
      <w:r>
        <w:t xml:space="preserve">engine is what makes that operationally tractable. The six drift classes</w:t>
      </w:r>
      <w:r>
        <w:t xml:space="preserve"> </w:t>
      </w:r>
      <w:r>
        <w:t xml:space="preserve">map onto Zero Trust concerns directly: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Drift class</w:t>
            </w:r>
          </w:p>
        </w:tc>
        <w:tc>
          <w:tcPr/>
          <w:p>
            <w:pPr>
              <w:pStyle w:val="Compact"/>
            </w:pPr>
            <w:r>
              <w:t xml:space="preserve">Zero Trust concern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DRIFT-IDENTITY</w:t>
            </w:r>
          </w:p>
        </w:tc>
        <w:tc>
          <w:tcPr/>
          <w:p>
            <w:pPr>
              <w:pStyle w:val="Compact"/>
            </w:pPr>
            <w:r>
              <w:t xml:space="preserve">Identity assertion no longer resolves — a P1 finding routed for governed remediation; the provider’s own enforcement plane denies access, with FMP as the governing record (the program decision)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DRIFT-AUTHZ</w:t>
            </w:r>
          </w:p>
        </w:tc>
        <w:tc>
          <w:tcPr/>
          <w:p>
            <w:pPr>
              <w:pStyle w:val="Compact"/>
            </w:pPr>
            <w:r>
              <w:t xml:space="preserve">Action emitted outside the consent envelope — alerts, and suspends autonomous remediation under</w:t>
            </w:r>
            <w:r>
              <w:t xml:space="preserve"> </w:t>
            </w:r>
            <w:r>
              <w:rPr>
                <w:rStyle w:val="VerbatimChar"/>
              </w:rPr>
              <w:t xml:space="preserve">halt_on_critical</w:t>
            </w:r>
            <w:r>
              <w:t xml:space="preserve">; enforcement stays with the provider data plane (the program decision)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DRIFT-PROVENANCE</w:t>
            </w:r>
          </w:p>
        </w:tc>
        <w:tc>
          <w:tcPr/>
          <w:p>
            <w:pPr>
              <w:pStyle w:val="Compact"/>
            </w:pPr>
            <w:r>
              <w:t xml:space="preserve">Claim chain broken — pillar evidence is no longer trustworthy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DRIFT-SCHEMA</w:t>
            </w:r>
          </w:p>
        </w:tc>
        <w:tc>
          <w:tcPr/>
          <w:p>
            <w:pPr>
              <w:pStyle w:val="Compact"/>
            </w:pPr>
            <w:r>
              <w:t xml:space="preserve">Structural mismatch between declared and observed pillar state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DRIFT-SEMANTIC</w:t>
            </w:r>
          </w:p>
        </w:tc>
        <w:tc>
          <w:tcPr/>
          <w:p>
            <w:pPr>
              <w:pStyle w:val="Compact"/>
            </w:pPr>
            <w:r>
              <w:t xml:space="preserve">Pillar state is structurally valid but semantically stale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DRIFT-SSOT-CONTENTION</w:t>
            </w:r>
          </w:p>
        </w:tc>
        <w:tc>
          <w:tcPr/>
          <w:p>
            <w:pPr>
              <w:pStyle w:val="Compact"/>
            </w:pPr>
            <w:r>
              <w:t xml:space="preserve">A write is directed at a canonically-demoted instance after the SSOT roster has been ratified — the stewardship decision exists and is being bypassed (the program decision)</w:t>
            </w:r>
          </w:p>
        </w:tc>
      </w:tr>
    </w:tbl>
    <w:p>
      <w:pPr>
        <w:pStyle w:val="BodyText"/>
      </w:pPr>
      <w:r>
        <w:t xml:space="preserve">Today, schema and provenance drift ship in CI. The runtime detection</w:t>
      </w:r>
      <w:r>
        <w:t xml:space="preserve"> </w:t>
      </w:r>
      <w:r>
        <w:t xml:space="preserve">surface for identity, authorization, and semantic drift is canonical</w:t>
      </w:r>
      <w:r>
        <w:t xml:space="preserve"> </w:t>
      </w:r>
      <w:r>
        <w:t xml:space="preserve">(declared in</w:t>
      </w:r>
      <w:r>
        <w:t xml:space="preserve"> </w:t>
      </w:r>
      <w:r>
        <w:rPr>
          <w:rStyle w:val="VerbatimChar"/>
        </w:rPr>
        <w:t xml:space="preserve">16_DriftDetectionStandard.qmd</w:t>
      </w:r>
      <w:r>
        <w:t xml:space="preserve">) and partially implemented;</w:t>
      </w:r>
      <w:r>
        <w:t xml:space="preserve"> </w:t>
      </w:r>
      <w:r>
        <w:t xml:space="preserve">the structural pieces that matter most for ZT — provenance envelope,</w:t>
      </w:r>
      <w:r>
        <w:t xml:space="preserve"> </w:t>
      </w:r>
      <w:r>
        <w:t xml:space="preserve">remediation contract, severity model — already ship.</w:t>
      </w:r>
    </w:p>
    <w:bookmarkEnd w:id="17"/>
    <w:bookmarkStart w:id="18" w:name="evidence-at-advancedoptimal-maturity"/>
    <w:p>
      <w:pPr>
        <w:pStyle w:val="Heading3"/>
      </w:pPr>
      <w:r>
        <w:t xml:space="preserve">5. Evidence at Advanced/Optimal maturity</w:t>
      </w:r>
    </w:p>
    <w:p>
      <w:pPr>
        <w:pStyle w:val="FirstParagraph"/>
      </w:pPr>
      <w:r>
        <w:t xml:space="preserve">Advanced and Optimal maturity require evidence that is: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Continuous</w:t>
      </w:r>
      <w:r>
        <w:t xml:space="preserve"> </w:t>
      </w:r>
      <w:r>
        <w:t xml:space="preserve">— emitted as state changes, not periodically.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Cross-pillar</w:t>
      </w:r>
      <w:r>
        <w:t xml:space="preserve"> </w:t>
      </w:r>
      <w:r>
        <w:t xml:space="preserve">— single evidence record covers identity + device +</w:t>
      </w:r>
      <w:r>
        <w:t xml:space="preserve"> </w:t>
      </w:r>
      <w:r>
        <w:t xml:space="preserve">workload context.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Reproducible</w:t>
      </w:r>
      <w:r>
        <w:t xml:space="preserve"> </w:t>
      </w:r>
      <w:r>
        <w:t xml:space="preserve">— re-executable by an assessor without operator</w:t>
      </w:r>
      <w:r>
        <w:t xml:space="preserve"> </w:t>
      </w:r>
      <w:r>
        <w:t xml:space="preserve">coordination.</w:t>
      </w:r>
    </w:p>
    <w:p>
      <w:pPr>
        <w:pStyle w:val="FirstParagraph"/>
      </w:pPr>
      <w:r>
        <w:t xml:space="preserve">FMP’s evidence chain delivers (2) and (3) today. Cross-pillar evidence</w:t>
      </w:r>
      <w:r>
        <w:t xml:space="preserve"> </w:t>
      </w:r>
      <w:r>
        <w:t xml:space="preserve">is structural: every claim carries the full provenance envelope, so the</w:t>
      </w:r>
      <w:r>
        <w:t xml:space="preserve"> </w:t>
      </w:r>
      <w:r>
        <w:t xml:space="preserve">evidence bundle inherently spans pillars. Reproducibility is structural</w:t>
      </w:r>
      <w:r>
        <w:t xml:space="preserve"> </w:t>
      </w:r>
      <w:r>
        <w:t xml:space="preserve">per the program decision: same canon, same inputs → byte-identical bundle.</w:t>
      </w:r>
    </w:p>
    <w:p>
      <w:pPr>
        <w:pStyle w:val="BodyText"/>
      </w:pPr>
      <w:r>
        <w:t xml:space="preserve">Continuous emission (property 1) is target state. The provenance envelope</w:t>
      </w:r>
      <w:r>
        <w:t xml:space="preserve"> </w:t>
      </w:r>
      <w:r>
        <w:t xml:space="preserve">and bundle lifecycle support continuous capture; the gap is end-to-end</w:t>
      </w:r>
      <w:r>
        <w:t xml:space="preserve"> </w:t>
      </w:r>
      <w:r>
        <w:t xml:space="preserve">wiring across every adapter. Adapters that ship continuous capture today</w:t>
      </w:r>
      <w:r>
        <w:t xml:space="preserve"> </w:t>
      </w:r>
      <w:r>
        <w:t xml:space="preserve">already exhibit the property; the program-level objective is to bring all</w:t>
      </w:r>
      <w:r>
        <w:t xml:space="preserve"> </w:t>
      </w:r>
      <w:r>
        <w:t xml:space="preserve">adapters to that maturity rather than to invent a new mechanism.</w:t>
      </w:r>
    </w:p>
    <w:bookmarkEnd w:id="18"/>
    <w:bookmarkStart w:id="20" w:name="the-boundary-problem-gcc-moderate"/>
    <w:p>
      <w:pPr>
        <w:pStyle w:val="Heading3"/>
      </w:pPr>
      <w:r>
        <w:t xml:space="preserve">6. The boundary problem (GCC-Moderate)</w:t>
      </w:r>
    </w:p>
    <w:p>
      <w:pPr>
        <w:pStyle w:val="FirstParagraph"/>
      </w:pPr>
      <w:r>
        <w:t xml:space="preserve">Federal Zero Trust programs in GCC-Moderate hit an additional structural</w:t>
      </w:r>
      <w:r>
        <w:t xml:space="preserve"> </w:t>
      </w:r>
      <w:r>
        <w:t xml:space="preserve">constraint: many of the platform-emitted signals that commercial Microsoft</w:t>
      </w:r>
      <w:r>
        <w:t xml:space="preserve"> </w:t>
      </w:r>
      <w:r>
        <w:t xml:space="preserve">365 customers use for ZT analytics are</w:t>
      </w:r>
      <w:r>
        <w:t xml:space="preserve"> </w:t>
      </w:r>
      <w:r>
        <w:rPr>
          <w:b/>
          <w:bCs/>
        </w:rPr>
        <w:t xml:space="preserve">silently unavailable</w:t>
      </w:r>
      <w:r>
        <w:t xml:space="preserve"> </w:t>
      </w:r>
      <w:r>
        <w:t xml:space="preserve">in</w:t>
      </w:r>
      <w:r>
        <w:t xml:space="preserve"> </w:t>
      </w:r>
      <w:r>
        <w:t xml:space="preserve">GCC-Moderate (Endpoint Analytics, Device Health Attestation, Network Fence,</w:t>
      </w:r>
      <w:r>
        <w:t xml:space="preserve"> </w:t>
      </w:r>
      <w:r>
        <w:t xml:space="preserve">ARC Server Monitoring). See the</w:t>
      </w:r>
      <w:r>
        <w:t xml:space="preserve"> </w:t>
      </w:r>
      <w:hyperlink r:id="rId19">
        <w:r>
          <w:rPr>
            <w:rStyle w:val="Hyperlink"/>
          </w:rPr>
          <w:t xml:space="preserve">Boundary Impact Model</w:t>
        </w:r>
      </w:hyperlink>
      <w:r>
        <w:t xml:space="preserve"> </w:t>
      </w:r>
      <w:r>
        <w:t xml:space="preserve">and the</w:t>
      </w:r>
      <w:r>
        <w:t xml:space="preserve"> </w:t>
      </w:r>
      <w:r>
        <w:t xml:space="preserve">GCC-Moderate Boundary Problem Statement.</w:t>
      </w:r>
    </w:p>
    <w:p>
      <w:pPr>
        <w:pStyle w:val="BodyText"/>
      </w:pPr>
      <w:r>
        <w:t xml:space="preserve">FMP addresses the boundary structurally rather than waiting for platform</w:t>
      </w:r>
      <w:r>
        <w:t xml:space="preserve"> </w:t>
      </w:r>
      <w:r>
        <w:t xml:space="preserve">fixes: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Boundary probe</w:t>
      </w:r>
      <w:r>
        <w:t xml:space="preserve"> </w:t>
      </w:r>
      <w:r>
        <w:t xml:space="preserve">confirms which features actually function on each</w:t>
      </w:r>
      <w:r>
        <w:t xml:space="preserve"> </w:t>
      </w:r>
      <w:r>
        <w:t xml:space="preserve">side of the boundary, producing structured capability disposition.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In-boundary telemetry adapters</w:t>
      </w:r>
      <w:r>
        <w:t xml:space="preserve"> </w:t>
      </w:r>
      <w:r>
        <w:t xml:space="preserve">emit canonical claims with explicit</w:t>
      </w:r>
      <w:r>
        <w:t xml:space="preserve"> </w:t>
      </w:r>
      <w:r>
        <w:rPr>
          <w:rStyle w:val="VerbatimChar"/>
        </w:rPr>
        <w:t xml:space="preserve">source_classification: derived</w:t>
      </w:r>
      <w:r>
        <w:t xml:space="preserve"> </w:t>
      </w:r>
      <w:r>
        <w:t xml:space="preserve">for signals substituting unavailable</w:t>
      </w:r>
      <w:r>
        <w:t xml:space="preserve"> </w:t>
      </w:r>
      <w:r>
        <w:t xml:space="preserve">commercial features.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Compensating enforcement adapters</w:t>
      </w:r>
      <w:r>
        <w:t xml:space="preserve"> </w:t>
      </w:r>
      <w:r>
        <w:t xml:space="preserve">provide agency-side enforcement</w:t>
      </w:r>
      <w:r>
        <w:t xml:space="preserve"> </w:t>
      </w:r>
      <w:r>
        <w:t xml:space="preserve">for controls platform features cannot deliver.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ATO documentation</w:t>
      </w:r>
      <w:r>
        <w:t xml:space="preserve"> </w:t>
      </w:r>
      <w:r>
        <w:t xml:space="preserve">treats the boundary as a first-class governed</w:t>
      </w:r>
      <w:r>
        <w:t xml:space="preserve"> </w:t>
      </w:r>
      <w:r>
        <w:t xml:space="preserve">object, not as implicit assumption.</w:t>
      </w:r>
    </w:p>
    <w:p>
      <w:pPr>
        <w:pStyle w:val="FirstParagraph"/>
      </w:pPr>
      <w:r>
        <w:t xml:space="preserve">Per the program decision, the substrate also recognizes named Commercial</w:t>
      </w:r>
      <w:r>
        <w:t xml:space="preserve"> </w:t>
      </w:r>
      <w:r>
        <w:t xml:space="preserve">exceptions (Amazon Connect Contact Center, SailPoint Non-Employee Risk</w:t>
      </w:r>
      <w:r>
        <w:t xml:space="preserve"> </w:t>
      </w:r>
      <w:r>
        <w:t xml:space="preserve">Management) that operate FedRAMP Moderate on AWS GovCloud — each encoded</w:t>
      </w:r>
      <w:r>
        <w:t xml:space="preserve"> </w:t>
      </w:r>
      <w:r>
        <w:t xml:space="preserve">as a discrete enum value in the</w:t>
      </w:r>
      <w:r>
        <w:t xml:space="preserve"> </w:t>
      </w:r>
      <w:r>
        <w:rPr>
          <w:rStyle w:val="VerbatimChar"/>
        </w:rPr>
        <w:t xml:space="preserve">gcc-boundary</w:t>
      </w:r>
      <w:r>
        <w:t xml:space="preserve"> </w:t>
      </w:r>
      <w:r>
        <w:t xml:space="preserve">schema and added in</w:t>
      </w:r>
      <w:r>
        <w:t xml:space="preserve"> </w:t>
      </w:r>
      <w:r>
        <w:t xml:space="preserve">lockstep with its authorizing ADR. The substrate’s posture is that</w:t>
      </w:r>
      <w:r>
        <w:t xml:space="preserve"> </w:t>
      </w:r>
      <w:r>
        <w:t xml:space="preserve">boundary exceptions are governed, not glossed over. The compliance</w:t>
      </w:r>
      <w:r>
        <w:t xml:space="preserve"> </w:t>
      </w:r>
      <w:r>
        <w:t xml:space="preserve">pillar’s full treatment of this territory — boundary volumes, evidence</w:t>
      </w:r>
      <w:r>
        <w:t xml:space="preserve"> </w:t>
      </w:r>
      <w:r>
        <w:t xml:space="preserve">and ConMon packaging, and the network enforcement substrate — is the</w:t>
      </w:r>
      <w:r>
        <w:t xml:space="preserve"> </w:t>
      </w:r>
      <w:r>
        <w:t xml:space="preserve">the compliance series — Federal Compliance series. The boundary</w:t>
      </w:r>
      <w:r>
        <w:t xml:space="preserve"> </w:t>
      </w:r>
      <w:r>
        <w:t xml:space="preserve">landscape has since widened beyond GCC-Moderate: the program decision added the</w:t>
      </w:r>
      <w:r>
        <w:t xml:space="preserve"> </w:t>
      </w:r>
      <w:r>
        <w:rPr>
          <w:rStyle w:val="VerbatimChar"/>
        </w:rPr>
        <w:t xml:space="preserve">commercial-general</w:t>
      </w:r>
      <w:r>
        <w:t xml:space="preserve"> </w:t>
      </w:r>
      <w:r>
        <w:t xml:space="preserve">boundary (non-federal commercial regimes, with the</w:t>
      </w:r>
      <w:r>
        <w:t xml:space="preserve"> </w:t>
      </w:r>
      <w:r>
        <w:t xml:space="preserve">SOC 2 pack registered active under it) and the program decision added</w:t>
      </w:r>
      <w:r>
        <w:t xml:space="preserve"> </w:t>
      </w:r>
      <w:r>
        <w:rPr>
          <w:rStyle w:val="VerbatimChar"/>
        </w:rPr>
        <w:t xml:space="preserve">state-local</w:t>
      </w:r>
      <w:r>
        <w:t xml:space="preserve"> </w:t>
      </w:r>
      <w:r>
        <w:t xml:space="preserve">(GovRAMP reciprocity) — the same governed-boundary pattern, applied to</w:t>
      </w:r>
      <w:r>
        <w:t xml:space="preserve"> </w:t>
      </w:r>
      <w:r>
        <w:t xml:space="preserve">new regimes.</w:t>
      </w:r>
    </w:p>
    <w:bookmarkEnd w:id="20"/>
    <w:bookmarkStart w:id="21" w:name="pillar-by-pillar-maturity-outlook"/>
    <w:p>
      <w:pPr>
        <w:pStyle w:val="Heading3"/>
      </w:pPr>
      <w:r>
        <w:t xml:space="preserve">7. Pillar-by-pillar maturity outlook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Pillar</w:t>
            </w:r>
          </w:p>
        </w:tc>
        <w:tc>
          <w:tcPr/>
          <w:p>
            <w:pPr>
              <w:pStyle w:val="Compact"/>
            </w:pPr>
            <w:r>
              <w:t xml:space="preserve">FMP-anchored substrate posture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Identity-as-root-namespace per the program decision ships today; identity-plane SSOT enforced via schema 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Devices</w:t>
            </w:r>
          </w:p>
        </w:tc>
        <w:tc>
          <w:tcPr/>
          <w:p>
            <w:pPr>
              <w:pStyle w:val="Compact"/>
            </w:pPr>
            <w:r>
              <w:t xml:space="preserve">Device claims via provenance envelope ships; cross-pillar correlation ships; per-device runtime drift is TARGET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Networks</w:t>
            </w:r>
          </w:p>
        </w:tc>
        <w:tc>
          <w:tcPr/>
          <w:p>
            <w:pPr>
              <w:pStyle w:val="Compact"/>
            </w:pPr>
            <w:r>
              <w:t xml:space="preserve">Addressing plane SSOT ships; identity-derived addressing is canonical and partially shipped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Applications &amp; Workloads</w:t>
            </w:r>
          </w:p>
        </w:tc>
        <w:tc>
          <w:tcPr/>
          <w:p>
            <w:pPr>
              <w:pStyle w:val="Compact"/>
            </w:pPr>
            <w:r>
              <w:t xml:space="preserve">Adapter taxonomy + KSI mapping ships; workload-side enforcement runtime is library-only (FMP_111)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Provenance envelope ships; deterministic evidence chain ships; continuous event-time capture is TARGET</w:t>
            </w:r>
          </w:p>
        </w:tc>
      </w:tr>
    </w:tbl>
    <w:p>
      <w:pPr>
        <w:pStyle w:val="BodyText"/>
      </w:pPr>
      <w:r>
        <w:t xml:space="preserve">For each pillar the substrate’s</w:t>
      </w:r>
      <w:r>
        <w:t xml:space="preserve"> </w:t>
      </w:r>
      <w:r>
        <w:rPr>
          <w:i/>
          <w:iCs/>
        </w:rPr>
        <w:t xml:space="preserve">structural floor</w:t>
      </w:r>
      <w:r>
        <w:t xml:space="preserve"> </w:t>
      </w:r>
      <w:r>
        <w:t xml:space="preserve">is in place; the gap</w:t>
      </w:r>
      <w:r>
        <w:t xml:space="preserve"> </w:t>
      </w:r>
      <w:r>
        <w:t xml:space="preserve">to Optimal is engineering at the runtime layer, not architectural</w:t>
      </w:r>
      <w:r>
        <w:t xml:space="preserve"> </w:t>
      </w:r>
      <w:r>
        <w:t xml:space="preserve">redesign.</w:t>
      </w:r>
    </w:p>
    <w:bookmarkEnd w:id="21"/>
    <w:bookmarkStart w:id="22" w:name="what-an-agency-can-do-this-quarter"/>
    <w:p>
      <w:pPr>
        <w:pStyle w:val="Heading3"/>
      </w:pPr>
      <w:r>
        <w:t xml:space="preserve">8. What an agency can do this quarter</w:t>
      </w:r>
    </w:p>
    <w:p>
      <w:pPr>
        <w:pStyle w:val="FirstParagraph"/>
      </w:pPr>
      <w:r>
        <w:t xml:space="preserve">Concrete adoption posture, ordered: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Inventory which pillar evidence is reproducible today.</w:t>
      </w:r>
      <w:r>
        <w:t xml:space="preserve"> </w:t>
      </w:r>
      <w:r>
        <w:t xml:space="preserve">For each</w:t>
      </w:r>
      <w:r>
        <w:t xml:space="preserve"> </w:t>
      </w:r>
      <w:r>
        <w:t xml:space="preserve">ZTMM pillar, can you re-run the evidence pipeline without operator</w:t>
      </w:r>
      <w:r>
        <w:t xml:space="preserve"> </w:t>
      </w:r>
      <w:r>
        <w:t xml:space="preserve">coordination? Where the answer is no, that is the substrate</w:t>
      </w:r>
      <w:r>
        <w:t xml:space="preserve"> </w:t>
      </w:r>
      <w:r>
        <w:t xml:space="preserve">adoption boundary.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Bring one adapter under the canonical taxonomy.</w:t>
      </w:r>
      <w:r>
        <w:t xml:space="preserve"> </w:t>
      </w:r>
      <w:r>
        <w:t xml:space="preserve">Pick the</w:t>
      </w:r>
      <w:r>
        <w:t xml:space="preserve"> </w:t>
      </w:r>
      <w:r>
        <w:t xml:space="preserve">highest-leverage tool in any pillar; declare it in the modernization</w:t>
      </w:r>
      <w:r>
        <w:t xml:space="preserve"> </w:t>
      </w:r>
      <w:r>
        <w:t xml:space="preserve">or conformance registry; emit its findings into OSCAL alongside the</w:t>
      </w:r>
      <w:r>
        <w:t xml:space="preserve"> </w:t>
      </w:r>
      <w:r>
        <w:t xml:space="preserve">existing attestation evidence.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fmp substrate walk</w:t>
      </w:r>
      <w:r>
        <w:rPr>
          <w:b/>
          <w:bCs/>
        </w:rPr>
        <w:t xml:space="preserve"> </w:t>
      </w:r>
      <w:r>
        <w:rPr>
          <w:b/>
          <w:bCs/>
        </w:rPr>
        <w:t xml:space="preserve">in CI.</w:t>
      </w:r>
      <w:r>
        <w:t xml:space="preserve"> </w:t>
      </w:r>
      <w:r>
        <w:t xml:space="preserve">Schema and provenance drift</w:t>
      </w:r>
      <w:r>
        <w:t xml:space="preserve"> </w:t>
      </w:r>
      <w:r>
        <w:t xml:space="preserve">findings are immediate; remediating them is the cheapest possible</w:t>
      </w:r>
      <w:r>
        <w:t xml:space="preserve"> </w:t>
      </w:r>
      <w:r>
        <w:t xml:space="preserve">lift toward Advanced maturity.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Model the boundary explicitly.</w:t>
      </w:r>
      <w:r>
        <w:t xml:space="preserve"> </w:t>
      </w:r>
      <w:r>
        <w:t xml:space="preserve">If the agency operates in</w:t>
      </w:r>
      <w:r>
        <w:t xml:space="preserve"> </w:t>
      </w:r>
      <w:r>
        <w:t xml:space="preserve">GCC-Moderate, instantiate the boundary impact model with the four</w:t>
      </w:r>
      <w:r>
        <w:t xml:space="preserve"> </w:t>
      </w:r>
      <w:r>
        <w:t xml:space="preserve">impact dimensions; treat platform feature gaps as governed findings</w:t>
      </w:r>
      <w:r>
        <w:t xml:space="preserve"> </w:t>
      </w:r>
      <w:r>
        <w:t xml:space="preserve">rather than implicit constraints.</w:t>
      </w:r>
    </w:p>
    <w:p>
      <w:pPr>
        <w:pStyle w:val="FirstParagraph"/>
      </w:pPr>
      <w:r>
        <w:t xml:space="preserve">None of these requires a year-long program. Each is a structural step</w:t>
      </w:r>
      <w:r>
        <w:t xml:space="preserve"> </w:t>
      </w:r>
      <w:r>
        <w:t xml:space="preserve">that compounds.</w:t>
      </w:r>
    </w:p>
    <w:bookmarkEnd w:id="22"/>
    <w:bookmarkStart w:id="23" w:name="honest-limits"/>
    <w:p>
      <w:pPr>
        <w:pStyle w:val="Heading3"/>
      </w:pPr>
      <w:r>
        <w:t xml:space="preserve">9. Honest limits</w:t>
      </w:r>
    </w:p>
    <w:p>
      <w:pPr>
        <w:pStyle w:val="Compact"/>
        <w:numPr>
          <w:ilvl w:val="0"/>
          <w:numId w:val="1005"/>
        </w:numPr>
      </w:pPr>
      <w:r>
        <w:t xml:space="preserve">ZTMM Optimal requires continuous, automated, cross-pillar policy</w:t>
      </w:r>
      <w:r>
        <w:t xml:space="preserve"> </w:t>
      </w:r>
      <w:r>
        <w:t xml:space="preserve">evaluation. FMP ships the substrate that makes this tractable; it</w:t>
      </w:r>
      <w:r>
        <w:t xml:space="preserve"> </w:t>
      </w:r>
      <w:r>
        <w:t xml:space="preserve">does not ship every per-pillar runtime today.</w:t>
      </w:r>
    </w:p>
    <w:p>
      <w:pPr>
        <w:pStyle w:val="Compact"/>
        <w:numPr>
          <w:ilvl w:val="0"/>
          <w:numId w:val="1005"/>
        </w:numPr>
      </w:pPr>
      <w:r>
        <w:t xml:space="preserve">Identity, authorization, and semantic drift are detected at runtime</w:t>
      </w:r>
      <w:r>
        <w:t xml:space="preserve"> </w:t>
      </w:r>
      <w:r>
        <w:t xml:space="preserve">only by adapters that have implemented the runtime conformance</w:t>
      </w:r>
      <w:r>
        <w:t xml:space="preserve"> </w:t>
      </w:r>
      <w:r>
        <w:t xml:space="preserve">contract. Coverage is growing, not complete.</w:t>
      </w:r>
    </w:p>
    <w:p>
      <w:pPr>
        <w:pStyle w:val="Compact"/>
        <w:numPr>
          <w:ilvl w:val="0"/>
          <w:numId w:val="1005"/>
        </w:numPr>
      </w:pPr>
      <w:r>
        <w:t xml:space="preserve">The boundary impact model is structural; the operational work of</w:t>
      </w:r>
      <w:r>
        <w:t xml:space="preserve"> </w:t>
      </w:r>
      <w:r>
        <w:t xml:space="preserve">inventorying boundary impacts and authoring compensating mechanisms</w:t>
      </w:r>
      <w:r>
        <w:t xml:space="preserve"> </w:t>
      </w:r>
      <w:r>
        <w:t xml:space="preserve">is per-agency.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“Continuous verification through drift”</w:t>
      </w:r>
      <w:r>
        <w:rPr>
          <w:b/>
          <w:bCs/>
        </w:rPr>
        <w:t xml:space="preserve"> </w:t>
      </w:r>
      <w:r>
        <w:rPr>
          <w:b/>
          <w:bCs/>
        </w:rPr>
        <w:t xml:space="preserve">(§4) is evidence and posture</w:t>
      </w:r>
      <w:r>
        <w:rPr>
          <w:b/>
          <w:bCs/>
        </w:rPr>
        <w:t xml:space="preserve"> </w:t>
      </w:r>
      <w:r>
        <w:rPr>
          <w:b/>
          <w:bCs/>
        </w:rPr>
        <w:t xml:space="preserve">continuity, not session or token continuity.</w:t>
      </w:r>
      <w:r>
        <w:t xml:space="preserve"> </w:t>
      </w:r>
      <w:r>
        <w:t xml:space="preserve">The latter — sub-second</w:t>
      </w:r>
      <w:r>
        <w:t xml:space="preserve"> </w:t>
      </w:r>
      <w:r>
        <w:t xml:space="preserve">revocation on a risk signal — depends on Entra Continuous Access</w:t>
      </w:r>
      <w:r>
        <w:t xml:space="preserve"> </w:t>
      </w:r>
      <w:r>
        <w:t xml:space="preserve">Evaluation (CAE) fidelity, which is inferred degraded inside</w:t>
      </w:r>
      <w:r>
        <w:t xml:space="preserve"> </w:t>
      </w:r>
      <w:r>
        <w:t xml:space="preserve">GCC-Moderate; see</w:t>
      </w:r>
      <w:r>
        <w:t xml:space="preserve"> </w:t>
      </w:r>
      <w:r>
        <w:t xml:space="preserve">FINDING-006</w:t>
      </w:r>
      <w:r>
        <w:t xml:space="preserve"> </w:t>
      </w:r>
      <w:r>
        <w:t xml:space="preserve">for the tracked gap and the compensating controls it recommends.</w:t>
      </w:r>
    </w:p>
    <w:bookmarkEnd w:id="23"/>
    <w:bookmarkStart w:id="24" w:name="conclusion"/>
    <w:p>
      <w:pPr>
        <w:pStyle w:val="Heading3"/>
      </w:pPr>
      <w:r>
        <w:t xml:space="preserve">10. Conclusion</w:t>
      </w:r>
    </w:p>
    <w:p>
      <w:pPr>
        <w:pStyle w:val="FirstParagraph"/>
      </w:pPr>
      <w:r>
        <w:t xml:space="preserve">CISA’s ZTMM is a destination model. FMP’s contribution is the substrate</w:t>
      </w:r>
      <w:r>
        <w:t xml:space="preserve"> </w:t>
      </w:r>
      <w:r>
        <w:t xml:space="preserve">that makes the destination structurally reachable: SSOT for cross-pillar</w:t>
      </w:r>
      <w:r>
        <w:t xml:space="preserve"> </w:t>
      </w:r>
      <w:r>
        <w:t xml:space="preserve">truth, drift taxonomy for continuous verification, provenance envelope</w:t>
      </w:r>
      <w:r>
        <w:t xml:space="preserve"> </w:t>
      </w:r>
      <w:r>
        <w:t xml:space="preserve">for reproducible evidence, and boundary impact modeling for the federal</w:t>
      </w:r>
      <w:r>
        <w:t xml:space="preserve"> </w:t>
      </w:r>
      <w:r>
        <w:t xml:space="preserve">constraints (GCC-Moderate especially) that no per-pillar tool can</w:t>
      </w:r>
      <w:r>
        <w:t xml:space="preserve"> </w:t>
      </w:r>
      <w:r>
        <w:t xml:space="preserve">address alone.</w:t>
      </w:r>
    </w:p>
    <w:p>
      <w:pPr>
        <w:pStyle w:val="BodyText"/>
      </w:pPr>
      <w:r>
        <w:t xml:space="preserve">Agencies adopting FMP are not buying a Zero Trust product. They are</w:t>
      </w:r>
      <w:r>
        <w:t xml:space="preserve"> </w:t>
      </w:r>
      <w:r>
        <w:t xml:space="preserve">adopting the operating system that makes their existing pillar tooling</w:t>
      </w:r>
      <w:r>
        <w:t xml:space="preserve"> </w:t>
      </w:r>
      <w:r>
        <w:t xml:space="preserve">produce ZT-grade evidence — and the architectural foundation for every</w:t>
      </w:r>
      <w:r>
        <w:t xml:space="preserve"> </w:t>
      </w:r>
      <w:r>
        <w:t xml:space="preserve">runtime extension that follows.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9" Target="../architecture/boundary-impact-model.md" TargetMode="External" /><Relationship Type="http://schemas.openxmlformats.org/officeDocument/2006/relationships/hyperlink" Id="rId13" Target="zero-trust-governance-principle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architecture/boundary-impact-model.md" TargetMode="External" /><Relationship Type="http://schemas.openxmlformats.org/officeDocument/2006/relationships/hyperlink" Id="rId13" Target="zero-trust-governance-principle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Zero Trust Governance — Whitepaper</dc:title>
  <dc:creator>Michael Stratton</dc:creator>
  <cp:keywords/>
  <dcterms:created xsi:type="dcterms:W3CDTF">2026-10-19T10:11:59Z</dcterms:created>
  <dcterms:modified xsi:type="dcterms:W3CDTF">2026-10-19T10:11:59Z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reference">
    <vt:lpwstr/>
  </property>
  <property fmtid="{D5CDD505-2E9C-101B-9397-08002B2CF9AE}" pid="7" name="canon-source">
    <vt:lpwstr>src/fmp/canon/adr/adr-008-zero-trust-identity.md</vt:lpwstr>
  </property>
  <property fmtid="{D5CDD505-2E9C-101B-9397-08002B2CF9AE}" pid="8" name="created-at">
    <vt:lpwstr>2026-06-18</vt:lpwstr>
  </property>
  <property fmtid="{D5CDD505-2E9C-101B-9397-08002B2CF9AE}" pid="9" name="date">
    <vt:lpwstr>2026-06-01</vt:lpwstr>
  </property>
  <property fmtid="{D5CDD505-2E9C-101B-9397-08002B2CF9AE}" pid="10" name="derived-from">
    <vt:lpwstr>fmp canon</vt:lpwstr>
  </property>
  <property fmtid="{D5CDD505-2E9C-101B-9397-08002B2CF9AE}" pid="11" name="doc-type">
    <vt:lpwstr>whitepaper</vt:lpwstr>
  </property>
  <property fmtid="{D5CDD505-2E9C-101B-9397-08002B2CF9AE}" pid="12" name="header-includes">
    <vt:lpwstr/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labels">
    <vt:lpwstr/>
  </property>
  <property fmtid="{D5CDD505-2E9C-101B-9397-08002B2CF9AE}" pid="16" name="lifecycle">
    <vt:lpwstr>adopted</vt:lpwstr>
  </property>
  <property fmtid="{D5CDD505-2E9C-101B-9397-08002B2CF9AE}" pid="17" name="lifecycle_review">
    <vt:lpwstr>2026-11-22</vt:lpwstr>
  </property>
  <property fmtid="{D5CDD505-2E9C-101B-9397-08002B2CF9AE}" pid="18" name="status">
    <vt:lpwstr>Active</vt:lpwstr>
  </property>
  <property fmtid="{D5CDD505-2E9C-101B-9397-08002B2CF9AE}" pid="19" name="subtitle">
    <vt:lpwstr>Implementing CISA Zero Trust maturity through FMP’s governance model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1.3</vt:lpwstr>
  </property>
</Properties>
</file>