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Zero Trust Requires Whole-Agency Scope — Network, CSPs, and VMware as One System</w:t>
      </w:r>
    </w:p>
    <w:p>
      <w:pPr>
        <w:pStyle w:val="Subtitle"/>
      </w:pPr>
      <w:r>
        <w:t xml:space="preserve">Why a whole-agency Zero Trust score requires one naming and identity plane across Network, every CSP, and VMware — and why even Microsoft’s own assessment tools, run together, don’t add up to whole-agency coverage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Xcae6c8884f0e271933d07afbb20bf5f11d9d1e1"/>
    <w:p>
      <w:pPr>
        <w:pStyle w:val="Heading1"/>
      </w:pPr>
      <w:r>
        <w:t xml:space="preserve">Zero Trust Requires Whole-Agency Scope — Network, CSPs, and VMware as One System</w:t>
      </w:r>
    </w:p>
    <w:bookmarkStart w:id="26" w:name="X09455e3240952b8aaf5aadd07ec7832f1980c88"/>
    <w:p>
      <w:pPr>
        <w:pStyle w:val="Heading2"/>
      </w:pPr>
      <w:r>
        <w:t xml:space="preserve">Why a whole-agency Zero Trust score requires one naming and identity plane across Network, every CSP, and VMware — and why even Microsoft’s own assessment tools, run together, don’t add up to whole-agency coverage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</w:p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Companion paper.</w:t>
            </w:r>
            <w:r>
              <w:t xml:space="preserve"> </w:t>
            </w:r>
            <w:r>
              <w:t xml:space="preserve">This paper is a focused extension of</w:t>
            </w:r>
            <w:r>
              <w:t xml:space="preserve"> </w:t>
            </w:r>
            <w:hyperlink r:id="rId12">
              <w:r>
                <w:rPr>
                  <w:rStyle w:val="Hyperlink"/>
                  <w:i/>
                  <w:iCs/>
                </w:rPr>
                <w:t xml:space="preserve">Zero Trust</w:t>
              </w:r>
              <w:r>
                <w:rPr>
                  <w:rStyle w:val="Hyperlink"/>
                  <w:i/>
                  <w:iCs/>
                </w:rPr>
                <w:t xml:space="preserve"> </w:t>
              </w:r>
              <w:r>
                <w:rPr>
                  <w:rStyle w:val="Hyperlink"/>
                  <w:i/>
                  <w:iCs/>
                </w:rPr>
                <w:t xml:space="preserve">Governance Principles</w:t>
              </w:r>
            </w:hyperlink>
            <w:r>
              <w:t xml:space="preserve">, which sets out</w:t>
            </w:r>
            <w:r>
              <w:t xml:space="preserve"> </w:t>
            </w:r>
            <w:r>
              <w:t xml:space="preserve">five governance principles for closing the gap between CISA’s Zero Trust</w:t>
            </w:r>
            <w:r>
              <w:t xml:space="preserve"> </w:t>
            </w:r>
            <w:r>
              <w:t xml:space="preserve">Maturity Model (ZTMM) v2.0 cross-cutting capabilities — Visibility and</w:t>
            </w:r>
            <w:r>
              <w:t xml:space="preserve"> </w:t>
            </w:r>
            <w:r>
              <w:t xml:space="preserve">Analytics, Automation and Orchestration, and Governance — and where most</w:t>
            </w:r>
            <w:r>
              <w:t xml:space="preserve"> </w:t>
            </w:r>
            <w:r>
              <w:t xml:space="preserve">federal programs actually stall. That paper’s Principle One establishes</w:t>
            </w:r>
            <w:r>
              <w:t xml:space="preserve"> </w:t>
            </w:r>
            <w:r>
              <w:t xml:space="preserve">identity as the addressing root the other pillars resolve against. This paper</w:t>
            </w:r>
            <w:r>
              <w:t xml:space="preserve"> </w:t>
            </w:r>
            <w:r>
              <w:t xml:space="preserve">takes that principle to its whole-agency conclusion: Network, every cloud</w:t>
            </w:r>
            <w:r>
              <w:t xml:space="preserve"> </w:t>
            </w:r>
            <w:r>
              <w:t xml:space="preserve">service provider (CSP), and any on-premises virtualization estate all have to</w:t>
            </w:r>
            <w:r>
              <w:t xml:space="preserve"> </w:t>
            </w:r>
            <w:r>
              <w:t xml:space="preserve">resolve against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naming and identity plane before a Zero Trust score</w:t>
            </w:r>
            <w:r>
              <w:t xml:space="preserve"> </w:t>
            </w:r>
            <w:r>
              <w:t xml:space="preserve">covering them means the same thing across all three — and even Microsoft’s own</w:t>
            </w:r>
            <w:r>
              <w:t xml:space="preserve"> </w:t>
            </w:r>
            <w:r>
              <w:t xml:space="preserve">assessment tooling, run in full, does not get an agency there on its own. Read</w:t>
            </w:r>
            <w:r>
              <w:t xml:space="preserve"> </w:t>
            </w:r>
            <w:r>
              <w:t xml:space="preserve">the companion paper first for the full governance argument this one builds on;</w:t>
            </w:r>
            <w:r>
              <w:t xml:space="preserve"> </w:t>
            </w:r>
            <w:r>
              <w:t xml:space="preserve">read this one on its own if the question in front of you is specifically</w:t>
            </w:r>
            <w:r>
              <w:t xml:space="preserve"> </w:t>
            </w:r>
            <w:r>
              <w:t xml:space="preserve">whether a</w:t>
            </w:r>
            <w:r>
              <w:t xml:space="preserve"> </w:t>
            </w:r>
            <w:r>
              <w:t xml:space="preserve">“whole-agency”</w:t>
            </w:r>
            <w:r>
              <w:t xml:space="preserve"> </w:t>
            </w:r>
            <w:r>
              <w:t xml:space="preserve">Zero Trust score is real.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Agencies assess Network, cloud service providers, and on-premises</w:t>
            </w:r>
            <w:r>
              <w:t xml:space="preserve"> </w:t>
            </w:r>
            <w:r>
              <w:t xml:space="preserve">virtualization as three separate exercises, staple the reports together, and</w:t>
            </w:r>
            <w:r>
              <w:t xml:space="preserve"> </w:t>
            </w:r>
            <w:r>
              <w:t xml:space="preserve">call the result a whole-agency Zero Trust score. NIST SP 800-207’s</w:t>
            </w:r>
            <w:r>
              <w:t xml:space="preserve"> </w:t>
            </w:r>
            <w:r>
              <w:t xml:space="preserve">infrastructure-agnostic policy decision only holds if all three resolve to the</w:t>
            </w:r>
            <w:r>
              <w:t xml:space="preserve"> </w:t>
            </w:r>
            <w:r>
              <w:t xml:space="preserve">same asset, naming, and identity records; when they do not, one workload is</w:t>
            </w:r>
            <w:r>
              <w:t xml:space="preserve"> </w:t>
            </w:r>
            <w:r>
              <w:t xml:space="preserve">three objects to three assessors — and even Microsoft’s own SCuBA and Zero</w:t>
            </w:r>
            <w:r>
              <w:t xml:space="preserve"> </w:t>
            </w:r>
            <w:r>
              <w:t xml:space="preserve">Trust Assessment, run together, cannot see past Microsoft’s platform.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Unify first, assess second: one authoritative naming and</w:t>
            </w:r>
            <w:r>
              <w:t xml:space="preserve"> </w:t>
            </w:r>
            <w:r>
              <w:t xml:space="preserve">identity plane across Network, every CSP, and VMware, governed as a Tier-0</w:t>
            </w:r>
            <w:r>
              <w:t xml:space="preserve"> </w:t>
            </w:r>
            <w:r>
              <w:t xml:space="preserve">asset in its own right once it exists, with each vendor’s assessment tool used</w:t>
            </w:r>
            <w:r>
              <w:t xml:space="preserve"> </w:t>
            </w:r>
            <w:r>
              <w:t xml:space="preserve">as an input reconciled at the control level rather than as the score.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Reconcile Network, CSP, and VMware asset identity to one</w:t>
            </w:r>
            <w:r>
              <w:t xml:space="preserve"> </w:t>
            </w:r>
            <w:r>
              <w:t xml:space="preserve">authoritative source before scoring any of them; name an agency-level owner of</w:t>
            </w:r>
            <w:r>
              <w:t xml:space="preserve"> </w:t>
            </w:r>
            <w:r>
              <w:t xml:space="preserve">the Zero Trust posture separate from every CSP relationship; and treat any</w:t>
            </w:r>
            <w:r>
              <w:t xml:space="preserve"> </w:t>
            </w:r>
            <w:r>
              <w:t xml:space="preserve">“whole-agency”</w:t>
            </w:r>
            <w:r>
              <w:t xml:space="preserve"> </w:t>
            </w:r>
            <w:r>
              <w:t xml:space="preserve">score that cannot point to that unified record as three partial</w:t>
            </w:r>
            <w:r>
              <w:t xml:space="preserve"> </w:t>
            </w:r>
            <w:r>
              <w:t xml:space="preserve">assessments, not one.</w:t>
            </w:r>
          </w:p>
          <w:p/>
        </w:tc>
      </w:tr>
    </w:tbl>
    <w:bookmarkStart w:id="16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Federal agencies routinely assess Network, cloud service providers, and</w:t>
      </w:r>
      <w:r>
        <w:t xml:space="preserve"> </w:t>
      </w:r>
      <w:r>
        <w:t xml:space="preserve">on-premises virtualization (VMware and similar hypervisor estates) as three</w:t>
      </w:r>
      <w:r>
        <w:t xml:space="preserve"> </w:t>
      </w:r>
      <w:r>
        <w:t xml:space="preserve">separate exercises, then staple the resulting reports together and call the</w:t>
      </w:r>
      <w:r>
        <w:t xml:space="preserve"> </w:t>
      </w:r>
      <w:r>
        <w:t xml:space="preserve">result a</w:t>
      </w:r>
      <w:r>
        <w:t xml:space="preserve"> </w:t>
      </w:r>
      <w:r>
        <w:t xml:space="preserve">“whole-agency”</w:t>
      </w:r>
      <w:r>
        <w:t xml:space="preserve"> </w:t>
      </w:r>
      <w:r>
        <w:t xml:space="preserve">Zero Trust maturity score. It isn’t one — it’s three</w:t>
      </w:r>
      <w:r>
        <w:t xml:space="preserve"> </w:t>
      </w:r>
      <w:r>
        <w:t xml:space="preserve">partial assessments wearing one cover page. The reason is architectural, not</w:t>
      </w:r>
      <w:r>
        <w:t xml:space="preserve"> </w:t>
      </w:r>
      <w:r>
        <w:t xml:space="preserve">organizational: NIST SP 800-207 defines the Zero Trust policy decision as</w:t>
      </w:r>
      <w:r>
        <w:t xml:space="preserve"> </w:t>
      </w:r>
      <w:r>
        <w:t xml:space="preserve">infrastructure-agnostic, which only holds if Network, every CSP, and any</w:t>
      </w:r>
      <w:r>
        <w:t xml:space="preserve"> </w:t>
      </w:r>
      <w:r>
        <w:t xml:space="preserve">virtualization estate resolve to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asset, naming, and identity</w:t>
      </w:r>
      <w:r>
        <w:t xml:space="preserve"> </w:t>
      </w:r>
      <w:r>
        <w:t xml:space="preserve">records. When they don’t, the same physical workload can appear as three</w:t>
      </w:r>
      <w:r>
        <w:t xml:space="preserve"> </w:t>
      </w:r>
      <w:r>
        <w:t xml:space="preserve">different objects to three different assessors, and no score computed across</w:t>
      </w:r>
      <w:r>
        <w:t xml:space="preserve"> </w:t>
      </w:r>
      <w:r>
        <w:t xml:space="preserve">them is measuring one architecture. This paper works through why that’s true,</w:t>
      </w:r>
      <w:r>
        <w:t xml:space="preserve"> </w:t>
      </w:r>
      <w:r>
        <w:t xml:space="preserve">why the hypervisor case is a distinct threat class rather than a naming</w:t>
      </w:r>
      <w:r>
        <w:t xml:space="preserve"> </w:t>
      </w:r>
      <w:r>
        <w:t xml:space="preserve">inconvenience, why the unification layer itself becomes the highest-value</w:t>
      </w:r>
      <w:r>
        <w:t xml:space="preserve"> </w:t>
      </w:r>
      <w:r>
        <w:t xml:space="preserve">target in the estate once it exists, and — as a concrete worked example —</w:t>
      </w:r>
      <w:r>
        <w:t xml:space="preserve"> </w:t>
      </w:r>
      <w:r>
        <w:t xml:space="preserve">why even Microsoft’s own SCuBA/ScubaGear and Zero Trust Assessment tools,</w:t>
      </w:r>
      <w:r>
        <w:t xml:space="preserve"> </w:t>
      </w:r>
      <w:r>
        <w:t xml:space="preserve">run together and scoped only to Microsoft’s ecosystem, still fall short of</w:t>
      </w:r>
      <w:r>
        <w:t xml:space="preserve"> </w:t>
      </w:r>
      <w:r>
        <w:t xml:space="preserve">a whole-agency answer.</w:t>
      </w:r>
    </w:p>
    <w:bookmarkEnd w:id="16"/>
    <w:bookmarkStart w:id="17" w:name="Xddfdd04253d2c647ae120d4c6711000d8e22c6f"/>
    <w:p>
      <w:pPr>
        <w:pStyle w:val="Heading3"/>
      </w:pPr>
      <w:r>
        <w:t xml:space="preserve">1. Why this needs to be assessed as one system, not three</w:t>
      </w:r>
    </w:p>
    <w:p>
      <w:pPr>
        <w:pStyle w:val="FirstParagraph"/>
      </w:pPr>
      <w:r>
        <w:t xml:space="preserve">Federal Zero Trust programs routinely inventory and assess Network, cloud</w:t>
      </w:r>
      <w:r>
        <w:t xml:space="preserve"> </w:t>
      </w:r>
      <w:r>
        <w:t xml:space="preserve">service providers (CSPs), and on-premises virtualization (VMware and similar</w:t>
      </w:r>
      <w:r>
        <w:t xml:space="preserve"> </w:t>
      </w:r>
      <w:r>
        <w:t xml:space="preserve">hypervisor estates) as three separate exercises — a network team’s TIC 3.0</w:t>
      </w:r>
      <w:r>
        <w:t xml:space="preserve"> </w:t>
      </w:r>
      <w:r>
        <w:t xml:space="preserve">boundary review, a cloud security team’s per-CSP posture scan, and a</w:t>
      </w:r>
      <w:r>
        <w:t xml:space="preserve"> </w:t>
      </w:r>
      <w:r>
        <w:t xml:space="preserve">virtualization team’s hypervisor hardening checklist — each producing its own</w:t>
      </w:r>
      <w:r>
        <w:t xml:space="preserve"> </w:t>
      </w:r>
      <w:r>
        <w:t xml:space="preserve">report, on its own schedule, to its own owner. A</w:t>
      </w:r>
      <w:r>
        <w:t xml:space="preserve"> </w:t>
      </w:r>
      <w:r>
        <w:t xml:space="preserve">“whole-agency”</w:t>
      </w:r>
      <w:r>
        <w:t xml:space="preserve"> </w:t>
      </w:r>
      <w:r>
        <w:t xml:space="preserve">Zero Trust</w:t>
      </w:r>
      <w:r>
        <w:t xml:space="preserve"> </w:t>
      </w:r>
      <w:r>
        <w:t xml:space="preserve">maturity score assembled by stapling these three reports together is not a</w:t>
      </w:r>
      <w:r>
        <w:t xml:space="preserve"> </w:t>
      </w:r>
      <w:r>
        <w:t xml:space="preserve">whole-agency assessment. It is three partial assessments wearing one cover</w:t>
      </w:r>
      <w:r>
        <w:t xml:space="preserve"> </w:t>
      </w:r>
      <w:r>
        <w:t xml:space="preserve">page — the same</w:t>
      </w:r>
      <w:r>
        <w:t xml:space="preserve"> </w:t>
      </w:r>
      <w:r>
        <w:t xml:space="preserve">“assess before you’ve unified”</w:t>
      </w:r>
      <w:r>
        <w:t xml:space="preserve"> </w:t>
      </w:r>
      <w:r>
        <w:t xml:space="preserve">mistake the companion paper’s</w:t>
      </w:r>
      <w:r>
        <w:t xml:space="preserve"> </w:t>
      </w:r>
      <w:r>
        <w:t xml:space="preserve">governance principles argue against in general, applied here across</w:t>
      </w:r>
      <w:r>
        <w:t xml:space="preserve"> </w:t>
      </w:r>
      <w:r>
        <w:t xml:space="preserve">infrastructure domains instead of within one of them: a scan can only confirm</w:t>
      </w:r>
      <w:r>
        <w:t xml:space="preserve"> </w:t>
      </w:r>
      <w:r>
        <w:t xml:space="preserve">that an architecture is unified, and cannot substitute for unifying it.</w:t>
      </w:r>
    </w:p>
    <w:p>
      <w:pPr>
        <w:pStyle w:val="BodyText"/>
      </w:pPr>
      <w:r>
        <w:t xml:space="preserve">Two documented incidents anchor the argument that follows, both discussed at</w:t>
      </w:r>
      <w:r>
        <w:t xml:space="preserve"> </w:t>
      </w:r>
      <w:r>
        <w:t xml:space="preserve">greater length in the companion paper. In 2023, a China-based actor tracked</w:t>
      </w:r>
      <w:r>
        <w:t xml:space="preserve"> </w:t>
      </w:r>
      <w:r>
        <w:t xml:space="preserve">as Storm-0558 stole a Microsoft signing key and forged authentication tokens,</w:t>
      </w:r>
      <w:r>
        <w:t xml:space="preserve"> </w:t>
      </w:r>
      <w:r>
        <w:t xml:space="preserve">reading email at roughly 25 organizations — including the U.S. Department of</w:t>
      </w:r>
      <w:r>
        <w:t xml:space="preserve"> </w:t>
      </w:r>
      <w:r>
        <w:t xml:space="preserve">State and Department of Commerce — for weeks before detection; the federal</w:t>
      </w:r>
      <w:r>
        <w:t xml:space="preserve"> </w:t>
      </w:r>
      <w:r>
        <w:t xml:space="preserve">Cyber Safety Review Board called the breach</w:t>
      </w:r>
      <w:r>
        <w:t xml:space="preserve"> </w:t>
      </w:r>
      <w:r>
        <w:t xml:space="preserve">“preventable.”</w:t>
      </w:r>
      <w:r>
        <w:t xml:space="preserve"> </w:t>
      </w:r>
      <w:r>
        <w:t xml:space="preserve">Separately, the</w:t>
      </w:r>
      <w:r>
        <w:t xml:space="preserve"> </w:t>
      </w:r>
      <w:r>
        <w:t xml:space="preserve">February 2023</w:t>
      </w:r>
      <w:r>
        <w:t xml:space="preserve"> </w:t>
      </w:r>
      <w:r>
        <w:t xml:space="preserve">“ESXiArgs”</w:t>
      </w:r>
      <w:r>
        <w:t xml:space="preserve"> </w:t>
      </w:r>
      <w:r>
        <w:t xml:space="preserve">ransomware campaign (CVE-2021-21974) and a July 2024</w:t>
      </w:r>
      <w:r>
        <w:t xml:space="preserve"> </w:t>
      </w:r>
      <w:r>
        <w:t xml:space="preserve">VMware ESXi Active Directory-integration authentication bypass</w:t>
      </w:r>
      <w:r>
        <w:t xml:space="preserve"> </w:t>
      </w:r>
      <w:r>
        <w:t xml:space="preserve">(CVE-2024-37085) both compromised a layer that sits</w:t>
      </w:r>
      <w:r>
        <w:t xml:space="preserve"> </w:t>
      </w:r>
      <w:r>
        <w:rPr>
          <w:i/>
          <w:iCs/>
        </w:rPr>
        <w:t xml:space="preserve">beneath</w:t>
      </w:r>
      <w:r>
        <w:t xml:space="preserve"> </w:t>
      </w:r>
      <w:r>
        <w:t xml:space="preserve">every guest</w:t>
      </w:r>
      <w:r>
        <w:t xml:space="preserve"> </w:t>
      </w:r>
      <w:r>
        <w:t xml:space="preserve">workload’s own telemetry: an attacker who compromises ESXi or vCenter can</w:t>
      </w:r>
      <w:r>
        <w:t xml:space="preserve"> </w:t>
      </w:r>
      <w:r>
        <w:t xml:space="preserve">encrypt or exfiltrate every VM on the host without a single guest-OS-level</w:t>
      </w:r>
      <w:r>
        <w:t xml:space="preserve"> </w:t>
      </w:r>
      <w:r>
        <w:t xml:space="preserve">EDR, identity, or network control ever generating an alert, because none of</w:t>
      </w:r>
      <w:r>
        <w:t xml:space="preserve"> </w:t>
      </w:r>
      <w:r>
        <w:t xml:space="preserve">them observe the hypervisor layer. CVE-2024-37085 in particular turned on</w:t>
      </w:r>
      <w:r>
        <w:t xml:space="preserve"> </w:t>
      </w:r>
      <w:r>
        <w:t xml:space="preserve">ESXi trusting an Active Directory group’s</w:t>
      </w:r>
      <w:r>
        <w:t xml:space="preserve"> </w:t>
      </w:r>
      <w:r>
        <w:rPr>
          <w:i/>
          <w:iCs/>
        </w:rPr>
        <w:t xml:space="preserve">name</w:t>
      </w:r>
      <w:r>
        <w:t xml:space="preserve">, not a continuously</w:t>
      </w:r>
      <w:r>
        <w:t xml:space="preserve"> </w:t>
      </w:r>
      <w:r>
        <w:t xml:space="preserve">re-verified, non-recreatable identity — an attacker with sufficient AD</w:t>
      </w:r>
      <w:r>
        <w:t xml:space="preserve"> </w:t>
      </w:r>
      <w:r>
        <w:t xml:space="preserve">permissions could delete and recreate the</w:t>
      </w:r>
      <w:r>
        <w:t xml:space="preserve"> </w:t>
      </w:r>
      <w:r>
        <w:t xml:space="preserve">“ESX Admins”</w:t>
      </w:r>
      <w:r>
        <w:t xml:space="preserve"> </w:t>
      </w:r>
      <w:r>
        <w:t xml:space="preserve">group and inherit</w:t>
      </w:r>
      <w:r>
        <w:t xml:space="preserve"> </w:t>
      </w:r>
      <w:r>
        <w:t xml:space="preserve">full hypervisor administrative rights.</w:t>
      </w:r>
    </w:p>
    <w:bookmarkEnd w:id="17"/>
    <w:bookmarkStart w:id="18" w:name="X1e08c919c2578d0d333693ea5a6352ed0ee0656"/>
    <w:p>
      <w:pPr>
        <w:pStyle w:val="Heading3"/>
      </w:pPr>
      <w:r>
        <w:t xml:space="preserve">2. Whole-agency scope: Network, CSPs, and VMware are one system, not three</w:t>
      </w:r>
    </w:p>
    <w:p>
      <w:pPr>
        <w:pStyle w:val="FirstParagraph"/>
      </w:pPr>
      <w:r>
        <w:t xml:space="preserve">The root issue is architectural, not organizational: Network, every CSP an</w:t>
      </w:r>
      <w:r>
        <w:t xml:space="preserve"> </w:t>
      </w:r>
      <w:r>
        <w:t xml:space="preserve">agency operates in, and any on-premises virtualization estate all have to</w:t>
      </w:r>
      <w:r>
        <w:t xml:space="preserve"> </w:t>
      </w:r>
      <w:r>
        <w:t xml:space="preserve">resolve against</w:t>
      </w:r>
      <w:r>
        <w:t xml:space="preserve"> </w:t>
      </w:r>
      <w:r>
        <w:rPr>
          <w:b/>
          <w:bCs/>
        </w:rPr>
        <w:t xml:space="preserve">the same naming and identity plane</w:t>
      </w:r>
      <w:r>
        <w:t xml:space="preserve"> </w:t>
      </w:r>
      <w:r>
        <w:t xml:space="preserve">before any of them can</w:t>
      </w:r>
      <w:r>
        <w:t xml:space="preserve"> </w:t>
      </w:r>
      <w:r>
        <w:t xml:space="preserve">produce evidence that means the same thing as the others’. NIST SP 800-207</w:t>
      </w:r>
      <w:r>
        <w:t xml:space="preserve"> </w:t>
      </w:r>
      <w:r>
        <w:t xml:space="preserve">states the Zero Trust core logic — a policy engine evaluating subject</w:t>
      </w:r>
      <w:r>
        <w:t xml:space="preserve"> </w:t>
      </w:r>
      <w:r>
        <w:t xml:space="preserve">identity, device state, and resource sensitivity together, the same logic the</w:t>
      </w:r>
      <w:r>
        <w:t xml:space="preserve"> </w:t>
      </w:r>
      <w:r>
        <w:t xml:space="preserve">companion paper’s Principle One (§4) develops in depth — as</w:t>
      </w:r>
      <w:r>
        <w:t xml:space="preserve"> </w:t>
      </w:r>
      <w:r>
        <w:t xml:space="preserve">infrastructure-agnostic by design: the policy decision does not change</w:t>
      </w:r>
      <w:r>
        <w:t xml:space="preserve"> </w:t>
      </w:r>
      <w:r>
        <w:t xml:space="preserve">because a workload happens to run on-network, in a CSP, or on a</w:t>
      </w:r>
      <w:r>
        <w:t xml:space="preserve"> </w:t>
      </w:r>
      <w:r>
        <w:t xml:space="preserve">virtualization hypervisor. If an agency’s Network, CSP, and VMware estates</w:t>
      </w:r>
      <w:r>
        <w:t xml:space="preserve"> </w:t>
      </w:r>
      <w:r>
        <w:t xml:space="preserve">each maintain independent asset inventories, independent naming, and</w:t>
      </w:r>
      <w:r>
        <w:t xml:space="preserve"> </w:t>
      </w:r>
      <w:r>
        <w:t xml:space="preserve">independent identity assertions, that infrastructure-agnostic policy logic</w:t>
      </w:r>
      <w:r>
        <w:t xml:space="preserve"> </w:t>
      </w:r>
      <w:r>
        <w:t xml:space="preserve">has nothing consistent to evaluate — the same physical workload can appear</w:t>
      </w:r>
      <w:r>
        <w:t xml:space="preserve"> </w:t>
      </w:r>
      <w:r>
        <w:t xml:space="preserve">as three different objects to three different assessors.</w:t>
      </w:r>
    </w:p>
    <w:p>
      <w:pPr>
        <w:pStyle w:val="BodyText"/>
      </w:pPr>
      <w:r>
        <w:rPr>
          <w:b/>
          <w:bCs/>
        </w:rPr>
        <w:t xml:space="preserve">The hypervisor case is not just a naming problem — it is a distinct threat</w:t>
      </w:r>
      <w:r>
        <w:rPr>
          <w:b/>
          <w:bCs/>
        </w:rPr>
        <w:t xml:space="preserve"> </w:t>
      </w:r>
      <w:r>
        <w:rPr>
          <w:b/>
          <w:bCs/>
        </w:rPr>
        <w:t xml:space="preserve">class.</w:t>
      </w:r>
      <w:r>
        <w:t xml:space="preserve"> </w:t>
      </w:r>
      <w:r>
        <w:t xml:space="preserve">As the incidents recapped in §1 show, ESXiArgs (CVE-2021-21974) and</w:t>
      </w:r>
      <w:r>
        <w:t xml:space="preserve"> </w:t>
      </w:r>
      <w:r>
        <w:t xml:space="preserve">the ESXi AD-integration bypass (CVE-2024-37085) both compromise a layer that</w:t>
      </w:r>
      <w:r>
        <w:t xml:space="preserve"> </w:t>
      </w:r>
      <w:r>
        <w:t xml:space="preserve">sits</w:t>
      </w:r>
      <w:r>
        <w:t xml:space="preserve"> </w:t>
      </w:r>
      <w:r>
        <w:rPr>
          <w:i/>
          <w:iCs/>
        </w:rPr>
        <w:t xml:space="preserve">beneath</w:t>
      </w:r>
      <w:r>
        <w:t xml:space="preserve"> </w:t>
      </w:r>
      <w:r>
        <w:t xml:space="preserve">every guest workload’s own telemetry: an attacker who</w:t>
      </w:r>
      <w:r>
        <w:t xml:space="preserve"> </w:t>
      </w:r>
      <w:r>
        <w:t xml:space="preserve">compromises ESXi or vCenter can encrypt or exfiltrate every VM on the host</w:t>
      </w:r>
      <w:r>
        <w:t xml:space="preserve"> </w:t>
      </w:r>
      <w:r>
        <w:t xml:space="preserve">without a single guest-OS-level EDR, identity, or network control ever</w:t>
      </w:r>
      <w:r>
        <w:t xml:space="preserve"> </w:t>
      </w:r>
      <w:r>
        <w:t xml:space="preserve">generating an alert, because none of them observe the hypervisor layer. This</w:t>
      </w:r>
      <w:r>
        <w:t xml:space="preserve"> </w:t>
      </w:r>
      <w:r>
        <w:t xml:space="preserve">has a direct implication for the</w:t>
      </w:r>
      <w:r>
        <w:t xml:space="preserve"> </w:t>
      </w:r>
      <w:r>
        <w:t xml:space="preserve">“resolve to the same identity plane”</w:t>
      </w:r>
      <w:r>
        <w:t xml:space="preserve"> </w:t>
      </w:r>
      <w:r>
        <w:t xml:space="preserve">principle above: vCenter’s Single Sign-On domain is frequently its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identity source, federated (if at all) into the agency’s broader identity</w:t>
      </w:r>
      <w:r>
        <w:t xml:space="preserve"> </w:t>
      </w:r>
      <w:r>
        <w:t xml:space="preserve">plane as a deliberate integration project with its own risk — CVE-2024-37085</w:t>
      </w:r>
      <w:r>
        <w:t xml:space="preserve"> </w:t>
      </w:r>
      <w:r>
        <w:t xml:space="preserve">is precisely a case where that federation (trusting an AD group by name) was</w:t>
      </w:r>
      <w:r>
        <w:t xml:space="preserve"> </w:t>
      </w:r>
      <w:r>
        <w:t xml:space="preserve">the exploited weakness, not a hardening the federation added. Unifying</w:t>
      </w:r>
      <w:r>
        <w:t xml:space="preserve"> </w:t>
      </w:r>
      <w:r>
        <w:t xml:space="preserve">VMware into the agency identity plane is the right target state; treating it</w:t>
      </w:r>
      <w:r>
        <w:t xml:space="preserve"> </w:t>
      </w:r>
      <w:r>
        <w:t xml:space="preserve">as already accomplished, or as a low-risk configuration change, is not.</w:t>
      </w:r>
    </w:p>
    <w:p>
      <w:pPr>
        <w:pStyle w:val="BodyText"/>
      </w:pPr>
      <w:r>
        <w:t xml:space="preserve">Three architectural facts a whole-agency program has to reconcile before</w:t>
      </w:r>
      <w:r>
        <w:t xml:space="preserve"> </w:t>
      </w:r>
      <w:r>
        <w:t xml:space="preserve">assessing: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authoritative asset inventory, not three.</w:t>
      </w:r>
      <w:r>
        <w:t xml:space="preserve"> </w:t>
      </w:r>
      <w:r>
        <w:t xml:space="preserve">NIST 800-53’s CM-8</w:t>
      </w:r>
      <w:r>
        <w:t xml:space="preserve"> </w:t>
      </w:r>
      <w:r>
        <w:t xml:space="preserve">(System Component Inventory) and CISA’s Binding Operational Directive 23-01</w:t>
      </w:r>
      <w:r>
        <w:t xml:space="preserve"> </w:t>
      </w:r>
      <w:r>
        <w:t xml:space="preserve">(asset and vulnerability visibility) both require a single, authoritative</w:t>
      </w:r>
      <w:r>
        <w:t xml:space="preserve"> </w:t>
      </w:r>
      <w:r>
        <w:t xml:space="preserve">accounting of what the agency operates — not</w:t>
      </w:r>
      <w:r>
        <w:t xml:space="preserve"> </w:t>
      </w:r>
      <w:r>
        <w:t xml:space="preserve">“the network team’s asset</w:t>
      </w:r>
      <w:r>
        <w:t xml:space="preserve"> </w:t>
      </w:r>
      <w:r>
        <w:t xml:space="preserve">list, the cloud team’s tag taxonomy, and the virtualization team’s</w:t>
      </w:r>
      <w:r>
        <w:t xml:space="preserve"> </w:t>
      </w:r>
      <w:r>
        <w:t xml:space="preserve">inventory, reconciled manually at audit time.”</w:t>
      </w:r>
      <w:r>
        <w:t xml:space="preserve"> </w:t>
      </w:r>
      <w:r>
        <w:t xml:space="preserve">Every CSP an agency</w:t>
      </w:r>
      <w:r>
        <w:t xml:space="preserve"> </w:t>
      </w:r>
      <w:r>
        <w:t xml:space="preserve">operates in, and any VMware or equivalent virtualization estate, has to</w:t>
      </w:r>
      <w:r>
        <w:t xml:space="preserve"> </w:t>
      </w:r>
      <w:r>
        <w:t xml:space="preserve">resolve to the same asset identity the network layer already tracks.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naming and address-resolution authority, not per-platform DNS/DHCP/IPAM.</w:t>
      </w:r>
      <w:r>
        <w:t xml:space="preserve"> </w:t>
      </w:r>
      <w:r>
        <w:t xml:space="preserve">NIST SC-20/21/22 (secure, resilient name and address resolution) apply the</w:t>
      </w:r>
      <w:r>
        <w:t xml:space="preserve"> </w:t>
      </w:r>
      <w:r>
        <w:t xml:space="preserve">same requirement regardless of whether a workload sits on-network, behind</w:t>
      </w:r>
      <w:r>
        <w:t xml:space="preserve"> </w:t>
      </w:r>
      <w:r>
        <w:t xml:space="preserve">a CSP’s native DNS, or on a virtualized overlay network. Per-platform</w:t>
      </w:r>
      <w:r>
        <w:t xml:space="preserve"> </w:t>
      </w:r>
      <w:r>
        <w:t xml:space="preserve">naming reconciled after the fact — rather than authoritative from a single</w:t>
      </w:r>
      <w:r>
        <w:t xml:space="preserve"> </w:t>
      </w:r>
      <w:r>
        <w:t xml:space="preserve">source before the fact — is exactly the</w:t>
      </w:r>
      <w:r>
        <w:t xml:space="preserve"> </w:t>
      </w:r>
      <w:r>
        <w:t xml:space="preserve">“solve it at audit time”</w:t>
      </w:r>
      <w:r>
        <w:t xml:space="preserve"> </w:t>
      </w:r>
      <w:r>
        <w:t xml:space="preserve">pattern</w:t>
      </w:r>
      <w:r>
        <w:t xml:space="preserve"> </w:t>
      </w:r>
      <w:r>
        <w:t xml:space="preserve">that produces reactive remediation instead of the continuous evidence the</w:t>
      </w:r>
      <w:r>
        <w:t xml:space="preserve"> </w:t>
      </w:r>
      <w:r>
        <w:t xml:space="preserve">companion paper’s Principle Three (§6) argues governance has to deliver.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VPN-perimeter thinking does not extend to any of the three.</w:t>
      </w:r>
      <w:r>
        <w:t xml:space="preserve"> </w:t>
      </w:r>
      <w:r>
        <w:t xml:space="preserve">A</w:t>
      </w:r>
      <w:r>
        <w:t xml:space="preserve"> </w:t>
      </w:r>
      <w:r>
        <w:t xml:space="preserve">site-to-site VPN, a CSP’s default virtual-network boundary, and a flat</w:t>
      </w:r>
      <w:r>
        <w:t xml:space="preserve"> </w:t>
      </w:r>
      <w:r>
        <w:t xml:space="preserve">virtualized network segment are, architecturally, the same mistake: each</w:t>
      </w:r>
      <w:r>
        <w:t xml:space="preserve"> </w:t>
      </w:r>
      <w:r>
        <w:t xml:space="preserve">extends implicit trust to everyone already inside a network boundary,</w:t>
      </w:r>
      <w:r>
        <w:t xml:space="preserve"> </w:t>
      </w:r>
      <w:r>
        <w:t xml:space="preserve">which is precisely what CISA’s ZTMM Networks pillar and NIST SP 800-207</w:t>
      </w:r>
      <w:r>
        <w:t xml:space="preserve"> </w:t>
      </w:r>
      <w:r>
        <w:t xml:space="preserve">both define Zero Trust against. Micro-segmentation and policy enforcement</w:t>
      </w:r>
      <w:r>
        <w:t xml:space="preserve"> </w:t>
      </w:r>
      <w:r>
        <w:t xml:space="preserve">have to apply identically whether the workload is on-premises, in any CSP,</w:t>
      </w:r>
      <w:r>
        <w:t xml:space="preserve"> </w:t>
      </w:r>
      <w:r>
        <w:t xml:space="preserve">or in a virtualized cluster — an agency that Zero-Trust-segments its cloud</w:t>
      </w:r>
      <w:r>
        <w:t xml:space="preserve"> </w:t>
      </w:r>
      <w:r>
        <w:t xml:space="preserve">workloads but leaves its on-premises virtualization estate on a flat,</w:t>
      </w:r>
      <w:r>
        <w:t xml:space="preserve"> </w:t>
      </w:r>
      <w:r>
        <w:t xml:space="preserve">VPN-reachable network has not solved the root issue; it has moved it.</w:t>
      </w:r>
    </w:p>
    <w:p>
      <w:pPr>
        <w:pStyle w:val="FirstParagraph"/>
      </w:pPr>
      <w:r>
        <w:rPr>
          <w:b/>
          <w:bCs/>
        </w:rPr>
        <w:t xml:space="preserve">A fourth fact the first three create and do not resolve on their own: the</w:t>
      </w:r>
      <w:r>
        <w:rPr>
          <w:b/>
          <w:bCs/>
        </w:rPr>
        <w:t xml:space="preserve"> </w:t>
      </w:r>
      <w:r>
        <w:rPr>
          <w:b/>
          <w:bCs/>
        </w:rPr>
        <w:t xml:space="preserve">unification layer itself becomes the highest-value target in the estate.</w:t>
      </w:r>
      <w:r>
        <w:t xml:space="preserve"> </w:t>
      </w:r>
      <w:r>
        <w:t xml:space="preserve">A</w:t>
      </w:r>
      <w:r>
        <w:t xml:space="preserve"> </w:t>
      </w:r>
      <w:r>
        <w:t xml:space="preserve">single authoritative Network + CSP + VMware naming/identity plane is, by</w:t>
      </w:r>
      <w:r>
        <w:t xml:space="preserve"> </w:t>
      </w:r>
      <w:r>
        <w:t xml:space="preserve">construction, a complete asset map of the agency’s entire attack surface and</w:t>
      </w:r>
      <w:r>
        <w:t xml:space="preserve"> </w:t>
      </w:r>
      <w:r>
        <w:t xml:space="preserve">— if it also carries reconciliation privileges across all three domains — a</w:t>
      </w:r>
      <w:r>
        <w:t xml:space="preserve"> </w:t>
      </w:r>
      <w:r>
        <w:t xml:space="preserve">privileged-access broker in its own right. An agency that builds this</w:t>
      </w:r>
      <w:r>
        <w:t xml:space="preserve"> </w:t>
      </w:r>
      <w:r>
        <w:t xml:space="preserve">unification and does not separately harden it has built the single most</w:t>
      </w:r>
      <w:r>
        <w:t xml:space="preserve"> </w:t>
      </w:r>
      <w:r>
        <w:t xml:space="preserve">attractive target in its own architecture and left it undefended. At</w:t>
      </w:r>
      <w:r>
        <w:t xml:space="preserve"> </w:t>
      </w:r>
      <w:r>
        <w:t xml:space="preserve">minimum, governance for the unification layer itself requires: its</w:t>
      </w:r>
      <w:r>
        <w:t xml:space="preserve"> </w:t>
      </w:r>
      <w:r>
        <w:t xml:space="preserve">administrative access treated under the privileged-identity controls the</w:t>
      </w:r>
      <w:r>
        <w:t xml:space="preserve"> </w:t>
      </w:r>
      <w:r>
        <w:t xml:space="preserve">companion paper’s Principle Two (§5) sets out (time-boxed, independently</w:t>
      </w:r>
      <w:r>
        <w:t xml:space="preserve"> </w:t>
      </w:r>
      <w:r>
        <w:t xml:space="preserve">verified, not standing); its own high-priority telemetry stream, monitored</w:t>
      </w:r>
      <w:r>
        <w:t xml:space="preserve"> </w:t>
      </w:r>
      <w:r>
        <w:t xml:space="preserve">distinctly from the domains it unifies; and a blast-radius design that</w:t>
      </w:r>
      <w:r>
        <w:t xml:space="preserve"> </w:t>
      </w:r>
      <w:r>
        <w:t xml:space="preserve">assumes the unification layer will eventually be targeted directly, not only</w:t>
      </w:r>
      <w:r>
        <w:t xml:space="preserve"> </w:t>
      </w:r>
      <w:r>
        <w:t xml:space="preserve">reached through one of the three domains it reconciles.</w:t>
      </w:r>
    </w:p>
    <w:p>
      <w:pPr>
        <w:pStyle w:val="BodyText"/>
      </w:pPr>
      <w:r>
        <w:t xml:space="preserve">(As the companion paper’s Principle Three notes about Binding Operational</w:t>
      </w:r>
      <w:r>
        <w:t xml:space="preserve"> </w:t>
      </w:r>
      <w:r>
        <w:t xml:space="preserve">Directive 25-01 (§6): BOD 25-01 is M365-specific and doesn’t itself extend to</w:t>
      </w:r>
      <w:r>
        <w:t xml:space="preserve"> </w:t>
      </w:r>
      <w:r>
        <w:t xml:space="preserve">CSPs, network, or VMware — this section’s argument rests on the</w:t>
      </w:r>
      <w:r>
        <w:t xml:space="preserve"> </w:t>
      </w:r>
      <w:r>
        <w:t xml:space="preserve">infrastructure-agnostic NIST 800-207/CM-8/SC-20-22 controls, not on the</w:t>
      </w:r>
      <w:r>
        <w:t xml:space="preserve"> </w:t>
      </w:r>
      <w:r>
        <w:t xml:space="preserve">directive’s legal scope.)</w:t>
      </w:r>
    </w:p>
    <w:p>
      <w:pPr>
        <w:pStyle w:val="BodyText"/>
      </w:pPr>
      <w:r>
        <w:rPr>
          <w:b/>
          <w:bCs/>
        </w:rPr>
        <w:t xml:space="preserve">The practical consequence:</w:t>
      </w:r>
      <w:r>
        <w:t xml:space="preserve"> </w:t>
      </w:r>
      <w:r>
        <w:t xml:space="preserve">an agency cannot honestly claim whole-agency</w:t>
      </w:r>
      <w:r>
        <w:t xml:space="preserve"> </w:t>
      </w:r>
      <w:r>
        <w:t xml:space="preserve">Zero Trust maturity by running a cloud-configuration assessor against its</w:t>
      </w:r>
      <w:r>
        <w:t xml:space="preserve"> </w:t>
      </w:r>
      <w:r>
        <w:t xml:space="preserve">CSPs, a separate posture scan against its network boundary, and a separate</w:t>
      </w:r>
      <w:r>
        <w:t xml:space="preserve"> </w:t>
      </w:r>
      <w:r>
        <w:t xml:space="preserve">hardening checklist against its VMware estate, then presenting three passing</w:t>
      </w:r>
      <w:r>
        <w:t xml:space="preserve"> </w:t>
      </w:r>
      <w:r>
        <w:t xml:space="preserve">reports as one score. Each report is real and each is useful — but</w:t>
      </w:r>
      <w:r>
        <w:t xml:space="preserve"> </w:t>
      </w:r>
      <w:r>
        <w:t xml:space="preserve">“whole</w:t>
      </w:r>
      <w:r>
        <w:t xml:space="preserve"> </w:t>
      </w:r>
      <w:r>
        <w:t xml:space="preserve">agency”</w:t>
      </w:r>
      <w:r>
        <w:t xml:space="preserve"> </w:t>
      </w:r>
      <w:r>
        <w:t xml:space="preserve">requires the identity and naming unification in points 1–3 above to</w:t>
      </w:r>
      <w:r>
        <w:t xml:space="preserve"> </w:t>
      </w:r>
      <w:r>
        <w:t xml:space="preserve">exist</w:t>
      </w:r>
      <w:r>
        <w:t xml:space="preserve"> </w:t>
      </w:r>
      <w:r>
        <w:rPr>
          <w:b/>
          <w:bCs/>
        </w:rPr>
        <w:t xml:space="preserve">first</w:t>
      </w:r>
      <w:r>
        <w:t xml:space="preserve">, so that the three assessments measure the same underlying</w:t>
      </w:r>
      <w:r>
        <w:t xml:space="preserve"> </w:t>
      </w:r>
      <w:r>
        <w:t xml:space="preserve">architecture rather than three architecturally disconnected estates that</w:t>
      </w:r>
      <w:r>
        <w:t xml:space="preserve"> </w:t>
      </w:r>
      <w:r>
        <w:t xml:space="preserve">happen to share a compliance deadline.</w:t>
      </w:r>
    </w:p>
    <w:bookmarkEnd w:id="18"/>
    <w:bookmarkStart w:id="19" w:name="X88657329c1fe3b478d62d1c9d561797148a275e"/>
    <w:p>
      <w:pPr>
        <w:pStyle w:val="Heading3"/>
      </w:pPr>
      <w:r>
        <w:t xml:space="preserve">3. A worked example: why even Microsoft’s own tools don’t add up to</w:t>
      </w:r>
      <w:r>
        <w:t xml:space="preserve"> </w:t>
      </w:r>
      <w:r>
        <w:t xml:space="preserve">“whole agency”</w:t>
      </w:r>
    </w:p>
    <w:p>
      <w:pPr>
        <w:pStyle w:val="FirstParagraph"/>
      </w:pPr>
      <w:r>
        <w:t xml:space="preserve">Two free, read-only Microsoft-ecosystem assessment tools illustrate the §2</w:t>
      </w:r>
      <w:r>
        <w:t xml:space="preserve"> </w:t>
      </w:r>
      <w:r>
        <w:t xml:space="preserve">principle concretely, because federal agencies routinely treat them as</w:t>
      </w:r>
      <w:r>
        <w:t xml:space="preserve"> </w:t>
      </w:r>
      <w:r>
        <w:t xml:space="preserve">interchangeable, or as together constituting full Zero Trust coverage — both</w:t>
      </w:r>
      <w:r>
        <w:t xml:space="preserve"> </w:t>
      </w:r>
      <w:r>
        <w:t xml:space="preserve">are mistakes, in opposite directions: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CISA SCuBA / ScubaGear</w:t>
            </w:r>
          </w:p>
        </w:tc>
        <w:tc>
          <w:tcPr/>
          <w:p>
            <w:pPr>
              <w:pStyle w:val="Compact"/>
            </w:pPr>
            <w:r>
              <w:t xml:space="preserve">Microsoft’s Zero Trust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Question it answers</w:t>
            </w:r>
          </w:p>
        </w:tc>
        <w:tc>
          <w:tcPr/>
          <w:p>
            <w:pPr>
              <w:pStyle w:val="Compact"/>
            </w:pPr>
            <w:r>
              <w:t xml:space="preserve">Compliance — is our M365 configuration aligned with the federal baseline?</w:t>
            </w:r>
          </w:p>
        </w:tc>
        <w:tc>
          <w:tcPr/>
          <w:p>
            <w:pPr>
              <w:pStyle w:val="Compact"/>
            </w:pPr>
            <w:r>
              <w:t xml:space="preserve">Maturity — how close is our environment to Zero Trust?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Federal mandate?</w:t>
            </w:r>
          </w:p>
        </w:tc>
        <w:tc>
          <w:tcPr/>
          <w:p>
            <w:pPr>
              <w:pStyle w:val="Compact"/>
            </w:pPr>
            <w:r>
              <w:t xml:space="preserve">Yes — BOD 25-01 requires deploying it against every in-scope M365 tenant, integrating with CISA’s continuous-monitoring feed, and remediating deviations</w:t>
            </w:r>
          </w:p>
        </w:tc>
        <w:tc>
          <w:tcPr/>
          <w:p>
            <w:pPr>
              <w:pStyle w:val="Compact"/>
            </w:pPr>
            <w:r>
              <w:t xml:space="preserve">No — it is Microsoft’s own guidance, not a federal directive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M365 workloads:</w:t>
            </w:r>
            <w:r>
              <w:t xml:space="preserve"> </w:t>
            </w:r>
            <w:r>
              <w:rPr>
                <w:b/>
                <w:bCs/>
              </w:rPr>
              <w:t xml:space="preserve">Entra ID</w:t>
            </w:r>
            <w:r>
              <w:t xml:space="preserve">, Exchange Online, Defender for Office 365, SharePoint/OneDrive, Teams, Power Platform,</w:t>
            </w:r>
            <w:r>
              <w:t xml:space="preserve"> </w:t>
            </w:r>
            <w:r>
              <w:rPr>
                <w:b/>
                <w:bCs/>
              </w:rPr>
              <w:t xml:space="preserve">Power BI</w:t>
            </w:r>
            <w:r>
              <w:t xml:space="preserve"> </w:t>
            </w:r>
            <w:r>
              <w:t xml:space="preserve">— and, since 10 Jul 2026,</w:t>
            </w:r>
            <w:r>
              <w:t xml:space="preserve"> </w:t>
            </w:r>
            <w:r>
              <w:rPr>
                <w:b/>
                <w:bCs/>
              </w:rPr>
              <w:t xml:space="preserve">Google Workspace</w:t>
            </w:r>
            <w:r>
              <w:t xml:space="preserve"> </w:t>
            </w:r>
            <w:r>
              <w:t xml:space="preserve">via ScubaGoggles</w:t>
            </w:r>
          </w:p>
        </w:tc>
        <w:tc>
          <w:tcPr/>
          <w:p>
            <w:pPr>
              <w:pStyle w:val="Compact"/>
            </w:pPr>
            <w:r>
              <w:t xml:space="preserve">Broader Microsoft cloud: Entra identity, Intune (devices), Azure, Microsoft Purview (data)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they overlap</w:t>
            </w:r>
          </w:p>
        </w:tc>
        <w:tc>
          <w:tcPr/>
          <w:p>
            <w:pPr>
              <w:pStyle w:val="Compact"/>
            </w:pPr>
            <w:r>
              <w:t xml:space="preserve">Almost entirely Entra identity — legacy authentication, MFA, Conditional Access, privileged-role hygiene, risky users</w:t>
            </w:r>
          </w:p>
        </w:tc>
        <w:tc>
          <w:tcPr/>
          <w:p>
            <w:pPr>
              <w:pStyle w:val="Compact"/>
            </w:pPr>
            <w:r>
              <w:t xml:space="preserve">Same identity surface, evaluated at greater depth than SCuBA’s prescriptive baseline</w:t>
            </w:r>
          </w:p>
        </w:tc>
      </w:tr>
    </w:tbl>
    <w:p>
      <w:pPr>
        <w:pStyle w:val="BodyText"/>
      </w:pPr>
      <w:r>
        <w:t xml:space="preserve">Outside identity the two barely touch the same ground: SCuBA owns Exchange,</w:t>
      </w:r>
      <w:r>
        <w:t xml:space="preserve"> </w:t>
      </w:r>
      <w:r>
        <w:t xml:space="preserve">Defender for Office 365, Teams, and Power Platform, none of which the Zero</w:t>
      </w:r>
      <w:r>
        <w:t xml:space="preserve"> </w:t>
      </w:r>
      <w:r>
        <w:t xml:space="preserve">Trust Assessment evaluates at all; the Zero Trust Assessment owns Intune</w:t>
      </w:r>
      <w:r>
        <w:t xml:space="preserve"> </w:t>
      </w:r>
      <w:r>
        <w:t xml:space="preserve">devices, Azure infrastructure, and Purview data, none of which SCuBA</w:t>
      </w:r>
      <w:r>
        <w:t xml:space="preserve"> </w:t>
      </w:r>
      <w:r>
        <w:t xml:space="preserve">evaluates. Running only one of the two leaves the other’s workloads</w:t>
      </w:r>
      <w:r>
        <w:t xml:space="preserve"> </w:t>
      </w:r>
      <w:r>
        <w:t xml:space="preserve">unassessed — dropping SCuBA because</w:t>
      </w:r>
      <w:r>
        <w:t xml:space="preserve"> </w:t>
      </w:r>
      <w:r>
        <w:t xml:space="preserve">“the Zero Trust Assessment covers</w:t>
      </w:r>
      <w:r>
        <w:t xml:space="preserve"> </w:t>
      </w:r>
      <w:r>
        <w:t xml:space="preserve">identity”</w:t>
      </w:r>
      <w:r>
        <w:t xml:space="preserve"> </w:t>
      </w:r>
      <w:r>
        <w:t xml:space="preserve">leaves Exchange, Teams, and Power Platform unassessed against the</w:t>
      </w:r>
      <w:r>
        <w:t xml:space="preserve"> </w:t>
      </w:r>
      <w:r>
        <w:t xml:space="preserve">federal baseline; dropping the Zero Trust Assessment because</w:t>
      </w:r>
      <w:r>
        <w:t xml:space="preserve"> </w:t>
      </w:r>
      <w:r>
        <w:t xml:space="preserve">“SCuBA already</w:t>
      </w:r>
      <w:r>
        <w:t xml:space="preserve"> </w:t>
      </w:r>
      <w:r>
        <w:t xml:space="preserve">runs”</w:t>
      </w:r>
      <w:r>
        <w:t xml:space="preserve"> </w:t>
      </w:r>
      <w:r>
        <w:t xml:space="preserve">leaves devices, Azure, and data entirely unmeasured.</w:t>
      </w:r>
    </w:p>
    <w:p>
      <w:pPr>
        <w:pStyle w:val="BodyText"/>
      </w:pPr>
      <w:r>
        <w:t xml:space="preserve">But running</w:t>
      </w:r>
      <w:r>
        <w:t xml:space="preserve"> </w:t>
      </w:r>
      <w:r>
        <w:rPr>
          <w:b/>
          <w:bCs/>
        </w:rPr>
        <w:t xml:space="preserve">both</w:t>
      </w:r>
      <w:r>
        <w:t xml:space="preserve">, fully, still does not produce a whole-agency Zero Trust</w:t>
      </w:r>
      <w:r>
        <w:t xml:space="preserve"> </w:t>
      </w:r>
      <w:r>
        <w:t xml:space="preserve">assessment — because both tools, however complementary, are scoped to one</w:t>
      </w:r>
      <w:r>
        <w:t xml:space="preserve"> </w:t>
      </w:r>
      <w:r>
        <w:t xml:space="preserve">vendor’s ecosystem. §2 already established why: Network, every CSP, and any</w:t>
      </w:r>
      <w:r>
        <w:t xml:space="preserve"> </w:t>
      </w:r>
      <w:r>
        <w:t xml:space="preserve">on-premises virtualization estate have to reconcile to one authoritative</w:t>
      </w:r>
      <w:r>
        <w:t xml:space="preserve"> </w:t>
      </w:r>
      <w:r>
        <w:t xml:space="preserve">naming/identity plane before an assessment score means the same thing across</w:t>
      </w:r>
      <w:r>
        <w:t xml:space="preserve"> </w:t>
      </w:r>
      <w:r>
        <w:t xml:space="preserve">them. The SCuBA/Zero-Trust-Assessment pair is the sharpest available</w:t>
      </w:r>
      <w:r>
        <w:t xml:space="preserve"> </w:t>
      </w:r>
      <w:r>
        <w:t xml:space="preserve">illustration of that principle inside a</w:t>
      </w:r>
      <w:r>
        <w:t xml:space="preserve"> </w:t>
      </w:r>
      <w:r>
        <w:rPr>
          <w:i/>
          <w:iCs/>
        </w:rPr>
        <w:t xml:space="preserve">single</w:t>
      </w:r>
      <w:r>
        <w:t xml:space="preserve"> </w:t>
      </w:r>
      <w:r>
        <w:t xml:space="preserve">vendor’s stack: even</w:t>
      </w:r>
      <w:r>
        <w:t xml:space="preserve"> </w:t>
      </w:r>
      <w:r>
        <w:t xml:space="preserve">Microsoft, which controls both tools, did not converge them into one</w:t>
      </w:r>
      <w:r>
        <w:t xml:space="preserve"> </w:t>
      </w:r>
      <w:r>
        <w:t xml:space="preserve">assessment, because a compliance-baseline check and a maturity assessment are</w:t>
      </w:r>
      <w:r>
        <w:t xml:space="preserve"> </w:t>
      </w:r>
      <w:r>
        <w:t xml:space="preserve">structurally different questions. Multiply that by every other CSP an agency</w:t>
      </w:r>
      <w:r>
        <w:t xml:space="preserve"> </w:t>
      </w:r>
      <w:r>
        <w:t xml:space="preserve">operates — each of which offers its own native posture and compliance</w:t>
      </w:r>
      <w:r>
        <w:t xml:space="preserve"> </w:t>
      </w:r>
      <w:r>
        <w:t xml:space="preserve">tooling — plus any on-premises virtualization estate, and</w:t>
      </w:r>
      <w:r>
        <w:t xml:space="preserve"> </w:t>
      </w:r>
      <w:r>
        <w:t xml:space="preserve">“run every vendor’s</w:t>
      </w:r>
      <w:r>
        <w:t xml:space="preserve"> </w:t>
      </w:r>
      <w:r>
        <w:t xml:space="preserve">native tool and call it whole-agency Zero Trust”</w:t>
      </w:r>
      <w:r>
        <w:t xml:space="preserve"> </w:t>
      </w:r>
      <w:r>
        <w:t xml:space="preserve">produces exactly as many</w:t>
      </w:r>
      <w:r>
        <w:t xml:space="preserve"> </w:t>
      </w:r>
      <w:r>
        <w:t xml:space="preserve">disconnected reports as there are vendors, not one agency-level answer.</w:t>
      </w:r>
    </w:p>
    <w:p>
      <w:pPr>
        <w:pStyle w:val="BodyText"/>
      </w:pPr>
      <w:r>
        <w:rPr>
          <w:b/>
          <w:bCs/>
        </w:rPr>
        <w:t xml:space="preserve">The governance principle this reinforces: agency-level Zero Trust ownership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delegated to any single CSP’s assessment tool, no matter how good</w:t>
      </w:r>
      <w:r>
        <w:rPr>
          <w:b/>
          <w:bCs/>
        </w:rPr>
        <w:t xml:space="preserve"> </w:t>
      </w:r>
      <w:r>
        <w:rPr>
          <w:b/>
          <w:bCs/>
        </w:rPr>
        <w:t xml:space="preserve">that tool is.</w:t>
      </w:r>
      <w:r>
        <w:t xml:space="preserve"> </w:t>
      </w:r>
      <w:r>
        <w:t xml:space="preserve">A CSP assessing its own platform is necessarily scoped to its</w:t>
      </w:r>
      <w:r>
        <w:t xml:space="preserve"> </w:t>
      </w:r>
      <w:r>
        <w:t xml:space="preserve">own platform; it has no visibility into, and no structural incentive to</w:t>
      </w:r>
      <w:r>
        <w:t xml:space="preserve"> </w:t>
      </w:r>
      <w:r>
        <w:t xml:space="preserve">reconcile against, the other CSPs, the network layer, or the virtualization</w:t>
      </w:r>
      <w:r>
        <w:t xml:space="preserve"> </w:t>
      </w:r>
      <w:r>
        <w:t xml:space="preserve">estate the agency also runs. The agency — not any vendor — is the only party</w:t>
      </w:r>
      <w:r>
        <w:t xml:space="preserve"> </w:t>
      </w:r>
      <w:r>
        <w:t xml:space="preserve">positioned to hold one Zero Trust posture across all of them, which is</w:t>
      </w:r>
      <w:r>
        <w:t xml:space="preserve"> </w:t>
      </w:r>
      <w:r>
        <w:t xml:space="preserve">exactly the reconciliation work §2 describes and no per-CSP tool can</w:t>
      </w:r>
      <w:r>
        <w:t xml:space="preserve"> </w:t>
      </w:r>
      <w:r>
        <w:t xml:space="preserve">substitute for.</w:t>
      </w:r>
    </w:p>
    <w:p>
      <w:pPr>
        <w:pStyle w:val="BodyText"/>
      </w:pPr>
      <w:r>
        <w:t xml:space="preserve">Practical guidance for the specific SCuBA / Zero Trust Assessment case: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Keep ScubaGear for BOD-25-01</w:t>
      </w:r>
      <w:r>
        <w:t xml:space="preserve"> </w:t>
      </w:r>
      <w:r>
        <w:t xml:space="preserve">— it is the tool the directive actually</w:t>
      </w:r>
      <w:r>
        <w:t xml:space="preserve"> </w:t>
      </w:r>
      <w:r>
        <w:t xml:space="preserve">names, including the M365 workloads the Zero Trust Assessment does not</w:t>
      </w:r>
      <w:r>
        <w:t xml:space="preserve"> </w:t>
      </w:r>
      <w:r>
        <w:t xml:space="preserve">touch.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Add the Zero Trust Assessment for maturity breadth</w:t>
      </w:r>
      <w:r>
        <w:t xml:space="preserve"> </w:t>
      </w:r>
      <w:r>
        <w:t xml:space="preserve">across Intune,</w:t>
      </w:r>
      <w:r>
        <w:t xml:space="preserve"> </w:t>
      </w:r>
      <w:r>
        <w:t xml:space="preserve">Azure, and Purview — surfaces SCuBA’s baseline does not reach.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Reconcile both at the control level</w:t>
      </w:r>
      <w:r>
        <w:t xml:space="preserve"> </w:t>
      </w:r>
      <w:r>
        <w:t xml:space="preserve">(NIST SP 800-53 / FedRAMP</w:t>
      </w:r>
      <w:r>
        <w:t xml:space="preserve"> </w:t>
      </w:r>
      <w:r>
        <w:t xml:space="preserve">Moderate) rather than expecting either tool’s output to substitute for the</w:t>
      </w:r>
      <w:r>
        <w:t xml:space="preserve"> </w:t>
      </w:r>
      <w:r>
        <w:t xml:space="preserve">other’s; they use different finding identifiers and severity models.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One federal caveat:</w:t>
      </w:r>
      <w:r>
        <w:t xml:space="preserve"> </w:t>
      </w:r>
      <w:r>
        <w:t xml:space="preserve">in a GCC-class tenant, feature availability</w:t>
      </w:r>
      <w:r>
        <w:t xml:space="preserve"> </w:t>
      </w:r>
      <w:r>
        <w:t xml:space="preserve">narrows — the companion paper’s Principle Five (§8) covers modeling the</w:t>
      </w:r>
      <w:r>
        <w:t xml:space="preserve"> </w:t>
      </w:r>
      <w:r>
        <w:t xml:space="preserve">federal cloud boundary explicitly — so a Zero Trust Assessment run there</w:t>
      </w:r>
      <w:r>
        <w:t xml:space="preserve"> </w:t>
      </w:r>
      <w:r>
        <w:t xml:space="preserve">is structurally capped in what it can even measure for Identity, Devices,</w:t>
      </w:r>
      <w:r>
        <w:t xml:space="preserve"> </w:t>
      </w:r>
      <w:r>
        <w:t xml:space="preserve">and Networks without agency-built analytics on top, worth knowing before</w:t>
      </w:r>
      <w:r>
        <w:t xml:space="preserve"> </w:t>
      </w:r>
      <w:r>
        <w:t xml:space="preserve">treating its score as definitive.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None of this — for Microsoft’s ecosystem or any other CSP’s — substitutes</w:t>
      </w:r>
      <w:r>
        <w:rPr>
          <w:b/>
          <w:bCs/>
        </w:rPr>
        <w:t xml:space="preserve"> </w:t>
      </w:r>
      <w:r>
        <w:rPr>
          <w:b/>
          <w:bCs/>
        </w:rPr>
        <w:t xml:space="preserve">for the agency-level reconciliation in §2 above.</w:t>
      </w:r>
      <w:r>
        <w:t xml:space="preserve"> </w:t>
      </w:r>
      <w:r>
        <w:t xml:space="preserve">Two well-run Microsoft</w:t>
      </w:r>
      <w:r>
        <w:t xml:space="preserve"> </w:t>
      </w:r>
      <w:r>
        <w:t xml:space="preserve">tools are still a Microsoft-scoped answer, not an agency-wide one.</w:t>
      </w:r>
    </w:p>
    <w:bookmarkEnd w:id="19"/>
    <w:bookmarkStart w:id="20" w:name="conclusion"/>
    <w:p>
      <w:pPr>
        <w:pStyle w:val="Heading3"/>
      </w:pPr>
      <w:r>
        <w:t xml:space="preserve">4. Conclusion</w:t>
      </w:r>
    </w:p>
    <w:p>
      <w:pPr>
        <w:pStyle w:val="FirstParagraph"/>
      </w:pPr>
      <w:r>
        <w:t xml:space="preserve">A whole-agency Zero Trust score is only as real as the architecture behind</w:t>
      </w:r>
      <w:r>
        <w:t xml:space="preserve"> </w:t>
      </w:r>
      <w:r>
        <w:t xml:space="preserve">it. Network, every CSP an agency operates, and any on-premises virtualization</w:t>
      </w:r>
      <w:r>
        <w:t xml:space="preserve"> </w:t>
      </w:r>
      <w:r>
        <w:t xml:space="preserve">estate have to resolve against one authoritative naming and identity plane</w:t>
      </w:r>
      <w:r>
        <w:t xml:space="preserve"> </w:t>
      </w:r>
      <w:r>
        <w:t xml:space="preserve">before three separate assessments can be added together and mean anything as</w:t>
      </w:r>
      <w:r>
        <w:t xml:space="preserve"> </w:t>
      </w:r>
      <w:r>
        <w:t xml:space="preserve">a single number — and once that unification exists, it is itself the</w:t>
      </w:r>
      <w:r>
        <w:t xml:space="preserve"> </w:t>
      </w:r>
      <w:r>
        <w:t xml:space="preserve">highest-value target in the estate and has to be governed accordingly. The</w:t>
      </w:r>
      <w:r>
        <w:t xml:space="preserve"> </w:t>
      </w:r>
      <w:r>
        <w:t xml:space="preserve">Microsoft SCuBA / Zero Trust Assessment worked example makes the point</w:t>
      </w:r>
      <w:r>
        <w:t xml:space="preserve"> </w:t>
      </w:r>
      <w:r>
        <w:t xml:space="preserve">concrete in miniature: even inside one vendor’s own ecosystem, two</w:t>
      </w:r>
      <w:r>
        <w:t xml:space="preserve"> </w:t>
      </w:r>
      <w:r>
        <w:t xml:space="preserve">well-built, complementary, free assessment tools do not converge into a</w:t>
      </w:r>
      <w:r>
        <w:t xml:space="preserve"> </w:t>
      </w:r>
      <w:r>
        <w:t xml:space="preserve">whole-agency answer, because neither was built to see past its own platform.</w:t>
      </w:r>
      <w:r>
        <w:t xml:space="preserve"> </w:t>
      </w:r>
      <w:r>
        <w:t xml:space="preserve">No CSP’s native tool — however good — is scoped to do that, and none ever</w:t>
      </w:r>
      <w:r>
        <w:t xml:space="preserve"> </w:t>
      </w:r>
      <w:r>
        <w:t xml:space="preserve">will be, because reconciling across CSPs, the network layer, and a</w:t>
      </w:r>
      <w:r>
        <w:t xml:space="preserve"> </w:t>
      </w:r>
      <w:r>
        <w:t xml:space="preserve">virtualization estate is definitionally an agency-level responsibility, not</w:t>
      </w:r>
      <w:r>
        <w:t xml:space="preserve"> </w:t>
      </w:r>
      <w:r>
        <w:t xml:space="preserve">a vendor one. Horse before the cart: unify Network, CSPs, and VMware into one</w:t>
      </w:r>
      <w:r>
        <w:t xml:space="preserve"> </w:t>
      </w:r>
      <w:r>
        <w:t xml:space="preserve">governed architecture first, and let assessment confirm it — not the other</w:t>
      </w:r>
      <w:r>
        <w:t xml:space="preserve"> </w:t>
      </w:r>
      <w:r>
        <w:t xml:space="preserve">way around. The governance principles for doing that unification work, and</w:t>
      </w:r>
      <w:r>
        <w:t xml:space="preserve"> </w:t>
      </w:r>
      <w:r>
        <w:t xml:space="preserve">for hardening what it creates, are the subject of the companion paper,</w:t>
      </w:r>
      <w:r>
        <w:t xml:space="preserve"> </w:t>
      </w:r>
      <w:hyperlink r:id="rId12">
        <w:r>
          <w:rPr>
            <w:rStyle w:val="Hyperlink"/>
            <w:i/>
            <w:iCs/>
          </w:rPr>
          <w:t xml:space="preserve">Zero</w:t>
        </w:r>
        <w:r>
          <w:rPr>
            <w:rStyle w:val="Hyperlink"/>
            <w:i/>
            <w:iCs/>
          </w:rPr>
          <w:t xml:space="preserve"> </w:t>
        </w:r>
        <w:r>
          <w:rPr>
            <w:rStyle w:val="Hyperlink"/>
            <w:i/>
            <w:iCs/>
          </w:rPr>
          <w:t xml:space="preserve">Trust Governance Principles</w:t>
        </w:r>
      </w:hyperlink>
      <w:r>
        <w:t xml:space="preserve">.</w:t>
      </w:r>
    </w:p>
    <w:bookmarkEnd w:id="20"/>
    <w:bookmarkStart w:id="25" w:name="sources"/>
    <w:p>
      <w:pPr>
        <w:pStyle w:val="Heading3"/>
      </w:pPr>
      <w:r>
        <w:t xml:space="preserve">Sources</w:t>
      </w:r>
    </w:p>
    <w:p>
      <w:pPr>
        <w:pStyle w:val="Compact"/>
        <w:numPr>
          <w:ilvl w:val="0"/>
          <w:numId w:val="1003"/>
        </w:numPr>
      </w:pPr>
      <w:r>
        <w:t xml:space="preserve">CISA,</w:t>
      </w:r>
      <w:r>
        <w:t xml:space="preserve"> </w:t>
      </w:r>
      <w:hyperlink r:id="rId21">
        <w:r>
          <w:rPr>
            <w:rStyle w:val="Hyperlink"/>
          </w:rPr>
          <w:t xml:space="preserve">Zero Trust Maturity Model v2.0</w:t>
        </w:r>
      </w:hyperlink>
    </w:p>
    <w:p>
      <w:pPr>
        <w:pStyle w:val="Compact"/>
        <w:numPr>
          <w:ilvl w:val="0"/>
          <w:numId w:val="1003"/>
        </w:numPr>
      </w:pPr>
      <w:r>
        <w:t xml:space="preserve">NIST SP 800-207,</w:t>
      </w:r>
      <w:r>
        <w:t xml:space="preserve"> </w:t>
      </w:r>
      <w:r>
        <w:rPr>
          <w:i/>
          <w:iCs/>
        </w:rPr>
        <w:t xml:space="preserve">Zero Trust Architecture</w:t>
      </w:r>
    </w:p>
    <w:p>
      <w:pPr>
        <w:pStyle w:val="Compact"/>
        <w:numPr>
          <w:ilvl w:val="0"/>
          <w:numId w:val="1003"/>
        </w:numPr>
      </w:pPr>
      <w:r>
        <w:t xml:space="preserve">NIST SP 800-53 Rev 5, controls CM-8 (System Component Inventory), SC-20/21/22 (Secure Name/Address Resolution)</w:t>
      </w:r>
    </w:p>
    <w:p>
      <w:pPr>
        <w:pStyle w:val="Compact"/>
        <w:numPr>
          <w:ilvl w:val="0"/>
          <w:numId w:val="1003"/>
        </w:numPr>
      </w:pPr>
      <w:r>
        <w:t xml:space="preserve">CISA,</w:t>
      </w:r>
      <w:r>
        <w:t xml:space="preserve"> </w:t>
      </w:r>
      <w:hyperlink r:id="rId22">
        <w:r>
          <w:rPr>
            <w:rStyle w:val="Hyperlink"/>
          </w:rPr>
          <w:t xml:space="preserve">Binding Operational Directive 25-01</w:t>
        </w:r>
      </w:hyperlink>
      <w:r>
        <w:t xml:space="preserve">,</w:t>
      </w:r>
      <w:r>
        <w:t xml:space="preserve"> </w:t>
      </w:r>
      <w:r>
        <w:rPr>
          <w:i/>
          <w:iCs/>
        </w:rPr>
        <w:t xml:space="preserve">Implementing Secure Practices for Cloud Services</w:t>
      </w:r>
    </w:p>
    <w:p>
      <w:pPr>
        <w:pStyle w:val="Compact"/>
        <w:numPr>
          <w:ilvl w:val="0"/>
          <w:numId w:val="1003"/>
        </w:numPr>
      </w:pPr>
      <w:r>
        <w:t xml:space="preserve">CISA, Binding Operational Directive 23-01,</w:t>
      </w:r>
      <w:r>
        <w:t xml:space="preserve"> </w:t>
      </w:r>
      <w:r>
        <w:rPr>
          <w:i/>
          <w:iCs/>
        </w:rPr>
        <w:t xml:space="preserve">Improving Asset Visibility and Vulnerability Detection on Federal Networks</w:t>
      </w:r>
    </w:p>
    <w:p>
      <w:pPr>
        <w:pStyle w:val="Compact"/>
        <w:numPr>
          <w:ilvl w:val="0"/>
          <w:numId w:val="1003"/>
        </w:numPr>
      </w:pPr>
      <w:r>
        <w:t xml:space="preserve">Microsoft,</w:t>
      </w:r>
      <w:r>
        <w:t xml:space="preserve"> </w:t>
      </w:r>
      <w:hyperlink r:id="rId23">
        <w:r>
          <w:rPr>
            <w:rStyle w:val="Hyperlink"/>
          </w:rPr>
          <w:t xml:space="preserve">Office 365 GCC service description</w:t>
        </w:r>
      </w:hyperlink>
    </w:p>
    <w:p>
      <w:pPr>
        <w:pStyle w:val="Compact"/>
        <w:numPr>
          <w:ilvl w:val="0"/>
          <w:numId w:val="1003"/>
        </w:numPr>
      </w:pPr>
      <w:r>
        <w:t xml:space="preserve">Microsoft Security Response Center,</w:t>
      </w:r>
      <w:r>
        <w:t xml:space="preserve"> </w:t>
      </w:r>
      <w:hyperlink r:id="rId24">
        <w:r>
          <w:rPr>
            <w:rStyle w:val="Hyperlink"/>
          </w:rPr>
          <w:t xml:space="preserve">Analysis of Storm-0558 techniques for unauthorized email access</w:t>
        </w:r>
      </w:hyperlink>
      <w:r>
        <w:t xml:space="preserve"> </w:t>
      </w:r>
      <w:r>
        <w:t xml:space="preserve">(July 2023)</w:t>
      </w:r>
    </w:p>
    <w:p>
      <w:pPr>
        <w:pStyle w:val="Compact"/>
        <w:numPr>
          <w:ilvl w:val="0"/>
          <w:numId w:val="1003"/>
        </w:numPr>
      </w:pPr>
      <w:r>
        <w:t xml:space="preserve">U.S. Department of Homeland Security, Cyber Safety Review Board, review of the summer 2023 Microsoft Exchange Online intrusion (2024)</w:t>
      </w:r>
    </w:p>
    <w:p>
      <w:pPr>
        <w:pStyle w:val="Compact"/>
        <w:numPr>
          <w:ilvl w:val="0"/>
          <w:numId w:val="1003"/>
        </w:numPr>
      </w:pPr>
      <w:r>
        <w:t xml:space="preserve">CISA and FBI, joint advisory on the ESXiArgs ransomware campaign exploiting CVE-2021-21974 (February 2023)</w:t>
      </w:r>
    </w:p>
    <w:p>
      <w:pPr>
        <w:pStyle w:val="Compact"/>
        <w:numPr>
          <w:ilvl w:val="0"/>
          <w:numId w:val="1003"/>
        </w:numPr>
      </w:pPr>
      <w:r>
        <w:t xml:space="preserve">Reporting on VMware ESXi authentication-bypass CVE-2024-37085 exploited by ransomware operators (July 2024)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hyperlink" Id="rId23" Target="https://learn.microsoft.com/en-us/office365/servicedescriptions/office-365-platform-service-description/office-365-us-government/gcc" TargetMode="External" /><Relationship Type="http://schemas.openxmlformats.org/officeDocument/2006/relationships/hyperlink" Id="rId22" Target="https://www.cisa.gov/news-events/directives/bod-25-01-implementing-secure-practices-cloud-services" TargetMode="External" /><Relationship Type="http://schemas.openxmlformats.org/officeDocument/2006/relationships/hyperlink" Id="rId21" Target="https://www.cisa.gov/zero-trust-maturity-model" TargetMode="External" /><Relationship Type="http://schemas.openxmlformats.org/officeDocument/2006/relationships/hyperlink" Id="rId24" Target="https://www.microsoft.com/en-us/security/blog/2023/07/14/analysis-of-storm-0558-techniques-for-unauthorized-email-access/" TargetMode="External" /><Relationship Type="http://schemas.openxmlformats.org/officeDocument/2006/relationships/hyperlink" Id="rId12" Target="zero-trust-governance-principle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learn.microsoft.com/en-us/office365/servicedescriptions/office-365-platform-service-description/office-365-us-government/gcc" TargetMode="External" /><Relationship Type="http://schemas.openxmlformats.org/officeDocument/2006/relationships/hyperlink" Id="rId22" Target="https://www.cisa.gov/news-events/directives/bod-25-01-implementing-secure-practices-cloud-services" TargetMode="External" /><Relationship Type="http://schemas.openxmlformats.org/officeDocument/2006/relationships/hyperlink" Id="rId21" Target="https://www.cisa.gov/zero-trust-maturity-model" TargetMode="External" /><Relationship Type="http://schemas.openxmlformats.org/officeDocument/2006/relationships/hyperlink" Id="rId24" Target="https://www.microsoft.com/en-us/security/blog/2023/07/14/analysis-of-storm-0558-techniques-for-unauthorized-email-access/" TargetMode="External" /><Relationship Type="http://schemas.openxmlformats.org/officeDocument/2006/relationships/hyperlink" Id="rId12" Target="zero-trust-governance-principle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 Trust Requires Whole-Agency Scope — Network, CSPs, and VMware as One System</dc:title>
  <dc:creator>Michael Stratton</dc:creator>
  <cp:keywords/>
  <dcterms:created xsi:type="dcterms:W3CDTF">2026-10-19T10:12:00Z</dcterms:created>
  <dcterms:modified xsi:type="dcterms:W3CDTF">2026-10-19T10:12:00Z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reated-at">
    <vt:lpwstr>2026-08-03</vt:lpwstr>
  </property>
  <property fmtid="{D5CDD505-2E9C-101B-9397-08002B2CF9AE}" pid="7" name="date">
    <vt:lpwstr>2026-08-01</vt:lpwstr>
  </property>
  <property fmtid="{D5CDD505-2E9C-101B-9397-08002B2CF9AE}" pid="8" name="derived-from">
    <vt:lpwstr>Extracted from zero-trust-governance-principles.qmd §9-10 (2026-08-03) to give the whole-agency-scope argument and worked example room to stand alone.</vt:lpwstr>
  </property>
  <property fmtid="{D5CDD505-2E9C-101B-9397-08002B2CF9AE}" pid="9" name="doc-type">
    <vt:lpwstr>whitepaper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fecycle">
    <vt:lpwstr>adopted</vt:lpwstr>
  </property>
  <property fmtid="{D5CDD505-2E9C-101B-9397-08002B2CF9AE}" pid="15" name="lifecycle_review">
    <vt:lpwstr>2027-02-03</vt:lpwstr>
  </property>
  <property fmtid="{D5CDD505-2E9C-101B-9397-08002B2CF9AE}" pid="16" name="repo-path">
    <vt:lpwstr>docs/customer-documents/whitepapers/zero-trust-whole-agency-unification.qmd</vt:lpwstr>
  </property>
  <property fmtid="{D5CDD505-2E9C-101B-9397-08002B2CF9AE}" pid="17" name="status">
    <vt:lpwstr>Active</vt:lpwstr>
  </property>
  <property fmtid="{D5CDD505-2E9C-101B-9397-08002B2CF9AE}" pid="18" name="subtitle">
    <vt:lpwstr>Why a whole-agency Zero Trust score requires one naming and identity plane across Network, every CSP, and VMware — and why even Microsoft’s own assessment tools, run together, don’t add up to whole-agency coverage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2026-09-16</vt:lpwstr>
  </property>
  <property fmtid="{D5CDD505-2E9C-101B-9397-08002B2CF9AE}" pid="22" name="version">
    <vt:lpwstr>1.1</vt:lpwstr>
  </property>
</Properties>
</file>