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Microsoft Zero Trust Assessment and CISA SCuBA — How They Relate</w:t>
      </w:r>
    </w:p>
    <w:p>
      <w:pPr>
        <w:pStyle w:val="Subtitle"/>
      </w:pPr>
      <w:r>
        <w:t xml:space="preserve">Two read-only posture assessments, where they overlap, and how to use them together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Agencies run two free, read-only assessments of their Microsoft</w:t>
            </w:r>
            <w:r>
              <w:t xml:space="preserve"> </w:t>
            </w:r>
            <w:r>
              <w:t xml:space="preserve">cloud — CISA ScubaGear (a</w:t>
            </w:r>
            <w:r>
              <w:t xml:space="preserve"> </w:t>
            </w:r>
            <w:r>
              <w:rPr>
                <w:i/>
                <w:iCs/>
              </w:rPr>
              <w:t xml:space="preserve">compliance</w:t>
            </w:r>
            <w:r>
              <w:t xml:space="preserve"> </w:t>
            </w:r>
            <w:r>
              <w:t xml:space="preserve">question, driven by BOD 25-01) and</w:t>
            </w:r>
            <w:r>
              <w:t xml:space="preserve"> </w:t>
            </w:r>
            <w:r>
              <w:t xml:space="preserve">Microsoft’s Zero Trust Assessment (a</w:t>
            </w:r>
            <w:r>
              <w:t xml:space="preserve"> </w:t>
            </w:r>
            <w:r>
              <w:rPr>
                <w:i/>
                <w:iCs/>
              </w:rPr>
              <w:t xml:space="preserve">maturity</w:t>
            </w:r>
            <w:r>
              <w:t xml:space="preserve"> </w:t>
            </w:r>
            <w:r>
              <w:t xml:space="preserve">question) — and routinely ask</w:t>
            </w:r>
            <w:r>
              <w:t xml:space="preserve"> </w:t>
            </w:r>
            <w:r>
              <w:t xml:space="preserve">whether they need both, or drop one because</w:t>
            </w:r>
            <w:r>
              <w:t xml:space="preserve"> </w:t>
            </w:r>
            <w:r>
              <w:t xml:space="preserve">“it covers identity.”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They are complementary, not redundant: they intersect almost</w:t>
            </w:r>
            <w:r>
              <w:t xml:space="preserve"> </w:t>
            </w:r>
            <w:r>
              <w:t xml:space="preserve">entirely on Entra identity and barely anywhere else. SCuBA holds Exchange,</w:t>
            </w:r>
            <w:r>
              <w:t xml:space="preserve"> </w:t>
            </w:r>
            <w:r>
              <w:t xml:space="preserve">Teams, and Power Platform baselines the Zero Trust Assessment never touches;</w:t>
            </w:r>
            <w:r>
              <w:t xml:space="preserve"> </w:t>
            </w:r>
            <w:r>
              <w:t xml:space="preserve">the Zero Trust Assessment covers Intune devices, Azure infrastructure, and</w:t>
            </w:r>
            <w:r>
              <w:t xml:space="preserve"> </w:t>
            </w:r>
            <w:r>
              <w:t xml:space="preserve">Purview data that SCuBA does not assess. Run both, and reconcile at the</w:t>
            </w:r>
            <w:r>
              <w:t xml:space="preserve"> </w:t>
            </w:r>
            <w:r>
              <w:t xml:space="preserve">control level (NIST 800-53 / FedRAMP Moderate), not tool to tool.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Keep ScubaGear for BOD 25-01, add the Zero Trust Assessment for</w:t>
            </w:r>
            <w:r>
              <w:t xml:space="preserve"> </w:t>
            </w:r>
            <w:r>
              <w:t xml:space="preserve">breadth, line both up against a common control spine, treat all output as</w:t>
            </w:r>
            <w:r>
              <w:t xml:space="preserve"> </w:t>
            </w:r>
            <w:r>
              <w:t xml:space="preserve">Controlled and keep it in-boundary — and run</w:t>
            </w:r>
            <w:r>
              <w:t xml:space="preserve"> </w:t>
            </w:r>
            <w:r>
              <w:rPr>
                <w:rStyle w:val="VerbatimChar"/>
              </w:rPr>
              <w:t xml:space="preserve">fmp zta overlap</w:t>
            </w:r>
            <w:r>
              <w:t xml:space="preserve"> </w:t>
            </w:r>
            <w:r>
              <w:t xml:space="preserve">against your</w:t>
            </w:r>
            <w:r>
              <w:t xml:space="preserve"> </w:t>
            </w:r>
            <w:r>
              <w:t xml:space="preserve">own report to replace this paper’s illustrative split with your tenant’s.</w:t>
            </w:r>
          </w:p>
          <w:p/>
        </w:tc>
      </w:tr>
    </w:tbl>
    <w:bookmarkStart w:id="15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Two free, read-only assessment tools evaluate the security posture of a Microsoft</w:t>
      </w:r>
      <w:r>
        <w:t xml:space="preserve"> </w:t>
      </w:r>
      <w:r>
        <w:t xml:space="preserve">cloud tenant, and agencies routinely ask whether they need both: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CISA SCuBA / ScubaGear</w:t>
      </w:r>
      <w:r>
        <w:t xml:space="preserve"> </w:t>
      </w:r>
      <w:r>
        <w:t xml:space="preserve">— checks Microsoft 365 against CISA’s</w:t>
      </w:r>
      <w:r>
        <w:t xml:space="preserve"> </w:t>
      </w:r>
      <w:r>
        <w:rPr>
          <w:i/>
          <w:iCs/>
        </w:rPr>
        <w:t xml:space="preserve">Secure Cloud</w:t>
      </w:r>
      <w:r>
        <w:rPr>
          <w:i/>
          <w:iCs/>
        </w:rPr>
        <w:t xml:space="preserve"> </w:t>
      </w:r>
      <w:r>
        <w:rPr>
          <w:i/>
          <w:iCs/>
        </w:rPr>
        <w:t xml:space="preserve">Business Applications</w:t>
      </w:r>
      <w:r>
        <w:t xml:space="preserve"> </w:t>
      </w:r>
      <w:r>
        <w:t xml:space="preserve">baselines. It answers a</w:t>
      </w:r>
      <w:r>
        <w:t xml:space="preserve"> </w:t>
      </w:r>
      <w:r>
        <w:rPr>
          <w:b/>
          <w:bCs/>
        </w:rPr>
        <w:t xml:space="preserve">compliance</w:t>
      </w:r>
      <w:r>
        <w:t xml:space="preserve"> </w:t>
      </w:r>
      <w:r>
        <w:t xml:space="preserve">question:</w:t>
      </w:r>
      <w:r>
        <w:t xml:space="preserve"> </w:t>
      </w:r>
      <w:r>
        <w:rPr>
          <w:i/>
          <w:iCs/>
        </w:rPr>
        <w:t xml:space="preserve">is our</w:t>
      </w:r>
      <w:r>
        <w:rPr>
          <w:i/>
          <w:iCs/>
        </w:rPr>
        <w:t xml:space="preserve"> </w:t>
      </w:r>
      <w:r>
        <w:rPr>
          <w:i/>
          <w:iCs/>
        </w:rPr>
        <w:t xml:space="preserve">M365 configuration aligned with the federal baseline?</w:t>
      </w:r>
      <w:r>
        <w:t xml:space="preserve"> </w:t>
      </w:r>
      <w:r>
        <w:t xml:space="preserve">(relevant to</w:t>
      </w:r>
      <w:r>
        <w:t xml:space="preserve"> </w:t>
      </w:r>
      <w:r>
        <w:rPr>
          <w:b/>
          <w:bCs/>
        </w:rPr>
        <w:t xml:space="preserve">BOD</w:t>
      </w:r>
      <w:r>
        <w:rPr>
          <w:b/>
          <w:bCs/>
        </w:rPr>
        <w:t xml:space="preserve"> </w:t>
      </w:r>
      <w:r>
        <w:rPr>
          <w:b/>
          <w:bCs/>
        </w:rPr>
        <w:t xml:space="preserve">25-01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Microsoft Zero Trust Assessment</w:t>
      </w:r>
      <w:r>
        <w:t xml:space="preserve"> </w:t>
      </w:r>
      <w:r>
        <w:t xml:space="preserve">— checks the broader Microsoft cloud</w:t>
      </w:r>
      <w:r>
        <w:t xml:space="preserve"> </w:t>
      </w:r>
      <w:r>
        <w:t xml:space="preserve">(Entra, Intune, Azure, Purview) against Microsoft’s Secure Future Initiative</w:t>
      </w:r>
      <w:r>
        <w:t xml:space="preserve"> </w:t>
      </w:r>
      <w:r>
        <w:t xml:space="preserve">and the Zero Trust pillars. It answers a</w:t>
      </w:r>
      <w:r>
        <w:t xml:space="preserve"> </w:t>
      </w:r>
      <w:r>
        <w:rPr>
          <w:b/>
          <w:bCs/>
        </w:rPr>
        <w:t xml:space="preserve">maturity</w:t>
      </w:r>
      <w:r>
        <w:t xml:space="preserve"> </w:t>
      </w:r>
      <w:r>
        <w:t xml:space="preserve">question:</w:t>
      </w:r>
      <w:r>
        <w:t xml:space="preserve"> </w:t>
      </w:r>
      <w:r>
        <w:rPr>
          <w:i/>
          <w:iCs/>
        </w:rPr>
        <w:t xml:space="preserve">how close is</w:t>
      </w:r>
      <w:r>
        <w:rPr>
          <w:i/>
          <w:iCs/>
        </w:rPr>
        <w:t xml:space="preserve"> </w:t>
      </w:r>
      <w:r>
        <w:rPr>
          <w:i/>
          <w:iCs/>
        </w:rPr>
        <w:t xml:space="preserve">our whole environment to Zero Trust?</w:t>
      </w:r>
    </w:p>
    <w:p>
      <w:pPr>
        <w:pStyle w:val="FirstParagraph"/>
      </w:pPr>
      <w:r>
        <w:rPr>
          <w:b/>
          <w:bCs/>
        </w:rPr>
        <w:t xml:space="preserve">They are complementary, not redundant.</w:t>
      </w:r>
      <w:r>
        <w:t xml:space="preserve"> </w:t>
      </w:r>
      <w:r>
        <w:t xml:space="preserve">They intersect almost entirely on one</w:t>
      </w:r>
      <w:r>
        <w:t xml:space="preserve"> </w:t>
      </w:r>
      <w:r>
        <w:t xml:space="preserve">surface —</w:t>
      </w:r>
      <w:r>
        <w:t xml:space="preserve"> </w:t>
      </w:r>
      <w:r>
        <w:rPr>
          <w:b/>
          <w:bCs/>
        </w:rPr>
        <w:t xml:space="preserve">Entra identity</w:t>
      </w:r>
      <w:r>
        <w:t xml:space="preserve"> </w:t>
      </w:r>
      <w:r>
        <w:t xml:space="preserve">— and barely overlap anywhere else. Roughly half of</w:t>
      </w:r>
      <w:r>
        <w:t xml:space="preserve"> </w:t>
      </w:r>
      <w:r>
        <w:t xml:space="preserve">the Zero Trust Assessment’s checks fall in an area SCuBA also covers (nearly all</w:t>
      </w:r>
      <w:r>
        <w:t xml:space="preserve"> </w:t>
      </w:r>
      <w:r>
        <w:t xml:space="preserve">of it identity), with meaningful non-overlap on each side: SCuBA has baselines</w:t>
      </w:r>
      <w:r>
        <w:t xml:space="preserve"> </w:t>
      </w:r>
      <w:r>
        <w:t xml:space="preserve">the Zero Trust Assessment never touches (Exchange, Teams, Power Platform), and</w:t>
      </w:r>
      <w:r>
        <w:t xml:space="preserve"> </w:t>
      </w:r>
      <w:r>
        <w:t xml:space="preserve">the Zero Trust Assessment covers whole domains SCuBA does not assess at all</w:t>
      </w:r>
      <w:r>
        <w:t xml:space="preserve"> </w:t>
      </w:r>
      <w:r>
        <w:t xml:space="preserve">(Intune devices, Azure networking and infrastructure, Microsoft Purview data).</w:t>
      </w:r>
      <w:r>
        <w:t xml:space="preserve"> </w:t>
      </w:r>
      <w:r>
        <w:t xml:space="preserve">And even where they share a surface, the Zero Trust Assessment is far more</w:t>
      </w:r>
      <w:r>
        <w:t xml:space="preserve"> </w:t>
      </w:r>
      <w:r>
        <w:t xml:space="preserve">granular than SCuBA’s prescriptive baseline. (A specific illustrative split,</w:t>
      </w:r>
      <w:r>
        <w:t xml:space="preserve"> </w:t>
      </w:r>
      <w:r>
        <w:t xml:space="preserve">with its provenance and caveats, appears in the table below.)</w:t>
      </w:r>
    </w:p>
    <w:p>
      <w:pPr>
        <w:pStyle w:val="BodyText"/>
      </w:pPr>
      <w:r>
        <w:rPr>
          <w:b/>
          <w:bCs/>
        </w:rPr>
        <w:t xml:space="preserve">Recommendation:</w:t>
      </w:r>
      <w:r>
        <w:t xml:space="preserve"> </w:t>
      </w:r>
      <w:r>
        <w:t xml:space="preserve">run</w:t>
      </w:r>
      <w:r>
        <w:t xml:space="preserve"> </w:t>
      </w:r>
      <w:r>
        <w:rPr>
          <w:b/>
          <w:bCs/>
        </w:rPr>
        <w:t xml:space="preserve">both</w:t>
      </w:r>
      <w:r>
        <w:t xml:space="preserve">. Use ScubaGear to demonstrate and maintain</w:t>
      </w:r>
      <w:r>
        <w:t xml:space="preserve"> </w:t>
      </w:r>
      <w:r>
        <w:t xml:space="preserve">federal-baseline compliance for M365 workloads; use the Zero Trust Assessment to</w:t>
      </w:r>
      <w:r>
        <w:t xml:space="preserve"> </w:t>
      </w:r>
      <w:r>
        <w:t xml:space="preserve">drive broader Zero Trust maturity across identity, devices, network, and data.</w:t>
      </w:r>
      <w:r>
        <w:t xml:space="preserve"> </w:t>
      </w:r>
      <w:r>
        <w:t xml:space="preserve">Reconcile their findings at the</w:t>
      </w:r>
      <w:r>
        <w:t xml:space="preserve"> </w:t>
      </w:r>
      <w:r>
        <w:rPr>
          <w:b/>
          <w:bCs/>
        </w:rPr>
        <w:t xml:space="preserve">control level</w:t>
      </w:r>
      <w:r>
        <w:t xml:space="preserve"> </w:t>
      </w:r>
      <w:r>
        <w:t xml:space="preserve">(e.g., NIST 800-53 / the</w:t>
      </w:r>
      <w:r>
        <w:t xml:space="preserve"> </w:t>
      </w:r>
      <w:r>
        <w:t xml:space="preserve">FedRAMP Moderate baseline) rather than expecting one tool’s output to substitute</w:t>
      </w:r>
      <w:r>
        <w:t xml:space="preserve"> </w:t>
      </w:r>
      <w:r>
        <w:t xml:space="preserve">for the other’s.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figures in this paper are</w:t>
            </w:r>
            <w:r>
              <w:t xml:space="preserve"> </w:t>
            </w:r>
            <w:r>
              <w:rPr>
                <w:b/>
                <w:bCs/>
              </w:rPr>
              <w:t xml:space="preserve">illustrative</w:t>
            </w:r>
            <w:r>
              <w:t xml:space="preserve">, computed from Microsoft’s public</w:t>
            </w:r>
            <w:r>
              <w:t xml:space="preserve"> </w:t>
            </w:r>
            <w:r>
              <w:t xml:space="preserve">demo report. Your tenant’s split comes from running the assessment on your own</w:t>
            </w:r>
            <w:r>
              <w:t xml:space="preserve"> </w:t>
            </w:r>
            <w:r>
              <w:t xml:space="preserve">environment. Assessment output is sensitive — treat it as Controlled and keep it</w:t>
            </w:r>
            <w:r>
              <w:t xml:space="preserve"> </w:t>
            </w:r>
            <w:r>
              <w:t xml:space="preserve">inside your authorization boundary.</w:t>
            </w:r>
          </w:p>
          <w:p/>
        </w:tc>
      </w:tr>
    </w:tbl>
    <w:bookmarkEnd w:id="15"/>
    <w:bookmarkStart w:id="17" w:name="the-two-tools-at-a-glance"/>
    <w:p>
      <w:pPr>
        <w:pStyle w:val="Heading2"/>
      </w:pPr>
      <w:r>
        <w:t xml:space="preserve">The two tools at a glance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ScubaGear (CISA SCuBA)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 Trust Assessment (Microsoft)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Question it answers</w:t>
            </w:r>
          </w:p>
        </w:tc>
        <w:tc>
          <w:tcPr/>
          <w:p>
            <w:pPr>
              <w:pStyle w:val="Compact"/>
            </w:pPr>
            <w:r>
              <w:t xml:space="preserve">Compliance with a federal baseline</w:t>
            </w:r>
          </w:p>
        </w:tc>
        <w:tc>
          <w:tcPr/>
          <w:p>
            <w:pPr>
              <w:pStyle w:val="Compact"/>
            </w:pPr>
            <w:r>
              <w:t xml:space="preserve">Maturity toward Zero Trust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Authoring body</w:t>
            </w:r>
          </w:p>
        </w:tc>
        <w:tc>
          <w:tcPr/>
          <w:p>
            <w:pPr>
              <w:pStyle w:val="Compact"/>
            </w:pPr>
            <w:r>
              <w:t xml:space="preserve">CISA SCuBA baselines</w:t>
            </w:r>
          </w:p>
        </w:tc>
        <w:tc>
          <w:tcPr/>
          <w:p>
            <w:pPr>
              <w:pStyle w:val="Compact"/>
            </w:pPr>
            <w:r>
              <w:t xml:space="preserve">Microsoft (SFI + ZT pillars; cites NIST/CISA/CIS)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Primary driver</w:t>
            </w:r>
          </w:p>
        </w:tc>
        <w:tc>
          <w:tcPr/>
          <w:p>
            <w:pPr>
              <w:pStyle w:val="Compact"/>
            </w:pPr>
            <w:hyperlink r:id="rId16">
              <w:r>
                <w:rPr>
                  <w:rStyle w:val="Hyperlink"/>
                  <w:b/>
                  <w:bCs/>
                </w:rPr>
                <w:t xml:space="preserve">BOD 25-01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Microsoft hardening guidance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M365 workloads: Entra, Exchange Online, Defender for O365, SharePoint/OneDrive, Teams, Power Platform, Power BI</w:t>
            </w:r>
          </w:p>
        </w:tc>
        <w:tc>
          <w:tcPr/>
          <w:p>
            <w:pPr>
              <w:pStyle w:val="Compact"/>
            </w:pPr>
            <w:r>
              <w:t xml:space="preserve">Entra,</w:t>
            </w:r>
            <w:r>
              <w:t xml:space="preserve"> </w:t>
            </w:r>
            <w:r>
              <w:rPr>
                <w:b/>
                <w:bCs/>
              </w:rPr>
              <w:t xml:space="preserve">Intune (devices)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Azure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Purview</w:t>
            </w:r>
            <w:r>
              <w:t xml:space="preserve"> </w:t>
            </w:r>
            <w:r>
              <w:t xml:space="preserve">— organized by Zero Trust pillars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How it runs</w:t>
            </w:r>
          </w:p>
        </w:tc>
        <w:tc>
          <w:tcPr/>
          <w:p>
            <w:pPr>
              <w:pStyle w:val="Compact"/>
            </w:pPr>
            <w:r>
              <w:t xml:space="preserve">PowerShell + Graph/product APIs + policy evaluation</w:t>
            </w:r>
          </w:p>
        </w:tc>
        <w:tc>
          <w:tcPr/>
          <w:p>
            <w:pPr>
              <w:pStyle w:val="Compact"/>
            </w:pPr>
            <w:r>
              <w:t xml:space="preserve">PowerShell + Graph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HTML report + JSON, per product</w:t>
            </w:r>
          </w:p>
        </w:tc>
        <w:tc>
          <w:tcPr/>
          <w:p>
            <w:pPr>
              <w:pStyle w:val="Compact"/>
            </w:pPr>
            <w:r>
              <w:t xml:space="preserve">HTML report + JSON, by pillar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Finding identifier</w:t>
            </w:r>
          </w:p>
        </w:tc>
        <w:tc>
          <w:tcPr/>
          <w:p>
            <w:pPr>
              <w:pStyle w:val="Compact"/>
            </w:pPr>
            <w:r>
              <w:t xml:space="preserve">Policy ID, e.g. </w:t>
            </w:r>
            <w:r>
              <w:rPr>
                <w:rStyle w:val="VerbatimChar"/>
              </w:rPr>
              <w:t xml:space="preserve">MS.AAD.1.1v1</w:t>
            </w:r>
          </w:p>
        </w:tc>
        <w:tc>
          <w:tcPr/>
          <w:p>
            <w:pPr>
              <w:pStyle w:val="Compact"/>
            </w:pPr>
            <w:r>
              <w:t xml:space="preserve">Numeric / GUID</w:t>
            </w:r>
            <w:r>
              <w:t xml:space="preserve"> </w:t>
            </w:r>
            <w:r>
              <w:rPr>
                <w:rStyle w:val="VerbatimChar"/>
              </w:rPr>
              <w:t xml:space="preserve">TestId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Severity model</w:t>
            </w:r>
          </w:p>
        </w:tc>
        <w:tc>
          <w:tcPr/>
          <w:p>
            <w:pPr>
              <w:pStyle w:val="Compact"/>
            </w:pPr>
            <w:r>
              <w:t xml:space="preserve">Criticality:</w:t>
            </w:r>
            <w:r>
              <w:t xml:space="preserve"> </w:t>
            </w:r>
            <w:r>
              <w:rPr>
                <w:b/>
                <w:bCs/>
              </w:rPr>
              <w:t xml:space="preserve">SHALL / SHOULD</w:t>
            </w:r>
          </w:p>
        </w:tc>
        <w:tc>
          <w:tcPr/>
          <w:p>
            <w:pPr>
              <w:pStyle w:val="Compact"/>
            </w:pPr>
            <w:r>
              <w:t xml:space="preserve">Risk:</w:t>
            </w:r>
            <w:r>
              <w:t xml:space="preserve"> </w:t>
            </w:r>
            <w:r>
              <w:rPr>
                <w:b/>
                <w:bCs/>
              </w:rPr>
              <w:t xml:space="preserve">High / Medium / 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are read-only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bookmarkEnd w:id="17"/>
    <w:bookmarkStart w:id="18" w:name="where-they-overlap-where-they-dont"/>
    <w:p>
      <w:pPr>
        <w:pStyle w:val="Heading2"/>
      </w:pPr>
      <w:r>
        <w:t xml:space="preserve">Where they overlap, where they don’t</w:t>
      </w:r>
    </w:p>
    <w:p>
      <w:pPr>
        <w:pStyle w:val="FirstParagraph"/>
      </w:pPr>
      <w:r>
        <w:t xml:space="preserve">Think of two partially overlapping circles, not one inside the other: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SCuBA-only (ScubaGear covers, ZT does not)</w:t>
            </w:r>
          </w:p>
        </w:tc>
        <w:tc>
          <w:tcPr/>
          <w:p>
            <w:pPr>
              <w:pStyle w:val="Compact"/>
            </w:pPr>
            <w:r>
              <w:t xml:space="preserve">Shared surface (both)</w:t>
            </w:r>
          </w:p>
        </w:tc>
        <w:tc>
          <w:tcPr/>
          <w:p>
            <w:pPr>
              <w:pStyle w:val="Compact"/>
            </w:pPr>
            <w:r>
              <w:t xml:space="preserve">ZT-only (ZT covers, SCuBA does not)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 Online mail-flow, external forwarding, SPF/DKIM/DMARC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Entra identity:</w:t>
            </w:r>
            <w:r>
              <w:t xml:space="preserve"> </w:t>
            </w:r>
            <w:r>
              <w:t xml:space="preserve">legacy auth, MFA, Conditional Access, privileged-role config, risky users, app consent</w:t>
            </w:r>
          </w:p>
        </w:tc>
        <w:tc>
          <w:tcPr/>
          <w:p>
            <w:pPr>
              <w:pStyle w:val="Compact"/>
            </w:pPr>
            <w:r>
              <w:t xml:space="preserve">Intune device compliance &amp; configuration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Defender for Office 365 (anti-phishing, Safe Links/Attachments)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Azure RBAC, networking, DDoS/firewall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Teams policies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Microsoft Purview labels / DLP / RMS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Power Platform governance &amp; DLP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Global Secure Access</w:t>
            </w:r>
          </w:p>
        </w:tc>
      </w:tr>
    </w:tbl>
    <w:p>
      <w:pPr>
        <w:pStyle w:val="BodyText"/>
      </w:pPr>
      <w:r>
        <w:t xml:space="preserve">Illustrative split of the Zero Trust Assessment’s checks (Microsoft sample</w:t>
      </w:r>
      <w:r>
        <w:t xml:space="preserve"> </w:t>
      </w:r>
      <w:r>
        <w:t xml:space="preserve">tenant, 295 checks):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Bucket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Checks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Share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surface (a SCuBA baseline covers the area)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~47%</w:t>
            </w:r>
          </w:p>
        </w:tc>
      </w:tr>
      <w:tr>
        <w:tc>
          <w:tcPr/>
          <w:p>
            <w:pPr>
              <w:pStyle w:val="Compact"/>
            </w:pPr>
            <w:r>
              <w:t xml:space="preserve">ZT-only (no SCuBA baseline exists)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~53%</w:t>
            </w:r>
          </w:p>
        </w:tc>
      </w:tr>
    </w:tbl>
    <w:p>
      <w:pPr>
        <w:pStyle w:val="BodyText"/>
      </w:pPr>
      <w:r>
        <w:t xml:space="preserve">By pillar, the shared surface is</w:t>
      </w:r>
      <w:r>
        <w:t xml:space="preserve"> </w:t>
      </w:r>
      <w:r>
        <w:rPr>
          <w:b/>
          <w:bCs/>
        </w:rPr>
        <w:t xml:space="preserve">almost entirely Identity</w:t>
      </w:r>
      <w:r>
        <w:t xml:space="preserve">; Devices, Network,</w:t>
      </w:r>
      <w:r>
        <w:t xml:space="preserve"> </w:t>
      </w:r>
      <w:r>
        <w:t xml:space="preserve">and Infrastructure are essentially all ZT-only, and the Data pillar is mostly</w:t>
      </w:r>
      <w:r>
        <w:t xml:space="preserve"> </w:t>
      </w:r>
      <w:r>
        <w:t xml:space="preserve">ZT-only (Microsoft Purview).</w:t>
      </w:r>
    </w:p>
    <w:bookmarkEnd w:id="18"/>
    <w:bookmarkStart w:id="19" w:name="Xb2b9307939efd43778552bafc9bafcee100a724"/>
    <w:p>
      <w:pPr>
        <w:pStyle w:val="Heading2"/>
      </w:pPr>
      <w:r>
        <w:t xml:space="preserve">Two caveats that matter more than the percentage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“Shared surface”</w:t>
      </w:r>
      <w:r>
        <w:rPr>
          <w:b/>
          <w:bCs/>
        </w:rPr>
        <w:t xml:space="preserve"> </w:t>
      </w:r>
      <w:r>
        <w:rPr>
          <w:b/>
          <w:bCs/>
        </w:rPr>
        <w:t xml:space="preserve">is not</w:t>
      </w:r>
      <w:r>
        <w:rPr>
          <w:b/>
          <w:bCs/>
        </w:rPr>
        <w:t xml:space="preserve"> </w:t>
      </w:r>
      <w:r>
        <w:rPr>
          <w:b/>
          <w:bCs/>
        </w:rPr>
        <w:t xml:space="preserve">“duplicate checks.”</w:t>
      </w:r>
      <w:r>
        <w:t xml:space="preserve"> </w:t>
      </w:r>
      <w:r>
        <w:t xml:space="preserve">SCuBA’s Entra (</w:t>
      </w:r>
      <w:r>
        <w:rPr>
          <w:rStyle w:val="VerbatimChar"/>
        </w:rPr>
        <w:t xml:space="preserve">aad</w:t>
      </w:r>
      <w:r>
        <w:t xml:space="preserve">) baseline</w:t>
      </w:r>
      <w:r>
        <w:t xml:space="preserve"> </w:t>
      </w:r>
      <w:r>
        <w:t xml:space="preserve">is on the order of 30 prescriptive policies at ScubaGear v1.8.0 — MS.AAD enumerates</w:t>
      </w:r>
      <w:r>
        <w:t xml:space="preserve"> </w:t>
      </w:r>
      <w:r>
        <w:t xml:space="preserve">MS.AAD.1.1v1 through MS.AAD.7.9v1, with 5.5/5.6/5.7v1 added 11 May 2026 and a</w:t>
      </w:r>
      <w:r>
        <w:t xml:space="preserve"> </w:t>
      </w:r>
      <w:r>
        <w:t xml:space="preserve">high-risk Entra AI-agent policy added 22 Jun 2026, so pin a policy-set version</w:t>
      </w:r>
      <w:r>
        <w:t xml:space="preserve"> </w:t>
      </w:r>
      <w:r>
        <w:t xml:space="preserve">rather than a count; the Zero Trust Assessment has</w:t>
      </w:r>
      <w:r>
        <w:t xml:space="preserve"> </w:t>
      </w:r>
      <w:r>
        <w:t xml:space="preserve">many more identity checks. So</w:t>
      </w:r>
      <w:r>
        <w:t xml:space="preserve"> </w:t>
      </w:r>
      <w:r>
        <w:rPr>
          <w:i/>
          <w:iCs/>
        </w:rPr>
        <w:t xml:space="preserve">shared</w:t>
      </w:r>
      <w:r>
        <w:t xml:space="preserve"> </w:t>
      </w:r>
      <w:r>
        <w:t xml:space="preserve">means</w:t>
      </w:r>
      <w:r>
        <w:t xml:space="preserve"> </w:t>
      </w:r>
      <w:r>
        <w:rPr>
          <w:i/>
          <w:iCs/>
        </w:rPr>
        <w:t xml:space="preserve">same area</w:t>
      </w:r>
      <w:r>
        <w:t xml:space="preserve">, not</w:t>
      </w:r>
      <w:r>
        <w:t xml:space="preserve"> </w:t>
      </w:r>
      <w:r>
        <w:rPr>
          <w:i/>
          <w:iCs/>
        </w:rPr>
        <w:t xml:space="preserve">same check</w:t>
      </w:r>
      <w:r>
        <w:t xml:space="preserve"> </w:t>
      </w:r>
      <w:r>
        <w:t xml:space="preserve">—</w:t>
      </w:r>
      <w:r>
        <w:t xml:space="preserve"> </w:t>
      </w:r>
      <w:r>
        <w:t xml:space="preserve">only a subset (legacy auth, MFA, Conditional Access basics, privileged-role</w:t>
      </w:r>
      <w:r>
        <w:t xml:space="preserve"> </w:t>
      </w:r>
      <w:r>
        <w:t xml:space="preserve">hygiene, risky users, app consent) have a true one-to-one counterpart. The</w:t>
      </w:r>
      <w:r>
        <w:t xml:space="preserve"> </w:t>
      </w:r>
      <w:r>
        <w:t xml:space="preserve">rest is the Zero Trust Assessment going deeper than the federal baseline.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The inverse gap.</w:t>
      </w:r>
      <w:r>
        <w:t xml:space="preserve"> </w:t>
      </w:r>
      <w:r>
        <w:t xml:space="preserve">SCuBA’s Exchange, Defender-for-O365, Teams, and Power</w:t>
      </w:r>
      <w:r>
        <w:t xml:space="preserve"> </w:t>
      </w:r>
      <w:r>
        <w:t xml:space="preserve">Platform baselines have essentially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Zero Trust Assessment counterpart.</w:t>
      </w:r>
      <w:r>
        <w:t xml:space="preserve"> </w:t>
      </w:r>
      <w:r>
        <w:t xml:space="preserve">Dropping ScubaGear because</w:t>
      </w:r>
      <w:r>
        <w:t xml:space="preserve"> </w:t>
      </w:r>
      <w:r>
        <w:t xml:space="preserve">“the Zero Trust Assessment covers identity”</w:t>
      </w:r>
      <w:r>
        <w:t xml:space="preserve"> </w:t>
      </w:r>
      <w:r>
        <w:t xml:space="preserve">would</w:t>
      </w:r>
      <w:r>
        <w:t xml:space="preserve"> </w:t>
      </w:r>
      <w:r>
        <w:t xml:space="preserve">leave those M365 workloads unassessed against the federal baseline.</w:t>
      </w:r>
    </w:p>
    <w:bookmarkEnd w:id="19"/>
    <w:bookmarkStart w:id="20" w:name="what-this-means-for-your-agency"/>
    <w:p>
      <w:pPr>
        <w:pStyle w:val="Heading2"/>
      </w:pPr>
      <w:r>
        <w:t xml:space="preserve">What this means for your agency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Keep ScubaGear for BOD 25-01.</w:t>
      </w:r>
      <w:r>
        <w:t xml:space="preserve"> </w:t>
      </w:r>
      <w:r>
        <w:t xml:space="preserve">It is the tool aligned to the federal M365</w:t>
      </w:r>
      <w:r>
        <w:t xml:space="preserve"> </w:t>
      </w:r>
      <w:r>
        <w:t xml:space="preserve">baseline, including the workloads (Exchange, Teams, Power Platform) the Zero</w:t>
      </w:r>
      <w:r>
        <w:t xml:space="preserve"> </w:t>
      </w:r>
      <w:r>
        <w:t xml:space="preserve">Trust Assessment doesn’t touch.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Add the Zero Trust Assessment for breadth and maturity.</w:t>
      </w:r>
      <w:r>
        <w:t xml:space="preserve"> </w:t>
      </w:r>
      <w:r>
        <w:t xml:space="preserve">It extends coverage</w:t>
      </w:r>
      <w:r>
        <w:t xml:space="preserve"> </w:t>
      </w:r>
      <w:r>
        <w:t xml:space="preserve">to devices (Intune), Azure infrastructure, network, and data — and risk-ranks</w:t>
      </w:r>
      <w:r>
        <w:t xml:space="preserve"> </w:t>
      </w:r>
      <w:r>
        <w:t xml:space="preserve">findings to help prioritize.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Reconcile at the control level.</w:t>
      </w:r>
      <w:r>
        <w:t xml:space="preserve"> </w:t>
      </w:r>
      <w:r>
        <w:t xml:space="preserve">Because the two use different identifiers</w:t>
      </w:r>
      <w:r>
        <w:t xml:space="preserve"> </w:t>
      </w:r>
      <w:r>
        <w:t xml:space="preserve">and frameworks, line their findings up against a common spine — the specific</w:t>
      </w:r>
      <w:r>
        <w:t xml:space="preserve"> </w:t>
      </w:r>
      <w:r>
        <w:t xml:space="preserve">tenant setting and/or</w:t>
      </w:r>
      <w:r>
        <w:t xml:space="preserve"> </w:t>
      </w:r>
      <w:r>
        <w:rPr>
          <w:b/>
          <w:bCs/>
        </w:rPr>
        <w:t xml:space="preserve">NIST 800-53</w:t>
      </w:r>
      <w:r>
        <w:t xml:space="preserve"> </w:t>
      </w:r>
      <w:r>
        <w:t xml:space="preserve">(and, for federal systems, the</w:t>
      </w:r>
      <w:r>
        <w:t xml:space="preserve"> </w:t>
      </w:r>
      <w:r>
        <w:rPr>
          <w:b/>
          <w:bCs/>
        </w:rPr>
        <w:t xml:space="preserve">FedRAMP</w:t>
      </w:r>
      <w:r>
        <w:rPr>
          <w:b/>
          <w:bCs/>
        </w:rPr>
        <w:t xml:space="preserve"> </w:t>
      </w:r>
      <w:r>
        <w:rPr>
          <w:b/>
          <w:bCs/>
        </w:rPr>
        <w:t xml:space="preserve">Moderate</w:t>
      </w:r>
      <w:r>
        <w:t xml:space="preserve"> </w:t>
      </w:r>
      <w:r>
        <w:t xml:space="preserve">baseline) — rather than trying to match tool outputs directly.</w:t>
      </w:r>
      <w:r>
        <w:t xml:space="preserve"> </w:t>
      </w:r>
      <w:r>
        <w:t xml:space="preserve">The operational form of exactly this reconciliation (SCuBA policy ID →</w:t>
      </w:r>
      <w:r>
        <w:t xml:space="preserve"> </w:t>
      </w:r>
      <w:r>
        <w:t xml:space="preserve">NIST control → typed task, held as data) is</w:t>
      </w:r>
      <w:r>
        <w:t xml:space="preserve"> </w:t>
      </w:r>
      <w:r>
        <w:t xml:space="preserve">Vol VII Book 02</w:t>
      </w:r>
      <w:r>
        <w:t xml:space="preserve"> </w:t>
      </w:r>
      <w:r>
        <w:t xml:space="preserve">of the Federal Compliance series. One federal caveat on the</w:t>
      </w:r>
      <w:r>
        <w:t xml:space="preserve"> </w:t>
      </w:r>
      <w:r>
        <w:t xml:space="preserve">maturity side: in a GCC-Moderate tenant, ZTMM maturity in the Identity,</w:t>
      </w:r>
      <w:r>
        <w:t xml:space="preserve"> </w:t>
      </w:r>
      <w:r>
        <w:t xml:space="preserve">Devices, and Networks pillars is structurally capped near Initial without</w:t>
      </w:r>
      <w:r>
        <w:t xml:space="preserve"> </w:t>
      </w:r>
      <w:r>
        <w:t xml:space="preserve">agency-built analytics — see the</w:t>
      </w:r>
      <w:r>
        <w:t xml:space="preserve"> </w:t>
      </w:r>
      <w:r>
        <w:t xml:space="preserve">B.1 boundary model §4.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Treat all output as Controlled.</w:t>
      </w:r>
      <w:r>
        <w:t xml:space="preserve"> </w:t>
      </w:r>
      <w:r>
        <w:t xml:space="preserve">Both reports are effectively a map of where</w:t>
      </w:r>
      <w:r>
        <w:t xml:space="preserve"> </w:t>
      </w:r>
      <w:r>
        <w:t xml:space="preserve">the tenant is weak; keep them in-boundary and remediate through normal</w:t>
      </w:r>
      <w:r>
        <w:t xml:space="preserve"> </w:t>
      </w:r>
      <w:r>
        <w:t xml:space="preserve">change-control.</w:t>
      </w:r>
    </w:p>
    <w:bookmarkEnd w:id="20"/>
    <w:bookmarkStart w:id="22" w:name="producing-your-own-figures"/>
    <w:p>
      <w:pPr>
        <w:pStyle w:val="Heading2"/>
      </w:pPr>
      <w:r>
        <w:t xml:space="preserve">Producing your own figures</w:t>
      </w:r>
    </w:p>
    <w:p>
      <w:pPr>
        <w:pStyle w:val="FirstParagraph"/>
      </w:pPr>
      <w:r>
        <w:t xml:space="preserve">The FMP toolkit can ingest a Zero Trust Assessment report and emit this overlap</w:t>
      </w:r>
      <w:r>
        <w:t xml:space="preserve"> </w:t>
      </w:r>
      <w:r>
        <w:t xml:space="preserve">split for your tenant, alongside a prioritized remediation playbook:</w:t>
      </w:r>
    </w:p>
    <w:p>
      <w:pPr>
        <w:pStyle w:val="SourceCode"/>
      </w:pPr>
      <w:r>
        <w:rPr>
          <w:rStyle w:val="NormalTok"/>
        </w:rPr>
        <w:t xml:space="preserve">fmp zta overlap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\ZeroTrustAssessmentReport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html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shared vs ZT-only for your tenant</w:t>
      </w:r>
      <w:r>
        <w:br/>
      </w:r>
      <w:r>
        <w:rPr>
          <w:rStyle w:val="NormalTok"/>
        </w:rPr>
        <w:t xml:space="preserve">fmp zta remediate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\ZeroTrustAssessmentReport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html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per-finding fix guidance</w:t>
      </w:r>
    </w:p>
    <w:p>
      <w:pPr>
        <w:pStyle w:val="FirstParagraph"/>
      </w:pPr>
      <w:r>
        <w:t xml:space="preserve">See the</w:t>
      </w:r>
      <w:r>
        <w:t xml:space="preserve"> </w:t>
      </w:r>
      <w:hyperlink r:id="rId21">
        <w:r>
          <w:rPr>
            <w:rStyle w:val="Hyperlink"/>
          </w:rPr>
          <w:t xml:space="preserve">Zero Trust Assessment Dashboard guide</w:t>
        </w:r>
      </w:hyperlink>
      <w:r>
        <w:t xml:space="preserve"> </w:t>
      </w:r>
      <w:r>
        <w:t xml:space="preserve">for the full workflow. FMP treats both ScubaGear and the Zero Trust Assessment</w:t>
      </w:r>
      <w:r>
        <w:t xml:space="preserve"> </w:t>
      </w:r>
      <w:r>
        <w:t xml:space="preserve">as evidence sources it incorporates — not competitors — and reconciles their</w:t>
      </w:r>
      <w:r>
        <w:t xml:space="preserve"> </w:t>
      </w:r>
      <w:r>
        <w:t xml:space="preserve">findings in a common, control-mapped evidence layer.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1" Target="../operational-guides/zero-trust-assessment/index.md" TargetMode="External" /><Relationship Type="http://schemas.openxmlformats.org/officeDocument/2006/relationships/hyperlink" Id="rId16" Target="https://cyber.dhs.gov/bod/25-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operational-guides/zero-trust-assessment/index.md" TargetMode="External" /><Relationship Type="http://schemas.openxmlformats.org/officeDocument/2006/relationships/hyperlink" Id="rId16" Target="https://cyber.dhs.gov/bod/25-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Zero Trust Assessment and CISA SCuBA — How They Relate</dc:title>
  <dc:creator>Michael Stratton</dc:creator>
  <cp:keywords/>
  <dcterms:created xsi:type="dcterms:W3CDTF">2026-10-19T10:12:00Z</dcterms:created>
  <dcterms:modified xsi:type="dcterms:W3CDTF">2026-10-19T10:12:00Z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src/fmp/canon/adapter-registry.yaml#scubagear</vt:lpwstr>
  </property>
  <property fmtid="{D5CDD505-2E9C-101B-9397-08002B2CF9AE}" pid="7" name="created-at">
    <vt:lpwstr>2026-06-03</vt:lpwstr>
  </property>
  <property fmtid="{D5CDD505-2E9C-101B-9397-08002B2CF9AE}" pid="8" name="date">
    <vt:lpwstr>2026-06-01</vt:lpwstr>
  </property>
  <property fmtid="{D5CDD505-2E9C-101B-9397-08002B2CF9AE}" pid="9" name="doc-type">
    <vt:lpwstr>whitepaper</vt:lpwstr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lifecycle">
    <vt:lpwstr>adopted</vt:lpwstr>
  </property>
  <property fmtid="{D5CDD505-2E9C-101B-9397-08002B2CF9AE}" pid="15" name="lifecycle_review">
    <vt:lpwstr>2026-12-03</vt:lpwstr>
  </property>
  <property fmtid="{D5CDD505-2E9C-101B-9397-08002B2CF9AE}" pid="16" name="repo-path">
    <vt:lpwstr>docs/customer-documents/whitepapers/zta-scuba-relationship.qmd</vt:lpwstr>
  </property>
  <property fmtid="{D5CDD505-2E9C-101B-9397-08002B2CF9AE}" pid="17" name="status">
    <vt:lpwstr>Active</vt:lpwstr>
  </property>
  <property fmtid="{D5CDD505-2E9C-101B-9397-08002B2CF9AE}" pid="18" name="subtitle">
    <vt:lpwstr>Two read-only posture assessments, where they overlap, and how to use them together</vt:lpwstr>
  </property>
  <property fmtid="{D5CDD505-2E9C-101B-9397-08002B2CF9AE}" pid="19" name="tiers_adopted">
    <vt:lpwstr/>
  </property>
  <property fmtid="{D5CDD505-2E9C-101B-9397-08002B2CF9AE}" pid="20" name="toc-title">
    <vt:lpwstr>Table of contents</vt:lpwstr>
  </property>
  <property fmtid="{D5CDD505-2E9C-101B-9397-08002B2CF9AE}" pid="21" name="updated-at">
    <vt:lpwstr>2026-09-16</vt:lpwstr>
  </property>
  <property fmtid="{D5CDD505-2E9C-101B-9397-08002B2CF9AE}" pid="22" name="version">
    <vt:lpwstr>1.3</vt:lpwstr>
  </property>
</Properties>
</file>