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A — Requirements Mapping</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appendix-a-requirements-mapping"/>
    <w:p>
      <w:pPr>
        <w:pStyle w:val="Heading1"/>
      </w:pPr>
      <w:r>
        <w:t xml:space="preserve">Appendix A — Requirements Mapping</w:t>
      </w:r>
    </w:p>
    <w:bookmarkEnd w:id="9"/>
    <w:bookmarkStart w:id="10" w:name="Xbc99ec1a64b25c0910860511322f0ad4c7e770d"/>
    <w:p>
      <w:pPr>
        <w:pStyle w:val="Heading2"/>
      </w:pPr>
      <w:r>
        <w:t xml:space="preserve">Compliance-enabling, not a compliance claim</w:t>
      </w:r>
    </w:p>
    <w:p>
      <w:pPr>
        <w:pStyle w:val="FirstParagraph"/>
      </w:pPr>
      <w:r>
        <w:t xml:space="preserve">This appendix maps the series’ controls and evidence to federal requirements so an agency can reuse them in its own system security plan. It does not claim that following the series satisfies any requirement, control or maturity stage. Control selection, tailoring, implementation statements and assessment belong to the agency and its assessors. Identifiers are from the sources’ current editions, checked 19 October 2026.</w:t>
      </w:r>
    </w:p>
    <w:bookmarkEnd w:id="10"/>
    <w:bookmarkStart w:id="24" w:name="the-four-frameworks"/>
    <w:p>
      <w:pPr>
        <w:pStyle w:val="Heading2"/>
      </w:pPr>
      <w:r>
        <w:t xml:space="preserve">The four frameworks</w:t>
      </w:r>
    </w:p>
    <w:p>
      <w:pPr>
        <w:pStyle w:val="Compact"/>
        <w:numPr>
          <w:ilvl w:val="0"/>
          <w:numId w:val="1001"/>
        </w:numPr>
      </w:pPr>
      <w:r>
        <w:rPr>
          <w:b/>
          <w:bCs/>
        </w:rPr>
        <w:t xml:space="preserve">OMB M-22-09</w:t>
      </w:r>
      <w:r>
        <w:t xml:space="preserve"> </w:t>
      </w:r>
      <w:r>
        <w:t xml:space="preserve">sets the federal zero trust strategy’s identity outcomes: centrally managed enterprise identity integrated into applications, phishing-resistant MFA enforced at the application layer, and at least one device-level signal considered when authorizing access.</w:t>
      </w:r>
      <w:r>
        <w:rPr>
          <w:rStyle w:val="FootnoteReference"/>
        </w:rPr>
        <w:footnoteReference w:id="11"/>
      </w:r>
      <w:r>
        <w:t xml:space="preserve"> </w:t>
      </w:r>
      <w:r>
        <w:rPr>
          <w:rStyle w:val="FootnoteReference"/>
        </w:rPr>
        <w:footnoteReference w:id="13"/>
      </w:r>
    </w:p>
    <w:p>
      <w:pPr>
        <w:pStyle w:val="Compact"/>
        <w:numPr>
          <w:ilvl w:val="0"/>
          <w:numId w:val="1001"/>
        </w:numPr>
      </w:pPr>
      <w:r>
        <w:rPr>
          <w:b/>
          <w:bCs/>
        </w:rPr>
        <w:t xml:space="preserve">CISA Zero Trust Maturity Model v2.0</w:t>
      </w:r>
      <w:r>
        <w:t xml:space="preserve"> </w:t>
      </w:r>
      <w:r>
        <w:t xml:space="preserve">describes the identity pillar through four functions — Authentication, Identity Stores, Risk Assessments and Access Management — plus the cross-cutting Visibility and Analytics, Automation and Orchestration, and Governance capabilities, each at Traditional, Initial, Advanced and Optimal stages.</w:t>
      </w:r>
      <w:r>
        <w:rPr>
          <w:rStyle w:val="FootnoteReference"/>
        </w:rPr>
        <w:footnoteReference w:id="16"/>
      </w:r>
      <w:r>
        <w:t xml:space="preserve"> </w:t>
      </w:r>
      <w:r>
        <w:rPr>
          <w:rStyle w:val="FootnoteReference"/>
        </w:rPr>
        <w:footnoteReference w:id="18"/>
      </w:r>
    </w:p>
    <w:p>
      <w:pPr>
        <w:pStyle w:val="Compact"/>
        <w:numPr>
          <w:ilvl w:val="0"/>
          <w:numId w:val="1001"/>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20"/>
      </w:r>
    </w:p>
    <w:p>
      <w:pPr>
        <w:pStyle w:val="Compact"/>
        <w:numPr>
          <w:ilvl w:val="0"/>
          <w:numId w:val="1001"/>
        </w:numPr>
      </w:pPr>
      <w:r>
        <w:rPr>
          <w:b/>
          <w:bCs/>
        </w:rPr>
        <w:t xml:space="preserve">NIST SP 800-53 Rev. 5</w:t>
      </w:r>
      <w:r>
        <w:t xml:space="preserve"> </w:t>
      </w:r>
      <w:r>
        <w:t xml:space="preserve">supplies the control identifiers.</w:t>
      </w:r>
      <w:r>
        <w:rPr>
          <w:rStyle w:val="FootnoteReference"/>
        </w:rPr>
        <w:footnoteReference w:id="22"/>
      </w:r>
    </w:p>
    <w:bookmarkEnd w:id="24"/>
    <w:bookmarkStart w:id="25" w:name="mapping-by-book"/>
    <w:p>
      <w:pPr>
        <w:pStyle w:val="Heading2"/>
      </w:pPr>
      <w:r>
        <w:t xml:space="preserve">Mapping by book</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Book</w:t>
            </w:r>
          </w:p>
        </w:tc>
        <w:tc>
          <w:tcPr/>
          <w:p>
            <w:pPr>
              <w:pStyle w:val="Compact"/>
            </w:pPr>
            <w:r>
              <w:t xml:space="preserve">Control the book puts in place</w:t>
            </w:r>
          </w:p>
        </w:tc>
        <w:tc>
          <w:tcPr/>
          <w:p>
            <w:pPr>
              <w:pStyle w:val="Compact"/>
            </w:pPr>
            <w:r>
              <w:t xml:space="preserve">Evidence it produces</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r>
              <w:t xml:space="preserve">02 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r>
              <w:t xml:space="preserve">03 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r>
              <w:t xml:space="preserve">04 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r>
              <w:t xml:space="preserve">05 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r>
              <w:t xml:space="preserve">06 NTLM Elimination</w:t>
            </w:r>
          </w:p>
        </w:tc>
        <w:tc>
          <w:tcPr/>
          <w:p>
            <w:pPr>
              <w:pStyle w:val="Compact"/>
            </w:pPr>
            <w:r>
              <w:t xml:space="preserve">SPN repair so connections negotiate Kerberos; restrict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SC-8</w:t>
            </w:r>
          </w:p>
        </w:tc>
      </w:tr>
      <w:tr>
        <w:tc>
          <w:tcPr/>
          <w:p>
            <w:pPr>
              <w:pStyle w:val="Compact"/>
            </w:pPr>
            <w:r>
              <w:t xml:space="preserve">07 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JIT); Automation and Orchestration; Governance</w:t>
            </w:r>
          </w:p>
        </w:tc>
        <w:tc>
          <w:tcPr/>
          <w:p>
            <w:pPr>
              <w:pStyle w:val="Compact"/>
            </w:pPr>
            <w:r>
              <w:t xml:space="preserve">4</w:t>
            </w:r>
          </w:p>
        </w:tc>
        <w:tc>
          <w:tcPr/>
          <w:p>
            <w:pPr>
              <w:pStyle w:val="Compact"/>
            </w:pPr>
            <w:r>
              <w:t xml:space="preserve">AC-2(1), AC-3, AC-6, AC-6(7), AC-2(7), AC-16</w:t>
            </w:r>
          </w:p>
        </w:tc>
      </w:tr>
      <w:tr>
        <w:tc>
          <w:tcPr/>
          <w:p>
            <w:pPr>
              <w:pStyle w:val="Compact"/>
            </w:pPr>
            <w:r>
              <w:t xml:space="preserve">08 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r>
              <w:t xml:space="preserve">09 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r>
              <w:t xml:space="preserve">10 Certificate Authority</w:t>
            </w:r>
          </w:p>
        </w:tc>
        <w:tc>
          <w:tcPr/>
          <w:p>
            <w:pPr>
              <w:pStyle w:val="Compact"/>
            </w:pPr>
            <w:r>
              <w:t xml:space="preserve">A replacement CA issuing before ADCS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w:t>
            </w:r>
          </w:p>
        </w:tc>
      </w:tr>
      <w:tr>
        <w:tc>
          <w:tcPr/>
          <w:p>
            <w:pPr>
              <w:pStyle w:val="Compact"/>
            </w:pPr>
            <w:r>
              <w:t xml:space="preserve">11 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Book 01 states the case and produces no control evidence of its own. The Applicability page decides which rows apply to an environment.</w:t>
      </w:r>
    </w:p>
    <w:bookmarkEnd w:id="25"/>
    <w:bookmarkStart w:id="28" w:name="notes-on-the-mapping"/>
    <w:p>
      <w:pPr>
        <w:pStyle w:val="Heading2"/>
      </w:pPr>
      <w:r>
        <w:t xml:space="preserve">Notes on the mapping</w:t>
      </w:r>
    </w:p>
    <w:p>
      <w:pPr>
        <w:pStyle w:val="Compact"/>
        <w:numPr>
          <w:ilvl w:val="0"/>
          <w:numId w:val="1002"/>
        </w:numPr>
      </w:pPr>
      <w:r>
        <w:rPr>
          <w:b/>
          <w:bCs/>
        </w:rPr>
        <w:t xml:space="preserve">Mixed results are normal.</w:t>
      </w:r>
      <w:r>
        <w:t xml:space="preserve"> </w:t>
      </w:r>
      <w:r>
        <w:t xml:space="preserve">An instance can meet one row and miss another; the per-instance compliance record of Book 09 is what shows which.</w:t>
      </w:r>
    </w:p>
    <w:p>
      <w:pPr>
        <w:pStyle w:val="Compact"/>
        <w:numPr>
          <w:ilvl w:val="0"/>
          <w:numId w:val="1002"/>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26"/>
      </w:r>
    </w:p>
    <w:p>
      <w:pPr>
        <w:pStyle w:val="Compact"/>
        <w:numPr>
          <w:ilvl w:val="0"/>
          <w:numId w:val="1002"/>
        </w:numPr>
      </w:pPr>
      <w:r>
        <w:rPr>
          <w:b/>
          <w:bCs/>
        </w:rPr>
        <w:t xml:space="preserve">IA-9 applies to the engine’s own identity.</w:t>
      </w:r>
      <w:r>
        <w:t xml:space="preserve"> </w:t>
      </w:r>
      <w:r>
        <w:t xml:space="preserve">The Arc managed identity or app registration authenticates SQL Server to Microsoft Entra ID and Microsoft Graph; Appendix B — Security-Approval (ATO) Kit gives the permission justification.</w:t>
      </w:r>
    </w:p>
    <w:p>
      <w:pPr>
        <w:pStyle w:val="Compact"/>
        <w:numPr>
          <w:ilvl w:val="0"/>
          <w:numId w:val="1002"/>
        </w:numPr>
      </w:pPr>
      <w:r>
        <w:rPr>
          <w:b/>
          <w:bCs/>
        </w:rPr>
        <w:t xml:space="preserve">The 800-207 mapping is architectural.</w:t>
      </w:r>
      <w:r>
        <w:t xml:space="preserve"> </w:t>
      </w:r>
      <w:r>
        <w:t xml:space="preserve">SQL Server acts as the enforcement point that accepts only tokens Entra ID issued under policy; the series does not implement a full policy engine.</w:t>
      </w:r>
    </w:p>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Office of Management and Budget,</w:t>
      </w:r>
      <w:r>
        <w:t xml:space="preserve"> </w:t>
      </w:r>
      <w:hyperlink r:id="rId12">
        <w:r>
          <w:rPr>
            <w:rStyle w:val="Hyperlink"/>
          </w:rPr>
          <w:t xml:space="preserve">M-22-09, Moving the U.S. Government Toward Zero Trust Cybersecurity Principles</w:t>
        </w:r>
      </w:hyperlink>
      <w:r>
        <w:t xml:space="preserve"> </w:t>
      </w:r>
      <w:r>
        <w:t xml:space="preserve">(January 2022).</w:t>
      </w:r>
    </w:p>
  </w:footnote>
  <w:footnote w:id="13">
    <w:p>
      <w:pPr>
        <w:pStyle w:val="FootnoteText"/>
      </w:pPr>
      <w:r>
        <w:rPr>
          <w:rStyle w:val="FootnoteReference"/>
        </w:rPr>
        <w:footnoteRef/>
      </w:r>
      <w:r>
        <w:t xml:space="preserve"> </w:t>
      </w:r>
      <w:r>
        <w:t xml:space="preserve">Microsoft Learn,</w:t>
      </w:r>
      <w:r>
        <w:t xml:space="preserve"> </w:t>
      </w:r>
      <w:hyperlink r:id="rId14">
        <w:r>
          <w:rPr>
            <w:rStyle w:val="Hyperlink"/>
          </w:rPr>
          <w:t xml:space="preserve">Memo 22-09 identity requirements overview</w:t>
        </w:r>
      </w:hyperlink>
      <w:r>
        <w:t xml:space="preserve"> </w:t>
      </w:r>
      <w:r>
        <w:t xml:space="preserve">and</w:t>
      </w:r>
      <w:r>
        <w:t xml:space="preserve"> </w:t>
      </w:r>
      <w:hyperlink r:id="rId15">
        <w:r>
          <w:rPr>
            <w:rStyle w:val="Hyperlink"/>
          </w:rPr>
          <w:t xml:space="preserve">Meet authorization requirements of memorandum 22-09</w:t>
        </w:r>
      </w:hyperlink>
      <w:r>
        <w:t xml:space="preserve">.</w:t>
      </w:r>
    </w:p>
  </w:footnote>
  <w:footnote w:id="16">
    <w:p>
      <w:pPr>
        <w:pStyle w:val="FootnoteText"/>
      </w:pPr>
      <w:r>
        <w:rPr>
          <w:rStyle w:val="FootnoteReference"/>
        </w:rPr>
        <w:footnoteRef/>
      </w:r>
      <w:r>
        <w:t xml:space="preserve"> </w:t>
      </w:r>
      <w:r>
        <w:t xml:space="preserve">CISA,</w:t>
      </w:r>
      <w:r>
        <w:t xml:space="preserve"> </w:t>
      </w:r>
      <w:hyperlink r:id="rId17">
        <w:r>
          <w:rPr>
            <w:rStyle w:val="Hyperlink"/>
          </w:rPr>
          <w:t xml:space="preserve">Zero Trust Maturity Model, Version 2.0</w:t>
        </w:r>
      </w:hyperlink>
      <w:r>
        <w:t xml:space="preserve"> </w:t>
      </w:r>
      <w:r>
        <w:t xml:space="preserve">(April 2023).</w:t>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CISA Zero Trust Maturity Model for the identity pillar</w:t>
        </w:r>
      </w:hyperlink>
      <w:r>
        <w:t xml:space="preserve">.</w:t>
      </w:r>
    </w:p>
  </w:footnote>
  <w:footnote w:id="20">
    <w:p>
      <w:pPr>
        <w:pStyle w:val="FootnoteText"/>
      </w:pPr>
      <w:r>
        <w:rPr>
          <w:rStyle w:val="FootnoteReference"/>
        </w:rPr>
        <w:footnoteRef/>
      </w:r>
      <w:r>
        <w:t xml:space="preserve"> </w:t>
      </w:r>
      <w:r>
        <w:t xml:space="preserve">NIST,</w:t>
      </w:r>
      <w:r>
        <w:t xml:space="preserve"> </w:t>
      </w:r>
      <w:hyperlink r:id="rId21">
        <w:r>
          <w:rPr>
            <w:rStyle w:val="Hyperlink"/>
          </w:rPr>
          <w:t xml:space="preserve">SP 800-207, Zero Trust Architecture</w:t>
        </w:r>
      </w:hyperlink>
      <w:r>
        <w:t xml:space="preserve">, Section 2.1, Tenets of Zero Trust.</w:t>
      </w:r>
    </w:p>
  </w:footnote>
  <w:footnote w:id="22">
    <w:p>
      <w:pPr>
        <w:pStyle w:val="FootnoteText"/>
      </w:pPr>
      <w:r>
        <w:rPr>
          <w:rStyle w:val="FootnoteReference"/>
        </w:rPr>
        <w:footnoteRef/>
      </w:r>
      <w:r>
        <w:t xml:space="preserve"> </w:t>
      </w:r>
      <w:r>
        <w:t xml:space="preserve">NIST,</w:t>
      </w:r>
      <w:r>
        <w:t xml:space="preserve"> </w:t>
      </w:r>
      <w:hyperlink r:id="rId23">
        <w:r>
          <w:rPr>
            <w:rStyle w:val="Hyperlink"/>
          </w:rPr>
          <w:t xml:space="preserve">SP 800-53 Rev. 5, Security and Privacy Controls for Information Systems and Organizations</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What is Conditional Access?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1" Target="https://csrc.nist.gov/pubs/sp/800/207/final" TargetMode="External" /><Relationship Type="http://schemas.openxmlformats.org/officeDocument/2006/relationships/hyperlink" Id="rId23" Target="https://csrc.nist.gov/pubs/sp/800/53/r5/upd1/final" TargetMode="External" /><Relationship Type="http://schemas.openxmlformats.org/officeDocument/2006/relationships/hyperlink" Id="rId27" Target="https://learn.microsoft.com/en-us/entra/identity/conditional-access/overview" TargetMode="External" /><Relationship Type="http://schemas.openxmlformats.org/officeDocument/2006/relationships/hyperlink" Id="rId15" Target="https://learn.microsoft.com/en-us/entra/standards/memo-22-09-authorization" TargetMode="External" /><Relationship Type="http://schemas.openxmlformats.org/officeDocument/2006/relationships/hyperlink" Id="rId14" Target="https://learn.microsoft.com/en-us/entra/standards/memo-22-09-meet-identity-requirements" TargetMode="External" /><Relationship Type="http://schemas.openxmlformats.org/officeDocument/2006/relationships/hyperlink" Id="rId19" Target="https://learn.microsoft.com/en-us/security/zero-trust/cisa-zero-trust-maturity-model-identity" TargetMode="External" /><Relationship Type="http://schemas.openxmlformats.org/officeDocument/2006/relationships/hyperlink" Id="rId17" Target="https://www.cisa.gov/sites/default/files/2023-04/zero_trust_maturity_model_v2_508.pdf" TargetMode="External" /><Relationship Type="http://schemas.openxmlformats.org/officeDocument/2006/relationships/hyperlink" Id="rId12"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21" Target="https://csrc.nist.gov/pubs/sp/800/207/final" TargetMode="External" /><Relationship Type="http://schemas.openxmlformats.org/officeDocument/2006/relationships/hyperlink" Id="rId23" Target="https://csrc.nist.gov/pubs/sp/800/53/r5/upd1/final" TargetMode="External" /><Relationship Type="http://schemas.openxmlformats.org/officeDocument/2006/relationships/hyperlink" Id="rId27" Target="https://learn.microsoft.com/en-us/entra/identity/conditional-access/overview" TargetMode="External" /><Relationship Type="http://schemas.openxmlformats.org/officeDocument/2006/relationships/hyperlink" Id="rId15" Target="https://learn.microsoft.com/en-us/entra/standards/memo-22-09-authorization" TargetMode="External" /><Relationship Type="http://schemas.openxmlformats.org/officeDocument/2006/relationships/hyperlink" Id="rId14" Target="https://learn.microsoft.com/en-us/entra/standards/memo-22-09-meet-identity-requirements" TargetMode="External" /><Relationship Type="http://schemas.openxmlformats.org/officeDocument/2006/relationships/hyperlink" Id="rId19" Target="https://learn.microsoft.com/en-us/security/zero-trust/cisa-zero-trust-maturity-model-identity" TargetMode="External" /><Relationship Type="http://schemas.openxmlformats.org/officeDocument/2006/relationships/hyperlink" Id="rId17" Target="https://www.cisa.gov/sites/default/files/2023-04/zero_trust_maturity_model_v2_508.pdf" TargetMode="External" /><Relationship Type="http://schemas.openxmlformats.org/officeDocument/2006/relationships/hyperlink" Id="rId12"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 Requirements Mapping</dc:title>
  <dc:creator/>
  <cp:keywords/>
  <dcterms:created xsi:type="dcterms:W3CDTF">2026-10-19T10:17:31Z</dcterms:created>
  <dcterms:modified xsi:type="dcterms:W3CDTF">2026-10-19T10:17:31Z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