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png" ContentType="image/png"/>
  <Override PartName="/word/media/rId42.png" ContentType="image/png"/>
  <Override PartName="/word/media/rId31.png" ContentType="image/png"/>
  <Override PartName="/word/media/rId63.png" ContentType="image/png"/>
  <Override PartName="/word/media/rId5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Book_03 — Discovery: The Authentication Audit</w:t>
      </w:r>
    </w:p>
    <w:p>
      <w:pPr>
        <w:pStyle w:val="Subtitle"/>
      </w:pPr>
      <w:r>
        <w:t xml:space="preserve">SQL Server Identity Transformation — Narrative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X82e722fadefd639e53fe64c6f812fe296bdb70e"/>
    <w:p>
      <w:pPr>
        <w:pStyle w:val="Heading1"/>
      </w:pPr>
      <w:r>
        <w:t xml:space="preserve">Book_03 — Discovery: The Authentication Audit</w:t>
      </w:r>
    </w:p>
    <w:bookmarkEnd w:id="9"/>
    <w:p>
      <w:pPr>
        <w:pStyle w:val="FirstParagraph"/>
      </w:pPr>
      <w:r>
        <w:t xml:space="preserve">Where Book 02 measured the estate to decide what survives, this book measures the</w:t>
      </w:r>
      <w:r>
        <w:t xml:space="preserve"> </w:t>
      </w:r>
      <w:r>
        <w:rPr>
          <w:b/>
          <w:bCs/>
        </w:rPr>
        <w:t xml:space="preserve">authentication posture</w:t>
      </w:r>
      <w:r>
        <w:t xml:space="preserve"> </w:t>
      </w:r>
      <w:r>
        <w:t xml:space="preserve">of what remains. The authentication-audit script is the instrument, the Arc-eligibility classification is its most consequential output, and the per-instance compliance record — not a spreadsheet — is its deliverable.</w:t>
      </w:r>
    </w:p>
    <w:p>
      <w:pPr>
        <w:pStyle w:val="CaptionedFigure"/>
      </w:pPr>
      <w:r>
        <w:drawing>
          <wp:inline>
            <wp:extent cx="5334000" cy="3494197"/>
            <wp:effectExtent b="0" l="0" r="0" t="0"/>
            <wp:docPr descr="What the authentication audit reads on each instance, and where its output goes." title="" id="11" name="Picture"/>
            <a:graphic>
              <a:graphicData uri="http://schemas.openxmlformats.org/drawingml/2006/picture">
                <pic:pic>
                  <pic:nvPicPr>
                    <pic:cNvPr descr="/home/runner/work/modernization-workbook/modernization-workbook/docs/images/sql-server/diagrams/png/book-03-audit-inputs-and-record.png" id="12" name="Picture"/>
                    <pic:cNvPicPr>
                      <a:picLocks noChangeArrowheads="1" noChangeAspect="1"/>
                    </pic:cNvPicPr>
                  </pic:nvPicPr>
                  <pic:blipFill>
                    <a:blip r:embed="rId10"/>
                    <a:stretch>
                      <a:fillRect/>
                    </a:stretch>
                  </pic:blipFill>
                  <pic:spPr bwMode="auto">
                    <a:xfrm>
                      <a:off x="0" y="0"/>
                      <a:ext cx="5334000" cy="3494197"/>
                    </a:xfrm>
                    <a:prstGeom prst="rect">
                      <a:avLst/>
                    </a:prstGeom>
                    <a:noFill/>
                    <a:ln w="9525">
                      <a:noFill/>
                      <a:headEnd/>
                      <a:tailEnd/>
                    </a:ln>
                  </pic:spPr>
                </pic:pic>
              </a:graphicData>
            </a:graphic>
          </wp:inline>
        </w:drawing>
      </w:r>
    </w:p>
    <w:p>
      <w:pPr>
        <w:pStyle w:val="ImageCaption"/>
      </w:pPr>
      <w:r>
        <w:t xml:space="preserve">What the authentication audit reads on each instance, and where its output goes.</w:t>
      </w:r>
    </w:p>
    <w:p>
      <w:pPr>
        <w:pStyle w:val="BodyText"/>
      </w:pPr>
      <w:r>
        <w:rPr>
          <w:b/>
          <w:bCs/>
        </w:rPr>
        <w:t xml:space="preserve">Place in the dependency chain:</w:t>
      </w:r>
      <w:r>
        <w:t xml:space="preserve"> </w:t>
      </w:r>
      <w:r>
        <w:t xml:space="preserve">Step 3 — Audit survivors.</w:t>
      </w:r>
    </w:p>
    <w:bookmarkStart w:id="18" w:name="authoritative-references"/>
    <w:p>
      <w:pPr>
        <w:pStyle w:val="Heading2"/>
      </w:pPr>
      <w:r>
        <w:t xml:space="preserve">Authoritative references</w:t>
      </w:r>
    </w:p>
    <w:p>
      <w:pPr>
        <w:pStyle w:val="FirstParagraph"/>
      </w:pPr>
      <w:r>
        <w:t xml:space="preserve">Checked 19 October 2026.</w:t>
      </w:r>
    </w:p>
    <w:p>
      <w:pPr>
        <w:pStyle w:val="Compact"/>
        <w:numPr>
          <w:ilvl w:val="0"/>
          <w:numId w:val="1001"/>
        </w:numPr>
      </w:pPr>
      <w:hyperlink r:id="rId13">
        <w:r>
          <w:rPr>
            <w:rStyle w:val="Hyperlink"/>
          </w:rPr>
          <w:t xml:space="preserve">sys.server_principals (Transact-SQL)</w:t>
        </w:r>
      </w:hyperlink>
    </w:p>
    <w:p>
      <w:pPr>
        <w:pStyle w:val="Compact"/>
        <w:numPr>
          <w:ilvl w:val="0"/>
          <w:numId w:val="1001"/>
        </w:numPr>
      </w:pPr>
      <w:hyperlink r:id="rId14">
        <w:r>
          <w:rPr>
            <w:rStyle w:val="Hyperlink"/>
          </w:rPr>
          <w:t xml:space="preserve">sys.dm_exec_connections (Transact-SQL)</w:t>
        </w:r>
      </w:hyperlink>
    </w:p>
    <w:p>
      <w:pPr>
        <w:pStyle w:val="Compact"/>
        <w:numPr>
          <w:ilvl w:val="0"/>
          <w:numId w:val="1001"/>
        </w:numPr>
      </w:pPr>
      <w:hyperlink r:id="rId15">
        <w:r>
          <w:rPr>
            <w:rStyle w:val="Hyperlink"/>
          </w:rPr>
          <w:t xml:space="preserve">Change server authentication mode</w:t>
        </w:r>
      </w:hyperlink>
    </w:p>
    <w:p>
      <w:pPr>
        <w:pStyle w:val="Compact"/>
        <w:numPr>
          <w:ilvl w:val="0"/>
          <w:numId w:val="1001"/>
        </w:numPr>
      </w:pPr>
      <w:hyperlink r:id="rId16">
        <w:r>
          <w:rPr>
            <w:rStyle w:val="Hyperlink"/>
          </w:rPr>
          <w:t xml:space="preserve">Register a Service Principal Name for Kerberos connections</w:t>
        </w:r>
      </w:hyperlink>
    </w:p>
    <w:p>
      <w:pPr>
        <w:pStyle w:val="Compact"/>
        <w:numPr>
          <w:ilvl w:val="0"/>
          <w:numId w:val="1001"/>
        </w:numPr>
      </w:pPr>
      <w:hyperlink r:id="rId17">
        <w:r>
          <w:rPr>
            <w:rStyle w:val="Hyperlink"/>
          </w:rPr>
          <w:t xml:space="preserve">Overview of NTLM auditing enhancements in Windows 11, version 24H2, Windows Server 2019, and later versions (Microsoft Support)</w:t>
        </w:r>
      </w:hyperlink>
    </w:p>
    <w:bookmarkEnd w:id="18"/>
    <w:bookmarkStart w:id="51" w:name="X6ee64e4109e409af922ad4b39691322d94eafeb"/>
    <w:p>
      <w:pPr>
        <w:pStyle w:val="Heading1"/>
      </w:pPr>
      <w:r>
        <w:t xml:space="preserve">Chapter 1 — The Authentication-Audit Script: What It Measures and Why</w:t>
      </w:r>
    </w:p>
    <w:p>
      <w:pPr>
        <w:pStyle w:val="FirstParagraph"/>
      </w:pPr>
      <w:r>
        <w:rPr>
          <w:i/>
          <w:iCs/>
        </w:rPr>
        <w:t xml:space="preserve">The instrument that turns the surviving estate into a structured, drift-aware authentication record.</w:t>
      </w:r>
    </w:p>
    <w:bookmarkStart w:id="19" w:name="in-this-chapter"/>
    <w:p>
      <w:pPr>
        <w:pStyle w:val="Heading2"/>
      </w:pPr>
      <w:r>
        <w:t xml:space="preserve">In this chapter</w:t>
      </w:r>
    </w:p>
    <w:p>
      <w:pPr>
        <w:pStyle w:val="FirstParagraph"/>
      </w:pPr>
      <w:r>
        <w:t xml:space="preserve">What the authentication-audit script enumerates across the surviving estate, how it reads the authentication-mode configuration and classifies every login by type, how it captures the engine service-account identity and SPN registration, the three-category Arc-eligibility classification that drives migration sequencing, and why the script’s output feeds the compliance-monitoring pipeline rather than a spreadsheet.</w:t>
      </w:r>
    </w:p>
    <w:bookmarkEnd w:id="19"/>
    <w:p>
      <w:pPr>
        <w:pStyle w:val="BodyText"/>
      </w:pPr>
      <w:r>
        <w:t xml:space="preserve">This audit runs only on the instances Book 02 classified as</w:t>
      </w:r>
      <w:r>
        <w:t xml:space="preserve"> </w:t>
      </w:r>
      <w:r>
        <w:rPr>
          <w:b/>
          <w:bCs/>
        </w:rPr>
        <w:t xml:space="preserve">retain</w:t>
      </w:r>
      <w:r>
        <w:t xml:space="preserve"> </w:t>
      </w:r>
      <w:r>
        <w:t xml:space="preserve">or</w:t>
      </w:r>
      <w:r>
        <w:t xml:space="preserve"> </w:t>
      </w:r>
      <w:r>
        <w:rPr>
          <w:b/>
          <w:bCs/>
        </w:rPr>
        <w:t xml:space="preserve">consolidation-target</w:t>
      </w:r>
      <w:r>
        <w:t xml:space="preserve"> </w:t>
      </w:r>
      <w:r>
        <w:t xml:space="preserve">— the rationalization decision has already removed the zombies and retirees from scope before a single line of enumeration runs.</w:t>
      </w:r>
    </w:p>
    <w:bookmarkStart w:id="28" w:name="scope-of-the-enumeration"/>
    <w:p>
      <w:pPr>
        <w:pStyle w:val="Heading2"/>
      </w:pPr>
      <w:r>
        <w:t xml:space="preserve">Scope of the Enumeration</w:t>
      </w:r>
    </w:p>
    <w:p>
      <w:pPr>
        <w:pStyle w:val="FirstParagraph"/>
      </w:pPr>
      <w:r>
        <w:t xml:space="preserve">The authentication-audit script performs a structured enumeration of the SQL Server estate across all hosts in the program’s management scope. For each host it identifies every SQL Server instance — named instances and the default instance — along with the version, edition, and build number.</w:t>
      </w:r>
    </w:p>
    <w:p>
      <w:pPr>
        <w:pStyle w:val="BodyText"/>
      </w:pPr>
      <w:r>
        <w:t xml:space="preserve">The host operating system version is captured because it determines the Arc capability envelope. Windows Server 2019 and 2022 support the Connected Machine agent, and therefore support Arc-based Entra authentication for the SQL Server engine (through an app registration on SQL Server 2022, the managed identity on SQL Server 2025).</w:t>
      </w:r>
      <w:r>
        <w:rPr>
          <w:rStyle w:val="FootnoteReference"/>
        </w:rPr>
        <w:footnoteReference w:id="20"/>
      </w:r>
      <w:r>
        <w:rPr>
          <w:rStyle w:val="FootnoteReference"/>
        </w:rPr>
        <w:footnoteReference w:id="22"/>
      </w:r>
      <w:r>
        <w:rPr>
          <w:rStyle w:val="FootnoteReference"/>
        </w:rPr>
        <w:footnoteReference w:id="24"/>
      </w:r>
      <w:r>
        <w:rPr>
          <w:rStyle w:val="FootnoteReference"/>
        </w:rPr>
        <w:footnoteReference w:id="26"/>
      </w:r>
      <w:r>
        <w:t xml:space="preserve"> </w:t>
      </w:r>
      <w:r>
        <w:t xml:space="preserve">They do not, however, support the</w:t>
      </w:r>
      <w:r>
        <w:t xml:space="preserve"> </w:t>
      </w:r>
      <w:r>
        <w:rPr>
          <w:rStyle w:val="VerbatimChar"/>
        </w:rPr>
        <w:t xml:space="preserve">AADLoginForWindows</w:t>
      </w:r>
      <w:r>
        <w:t xml:space="preserve"> </w:t>
      </w:r>
      <w:r>
        <w:t xml:space="preserve">OS-level Entra login extension, which requires Windows Server 2025. Windows Server 2025 supports both capabilities.</w:t>
      </w:r>
    </w:p>
    <w:p>
      <w:pPr>
        <w:pStyle w:val="BodyText"/>
      </w:pPr>
      <w:r>
        <w:t xml:space="preserve">That distinction matters for migration sequencing, and the audit captures it explicitly. The domain-join status of the host is recorded alongside it: a host already migrated to a non-domain-joined state under the Arc non-domain-join requirement occupies a different starting position than a domain-joined host, and the per-instance output must reflect that.</w:t>
      </w:r>
    </w:p>
    <w:p>
      <w:pPr>
        <w:pStyle w:val="BodyText"/>
      </w:pPr>
      <w:r>
        <w:t xml:space="preserve">Arc-enablement status — whether the Connected Machine agent is installed and the system-assigned Managed Identity is available — is the single most consequential classification output for migration prioritization.</w:t>
      </w:r>
    </w:p>
    <w:bookmarkEnd w:id="28"/>
    <w:bookmarkStart w:id="30" w:name="authentication-mode-configuration"/>
    <w:p>
      <w:pPr>
        <w:pStyle w:val="Heading2"/>
      </w:pPr>
      <w:r>
        <w:t xml:space="preserve">Authentication Mode Configuration</w:t>
      </w:r>
    </w:p>
    <w:p>
      <w:pPr>
        <w:pStyle w:val="FirstParagraph"/>
      </w:pPr>
      <w:r>
        <w:t xml:space="preserve">For each instance the script reads the authentication-mode configuration. SQL Server supports two modes: Windows Authentication mode and Mixed Mode.</w:t>
      </w:r>
      <w:r>
        <w:rPr>
          <w:rStyle w:val="FootnoteReference"/>
        </w:rPr>
        <w:footnoteReference w:id="29"/>
      </w:r>
      <w:r>
        <w:t xml:space="preserve"> </w:t>
      </w:r>
      <w:r>
        <w:t xml:space="preserve">In Windows Authentication mode, SQL Authentication logins are rejected at the connection level — no SQL Authentication credential is accepted regardless of whether a matching login exists in</w:t>
      </w:r>
      <w:r>
        <w:t xml:space="preserve"> </w:t>
      </w:r>
      <w:r>
        <w:rPr>
          <w:rStyle w:val="VerbatimChar"/>
        </w:rPr>
        <w:t xml:space="preserve">master</w:t>
      </w:r>
      <w:r>
        <w:t xml:space="preserve">. In Mixed Mode, both Windows Authentication and SQL Authentication are accepted. Microsoft Entra authentication, once configured, works alongside either mode; neither mode turns Windows authentication off.</w:t>
      </w:r>
    </w:p>
    <w:p>
      <w:pPr>
        <w:pStyle w:val="BodyText"/>
      </w:pPr>
      <w:r>
        <w:t xml:space="preserve">The mode is stored in the Windows registry at</w:t>
      </w:r>
      <w:r>
        <w:t xml:space="preserve"> </w:t>
      </w:r>
      <w:r>
        <w:rPr>
          <w:rStyle w:val="VerbatimChar"/>
        </w:rPr>
        <w:t xml:space="preserve">HKLM:\SOFTWARE\Microsoft\Microsoft SQL Server\[InstanceName]\MSSQLServer\LoginMode</w:t>
      </w:r>
      <w:r>
        <w:t xml:space="preserve">: a value of</w:t>
      </w:r>
      <w:r>
        <w:t xml:space="preserve"> </w:t>
      </w:r>
      <w:r>
        <w:rPr>
          <w:rStyle w:val="VerbatimChar"/>
        </w:rPr>
        <w:t xml:space="preserve">1</w:t>
      </w:r>
      <w:r>
        <w:t xml:space="preserve"> </w:t>
      </w:r>
      <w:r>
        <w:t xml:space="preserve">indicates Windows Authentication mode, and a value of</w:t>
      </w:r>
      <w:r>
        <w:t xml:space="preserve"> </w:t>
      </w:r>
      <w:r>
        <w:rPr>
          <w:rStyle w:val="VerbatimChar"/>
        </w:rPr>
        <w:t xml:space="preserve">2</w:t>
      </w:r>
      <w:r>
        <w:t xml:space="preserve"> </w:t>
      </w:r>
      <w:r>
        <w:t xml:space="preserve">indicates Mixed Mode.</w:t>
      </w:r>
    </w:p>
    <w:p>
      <w:pPr>
        <w:pStyle w:val="BodyText"/>
      </w:pPr>
      <w:r>
        <w:t xml:space="preserve">The audit reads this value directly and also cross-references it against the running instance with</w:t>
      </w:r>
      <w:r>
        <w:t xml:space="preserve"> </w:t>
      </w:r>
      <w:r>
        <w:rPr>
          <w:rStyle w:val="VerbatimChar"/>
        </w:rPr>
        <w:t xml:space="preserve">SERVERPROPERTY('IsIntegratedSecurityOnly')</w:t>
      </w:r>
      <w:r>
        <w:t xml:space="preserve">, which returns</w:t>
      </w:r>
      <w:r>
        <w:t xml:space="preserve"> </w:t>
      </w:r>
      <w:r>
        <w:rPr>
          <w:rStyle w:val="VerbatimChar"/>
        </w:rPr>
        <w:t xml:space="preserve">1</w:t>
      </w:r>
      <w:r>
        <w:t xml:space="preserve"> </w:t>
      </w:r>
      <w:r>
        <w:t xml:space="preserve">in Windows Authentication mode. Discrepancies between the registry value and the running configuration can occur after a manual reconfiguration without a service restart. Any discrepancy is flagged as an anomaly requiring resolution before the migration can proceed.</w:t>
      </w:r>
    </w:p>
    <w:bookmarkEnd w:id="30"/>
    <w:bookmarkStart w:id="37" w:name="login-type-classification"/>
    <w:p>
      <w:pPr>
        <w:pStyle w:val="Heading2"/>
      </w:pPr>
      <w:r>
        <w:t xml:space="preserve">Login Type Classification</w:t>
      </w:r>
    </w:p>
    <w:p>
      <w:pPr>
        <w:pStyle w:val="CaptionedFigure"/>
      </w:pPr>
      <w:r>
        <w:drawing>
          <wp:inline>
            <wp:extent cx="5334000" cy="2960076"/>
            <wp:effectExtent b="0" l="0" r="0" t="0"/>
            <wp:docPr descr="The login types the audit classifies, by sys.server_principals type, and what happens to each." title="" id="32" name="Picture"/>
            <a:graphic>
              <a:graphicData uri="http://schemas.openxmlformats.org/drawingml/2006/picture">
                <pic:pic>
                  <pic:nvPicPr>
                    <pic:cNvPr descr="/home/runner/work/modernization-workbook/modernization-workbook/docs/images/sql-server/diagrams/png/book-03-ch01-login-types.png" id="33" name="Picture"/>
                    <pic:cNvPicPr>
                      <a:picLocks noChangeArrowheads="1" noChangeAspect="1"/>
                    </pic:cNvPicPr>
                  </pic:nvPicPr>
                  <pic:blipFill>
                    <a:blip r:embed="rId31"/>
                    <a:stretch>
                      <a:fillRect/>
                    </a:stretch>
                  </pic:blipFill>
                  <pic:spPr bwMode="auto">
                    <a:xfrm>
                      <a:off x="0" y="0"/>
                      <a:ext cx="5334000" cy="2960076"/>
                    </a:xfrm>
                    <a:prstGeom prst="rect">
                      <a:avLst/>
                    </a:prstGeom>
                    <a:noFill/>
                    <a:ln w="9525">
                      <a:noFill/>
                      <a:headEnd/>
                      <a:tailEnd/>
                    </a:ln>
                  </pic:spPr>
                </pic:pic>
              </a:graphicData>
            </a:graphic>
          </wp:inline>
        </w:drawing>
      </w:r>
    </w:p>
    <w:p>
      <w:pPr>
        <w:pStyle w:val="ImageCaption"/>
      </w:pPr>
      <w:r>
        <w:t xml:space="preserve">The login types the audit classifies, by sys.server_principals type, and what happens to each.</w:t>
      </w:r>
    </w:p>
    <w:p>
      <w:pPr>
        <w:pStyle w:val="BodyText"/>
      </w:pPr>
      <w:r>
        <w:t xml:space="preserve">The script connects to each instance and queries the</w:t>
      </w:r>
      <w:r>
        <w:t xml:space="preserve"> </w:t>
      </w:r>
      <w:r>
        <w:rPr>
          <w:rStyle w:val="VerbatimChar"/>
        </w:rPr>
        <w:t xml:space="preserve">sys.server_principals</w:t>
      </w:r>
      <w:r>
        <w:t xml:space="preserve"> </w:t>
      </w:r>
      <w:r>
        <w:t xml:space="preserve">system view to enumerate all logins.</w:t>
      </w:r>
      <w:r>
        <w:rPr>
          <w:rStyle w:val="FootnoteReference"/>
        </w:rPr>
        <w:footnoteReference w:id="34"/>
      </w:r>
      <w:r>
        <w:t xml:space="preserve"> </w:t>
      </w:r>
      <w:r>
        <w:t xml:space="preserve">Each login is classified by type: Windows logins derived from individual AD user accounts (type</w:t>
      </w:r>
      <w:r>
        <w:t xml:space="preserve"> </w:t>
      </w:r>
      <w:r>
        <w:rPr>
          <w:rStyle w:val="VerbatimChar"/>
        </w:rPr>
        <w:t xml:space="preserve">U</w:t>
      </w:r>
      <w:r>
        <w:t xml:space="preserve">, mapped by SID to an AD user object); Windows logins derived from AD security groups (type</w:t>
      </w:r>
      <w:r>
        <w:t xml:space="preserve"> </w:t>
      </w:r>
      <w:r>
        <w:rPr>
          <w:rStyle w:val="VerbatimChar"/>
        </w:rPr>
        <w:t xml:space="preserve">G</w:t>
      </w:r>
      <w:r>
        <w:t xml:space="preserve">, mapped by SID to an AD group object); SQL Authentication logins with credentials stored in</w:t>
      </w:r>
      <w:r>
        <w:t xml:space="preserve"> </w:t>
      </w:r>
      <w:r>
        <w:rPr>
          <w:rStyle w:val="VerbatimChar"/>
        </w:rPr>
        <w:t xml:space="preserve">master</w:t>
      </w:r>
      <w:r>
        <w:t xml:space="preserve"> </w:t>
      </w:r>
      <w:r>
        <w:t xml:space="preserve">(type</w:t>
      </w:r>
      <w:r>
        <w:t xml:space="preserve"> </w:t>
      </w:r>
      <w:r>
        <w:rPr>
          <w:rStyle w:val="VerbatimChar"/>
        </w:rPr>
        <w:t xml:space="preserve">S</w:t>
      </w:r>
      <w:r>
        <w:t xml:space="preserve">); certificate-mapped logins (type</w:t>
      </w:r>
      <w:r>
        <w:t xml:space="preserve"> </w:t>
      </w:r>
      <w:r>
        <w:rPr>
          <w:rStyle w:val="VerbatimChar"/>
        </w:rPr>
        <w:t xml:space="preserve">C</w:t>
      </w:r>
      <w:r>
        <w:t xml:space="preserve">); and asymmetric key-mapped logins (type</w:t>
      </w:r>
      <w:r>
        <w:t xml:space="preserve"> </w:t>
      </w:r>
      <w:r>
        <w:rPr>
          <w:rStyle w:val="VerbatimChar"/>
        </w:rPr>
        <w:t xml:space="preserve">K</w:t>
      </w:r>
      <w:r>
        <w:t xml:space="preserve">).</w:t>
      </w:r>
    </w:p>
    <w:p>
      <w:pPr>
        <w:pStyle w:val="BodyText"/>
      </w:pPr>
      <w:r>
        <w:t xml:space="preserve">The count and identity of each type is reported per instance. The presence of active SQL Authentication logins — type</w:t>
      </w:r>
      <w:r>
        <w:t xml:space="preserve"> </w:t>
      </w:r>
      <w:r>
        <w:rPr>
          <w:rStyle w:val="VerbatimChar"/>
        </w:rPr>
        <w:t xml:space="preserve">S</w:t>
      </w:r>
      <w:r>
        <w:t xml:space="preserve"> </w:t>
      </w:r>
      <w:r>
        <w:t xml:space="preserve">— is a critical finding, because these logins are invisible to the Azure identity plane.</w:t>
      </w:r>
    </w:p>
    <w:p>
      <w:pPr>
        <w:pStyle w:val="BodyText"/>
      </w:pPr>
      <w:r>
        <w:t xml:space="preserve">Such logins must be either migrated to Entra ID equivalents — type</w:t>
      </w:r>
      <w:r>
        <w:t xml:space="preserve"> </w:t>
      </w:r>
      <w:r>
        <w:rPr>
          <w:rStyle w:val="VerbatimChar"/>
        </w:rPr>
        <w:t xml:space="preserve">E</w:t>
      </w:r>
      <w:r>
        <w:t xml:space="preserve">,</w:t>
      </w:r>
      <w:r>
        <w:t xml:space="preserve"> </w:t>
      </w:r>
      <w:r>
        <w:rPr>
          <w:rStyle w:val="VerbatimChar"/>
        </w:rPr>
        <w:t xml:space="preserve">FROM EXTERNAL PROVIDER</w:t>
      </w:r>
      <w:r>
        <w:t xml:space="preserve"> </w:t>
      </w:r>
      <w:r>
        <w:t xml:space="preserve">logins created in Book 05 — or formally excepted with documented justification before the SQL Server authentication transformation can be declared closed.</w:t>
      </w:r>
      <w:r>
        <w:rPr>
          <w:rStyle w:val="FootnoteReference"/>
        </w:rPr>
        <w:footnoteReference w:id="35"/>
      </w:r>
    </w:p>
    <w:p>
      <w:pPr>
        <w:pStyle w:val="BodyText"/>
      </w:pPr>
      <w:r>
        <w:t xml:space="preserve">The</w:t>
      </w:r>
      <w:r>
        <w:t xml:space="preserve"> </w:t>
      </w:r>
      <w:r>
        <w:rPr>
          <w:rStyle w:val="VerbatimChar"/>
        </w:rPr>
        <w:t xml:space="preserve">sa</w:t>
      </w:r>
      <w:r>
        <w:t xml:space="preserve"> </w:t>
      </w:r>
      <w:r>
        <w:t xml:space="preserve">account’s status is separately flagged: enabled, disabled, or renamed. An enabled</w:t>
      </w:r>
      <w:r>
        <w:t xml:space="preserve"> </w:t>
      </w:r>
      <w:r>
        <w:rPr>
          <w:rStyle w:val="VerbatimChar"/>
        </w:rPr>
        <w:t xml:space="preserve">sa</w:t>
      </w:r>
      <w:r>
        <w:t xml:space="preserve"> </w:t>
      </w:r>
      <w:r>
        <w:t xml:space="preserve">account with a non-rotated password is the highest-priority remediation finding in the audit output.</w:t>
      </w:r>
    </w:p>
    <w:bookmarkEnd w:id="37"/>
    <w:bookmarkStart w:id="41" w:name="Xfcd7f37e3b3aa5e8d9058790f5a3342046b9236"/>
    <w:p>
      <w:pPr>
        <w:pStyle w:val="Heading2"/>
      </w:pPr>
      <w:r>
        <w:t xml:space="preserve">Service Account Identity and SPN Registration</w:t>
      </w:r>
    </w:p>
    <w:p>
      <w:pPr>
        <w:pStyle w:val="FirstParagraph"/>
      </w:pPr>
      <w:r>
        <w:t xml:space="preserve">The script captures the identity of the Windows service account running the SQL Server engine process — the</w:t>
      </w:r>
      <w:r>
        <w:t xml:space="preserve"> </w:t>
      </w:r>
      <w:r>
        <w:rPr>
          <w:rStyle w:val="VerbatimChar"/>
        </w:rPr>
        <w:t xml:space="preserve">MSSQLSERVER</w:t>
      </w:r>
      <w:r>
        <w:t xml:space="preserve"> </w:t>
      </w:r>
      <w:r>
        <w:t xml:space="preserve">service or its named-instance equivalent — by querying the service configuration. This identifies whether the engine runs as a domain service account, a gMSA, the</w:t>
      </w:r>
      <w:r>
        <w:t xml:space="preserve"> </w:t>
      </w:r>
      <w:r>
        <w:rPr>
          <w:rStyle w:val="VerbatimChar"/>
        </w:rPr>
        <w:t xml:space="preserve">NT SERVICE\MSSQLSERVER</w:t>
      </w:r>
      <w:r>
        <w:t xml:space="preserve"> </w:t>
      </w:r>
      <w:r>
        <w:t xml:space="preserve">virtual account, or another identity.</w:t>
      </w:r>
      <w:r>
        <w:rPr>
          <w:rStyle w:val="FootnoteReference"/>
        </w:rPr>
        <w:footnoteReference w:id="38"/>
      </w:r>
    </w:p>
    <w:p>
      <w:pPr>
        <w:pStyle w:val="BodyText"/>
      </w:pPr>
      <w:r>
        <w:t xml:space="preserve">It then queries Active Directory — using the</w:t>
      </w:r>
      <w:r>
        <w:t xml:space="preserve"> </w:t>
      </w:r>
      <w:r>
        <w:rPr>
          <w:rStyle w:val="VerbatimChar"/>
        </w:rPr>
        <w:t xml:space="preserve">Get-ADServiceAccount</w:t>
      </w:r>
      <w:r>
        <w:t xml:space="preserve"> </w:t>
      </w:r>
      <w:r>
        <w:t xml:space="preserve">and</w:t>
      </w:r>
      <w:r>
        <w:t xml:space="preserve"> </w:t>
      </w:r>
      <w:r>
        <w:rPr>
          <w:rStyle w:val="VerbatimChar"/>
        </w:rPr>
        <w:t xml:space="preserve">setspn</w:t>
      </w:r>
      <w:r>
        <w:t xml:space="preserve"> </w:t>
      </w:r>
      <w:r>
        <w:t xml:space="preserve">equivalents — to determine whether the correct SPN is registered for the service account and the instance endpoint.</w:t>
      </w:r>
    </w:p>
    <w:p>
      <w:pPr>
        <w:pStyle w:val="BodyText"/>
      </w:pPr>
      <w:r>
        <w:t xml:space="preserve">The SPN check is one of the most operationally valuable outputs of the audit. SPN misconfiguration is the primary cause of NTLM fallback, and it is not visible without deliberately querying AD for it.</w:t>
      </w:r>
      <w:r>
        <w:rPr>
          <w:rStyle w:val="FootnoteReference"/>
        </w:rPr>
        <w:footnoteReference w:id="40"/>
      </w:r>
    </w:p>
    <w:p>
      <w:pPr>
        <w:pStyle w:val="BodyText"/>
      </w:pPr>
      <w:r>
        <w:t xml:space="preserve">An instance with a missing or incorrect SPN is generating NTLM traffic for every connection that expects Kerberos — and in most cases, the application teams generating those connections do not know it.</w:t>
      </w:r>
    </w:p>
    <w:bookmarkEnd w:id="41"/>
    <w:bookmarkStart w:id="47" w:name="the-arc-eligibility-output"/>
    <w:p>
      <w:pPr>
        <w:pStyle w:val="Heading2"/>
      </w:pPr>
      <w:r>
        <w:t xml:space="preserve">The Arc-Eligibility Output</w:t>
      </w:r>
    </w:p>
    <w:p>
      <w:pPr>
        <w:pStyle w:val="CaptionedFigure"/>
      </w:pPr>
      <w:r>
        <w:drawing>
          <wp:inline>
            <wp:extent cx="5334000" cy="3137243"/>
            <wp:effectExtent b="0" l="0" r="0" t="0"/>
            <wp:docPr descr="How the audit assigns each instance an Arc-eligibility category." title="" id="43" name="Picture"/>
            <a:graphic>
              <a:graphicData uri="http://schemas.openxmlformats.org/drawingml/2006/picture">
                <pic:pic>
                  <pic:nvPicPr>
                    <pic:cNvPr descr="/home/runner/work/modernization-workbook/modernization-workbook/docs/images/sql-server/diagrams/png/book-03-ch01-arc-eligibility-classification.png" id="44" name="Picture"/>
                    <pic:cNvPicPr>
                      <a:picLocks noChangeArrowheads="1" noChangeAspect="1"/>
                    </pic:cNvPicPr>
                  </pic:nvPicPr>
                  <pic:blipFill>
                    <a:blip r:embed="rId42"/>
                    <a:stretch>
                      <a:fillRect/>
                    </a:stretch>
                  </pic:blipFill>
                  <pic:spPr bwMode="auto">
                    <a:xfrm>
                      <a:off x="0" y="0"/>
                      <a:ext cx="5334000" cy="3137243"/>
                    </a:xfrm>
                    <a:prstGeom prst="rect">
                      <a:avLst/>
                    </a:prstGeom>
                    <a:noFill/>
                    <a:ln w="9525">
                      <a:noFill/>
                      <a:headEnd/>
                      <a:tailEnd/>
                    </a:ln>
                  </pic:spPr>
                </pic:pic>
              </a:graphicData>
            </a:graphic>
          </wp:inline>
        </w:drawing>
      </w:r>
    </w:p>
    <w:p>
      <w:pPr>
        <w:pStyle w:val="ImageCaption"/>
      </w:pPr>
      <w:r>
        <w:t xml:space="preserve">How the audit assigns each instance an Arc-eligibility category.</w:t>
      </w:r>
    </w:p>
    <w:p>
      <w:pPr>
        <w:pStyle w:val="BodyText"/>
      </w:pPr>
      <w:r>
        <w:t xml:space="preserve">The most consequential output of the audit is the Arc-eligibility classification it assigns to every instance. Every instance falls into one of three categories.</w:t>
      </w:r>
    </w:p>
    <w:p>
      <w:pPr>
        <w:pStyle w:val="BodyText"/>
      </w:pPr>
      <w:r>
        <w:t xml:space="preserve">Category 1 is Arc-eligible and Entra-auth-ready today: the server is already running the Connected Machine agent, the Azure extension for SQL Server has been deployed, the system-assigned managed identity is available, and the SQL Server version is 2022 or later.</w:t>
      </w:r>
      <w:r>
        <w:rPr>
          <w:rStyle w:val="FootnoteReference"/>
        </w:rPr>
        <w:footnoteReference w:id="45"/>
      </w:r>
      <w:r>
        <w:t xml:space="preserve"> </w:t>
      </w:r>
      <w:r>
        <w:t xml:space="preserve">A Category 1 instance can have its Entra ID logins created and its login migration begun immediately — it requires no further infrastructure work before Book 05’s migration pattern can be applied.</w:t>
      </w:r>
    </w:p>
    <w:p>
      <w:pPr>
        <w:pStyle w:val="BodyText"/>
      </w:pPr>
      <w:r>
        <w:t xml:space="preserve">Category 2 is Arc-eligible but not yet enabled: the host meets all the prerequisites for Arc enablement — Windows Server 2019 or later, network connectivity to the Azure Arc endpoint, SQL Server 2022 — but the Connected Machine agent has not been installed. A Category 2 instance requires Arc deployment as the prerequisite action before login migration can begin.</w:t>
      </w:r>
    </w:p>
    <w:p>
      <w:pPr>
        <w:pStyle w:val="BodyText"/>
      </w:pPr>
      <w:r>
        <w:t xml:space="preserve">Category 3 is not yet Arc-eligible. Either the SQL Server version is pre-2022 — 2019, 2017, or earlier — which means the engine cannot accept</w:t>
      </w:r>
      <w:r>
        <w:t xml:space="preserve"> </w:t>
      </w:r>
      <w:r>
        <w:rPr>
          <w:rStyle w:val="VerbatimChar"/>
        </w:rPr>
        <w:t xml:space="preserve">FROM EXTERNAL PROVIDER</w:t>
      </w:r>
      <w:r>
        <w:t xml:space="preserve"> </w:t>
      </w:r>
      <w:r>
        <w:t xml:space="preserve">logins regardless of Arc status, or the host has a configuration that prevents Arc enrollment.</w:t>
      </w:r>
    </w:p>
    <w:p>
      <w:pPr>
        <w:pStyle w:val="BodyText"/>
      </w:pPr>
      <w:r>
        <w:t xml:space="preserve">A Category 3 instance requires a SQL Server version upgrade as the gate before any Entra-auth migration can occur, and that upgrade timeline must be factored into the overall program sequencing against the 2027-04-01 NTLM deadline.</w:t>
      </w:r>
    </w:p>
    <w:bookmarkEnd w:id="47"/>
    <w:bookmarkStart w:id="50" w:name="the-compliance-monitoring-telemetry-sink"/>
    <w:p>
      <w:pPr>
        <w:pStyle w:val="Heading2"/>
      </w:pPr>
      <w:r>
        <w:t xml:space="preserve">The Compliance-Monitoring Telemetry Sink</w:t>
      </w:r>
    </w:p>
    <w:p>
      <w:pPr>
        <w:pStyle w:val="FirstParagraph"/>
      </w:pPr>
      <w:r>
        <w:t xml:space="preserve">The audit script’s output is not a standalone deliverable — it is the input to the compliance-monitoring pipeline. This is the architectural characteristic that distinguishes the authentication-audit script from a conventional discovery script.</w:t>
      </w:r>
    </w:p>
    <w:p>
      <w:pPr>
        <w:pStyle w:val="BodyText"/>
      </w:pPr>
      <w:r>
        <w:t xml:space="preserve">The continuous-compliance monitoring system is the program-level tracking system for SQL Server authentication state at the instance level. Each time the audit runs — and it is designed to run continuously, on a schedule, against the full estate — it produces a structured per-instance compliance record that the compliance-monitoring pipeline ingests.</w:t>
      </w:r>
    </w:p>
    <w:p>
      <w:pPr>
        <w:pStyle w:val="BodyText"/>
      </w:pPr>
      <w:r>
        <w:t xml:space="preserve">That pipeline computes the current authentication posture of the instance, compares it to the previous record, and flags any drift: a new SQL Authentication login that appeared since the last scan, an instance that has reverted from Windows Authentication mode back to Mixed Mode, a new linked-server definition that uses NTLM passthrough.</w:t>
      </w:r>
      <w:r>
        <w:rPr>
          <w:rStyle w:val="FootnoteReference"/>
        </w:rPr>
        <w:footnoteReference w:id="48"/>
      </w:r>
    </w:p>
    <w:p>
      <w:pPr>
        <w:pStyle w:val="BodyText"/>
      </w:pPr>
      <w:r>
        <w:t xml:space="preserve">Drift events are not informational — they are compliance violations that trigger the program’s remediation workflow. The required output is a per-instance compliance record, not a spreadsheet delivered to a program manager.</w:t>
      </w:r>
    </w:p>
    <w:p>
      <w:pPr>
        <w:pStyle w:val="BodyText"/>
      </w:pPr>
      <w:r>
        <w:rPr>
          <w:b/>
          <w:bCs/>
        </w:rPr>
        <w:t xml:space="preserve">What Book 03 establishes — Chapter 1</w:t>
      </w:r>
    </w:p>
    <w:p>
      <w:pPr>
        <w:pStyle w:val="Compact"/>
        <w:numPr>
          <w:ilvl w:val="0"/>
          <w:numId w:val="1002"/>
        </w:numPr>
      </w:pPr>
      <w:r>
        <w:t xml:space="preserve">The audit enumerates the surviving estate: version and OS, domain join, authentication mode, login types, and service-account and SPN posture.</w:t>
      </w:r>
    </w:p>
    <w:p>
      <w:pPr>
        <w:pStyle w:val="Compact"/>
        <w:numPr>
          <w:ilvl w:val="0"/>
          <w:numId w:val="1002"/>
        </w:numPr>
      </w:pPr>
      <w:r>
        <w:t xml:space="preserve">Every instance gets an Arc-eligibility category: Entra-ready (1), Arc-eligible but not enabled (2), or upgrade required (3).</w:t>
      </w:r>
    </w:p>
    <w:p>
      <w:pPr>
        <w:pStyle w:val="Compact"/>
        <w:numPr>
          <w:ilvl w:val="0"/>
          <w:numId w:val="1002"/>
        </w:numPr>
      </w:pPr>
      <w:r>
        <w:t xml:space="preserve">The output is a per-instance compliance record that re-runs as a drift-aware baseline, not a one-off spreadsheet.</w:t>
      </w:r>
    </w:p>
    <w:bookmarkEnd w:id="50"/>
    <w:bookmarkEnd w:id="51"/>
    <w:bookmarkStart w:id="68" w:name="X807c113ebcbd4ca9a6db8af1940ce0da594a683"/>
    <w:p>
      <w:pPr>
        <w:pStyle w:val="Heading1"/>
      </w:pPr>
      <w:r>
        <w:t xml:space="preserve">Chapter 2 — Reading the Audit: Classification and Triage</w:t>
      </w:r>
    </w:p>
    <w:p>
      <w:pPr>
        <w:pStyle w:val="FirstParagraph"/>
      </w:pPr>
      <w:r>
        <w:rPr>
          <w:i/>
          <w:iCs/>
        </w:rPr>
        <w:t xml:space="preserve">From a per-instance category to a defensible migration order — and the one distinction that prevents the program’s most common mistake.</w:t>
      </w:r>
    </w:p>
    <w:bookmarkStart w:id="52" w:name="in-this-chapter-1"/>
    <w:p>
      <w:pPr>
        <w:pStyle w:val="Heading2"/>
      </w:pPr>
      <w:r>
        <w:t xml:space="preserve">In this chapter</w:t>
      </w:r>
    </w:p>
    <w:p>
      <w:pPr>
        <w:pStyle w:val="FirstParagraph"/>
      </w:pPr>
      <w:r>
        <w:t xml:space="preserve">How to interpret each of the three Arc-eligibility categories the audit assigns, how the audit output should drive triage and prioritization within each category, and the architectural distinction between SQL Server engine Entra authentication and server OS Entra login capability — the Layer 1 versus Layer 2 separation that lets engine migration proceed on a host that is still domain-joined.</w:t>
      </w:r>
    </w:p>
    <w:bookmarkEnd w:id="52"/>
    <w:p>
      <w:pPr>
        <w:pStyle w:val="CaptionedFigure"/>
      </w:pPr>
      <w:r>
        <w:drawing>
          <wp:inline>
            <wp:extent cx="3504402" cy="5055530"/>
            <wp:effectExtent b="0" l="0" r="0" t="0"/>
            <wp:docPr descr="The triage action for each category, and the path from Category 3 and 2 to Category 1." title="" id="54" name="Picture"/>
            <a:graphic>
              <a:graphicData uri="http://schemas.openxmlformats.org/drawingml/2006/picture">
                <pic:pic>
                  <pic:nvPicPr>
                    <pic:cNvPr descr="/home/runner/work/modernization-workbook/modernization-workbook/docs/images/sql-server/diagrams/png/book-03-ch02-triage-by-category.png" id="55" name="Picture"/>
                    <pic:cNvPicPr>
                      <a:picLocks noChangeArrowheads="1" noChangeAspect="1"/>
                    </pic:cNvPicPr>
                  </pic:nvPicPr>
                  <pic:blipFill>
                    <a:blip r:embed="rId53"/>
                    <a:stretch>
                      <a:fillRect/>
                    </a:stretch>
                  </pic:blipFill>
                  <pic:spPr bwMode="auto">
                    <a:xfrm>
                      <a:off x="0" y="0"/>
                      <a:ext cx="3504402" cy="5055530"/>
                    </a:xfrm>
                    <a:prstGeom prst="rect">
                      <a:avLst/>
                    </a:prstGeom>
                    <a:noFill/>
                    <a:ln w="9525">
                      <a:noFill/>
                      <a:headEnd/>
                      <a:tailEnd/>
                    </a:ln>
                  </pic:spPr>
                </pic:pic>
              </a:graphicData>
            </a:graphic>
          </wp:inline>
        </w:drawing>
      </w:r>
    </w:p>
    <w:p>
      <w:pPr>
        <w:pStyle w:val="ImageCaption"/>
      </w:pPr>
      <w:r>
        <w:t xml:space="preserve">The triage action for each category, and the path from Category 3 and 2 to Category 1.</w:t>
      </w:r>
    </w:p>
    <w:bookmarkStart w:id="57" w:name="interpreting-category-1-entra-auth-ready"/>
    <w:p>
      <w:pPr>
        <w:pStyle w:val="Heading2"/>
      </w:pPr>
      <w:r>
        <w:t xml:space="preserve">Interpreting Category 1: Entra-Auth-Ready</w:t>
      </w:r>
    </w:p>
    <w:p>
      <w:pPr>
        <w:pStyle w:val="FirstParagraph"/>
      </w:pPr>
      <w:r>
        <w:t xml:space="preserve">A Category 1 classification is the program’s best starting position. It means the infrastructure prerequisites for Entra ID authentication are already in place — the Arc agent is running, the Azure extension for SQL Server is deployed, and the engine is running on SQL Server 2022.</w:t>
      </w:r>
      <w:r>
        <w:rPr>
          <w:rStyle w:val="FootnoteReference"/>
        </w:rPr>
        <w:footnoteReference w:id="56"/>
      </w:r>
    </w:p>
    <w:p>
      <w:pPr>
        <w:pStyle w:val="BodyText"/>
      </w:pPr>
      <w:r>
        <w:t xml:space="preserve">The Managed Identity for the server is available, and the SQL Server extension has registered the instance with the Arc data services plane. Nothing in the infrastructure stack remains to be built.</w:t>
      </w:r>
    </w:p>
    <w:p>
      <w:pPr>
        <w:pStyle w:val="BodyText"/>
      </w:pPr>
      <w:r>
        <w:t xml:space="preserve">The migration work for a Category 1 instance therefore begins with the login inventory from the audit: how many Windows logins exist, what AD groups are mapped to SQL Server roles, and whether any SQL Authentication logins need to be addressed before or alongside the Windows login migration. The specific migration steps are documented in Book 05.</w:t>
      </w:r>
    </w:p>
    <w:p>
      <w:pPr>
        <w:pStyle w:val="BodyText"/>
      </w:pPr>
      <w:r>
        <w:t xml:space="preserve">The point here is that the audit has done its job for a Category 1 instance when it delivers a precise login inventory. The infrastructure work is already done, and the migration can proceed without any further prerequisites.</w:t>
      </w:r>
    </w:p>
    <w:bookmarkEnd w:id="57"/>
    <w:bookmarkStart w:id="60" w:name="X49bc70aebcd2879871c2b76b2f1f08de8dc8e8a"/>
    <w:p>
      <w:pPr>
        <w:pStyle w:val="Heading2"/>
      </w:pPr>
      <w:r>
        <w:t xml:space="preserve">Interpreting Category 2: Arc-Eligible but Not Enabled</w:t>
      </w:r>
    </w:p>
    <w:p>
      <w:pPr>
        <w:pStyle w:val="FirstParagraph"/>
      </w:pPr>
      <w:r>
        <w:t xml:space="preserve">A Category 2 instance requires an Arc deployment action before login migration can begin. The audit output for such an instance should be used to prioritize that deployment.</w:t>
      </w:r>
    </w:p>
    <w:p>
      <w:pPr>
        <w:pStyle w:val="BodyText"/>
      </w:pPr>
      <w:r>
        <w:t xml:space="preserve">Instances with a large number of Windows logins, active SQL Authentication logins, or missing SPN registrations — and therefore NTLM-generating connections — are higher priority for Arc deployment than instances with simple, well-configured Windows Authentication.</w:t>
      </w:r>
      <w:r>
        <w:rPr>
          <w:rStyle w:val="FootnoteReference"/>
        </w:rPr>
        <w:footnoteReference w:id="58"/>
      </w:r>
    </w:p>
    <w:p>
      <w:pPr>
        <w:pStyle w:val="BodyText"/>
      </w:pPr>
      <w:r>
        <w:t xml:space="preserve">The Arc deployment itself is not a SQL Server change. It is a server-level action that installs the Connected Machine agent and the SQL Server extension.</w:t>
      </w:r>
      <w:r>
        <w:rPr>
          <w:rStyle w:val="FootnoteReference"/>
        </w:rPr>
        <w:footnoteReference w:id="59"/>
      </w:r>
      <w:r>
        <w:t xml:space="preserve"> </w:t>
      </w:r>
      <w:r>
        <w:t xml:space="preserve">Book 03 describes the Arc deployment sequence in detail.</w:t>
      </w:r>
    </w:p>
    <w:p>
      <w:pPr>
        <w:pStyle w:val="BodyText"/>
      </w:pPr>
      <w:r>
        <w:t xml:space="preserve">Once Arc deployment is complete and the SQL Server extension confirms the Managed Identity is available, the instance re-classifies from Category 2 to Category 1 on the next audit run, and the login migration can begin.</w:t>
      </w:r>
    </w:p>
    <w:bookmarkEnd w:id="60"/>
    <w:bookmarkStart w:id="62" w:name="X2b2aeda0f3b0a3a9681652b7623a7da92d0f0d0"/>
    <w:p>
      <w:pPr>
        <w:pStyle w:val="Heading2"/>
      </w:pPr>
      <w:r>
        <w:t xml:space="preserve">Interpreting Category 3: Version Upgrade Required</w:t>
      </w:r>
    </w:p>
    <w:p>
      <w:pPr>
        <w:pStyle w:val="FirstParagraph"/>
      </w:pPr>
      <w:r>
        <w:t xml:space="preserve">A Category 3 instance is the most operationally complex. A pre-2022 instance cannot accept</w:t>
      </w:r>
      <w:r>
        <w:t xml:space="preserve"> </w:t>
      </w:r>
      <w:r>
        <w:rPr>
          <w:rStyle w:val="VerbatimChar"/>
        </w:rPr>
        <w:t xml:space="preserve">FROM EXTERNAL PROVIDER</w:t>
      </w:r>
      <w:r>
        <w:t xml:space="preserve"> </w:t>
      </w:r>
      <w:r>
        <w:t xml:space="preserve">logins regardless of any other configuration change.</w:t>
      </w:r>
      <w:r>
        <w:rPr>
          <w:rStyle w:val="FootnoteReference"/>
        </w:rPr>
        <w:footnoteReference w:id="61"/>
      </w:r>
    </w:p>
    <w:p>
      <w:pPr>
        <w:pStyle w:val="BodyText"/>
      </w:pPr>
      <w:r>
        <w:t xml:space="preserve">The</w:t>
      </w:r>
      <w:r>
        <w:t xml:space="preserve"> </w:t>
      </w:r>
      <w:r>
        <w:rPr>
          <w:rStyle w:val="VerbatimChar"/>
        </w:rPr>
        <w:t xml:space="preserve">CREATE LOGIN [user@tenant] FROM EXTERNAL PROVIDER</w:t>
      </w:r>
      <w:r>
        <w:t xml:space="preserve"> </w:t>
      </w:r>
      <w:r>
        <w:t xml:space="preserve">syntax was introduced in SQL Server 2022 as part of the Azure extension for SQL Server integration. Earlier versions do not support the syntax at all — it produces a parse error.</w:t>
      </w:r>
    </w:p>
    <w:p>
      <w:pPr>
        <w:pStyle w:val="BodyText"/>
      </w:pPr>
      <w:r>
        <w:t xml:space="preserve">A Category 3 instance therefore has two possible paths: upgrade the SQL Server engine to 2022 and then proceed through the Category 2 pathway, or document a formal exception with a sunset date for the instance.</w:t>
      </w:r>
    </w:p>
    <w:p>
      <w:pPr>
        <w:pStyle w:val="BodyText"/>
      </w:pPr>
      <w:r>
        <w:t xml:space="preserve">Given the 2027-04-01 NTLM elimination deadline, a Category 3 instance that cannot be upgraded to SQL Server 2022 before that date will face NTLM failure regardless of exception status. The NTLM block is network-level, not application-level, and it does not distinguish between instances that are excepted from the transformation and instances that are not.</w:t>
      </w:r>
    </w:p>
    <w:p>
      <w:pPr>
        <w:pStyle w:val="BodyText"/>
      </w:pPr>
      <w:r>
        <w:t xml:space="preserve">The version-upgrade timeline for Category 3 instances must be integrated into the SQL Server engine-authentication migration plan as an explicit dependency.</w:t>
      </w:r>
    </w:p>
    <w:bookmarkEnd w:id="62"/>
    <w:bookmarkStart w:id="67" w:name="X10944a1dc5c38702cabe0b84c9325a1c8f2a051"/>
    <w:p>
      <w:pPr>
        <w:pStyle w:val="Heading2"/>
      </w:pPr>
      <w:r>
        <w:t xml:space="preserve">The SQL Engine vs. OS Entra Auth Distinction</w:t>
      </w:r>
    </w:p>
    <w:p>
      <w:pPr>
        <w:pStyle w:val="CaptionedFigure"/>
      </w:pPr>
      <w:r>
        <w:drawing>
          <wp:inline>
            <wp:extent cx="5334000" cy="3020953"/>
            <wp:effectExtent b="0" l="0" r="0" t="0"/>
            <wp:docPr descr="SQL engine Entra authentication and OS-level Entra sign-in are independent tracks." title="" id="64" name="Picture"/>
            <a:graphic>
              <a:graphicData uri="http://schemas.openxmlformats.org/drawingml/2006/picture">
                <pic:pic>
                  <pic:nvPicPr>
                    <pic:cNvPr descr="/home/runner/work/modernization-workbook/modernization-workbook/docs/images/sql-server/diagrams/png/book-03-ch02-engine-vs-os-sign-in.png" id="65" name="Picture"/>
                    <pic:cNvPicPr>
                      <a:picLocks noChangeArrowheads="1" noChangeAspect="1"/>
                    </pic:cNvPicPr>
                  </pic:nvPicPr>
                  <pic:blipFill>
                    <a:blip r:embed="rId63"/>
                    <a:stretch>
                      <a:fillRect/>
                    </a:stretch>
                  </pic:blipFill>
                  <pic:spPr bwMode="auto">
                    <a:xfrm>
                      <a:off x="0" y="0"/>
                      <a:ext cx="5334000" cy="3020953"/>
                    </a:xfrm>
                    <a:prstGeom prst="rect">
                      <a:avLst/>
                    </a:prstGeom>
                    <a:noFill/>
                    <a:ln w="9525">
                      <a:noFill/>
                      <a:headEnd/>
                      <a:tailEnd/>
                    </a:ln>
                  </pic:spPr>
                </pic:pic>
              </a:graphicData>
            </a:graphic>
          </wp:inline>
        </w:drawing>
      </w:r>
    </w:p>
    <w:p>
      <w:pPr>
        <w:pStyle w:val="ImageCaption"/>
      </w:pPr>
      <w:r>
        <w:t xml:space="preserve">SQL engine Entra authentication and OS-level Entra sign-in are independent tracks.</w:t>
      </w:r>
    </w:p>
    <w:p>
      <w:pPr>
        <w:pStyle w:val="BodyText"/>
      </w:pPr>
      <w:r>
        <w:t xml:space="preserve">One of the most important clarifications the audit output must carry — and that the teams reading it must internalize — is the architectural distinction between SQL Server engine Entra authentication and server OS Entra ID login capability. These are two separate capabilities with separate prerequisites, and confusing them is the most common misunderstanding this program will encounter.</w:t>
      </w:r>
    </w:p>
    <w:p>
      <w:pPr>
        <w:pStyle w:val="BodyText"/>
      </w:pPr>
      <w:r>
        <w:t xml:space="preserve">SQL Server engine Entra authentication — Layer 1, the capability described in this series — requires the Arc Connected Machine agent, the Azure extension for SQL Server, and SQL Server 2022. It does not require the server to be domain-unjoined, and it does not require Windows Server 2025.</w:t>
      </w:r>
    </w:p>
    <w:p>
      <w:pPr>
        <w:pStyle w:val="BodyText"/>
      </w:pPr>
      <w:r>
        <w:t xml:space="preserve">A domain-joined Windows Server 2019 host running SQL Server 2022 with Arc installed can have Entra ID-backed SQL Server logins today, while the server itself remains domain-joined and continues to authenticate OS-level users via Kerberos to the domain controller.</w:t>
      </w:r>
      <w:r>
        <w:rPr>
          <w:rStyle w:val="FootnoteReference"/>
        </w:rPr>
        <w:footnoteReference w:id="66"/>
      </w:r>
    </w:p>
    <w:p>
      <w:pPr>
        <w:pStyle w:val="BodyText"/>
      </w:pPr>
      <w:r>
        <w:t xml:space="preserve">Server OS Entra ID login capability — Layer 2, the ability for administrators to RDP into the server using Entra ID credentials instead of domain credentials — is a separate transformation governed by the Arc non-domain-join requirement. It requires domain unjoin and Windows Server 2025 with Desktop Experience.</w:t>
      </w:r>
    </w:p>
    <w:p>
      <w:pPr>
        <w:pStyle w:val="BodyText"/>
      </w:pPr>
      <w:r>
        <w:t xml:space="preserve">The two capabilities are related — both are part of the SQL Server authentication transformation — but they are sequenced independently, and the SQL Server engine migration can and should proceed first.</w:t>
      </w:r>
    </w:p>
    <w:p>
      <w:pPr>
        <w:pStyle w:val="BodyText"/>
      </w:pPr>
      <w:r>
        <w:t xml:space="preserve">This sequencing point must be explicit in every instance of audit output that classifies a server as</w:t>
      </w:r>
      <w:r>
        <w:t xml:space="preserve"> </w:t>
      </w:r>
      <w:r>
        <w:t xml:space="preserve">“not yet domain-unjoined.”</w:t>
      </w:r>
      <w:r>
        <w:t xml:space="preserve"> </w:t>
      </w:r>
      <w:r>
        <w:t xml:space="preserve">The correct interpretation is not</w:t>
      </w:r>
      <w:r>
        <w:t xml:space="preserve"> </w:t>
      </w:r>
      <w:r>
        <w:t xml:space="preserve">“SQL Server migration blocked”</w:t>
      </w:r>
      <w:r>
        <w:t xml:space="preserve"> </w:t>
      </w:r>
      <w:r>
        <w:t xml:space="preserve">but</w:t>
      </w:r>
      <w:r>
        <w:t xml:space="preserve"> </w:t>
      </w:r>
      <w:r>
        <w:t xml:space="preserve">“OS-level Entra login not yet available; SQL engine migration can proceed.”</w:t>
      </w:r>
    </w:p>
    <w:p>
      <w:pPr>
        <w:pStyle w:val="BodyText"/>
      </w:pPr>
      <w:r>
        <w:rPr>
          <w:b/>
          <w:bCs/>
        </w:rPr>
        <w:t xml:space="preserve">What Book 03 establishes — Chapter 2</w:t>
      </w:r>
    </w:p>
    <w:p>
      <w:pPr>
        <w:pStyle w:val="Compact"/>
        <w:numPr>
          <w:ilvl w:val="0"/>
          <w:numId w:val="1003"/>
        </w:numPr>
      </w:pPr>
      <w:r>
        <w:t xml:space="preserve">Category 1 migrates now; Category 2 gets Arc and becomes Category 1; Category 3 upgrades or carries a dated exception.</w:t>
      </w:r>
    </w:p>
    <w:p>
      <w:pPr>
        <w:pStyle w:val="Compact"/>
        <w:numPr>
          <w:ilvl w:val="0"/>
          <w:numId w:val="1003"/>
        </w:numPr>
      </w:pPr>
      <w:r>
        <w:t xml:space="preserve">SQL-engine Entra authentication (Layer 1) needs only Arc, the SQL extension and SQL Server 2022 or later.</w:t>
      </w:r>
    </w:p>
    <w:p>
      <w:pPr>
        <w:pStyle w:val="Compact"/>
        <w:numPr>
          <w:ilvl w:val="0"/>
          <w:numId w:val="1003"/>
        </w:numPr>
      </w:pPr>
      <w:r>
        <w:t xml:space="preserve">Layer 1 proceeds on domain-joined hosts and never waits for OS-level Entra login (Layer 2).</w:t>
      </w:r>
    </w:p>
    <w:bookmarkEnd w:id="67"/>
    <w:bookmarkEnd w:id="6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Microsoft Learn,</w:t>
      </w:r>
      <w:r>
        <w:t xml:space="preserve"> </w:t>
      </w:r>
      <w:hyperlink r:id="rId21">
        <w:r>
          <w:rPr>
            <w:rStyle w:val="Hyperlink"/>
          </w:rPr>
          <w:t xml:space="preserve">Azure Arc-enabled servers overview</w:t>
        </w:r>
      </w:hyperlink>
      <w:r>
        <w:t xml:space="preserve">.</w:t>
      </w:r>
    </w:p>
  </w:footnote>
  <w:footnote w:id="22">
    <w:p>
      <w:pPr>
        <w:pStyle w:val="FootnoteText"/>
      </w:pPr>
      <w:r>
        <w:rPr>
          <w:rStyle w:val="FootnoteReference"/>
        </w:rPr>
        <w:footnoteRef/>
      </w:r>
      <w:r>
        <w:t xml:space="preserve"> </w:t>
      </w:r>
      <w:r>
        <w:t xml:space="preserve">Microsoft Learn,</w:t>
      </w:r>
      <w:r>
        <w:t xml:space="preserve"> </w:t>
      </w:r>
      <w:hyperlink r:id="rId23">
        <w:r>
          <w:rPr>
            <w:rStyle w:val="Hyperlink"/>
          </w:rPr>
          <w:t xml:space="preserve">Connected Machine agent prerequisites</w:t>
        </w:r>
      </w:hyperlink>
      <w:r>
        <w:t xml:space="preserve">.</w:t>
      </w:r>
    </w:p>
  </w:footnote>
  <w:footnote w:id="24">
    <w:p>
      <w:pPr>
        <w:pStyle w:val="FootnoteText"/>
      </w:pPr>
      <w:r>
        <w:rPr>
          <w:rStyle w:val="FootnoteReference"/>
        </w:rPr>
        <w:footnoteRef/>
      </w:r>
      <w:r>
        <w:t xml:space="preserve"> </w:t>
      </w:r>
      <w:r>
        <w:t xml:space="preserve">Microsoft Learn,</w:t>
      </w:r>
      <w:r>
        <w:t xml:space="preserve"> </w:t>
      </w:r>
      <w:hyperlink r:id="rId25">
        <w:r>
          <w:rPr>
            <w:rStyle w:val="Hyperlink"/>
          </w:rPr>
          <w:t xml:space="preserve">Microsoft Entra authentication for SQL Server overview</w:t>
        </w:r>
      </w:hyperlink>
      <w:r>
        <w:t xml:space="preserve">.</w:t>
      </w:r>
    </w:p>
  </w:footnote>
  <w:footnote w:id="26">
    <w:p>
      <w:pPr>
        <w:pStyle w:val="FootnoteText"/>
      </w:pPr>
      <w:r>
        <w:rPr>
          <w:rStyle w:val="FootnoteReference"/>
        </w:rPr>
        <w:footnoteRef/>
      </w:r>
      <w:r>
        <w:t xml:space="preserve"> </w:t>
      </w:r>
      <w:r>
        <w:t xml:space="preserve">Microsoft Learn,</w:t>
      </w:r>
      <w:r>
        <w:t xml:space="preserve"> </w:t>
      </w:r>
      <w:hyperlink r:id="rId27">
        <w:r>
          <w:rPr>
            <w:rStyle w:val="Hyperlink"/>
          </w:rPr>
          <w:t xml:space="preserve">Managed identity overview — SQL Server enabled by Azure Arc</w:t>
        </w:r>
      </w:hyperlink>
      <w:r>
        <w:t xml:space="preserve">.</w:t>
      </w:r>
    </w:p>
  </w:footnote>
  <w:footnote w:id="29">
    <w:p>
      <w:pPr>
        <w:pStyle w:val="FootnoteText"/>
      </w:pPr>
      <w:r>
        <w:rPr>
          <w:rStyle w:val="FootnoteReference"/>
        </w:rPr>
        <w:footnoteRef/>
      </w:r>
      <w:r>
        <w:t xml:space="preserve"> </w:t>
      </w:r>
      <w:r>
        <w:t xml:space="preserve">Microsoft Learn,</w:t>
      </w:r>
      <w:r>
        <w:t xml:space="preserve"> </w:t>
      </w:r>
      <w:hyperlink r:id="rId15">
        <w:r>
          <w:rPr>
            <w:rStyle w:val="Hyperlink"/>
          </w:rPr>
          <w:t xml:space="preserve">Change server authentication mode</w:t>
        </w:r>
      </w:hyperlink>
      <w:r>
        <w:t xml:space="preserve">.</w:t>
      </w:r>
    </w:p>
  </w:footnote>
  <w:footnote w:id="34">
    <w:p>
      <w:pPr>
        <w:pStyle w:val="FootnoteText"/>
      </w:pPr>
      <w:r>
        <w:rPr>
          <w:rStyle w:val="FootnoteReference"/>
        </w:rPr>
        <w:footnoteRef/>
      </w:r>
      <w:r>
        <w:t xml:space="preserve"> </w:t>
      </w:r>
      <w:r>
        <w:t xml:space="preserve">Microsoft Learn,</w:t>
      </w:r>
      <w:r>
        <w:t xml:space="preserve"> </w:t>
      </w:r>
      <w:hyperlink r:id="rId13">
        <w:r>
          <w:rPr>
            <w:rStyle w:val="Hyperlink"/>
          </w:rPr>
          <w:t xml:space="preserve">sys.server_principals (Transact-SQL)</w:t>
        </w:r>
      </w:hyperlink>
      <w:r>
        <w:t xml:space="preserve">.</w:t>
      </w:r>
    </w:p>
  </w:footnote>
  <w:footnote w:id="35">
    <w:p>
      <w:pPr>
        <w:pStyle w:val="FootnoteText"/>
      </w:pPr>
      <w:r>
        <w:rPr>
          <w:rStyle w:val="FootnoteReference"/>
        </w:rPr>
        <w:footnoteRef/>
      </w:r>
      <w:r>
        <w:t xml:space="preserve"> </w:t>
      </w:r>
      <w:r>
        <w:t xml:space="preserve">Microsoft Learn,</w:t>
      </w:r>
      <w:r>
        <w:t xml:space="preserve"> </w:t>
      </w:r>
      <w:hyperlink r:id="rId36">
        <w:r>
          <w:rPr>
            <w:rStyle w:val="Hyperlink"/>
          </w:rPr>
          <w:t xml:space="preserve">CREATE LOGIN (Transact-SQL)</w:t>
        </w:r>
      </w:hyperlink>
      <w:r>
        <w:t xml:space="preserve">.</w:t>
      </w:r>
    </w:p>
  </w:footnote>
  <w:footnote w:id="38">
    <w:p>
      <w:pPr>
        <w:pStyle w:val="FootnoteText"/>
      </w:pPr>
      <w:r>
        <w:rPr>
          <w:rStyle w:val="FootnoteReference"/>
        </w:rPr>
        <w:footnoteRef/>
      </w:r>
      <w:r>
        <w:t xml:space="preserve"> </w:t>
      </w:r>
      <w:r>
        <w:t xml:space="preserve">Microsoft Learn,</w:t>
      </w:r>
      <w:r>
        <w:t xml:space="preserve"> </w:t>
      </w:r>
      <w:hyperlink r:id="rId39">
        <w:r>
          <w:rPr>
            <w:rStyle w:val="Hyperlink"/>
          </w:rPr>
          <w:t xml:space="preserve">Group Managed Service Accounts overview</w:t>
        </w:r>
      </w:hyperlink>
      <w:r>
        <w:t xml:space="preserve">.</w:t>
      </w:r>
    </w:p>
  </w:footnote>
  <w:footnote w:id="40">
    <w:p>
      <w:pPr>
        <w:pStyle w:val="FootnoteText"/>
      </w:pPr>
      <w:r>
        <w:rPr>
          <w:rStyle w:val="FootnoteReference"/>
        </w:rPr>
        <w:footnoteRef/>
      </w:r>
      <w:r>
        <w:t xml:space="preserve"> </w:t>
      </w:r>
      <w:r>
        <w:t xml:space="preserve">Microsoft Learn,</w:t>
      </w:r>
      <w:r>
        <w:t xml:space="preserve"> </w:t>
      </w:r>
      <w:hyperlink r:id="rId16">
        <w:r>
          <w:rPr>
            <w:rStyle w:val="Hyperlink"/>
          </w:rPr>
          <w:t xml:space="preserve">Register a Service Principal Name for Kerberos connections</w:t>
        </w:r>
      </w:hyperlink>
      <w:r>
        <w:t xml:space="preserve">.</w:t>
      </w:r>
    </w:p>
  </w:footnote>
  <w:footnote w:id="45">
    <w:p>
      <w:pPr>
        <w:pStyle w:val="FootnoteText"/>
      </w:pPr>
      <w:r>
        <w:rPr>
          <w:rStyle w:val="FootnoteReference"/>
        </w:rPr>
        <w:footnoteRef/>
      </w:r>
      <w:r>
        <w:t xml:space="preserve"> </w:t>
      </w:r>
      <w:r>
        <w:t xml:space="preserve">Microsoft Learn,</w:t>
      </w:r>
      <w:r>
        <w:t xml:space="preserve"> </w:t>
      </w:r>
      <w:hyperlink r:id="rId46">
        <w:r>
          <w:rPr>
            <w:rStyle w:val="Hyperlink"/>
          </w:rPr>
          <w:t xml:space="preserve">Overview — SQL Server enabled by Azure Arc</w:t>
        </w:r>
      </w:hyperlink>
      <w:r>
        <w:t xml:space="preserve">.</w:t>
      </w:r>
    </w:p>
  </w:footnote>
  <w:footnote w:id="48">
    <w:p>
      <w:pPr>
        <w:pStyle w:val="FootnoteText"/>
      </w:pPr>
      <w:r>
        <w:rPr>
          <w:rStyle w:val="FootnoteReference"/>
        </w:rPr>
        <w:footnoteRef/>
      </w:r>
      <w:r>
        <w:t xml:space="preserve"> </w:t>
      </w:r>
      <w:r>
        <w:t xml:space="preserve">Microsoft Learn,</w:t>
      </w:r>
      <w:r>
        <w:t xml:space="preserve"> </w:t>
      </w:r>
      <w:hyperlink r:id="rId49">
        <w:r>
          <w:rPr>
            <w:rStyle w:val="Hyperlink"/>
          </w:rPr>
          <w:t xml:space="preserve">Linked server for SQL Server with Microsoft Entra authentication</w:t>
        </w:r>
      </w:hyperlink>
      <w:r>
        <w:t xml:space="preserve">.</w:t>
      </w:r>
    </w:p>
  </w:footnote>
  <w:footnote w:id="56">
    <w:p>
      <w:pPr>
        <w:pStyle w:val="FootnoteText"/>
      </w:pPr>
      <w:r>
        <w:rPr>
          <w:rStyle w:val="FootnoteReference"/>
        </w:rPr>
        <w:footnoteRef/>
      </w:r>
      <w:r>
        <w:t xml:space="preserve"> </w:t>
      </w:r>
      <w:r>
        <w:t xml:space="preserve">Microsoft Learn,</w:t>
      </w:r>
      <w:r>
        <w:t xml:space="preserve"> </w:t>
      </w:r>
      <w:hyperlink r:id="rId46">
        <w:r>
          <w:rPr>
            <w:rStyle w:val="Hyperlink"/>
          </w:rPr>
          <w:t xml:space="preserve">Overview — SQL Server enabled by Azure Arc</w:t>
        </w:r>
      </w:hyperlink>
      <w:r>
        <w:t xml:space="preserve">.</w:t>
      </w:r>
    </w:p>
  </w:footnote>
  <w:footnote w:id="58">
    <w:p>
      <w:pPr>
        <w:pStyle w:val="FootnoteText"/>
      </w:pPr>
      <w:r>
        <w:rPr>
          <w:rStyle w:val="FootnoteReference"/>
        </w:rPr>
        <w:footnoteRef/>
      </w:r>
      <w:r>
        <w:t xml:space="preserve"> </w:t>
      </w:r>
      <w:r>
        <w:t xml:space="preserve">Microsoft Learn,</w:t>
      </w:r>
      <w:r>
        <w:t xml:space="preserve"> </w:t>
      </w:r>
      <w:hyperlink r:id="rId16">
        <w:r>
          <w:rPr>
            <w:rStyle w:val="Hyperlink"/>
          </w:rPr>
          <w:t xml:space="preserve">Register a Service Principal Name for Kerberos connections</w:t>
        </w:r>
      </w:hyperlink>
      <w:r>
        <w:t xml:space="preserve">.</w:t>
      </w:r>
    </w:p>
  </w:footnote>
  <w:footnote w:id="59">
    <w:p>
      <w:pPr>
        <w:pStyle w:val="FootnoteText"/>
      </w:pPr>
      <w:r>
        <w:rPr>
          <w:rStyle w:val="FootnoteReference"/>
        </w:rPr>
        <w:footnoteRef/>
      </w:r>
      <w:r>
        <w:t xml:space="preserve"> </w:t>
      </w:r>
      <w:r>
        <w:t xml:space="preserve">Microsoft Learn,</w:t>
      </w:r>
      <w:r>
        <w:t xml:space="preserve"> </w:t>
      </w:r>
      <w:hyperlink r:id="rId21">
        <w:r>
          <w:rPr>
            <w:rStyle w:val="Hyperlink"/>
          </w:rPr>
          <w:t xml:space="preserve">Azure Arc-enabled servers overview</w:t>
        </w:r>
      </w:hyperlink>
      <w:r>
        <w:t xml:space="preserve">.</w:t>
      </w:r>
    </w:p>
  </w:footnote>
  <w:footnote w:id="61">
    <w:p>
      <w:pPr>
        <w:pStyle w:val="FootnoteText"/>
      </w:pPr>
      <w:r>
        <w:rPr>
          <w:rStyle w:val="FootnoteReference"/>
        </w:rPr>
        <w:footnoteRef/>
      </w:r>
      <w:r>
        <w:t xml:space="preserve"> </w:t>
      </w:r>
      <w:r>
        <w:t xml:space="preserve">Microsoft Learn,</w:t>
      </w:r>
      <w:r>
        <w:t xml:space="preserve"> </w:t>
      </w:r>
      <w:hyperlink r:id="rId36">
        <w:r>
          <w:rPr>
            <w:rStyle w:val="Hyperlink"/>
          </w:rPr>
          <w:t xml:space="preserve">CREATE LOGIN (Transact-SQL)</w:t>
        </w:r>
      </w:hyperlink>
      <w:r>
        <w:t xml:space="preserve">.</w:t>
      </w:r>
    </w:p>
  </w:footnote>
  <w:footnote w:id="66">
    <w:p>
      <w:pPr>
        <w:pStyle w:val="FootnoteText"/>
      </w:pPr>
      <w:r>
        <w:rPr>
          <w:rStyle w:val="FootnoteReference"/>
        </w:rPr>
        <w:footnoteRef/>
      </w:r>
      <w:r>
        <w:t xml:space="preserve"> </w:t>
      </w:r>
      <w:r>
        <w:t xml:space="preserve">Microsoft Learn,</w:t>
      </w:r>
      <w:r>
        <w:t xml:space="preserve"> </w:t>
      </w:r>
      <w:hyperlink r:id="rId25">
        <w:r>
          <w:rPr>
            <w:rStyle w:val="Hyperlink"/>
          </w:rPr>
          <w:t xml:space="preserve">Microsoft Entra authentication for SQL Server overview</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 Target="media/rId10.png" /><Relationship Type="http://schemas.openxmlformats.org/officeDocument/2006/relationships/image" Id="rId42" Target="media/rId42.png" /><Relationship Type="http://schemas.openxmlformats.org/officeDocument/2006/relationships/image" Id="rId31" Target="media/rId31.png" /><Relationship Type="http://schemas.openxmlformats.org/officeDocument/2006/relationships/image" Id="rId63" Target="media/rId63.png" /><Relationship Type="http://schemas.openxmlformats.org/officeDocument/2006/relationships/image" Id="rId53" Target="media/rId53.png" /><Relationship Type="http://schemas.openxmlformats.org/officeDocument/2006/relationships/hyperlink" Id="rId21" Target="https://learn.microsoft.com/en-us/azure/azure-arc/servers/overview" TargetMode="External" /><Relationship Type="http://schemas.openxmlformats.org/officeDocument/2006/relationships/hyperlink" Id="rId23" Target="https://learn.microsoft.com/en-us/azure/azure-arc/servers/prerequisites" TargetMode="External" /><Relationship Type="http://schemas.openxmlformats.org/officeDocument/2006/relationships/hyperlink" Id="rId15" Target="https://learn.microsoft.com/en-us/sql/database-engine/configure-windows/change-server-authentication-mode?view=sql-server-ver17" TargetMode="External" /><Relationship Type="http://schemas.openxmlformats.org/officeDocument/2006/relationships/hyperlink" Id="rId16" Target="https://learn.microsoft.com/en-us/sql/database-engine/configure-windows/register-a-service-principal-name-for-kerberos-connections?view=sql-server-ver17" TargetMode="External" /><Relationship Type="http://schemas.openxmlformats.org/officeDocument/2006/relationships/hyperlink" Id="rId49" Target="https://learn.microsoft.com/en-us/sql/relational-databases/security/authentication-access/azure-ad-authentication-sql-server-linked-server?view=sql-server-ver17" TargetMode="External" /><Relationship Type="http://schemas.openxmlformats.org/officeDocument/2006/relationships/hyperlink" Id="rId25" Target="https://learn.microsoft.com/en-us/sql/relational-databases/security/authentication-access/azure-ad-authentication-sql-server-overview?view=sql-server-ver17" TargetMode="External" /><Relationship Type="http://schemas.openxmlformats.org/officeDocument/2006/relationships/hyperlink" Id="rId13" Target="https://learn.microsoft.com/en-us/sql/relational-databases/system-catalog-views/sys-server-principals-transact-sql?view=sql-server-ver17" TargetMode="External" /><Relationship Type="http://schemas.openxmlformats.org/officeDocument/2006/relationships/hyperlink" Id="rId14" Target="https://learn.microsoft.com/en-us/sql/relational-databases/system-dynamic-management-views/sys-dm-exec-connections-transact-sql?view=sql-server-ver17" TargetMode="External" /><Relationship Type="http://schemas.openxmlformats.org/officeDocument/2006/relationships/hyperlink" Id="rId27" Target="https://learn.microsoft.com/en-us/sql/sql-server/azure-arc/managed-identity?view=sql-server-ver17" TargetMode="External" /><Relationship Type="http://schemas.openxmlformats.org/officeDocument/2006/relationships/hyperlink" Id="rId46" Target="https://learn.microsoft.com/en-us/sql/sql-server/azure-arc/overview?view=sql-server-ver17" TargetMode="External" /><Relationship Type="http://schemas.openxmlformats.org/officeDocument/2006/relationships/hyperlink" Id="rId36" Target="https://learn.microsoft.com/en-us/sql/t-sql/statements/create-login-transact-sql?view=sql-server-ver17" TargetMode="External" /><Relationship Type="http://schemas.openxmlformats.org/officeDocument/2006/relationships/hyperlink" Id="rId39" Target="https://learn.microsoft.com/en-us/windows-server/identity/ad-ds/manage/group-managed-service-accounts/group-managed-service-accounts/group-managed-service-accounts-overview" TargetMode="External" /><Relationship Type="http://schemas.openxmlformats.org/officeDocument/2006/relationships/hyperlink" Id="rId17" Target="https://support.microsoft.com/en-us/servicing/os/windows/2025/07/overview-of-ntlm-auditing-enhancements-in-windows-11-version-24h2-and-windows-server-2025" TargetMode="External" /></Relationships>
</file>

<file path=word/_rels/footnotes.xml.rels><?xml version="1.0" encoding="UTF-8"?><Relationships xmlns="http://schemas.openxmlformats.org/package/2006/relationships"><Relationship Type="http://schemas.openxmlformats.org/officeDocument/2006/relationships/hyperlink" Id="rId21" Target="https://learn.microsoft.com/en-us/azure/azure-arc/servers/overview" TargetMode="External" /><Relationship Type="http://schemas.openxmlformats.org/officeDocument/2006/relationships/hyperlink" Id="rId23" Target="https://learn.microsoft.com/en-us/azure/azure-arc/servers/prerequisites" TargetMode="External" /><Relationship Type="http://schemas.openxmlformats.org/officeDocument/2006/relationships/hyperlink" Id="rId15" Target="https://learn.microsoft.com/en-us/sql/database-engine/configure-windows/change-server-authentication-mode?view=sql-server-ver17" TargetMode="External" /><Relationship Type="http://schemas.openxmlformats.org/officeDocument/2006/relationships/hyperlink" Id="rId16" Target="https://learn.microsoft.com/en-us/sql/database-engine/configure-windows/register-a-service-principal-name-for-kerberos-connections?view=sql-server-ver17" TargetMode="External" /><Relationship Type="http://schemas.openxmlformats.org/officeDocument/2006/relationships/hyperlink" Id="rId49" Target="https://learn.microsoft.com/en-us/sql/relational-databases/security/authentication-access/azure-ad-authentication-sql-server-linked-server?view=sql-server-ver17" TargetMode="External" /><Relationship Type="http://schemas.openxmlformats.org/officeDocument/2006/relationships/hyperlink" Id="rId25" Target="https://learn.microsoft.com/en-us/sql/relational-databases/security/authentication-access/azure-ad-authentication-sql-server-overview?view=sql-server-ver17" TargetMode="External" /><Relationship Type="http://schemas.openxmlformats.org/officeDocument/2006/relationships/hyperlink" Id="rId13" Target="https://learn.microsoft.com/en-us/sql/relational-databases/system-catalog-views/sys-server-principals-transact-sql?view=sql-server-ver17" TargetMode="External" /><Relationship Type="http://schemas.openxmlformats.org/officeDocument/2006/relationships/hyperlink" Id="rId14" Target="https://learn.microsoft.com/en-us/sql/relational-databases/system-dynamic-management-views/sys-dm-exec-connections-transact-sql?view=sql-server-ver17" TargetMode="External" /><Relationship Type="http://schemas.openxmlformats.org/officeDocument/2006/relationships/hyperlink" Id="rId27" Target="https://learn.microsoft.com/en-us/sql/sql-server/azure-arc/managed-identity?view=sql-server-ver17" TargetMode="External" /><Relationship Type="http://schemas.openxmlformats.org/officeDocument/2006/relationships/hyperlink" Id="rId46" Target="https://learn.microsoft.com/en-us/sql/sql-server/azure-arc/overview?view=sql-server-ver17" TargetMode="External" /><Relationship Type="http://schemas.openxmlformats.org/officeDocument/2006/relationships/hyperlink" Id="rId36" Target="https://learn.microsoft.com/en-us/sql/t-sql/statements/create-login-transact-sql?view=sql-server-ver17" TargetMode="External" /><Relationship Type="http://schemas.openxmlformats.org/officeDocument/2006/relationships/hyperlink" Id="rId39" Target="https://learn.microsoft.com/en-us/windows-server/identity/ad-ds/manage/group-managed-service-accounts/group-managed-service-accounts/group-managed-service-accounts-overview" TargetMode="External" /><Relationship Type="http://schemas.openxmlformats.org/officeDocument/2006/relationships/hyperlink" Id="rId17" Target="https://support.microsoft.com/en-us/servicing/os/windows/2025/07/overview-of-ntlm-auditing-enhancements-in-windows-11-version-24h2-and-windows-server-202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Book_03 — Discovery: The Authentication Audit</dc:title>
  <dc:creator/>
  <cp:keywords/>
  <dcterms:created xsi:type="dcterms:W3CDTF">2026-10-19T10:17:29Z</dcterms:created>
  <dcterms:modified xsi:type="dcterms:W3CDTF">2026-10-19T10:17:29Z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SQL Server Identity Transformation — Narrative Series</vt:lpwstr>
  </property>
</Properties>
</file>