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Book_11 — Epilogue: The Platform Question</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book_11-epilogue-the-platform-question"/>
    <w:p>
      <w:pPr>
        <w:pStyle w:val="Heading1"/>
      </w:pPr>
      <w:r>
        <w:t xml:space="preserve">Book_11 — Epilogue: The Platform Question</w:t>
      </w:r>
    </w:p>
    <w:bookmarkEnd w:id="9"/>
    <w:bookmarkStart w:id="10" w:name="Xc0594d6f8263f206fa20733c1dad4a113d233ef"/>
    <w:p>
      <w:pPr>
        <w:pStyle w:val="Heading2"/>
      </w:pPr>
      <w:r>
        <w:t xml:space="preserve">An epilogue, not an eleventh migration step</w:t>
      </w:r>
    </w:p>
    <w:p>
      <w:pPr>
        <w:pStyle w:val="FirstParagraph"/>
      </w:pPr>
      <w:r>
        <w:t xml:space="preserve">Books 01–10 are the SQL Server Identity Transformation. This epilogue starts where they end: with a rationalized estate whose authentication has moved to Microsoft Entra ID. Nothing in Books 01–10 depends on it.</w:t>
      </w:r>
    </w:p>
    <w:bookmarkEnd w:id="10"/>
    <w:bookmarkStart w:id="11" w:name="the-fragmentation-cost"/>
    <w:p>
      <w:pPr>
        <w:pStyle w:val="Heading2"/>
      </w:pPr>
      <w:r>
        <w:t xml:space="preserve">The Fragmentation Cost</w:t>
      </w:r>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11"/>
    <w:bookmarkStart w:id="15" w:name="three-destinations"/>
    <w:p>
      <w:pPr>
        <w:pStyle w:val="Heading2"/>
      </w:pPr>
      <w:r>
        <w:t xml:space="preserve">Three Destinations</w:t>
      </w:r>
    </w:p>
    <w:p>
      <w:pPr>
        <w:pStyle w:val="CaptionedFigure"/>
      </w:pPr>
      <w:r>
        <w:drawing>
          <wp:inline>
            <wp:extent cx="5334000" cy="2061028"/>
            <wp:effectExtent b="0" l="0" r="0" t="0"/>
            <wp:docPr descr="The three candidate destinations for a retained data domain." title="" id="13" name="Picture"/>
            <a:graphic>
              <a:graphicData uri="http://schemas.openxmlformats.org/drawingml/2006/picture">
                <pic:pic>
                  <pic:nvPicPr>
                    <pic:cNvPr descr="/home/runner/work/modernization-workbook/modernization-workbook/docs/images/sql-server/diagrams/png/book-11-three-destinations.png" id="14" name="Picture"/>
                    <pic:cNvPicPr>
                      <a:picLocks noChangeArrowheads="1" noChangeAspect="1"/>
                    </pic:cNvPicPr>
                  </pic:nvPicPr>
                  <pic:blipFill>
                    <a:blip r:embed="rId12"/>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 authentication that is observable and conditionable in the identity plane. This epilogue doesn’t rank them. Which one fits depends on the data domain, so the decision is made with a framework rather than a verdict.</w:t>
      </w:r>
    </w:p>
    <w:bookmarkEnd w:id="15"/>
    <w:bookmarkStart w:id="16" w:name="decision-framework"/>
    <w:p>
      <w:pPr>
        <w:pStyle w:val="Heading2"/>
      </w:pPr>
      <w:r>
        <w:t xml:space="preserve">Decision Framework</w:t>
      </w:r>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w:t>
      </w:r>
    </w:p>
    <w:bookmarkEnd w:id="16"/>
    <w:bookmarkStart w:id="20" w:name="decision-sequence"/>
    <w:p>
      <w:pPr>
        <w:pStyle w:val="Heading2"/>
      </w:pPr>
      <w:r>
        <w:t xml:space="preserve">Decision Sequence</w:t>
      </w:r>
    </w:p>
    <w:p>
      <w:pPr>
        <w:pStyle w:val="CaptionedFigure"/>
      </w:pPr>
      <w:r>
        <w:drawing>
          <wp:inline>
            <wp:extent cx="5334000" cy="1284713"/>
            <wp:effectExtent b="0" l="0" r="0" t="0"/>
            <wp:docPr descr="The platform decision comes after the forced authentication move." title="" id="18" name="Picture"/>
            <a:graphic>
              <a:graphicData uri="http://schemas.openxmlformats.org/drawingml/2006/picture">
                <pic:pic>
                  <pic:nvPicPr>
                    <pic:cNvPr descr="/home/runner/work/modernization-workbook/modernization-workbook/docs/images/sql-server/diagrams/png/book-11-decision-sequence.png" id="19" name="Picture"/>
                    <pic:cNvPicPr>
                      <a:picLocks noChangeArrowheads="1" noChangeAspect="1"/>
                    </pic:cNvPicPr>
                  </pic:nvPicPr>
                  <pic:blipFill>
                    <a:blip r:embed="rId17"/>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01"/>
        </w:numPr>
      </w:pPr>
      <w:r>
        <w:t xml:space="preserve">Audit and rationalize first (Books 02–03). Inventory every instance, surface silent NTLM fallback, and classify each instance retire, consolidate or retain.</w:t>
      </w:r>
    </w:p>
    <w:p>
      <w:pPr>
        <w:pStyle w:val="Compact"/>
        <w:numPr>
          <w:ilvl w:val="0"/>
          <w:numId w:val="1001"/>
        </w:numPr>
      </w:pPr>
      <w:r>
        <w:t xml:space="preserve">Do the forced authentication move on the retained set (Books 04–06): Arc-enable, stand up Entra logins alongside Windows logins, cut over, retire the old logins.</w:t>
      </w:r>
    </w:p>
    <w:p>
      <w:pPr>
        <w:pStyle w:val="Compact"/>
        <w:numPr>
          <w:ilvl w:val="0"/>
          <w:numId w:val="1001"/>
        </w:numPr>
      </w:pPr>
      <w:r>
        <w:t xml:space="preserve">Then make the platform choice per data domain. Re-platforming follows the same parallel-run discipline — establish the target, validate in parallel, cut over only after the validation window. Never drop before you observe.</w:t>
      </w:r>
    </w:p>
    <w:p>
      <w:pPr>
        <w:pStyle w:val="FirstParagraph"/>
      </w:pPr>
      <w:r>
        <w:rPr>
          <w:b/>
          <w:bCs/>
        </w:rPr>
        <w:t xml:space="preserve">What Book 11 establishes</w:t>
      </w:r>
    </w:p>
    <w:p>
      <w:pPr>
        <w:pStyle w:val="Compact"/>
        <w:numPr>
          <w:ilvl w:val="0"/>
          <w:numId w:val="1002"/>
        </w:numPr>
      </w:pPr>
      <w:r>
        <w:t xml:space="preserve">The authentication transformation produces the inventory that scopes the platform decision.</w:t>
      </w:r>
    </w:p>
    <w:p>
      <w:pPr>
        <w:pStyle w:val="Compact"/>
        <w:numPr>
          <w:ilvl w:val="0"/>
          <w:numId w:val="1002"/>
        </w:numPr>
      </w:pPr>
      <w:r>
        <w:t xml:space="preserve">The decision is made per data domain against a common set of dimensions and evidence, and two estates with two answers is normal.</w:t>
      </w:r>
    </w:p>
    <w:p>
      <w:pPr>
        <w:pStyle w:val="Compact"/>
        <w:numPr>
          <w:ilvl w:val="0"/>
          <w:numId w:val="1002"/>
        </w:numPr>
      </w:pPr>
      <w:r>
        <w:t xml:space="preserve">The goal is fewer authoritative platforms, not a single vendor.</w:t>
      </w:r>
    </w:p>
    <w:p>
      <w:pPr>
        <w:pStyle w:val="FirstParagraph"/>
      </w:pPr>
      <w:r>
        <w:rPr>
          <w:b/>
          <w:bCs/>
        </w:rPr>
        <w:t xml:space="preserve">Place in the dependency chain:</w:t>
      </w:r>
      <w:r>
        <w:t xml:space="preserve"> </w:t>
      </w:r>
      <w:r>
        <w:t xml:space="preserve">Epilogue, after step 9.</w:t>
      </w:r>
    </w:p>
    <w:bookmarkEnd w:id="20"/>
    <w:bookmarkStart w:id="24" w:name="authoritative-references"/>
    <w:p>
      <w:pPr>
        <w:pStyle w:val="Heading2"/>
      </w:pPr>
      <w:r>
        <w:t xml:space="preserve">Authoritative references</w:t>
      </w:r>
    </w:p>
    <w:p>
      <w:pPr>
        <w:pStyle w:val="FirstParagraph"/>
      </w:pPr>
      <w:r>
        <w:t xml:space="preserve">Checked 19 October 2026.</w:t>
      </w:r>
    </w:p>
    <w:p>
      <w:pPr>
        <w:pStyle w:val="Compact"/>
        <w:numPr>
          <w:ilvl w:val="0"/>
          <w:numId w:val="1003"/>
        </w:numPr>
      </w:pPr>
      <w:hyperlink r:id="rId21">
        <w:r>
          <w:rPr>
            <w:rStyle w:val="Hyperlink"/>
          </w:rPr>
          <w:t xml:space="preserve">Migrate SQL Server Windows users and groups to SQL Managed Instance using T-SQL</w:t>
        </w:r>
      </w:hyperlink>
    </w:p>
    <w:p>
      <w:pPr>
        <w:pStyle w:val="Compact"/>
        <w:numPr>
          <w:ilvl w:val="0"/>
          <w:numId w:val="1003"/>
        </w:numPr>
      </w:pPr>
      <w:hyperlink r:id="rId22">
        <w:r>
          <w:rPr>
            <w:rStyle w:val="Hyperlink"/>
          </w:rPr>
          <w:t xml:space="preserve">Microsoft Entra authentication for SQL Server overview</w:t>
        </w:r>
      </w:hyperlink>
    </w:p>
    <w:p>
      <w:pPr>
        <w:pStyle w:val="Compact"/>
        <w:numPr>
          <w:ilvl w:val="0"/>
          <w:numId w:val="1003"/>
        </w:numPr>
      </w:pPr>
      <w:hyperlink r:id="rId23">
        <w:r>
          <w:rPr>
            <w:rStyle w:val="Hyperlink"/>
          </w:rPr>
          <w:t xml:space="preserve">SQL Server enabled by Azure Arc — overview</w:t>
        </w:r>
      </w:hyperlink>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12" Target="media/rId12.png" /><Relationship Type="http://schemas.openxmlformats.org/officeDocument/2006/relationships/hyperlink" Id="rId21" Target="https://learn.microsoft.com/en-us/azure/azure-sql/managed-instance/migrate-sql-server-users-to-instance-transact-sql-tsql-tutorial?view=azuresql" TargetMode="External" /><Relationship Type="http://schemas.openxmlformats.org/officeDocument/2006/relationships/hyperlink" Id="rId22" Target="https://learn.microsoft.com/en-us/sql/relational-databases/security/authentication-access/azure-ad-authentication-sql-server-overview?view=sql-server-ver17" TargetMode="External" /><Relationship Type="http://schemas.openxmlformats.org/officeDocument/2006/relationships/hyperlink" Id="rId23" Target="https://learn.microsoft.com/en-us/sql/sql-server/azure-arc/overview?view=sql-server-ver17"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azure/azure-sql/managed-instance/migrate-sql-server-users-to-instance-transact-sql-tsql-tutorial?view=azuresql" TargetMode="External" /><Relationship Type="http://schemas.openxmlformats.org/officeDocument/2006/relationships/hyperlink" Id="rId22" Target="https://learn.microsoft.com/en-us/sql/relational-databases/security/authentication-access/azure-ad-authentication-sql-server-overview?view=sql-server-ver17" TargetMode="External" /><Relationship Type="http://schemas.openxmlformats.org/officeDocument/2006/relationships/hyperlink" Id="rId23" Target="https://learn.microsoft.com/en-us/sql/sql-server/azure-arc/overview?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Book_11 — Epilogue: The Platform Question</dc:title>
  <dc:creator/>
  <cp:keywords/>
  <dcterms:created xsi:type="dcterms:W3CDTF">2026-10-19T10:17:31Z</dcterms:created>
  <dcterms:modified xsi:type="dcterms:W3CDTF">2026-10-19T10:17:31Z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