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png" ContentType="image/png"/>
  <Override PartName="/word/media/rId58.png" ContentType="image/png"/>
  <Override PartName="/word/media/rId79.png" ContentType="image/png"/>
  <Override PartName="/word/media/rId118.png" ContentType="image/png"/>
  <Override PartName="/word/media/rId176.png" ContentType="image/png"/>
  <Override PartName="/word/media/rId136.png" ContentType="image/png"/>
  <Override PartName="/word/media/rId262.png" ContentType="image/png"/>
  <Override PartName="/word/media/rId253.png" ContentType="image/png"/>
  <Override PartName="/word/media/rId381.png" ContentType="image/png"/>
  <Override PartName="/word/media/rId345.png" ContentType="image/png"/>
  <Override PartName="/word/media/rId406.png" ContentType="image/png"/>
  <Override PartName="/word/media/rId436.png" ContentType="image/png"/>
  <Override PartName="/word/media/rId586.png" ContentType="image/png"/>
  <Override PartName="/word/media/rId542.png" ContentType="image/png"/>
  <Override PartName="/word/media/rId741.png" ContentType="image/png"/>
  <Override PartName="/word/media/rId652.png" ContentType="image/png"/>
  <Override PartName="/word/media/rId595.png" ContentType="image/png"/>
  <Override PartName="/word/media/rId785.png" ContentType="image/png"/>
  <Override PartName="/word/media/rId843.png" ContentType="image/png"/>
  <Override PartName="/word/media/rId961.png" ContentType="image/png"/>
  <Override PartName="/word/media/rId1088.png" ContentType="image/png"/>
  <Override PartName="/word/media/rId1181.png" ContentType="image/png"/>
  <Override PartName="/word/media/rId113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 02 — Identity &amp; Directory</w:t>
      </w:r>
    </w:p>
    <w:p>
      <w:pPr>
        <w:pStyle w:val="Subtitle"/>
      </w:pPr>
      <w:r>
        <w:t xml:space="preserve">Active Directory to Entra ID — Modernization Workbook, combined edition</w:t>
      </w:r>
    </w:p>
    <w:sdt>
      <w:sdtPr>
        <w:docPartObj>
          <w:docPartGallery w:val="Table of Contents"/>
          <w:docPartUnique/>
        </w:docPartObj>
      </w:sdtPr>
      <w:sdtContent>
        <w:p>
          <w:pPr>
            <w:pStyle w:val="TOCHeading"/>
          </w:pPr>
          <w:r>
            <w:t xml:space="preserve">Table of Contents</w:t>
          </w:r>
        </w:p>
        <w:p>
          <w:pPr>
            <w:pStyle w:val="TOC1"/>
          </w:pPr>
          <w:r>
            <w:fldChar w:fldCharType="begin" w:dirty="true"/>
          </w:r>
          <w:r>
            <w:instrText xml:space="preserve">TOC \o "1-2" \h \z \u</w:instrText>
          </w:r>
          <w:r>
            <w:fldChar w:fldCharType="separate"/>
          </w:r>
          <w:hyperlink w:anchor="_Toc00001362" w:history="1">
            <w:r>
              <w:t xml:space="preserve">Book 02 — Identity &amp; Directory: Active Directory to Entra ID</w:t>
            </w:r>
          </w:hyperlink>
        </w:p>
        <w:p>
          <w:pPr>
            <w:pStyle w:val="TOC2"/>
          </w:pPr>
          <w:hyperlink w:anchor="_Toc00001363" w:history="1">
            <w:r>
              <w:t xml:space="preserve">Status — draft book</w:t>
            </w:r>
          </w:hyperlink>
        </w:p>
        <w:p>
          <w:pPr>
            <w:pStyle w:val="TOC2"/>
          </w:pPr>
          <w:hyperlink w:anchor="_Toc00001364" w:history="1">
            <w:r>
              <w:t xml:space="preserve">Why, what, who, how</w:t>
            </w:r>
          </w:hyperlink>
        </w:p>
        <w:p>
          <w:pPr>
            <w:pStyle w:val="TOC2"/>
          </w:pPr>
          <w:hyperlink w:anchor="_Toc00001365" w:history="1">
            <w:r>
              <w:t xml:space="preserve">Reading paths</w:t>
            </w:r>
          </w:hyperlink>
        </w:p>
        <w:p>
          <w:pPr>
            <w:pStyle w:val="TOC2"/>
          </w:pPr>
          <w:hyperlink w:anchor="_Toc00001366" w:history="1">
            <w:r>
              <w:t xml:space="preserve">Where this book sits in the workbook</w:t>
            </w:r>
          </w:hyperlink>
        </w:p>
        <w:p>
          <w:pPr>
            <w:pStyle w:val="TOC1"/>
          </w:pPr>
          <w:hyperlink w:anchor="_Toc00001367" w:history="1">
            <w:r>
              <w:t xml:space="preserve">Chapter 01 — Why Identity Matters</w:t>
            </w:r>
          </w:hyperlink>
        </w:p>
        <w:p>
          <w:pPr>
            <w:pStyle w:val="TOC2"/>
          </w:pPr>
          <w:hyperlink w:anchor="_Toc00001368" w:history="1">
            <w:r>
              <w:t xml:space="preserve">In this chapter</w:t>
            </w:r>
          </w:hyperlink>
        </w:p>
        <w:p>
          <w:pPr>
            <w:pStyle w:val="TOC2"/>
          </w:pPr>
          <w:hyperlink w:anchor="_Toc00001369" w:history="1">
            <w:r>
              <w:t xml:space="preserve">The access decision moved to identity</w:t>
            </w:r>
          </w:hyperlink>
        </w:p>
        <w:p>
          <w:pPr>
            <w:pStyle w:val="TOC2"/>
          </w:pPr>
          <w:hyperlink w:anchor="_Toc00001370" w:history="1">
            <w:r>
              <w:t xml:space="preserve">What twenty-five years of Active Directory accumulated</w:t>
            </w:r>
          </w:hyperlink>
        </w:p>
        <w:p>
          <w:pPr>
            <w:pStyle w:val="TOC2"/>
          </w:pPr>
          <w:hyperlink w:anchor="_Toc00001371" w:history="1">
            <w:r>
              <w:t xml:space="preserve">Why the move to Entra ID is forced</w:t>
            </w:r>
          </w:hyperlink>
        </w:p>
        <w:p>
          <w:pPr>
            <w:pStyle w:val="TOC2"/>
          </w:pPr>
          <w:hyperlink w:anchor="_Toc00001372" w:history="1">
            <w:r>
              <w:t xml:space="preserve">What a lift-and-shift puts at risk</w:t>
            </w:r>
          </w:hyperlink>
        </w:p>
        <w:p>
          <w:pPr>
            <w:pStyle w:val="TOC2"/>
          </w:pPr>
          <w:hyperlink w:anchor="_Toc00001373" w:history="1">
            <w:r>
              <w:t xml:space="preserve">An illustrative starting point</w:t>
            </w:r>
          </w:hyperlink>
        </w:p>
        <w:p>
          <w:pPr>
            <w:pStyle w:val="TOC2"/>
          </w:pPr>
          <w:hyperlink w:anchor="_Toc00001374" w:history="1">
            <w:r>
              <w:t xml:space="preserve">The argument in brief</w:t>
            </w:r>
          </w:hyperlink>
        </w:p>
        <w:p>
          <w:pPr>
            <w:pStyle w:val="TOC2"/>
          </w:pPr>
          <w:hyperlink w:anchor="_Toc00001375" w:history="1">
            <w:r>
              <w:t xml:space="preserve">Continue the book</w:t>
            </w:r>
          </w:hyperlink>
        </w:p>
        <w:p>
          <w:pPr>
            <w:pStyle w:val="TOC1"/>
          </w:pPr>
          <w:hyperlink w:anchor="_Toc00001376" w:history="1">
            <w:r>
              <w:t xml:space="preserve">Chapter 02 — The Structural Problem</w:t>
            </w:r>
          </w:hyperlink>
        </w:p>
        <w:p>
          <w:pPr>
            <w:pStyle w:val="TOC2"/>
          </w:pPr>
          <w:hyperlink w:anchor="_Toc00001377" w:history="1">
            <w:r>
              <w:t xml:space="preserve">In this chapter</w:t>
            </w:r>
          </w:hyperlink>
        </w:p>
        <w:p>
          <w:pPr>
            <w:pStyle w:val="TOC2"/>
          </w:pPr>
          <w:hyperlink w:anchor="_Toc00001378" w:history="1">
            <w:r>
              <w:t xml:space="preserve">Hierarchy is the governance model</w:t>
            </w:r>
          </w:hyperlink>
        </w:p>
        <w:p>
          <w:pPr>
            <w:pStyle w:val="TOC2"/>
          </w:pPr>
          <w:hyperlink w:anchor="_Toc00001379" w:history="1">
            <w:r>
              <w:t xml:space="preserve">Two limits decide whether the mapping works</w:t>
            </w:r>
          </w:hyperlink>
        </w:p>
        <w:p>
          <w:pPr>
            <w:pStyle w:val="TOC2"/>
          </w:pPr>
          <w:hyperlink w:anchor="_Toc00001380" w:history="1">
            <w:r>
              <w:t xml:space="preserve">Every delegation concept needs an explicit counterpart</w:t>
            </w:r>
          </w:hyperlink>
        </w:p>
        <w:p>
          <w:pPr>
            <w:pStyle w:val="TOC2"/>
          </w:pPr>
          <w:hyperlink w:anchor="_Toc00001381" w:history="1">
            <w:r>
              <w:t xml:space="preserve">The session-versus-telemetry divide</w:t>
            </w:r>
          </w:hyperlink>
        </w:p>
        <w:p>
          <w:pPr>
            <w:pStyle w:val="TOC2"/>
          </w:pPr>
          <w:hyperlink w:anchor="_Toc00001382" w:history="1">
            <w:r>
              <w:t xml:space="preserve">Why it breaks at the FedRAMP boundary</w:t>
            </w:r>
          </w:hyperlink>
        </w:p>
        <w:p>
          <w:pPr>
            <w:pStyle w:val="TOC2"/>
          </w:pPr>
          <w:hyperlink w:anchor="_Toc00001383" w:history="1">
            <w:r>
              <w:t xml:space="preserve">Why nobody wants to own it</w:t>
            </w:r>
          </w:hyperlink>
        </w:p>
        <w:p>
          <w:pPr>
            <w:pStyle w:val="TOC2"/>
          </w:pPr>
          <w:hyperlink w:anchor="_Toc00001384" w:history="1">
            <w:r>
              <w:t xml:space="preserve">The migration is a governance event</w:t>
            </w:r>
          </w:hyperlink>
        </w:p>
        <w:p>
          <w:pPr>
            <w:pStyle w:val="TOC2"/>
          </w:pPr>
          <w:hyperlink w:anchor="_Toc00001385" w:history="1">
            <w:r>
              <w:t xml:space="preserve">Continue the book</w:t>
            </w:r>
          </w:hyperlink>
        </w:p>
        <w:p>
          <w:pPr>
            <w:pStyle w:val="TOC1"/>
          </w:pPr>
          <w:hyperlink w:anchor="_Toc00001386" w:history="1">
            <w:r>
              <w:t xml:space="preserve">Chapter 03 — Active Directory and Entra ID, Side by Side</w:t>
            </w:r>
          </w:hyperlink>
        </w:p>
        <w:p>
          <w:pPr>
            <w:pStyle w:val="TOC2"/>
          </w:pPr>
          <w:hyperlink w:anchor="_Toc00001387" w:history="1">
            <w:r>
              <w:t xml:space="preserve">In this chapter</w:t>
            </w:r>
          </w:hyperlink>
        </w:p>
        <w:p>
          <w:pPr>
            <w:pStyle w:val="TOC2"/>
          </w:pPr>
          <w:hyperlink w:anchor="_Toc00001388" w:history="1">
            <w:r>
              <w:t xml:space="preserve">The shift in one paragraph</w:t>
            </w:r>
          </w:hyperlink>
        </w:p>
        <w:p>
          <w:pPr>
            <w:pStyle w:val="TOC2"/>
          </w:pPr>
          <w:hyperlink w:anchor="_Toc00001389" w:history="1">
            <w:r>
              <w:t xml:space="preserve">The two worlds at a glance</w:t>
            </w:r>
          </w:hyperlink>
        </w:p>
        <w:p>
          <w:pPr>
            <w:pStyle w:val="TOC2"/>
          </w:pPr>
          <w:hyperlink w:anchor="_Toc00001390" w:history="1">
            <w:r>
              <w:t xml:space="preserve">Protocols: what each side speaks</w:t>
            </w:r>
          </w:hyperlink>
        </w:p>
        <w:p>
          <w:pPr>
            <w:pStyle w:val="TOC2"/>
          </w:pPr>
          <w:hyperlink w:anchor="_Toc00001391" w:history="1">
            <w:r>
              <w:t xml:space="preserve">Where the old protocols stand in 2026</w:t>
            </w:r>
          </w:hyperlink>
        </w:p>
        <w:p>
          <w:pPr>
            <w:pStyle w:val="TOC2"/>
          </w:pPr>
          <w:hyperlink w:anchor="_Toc00001392" w:history="1">
            <w:r>
              <w:t xml:space="preserve">Cryptography</w:t>
            </w:r>
          </w:hyperlink>
        </w:p>
        <w:p>
          <w:pPr>
            <w:pStyle w:val="TOC2"/>
          </w:pPr>
          <w:hyperlink w:anchor="_Toc00001393" w:history="1">
            <w:r>
              <w:t xml:space="preserve">Languages and tooling</w:t>
            </w:r>
          </w:hyperlink>
        </w:p>
        <w:p>
          <w:pPr>
            <w:pStyle w:val="TOC2"/>
          </w:pPr>
          <w:hyperlink w:anchor="_Toc00001394" w:history="1">
            <w:r>
              <w:t xml:space="preserve">Illustrative code</w:t>
            </w:r>
          </w:hyperlink>
        </w:p>
        <w:p>
          <w:pPr>
            <w:pStyle w:val="TOC2"/>
          </w:pPr>
          <w:hyperlink w:anchor="_Toc00001395" w:history="1">
            <w:r>
              <w:t xml:space="preserve">Infrastructure, pipelines, and compliance as code</w:t>
            </w:r>
          </w:hyperlink>
        </w:p>
        <w:p>
          <w:pPr>
            <w:pStyle w:val="TOC2"/>
          </w:pPr>
          <w:hyperlink w:anchor="_Toc00001396" w:history="1">
            <w:r>
              <w:t xml:space="preserve">The eight core concepts of directory migration</w:t>
            </w:r>
          </w:hyperlink>
        </w:p>
        <w:p>
          <w:pPr>
            <w:pStyle w:val="TOC2"/>
          </w:pPr>
          <w:hyperlink w:anchor="_Toc00001397" w:history="1">
            <w:r>
              <w:t xml:space="preserve">Why the shift matters</w:t>
            </w:r>
          </w:hyperlink>
        </w:p>
        <w:p>
          <w:pPr>
            <w:pStyle w:val="TOC2"/>
          </w:pPr>
          <w:hyperlink w:anchor="_Toc00001398" w:history="1">
            <w:r>
              <w:t xml:space="preserve">Continue the book</w:t>
            </w:r>
          </w:hyperlink>
        </w:p>
        <w:p>
          <w:pPr>
            <w:pStyle w:val="TOC1"/>
          </w:pPr>
          <w:hyperlink w:anchor="_Toc00001399" w:history="1">
            <w:r>
              <w:t xml:space="preserve">Chapter 04 — The Hidden Migration Surface</w:t>
            </w:r>
          </w:hyperlink>
        </w:p>
        <w:p>
          <w:pPr>
            <w:pStyle w:val="TOC2"/>
          </w:pPr>
          <w:hyperlink w:anchor="_Toc00001400" w:history="1">
            <w:r>
              <w:t xml:space="preserve">In this chapter</w:t>
            </w:r>
          </w:hyperlink>
        </w:p>
        <w:p>
          <w:pPr>
            <w:pStyle w:val="TOC2"/>
          </w:pPr>
          <w:hyperlink w:anchor="_Toc00001401" w:history="1">
            <w:r>
              <w:t xml:space="preserve">The eleven AD dependency object types</w:t>
            </w:r>
          </w:hyperlink>
        </w:p>
        <w:p>
          <w:pPr>
            <w:pStyle w:val="TOC2"/>
          </w:pPr>
          <w:hyperlink w:anchor="_Toc00001402" w:history="1">
            <w:r>
              <w:t xml:space="preserve">The adapter interface</w:t>
            </w:r>
          </w:hyperlink>
        </w:p>
        <w:p>
          <w:pPr>
            <w:pStyle w:val="TOC2"/>
          </w:pPr>
          <w:hyperlink w:anchor="_Toc00001403" w:history="1">
            <w:r>
              <w:t xml:space="preserve">The adapter priority matrix</w:t>
            </w:r>
          </w:hyperlink>
        </w:p>
        <w:p>
          <w:pPr>
            <w:pStyle w:val="TOC2"/>
          </w:pPr>
          <w:hyperlink w:anchor="_Toc00001404" w:history="1">
            <w:r>
              <w:t xml:space="preserve">Adapter by adapter</w:t>
            </w:r>
          </w:hyperlink>
        </w:p>
        <w:p>
          <w:pPr>
            <w:pStyle w:val="TOC2"/>
          </w:pPr>
          <w:hyperlink w:anchor="_Toc00001405" w:history="1">
            <w:r>
              <w:t xml:space="preserve">Illustrative code</w:t>
            </w:r>
          </w:hyperlink>
        </w:p>
        <w:p>
          <w:pPr>
            <w:pStyle w:val="TOC2"/>
          </w:pPr>
          <w:hyperlink w:anchor="_Toc00001406" w:history="1">
            <w:r>
              <w:t xml:space="preserve">The six migration phases</w:t>
            </w:r>
          </w:hyperlink>
        </w:p>
        <w:p>
          <w:pPr>
            <w:pStyle w:val="TOC2"/>
          </w:pPr>
          <w:hyperlink w:anchor="_Toc00001407" w:history="1">
            <w:r>
              <w:t xml:space="preserve">Adapter registration</w:t>
            </w:r>
          </w:hyperlink>
        </w:p>
        <w:p>
          <w:pPr>
            <w:pStyle w:val="TOC2"/>
          </w:pPr>
          <w:hyperlink w:anchor="_Toc00001408" w:history="1">
            <w:r>
              <w:t xml:space="preserve">Post-migration validation</w:t>
            </w:r>
          </w:hyperlink>
        </w:p>
        <w:p>
          <w:pPr>
            <w:pStyle w:val="TOC2"/>
          </w:pPr>
          <w:hyperlink w:anchor="_Toc00001409" w:history="1">
            <w:r>
              <w:t xml:space="preserve">The transformation inventory</w:t>
            </w:r>
          </w:hyperlink>
        </w:p>
        <w:p>
          <w:pPr>
            <w:pStyle w:val="TOC2"/>
          </w:pPr>
          <w:hyperlink w:anchor="_Toc00001410" w:history="1">
            <w:r>
              <w:t xml:space="preserve">Continue the book</w:t>
            </w:r>
          </w:hyperlink>
        </w:p>
        <w:p>
          <w:pPr>
            <w:pStyle w:val="TOC1"/>
          </w:pPr>
          <w:hyperlink w:anchor="_Toc00001411" w:history="1">
            <w:r>
              <w:t xml:space="preserve">Chapter 05 — Delegation Without OUs</w:t>
            </w:r>
          </w:hyperlink>
        </w:p>
        <w:p>
          <w:pPr>
            <w:pStyle w:val="TOC2"/>
          </w:pPr>
          <w:hyperlink w:anchor="_Toc00001412" w:history="1">
            <w:r>
              <w:t xml:space="preserve">In this chapter</w:t>
            </w:r>
          </w:hyperlink>
        </w:p>
        <w:p>
          <w:pPr>
            <w:pStyle w:val="TOC2"/>
          </w:pPr>
          <w:hyperlink w:anchor="_Toc00001413" w:history="1">
            <w:r>
              <w:t xml:space="preserve">What administrative units are</w:t>
            </w:r>
          </w:hyperlink>
        </w:p>
        <w:p>
          <w:pPr>
            <w:pStyle w:val="TOC2"/>
          </w:pPr>
          <w:hyperlink w:anchor="_Toc00001414" w:history="1">
            <w:r>
              <w:t xml:space="preserve">The three-tier model</w:t>
            </w:r>
          </w:hyperlink>
        </w:p>
        <w:p>
          <w:pPr>
            <w:pStyle w:val="TOC2"/>
          </w:pPr>
          <w:hyperlink w:anchor="_Toc00001415" w:history="1">
            <w:r>
              <w:t xml:space="preserve">Administrative unit registry</w:t>
            </w:r>
          </w:hyperlink>
        </w:p>
        <w:p>
          <w:pPr>
            <w:pStyle w:val="TOC2"/>
          </w:pPr>
          <w:hyperlink w:anchor="_Toc00001416" w:history="1">
            <w:r>
              <w:t xml:space="preserve">Role assignment matrix</w:t>
            </w:r>
          </w:hyperlink>
        </w:p>
        <w:p>
          <w:pPr>
            <w:pStyle w:val="TOC2"/>
          </w:pPr>
          <w:hyperlink w:anchor="_Toc00001417" w:history="1">
            <w:r>
              <w:t xml:space="preserve">Illustrative code</w:t>
            </w:r>
          </w:hyperlink>
        </w:p>
        <w:p>
          <w:pPr>
            <w:pStyle w:val="TOC2"/>
          </w:pPr>
          <w:hyperlink w:anchor="_Toc00001418" w:history="1">
            <w:r>
              <w:t xml:space="preserve">Restricted management: a per-AU decision</w:t>
            </w:r>
          </w:hyperlink>
        </w:p>
        <w:p>
          <w:pPr>
            <w:pStyle w:val="TOC2"/>
          </w:pPr>
          <w:hyperlink w:anchor="_Toc00001419" w:history="1">
            <w:r>
              <w:t xml:space="preserve">Delegation principles</w:t>
            </w:r>
          </w:hyperlink>
        </w:p>
        <w:p>
          <w:pPr>
            <w:pStyle w:val="TOC2"/>
          </w:pPr>
          <w:hyperlink w:anchor="_Toc00001420" w:history="1">
            <w:r>
              <w:t xml:space="preserve">Drift detection</w:t>
            </w:r>
          </w:hyperlink>
        </w:p>
        <w:p>
          <w:pPr>
            <w:pStyle w:val="TOC2"/>
          </w:pPr>
          <w:hyperlink w:anchor="_Toc00001421" w:history="1">
            <w:r>
              <w:t xml:space="preserve">Continue the book</w:t>
            </w:r>
          </w:hyperlink>
        </w:p>
        <w:p>
          <w:pPr>
            <w:pStyle w:val="TOC1"/>
          </w:pPr>
          <w:hyperlink w:anchor="_Toc00001422" w:history="1">
            <w:r>
              <w:t xml:space="preserve">Chapter 06 — Who Owns the Migration</w:t>
            </w:r>
          </w:hyperlink>
        </w:p>
        <w:p>
          <w:pPr>
            <w:pStyle w:val="TOC2"/>
          </w:pPr>
          <w:hyperlink w:anchor="_Toc00001423" w:history="1">
            <w:r>
              <w:t xml:space="preserve">In this chapter</w:t>
            </w:r>
          </w:hyperlink>
        </w:p>
        <w:p>
          <w:pPr>
            <w:pStyle w:val="TOC2"/>
          </w:pPr>
          <w:hyperlink w:anchor="_Toc00001424" w:history="1">
            <w:r>
              <w:t xml:space="preserve">The people</w:t>
            </w:r>
          </w:hyperlink>
        </w:p>
        <w:p>
          <w:pPr>
            <w:pStyle w:val="TOC2"/>
          </w:pPr>
          <w:hyperlink w:anchor="_Toc00001425" w:history="1">
            <w:r>
              <w:t xml:space="preserve">The tools</w:t>
            </w:r>
          </w:hyperlink>
        </w:p>
        <w:p>
          <w:pPr>
            <w:pStyle w:val="TOC2"/>
          </w:pPr>
          <w:hyperlink w:anchor="_Toc00001426" w:history="1">
            <w:r>
              <w:t xml:space="preserve">Ownership in practice</w:t>
            </w:r>
          </w:hyperlink>
        </w:p>
        <w:p>
          <w:pPr>
            <w:pStyle w:val="TOC2"/>
          </w:pPr>
          <w:hyperlink w:anchor="_Toc00001427" w:history="1">
            <w:r>
              <w:t xml:space="preserve">Continue the book</w:t>
            </w:r>
          </w:hyperlink>
        </w:p>
        <w:p>
          <w:pPr>
            <w:pStyle w:val="TOC1"/>
          </w:pPr>
          <w:hyperlink w:anchor="_Toc00001428" w:history="1">
            <w:r>
              <w:t xml:space="preserve">Chapter 07 — Read-Only Discovery</w:t>
            </w:r>
          </w:hyperlink>
        </w:p>
        <w:p>
          <w:pPr>
            <w:pStyle w:val="TOC2"/>
          </w:pPr>
          <w:hyperlink w:anchor="_Toc00001429" w:history="1">
            <w:r>
              <w:t xml:space="preserve">In this chapter</w:t>
            </w:r>
          </w:hyperlink>
        </w:p>
        <w:p>
          <w:pPr>
            <w:pStyle w:val="TOC2"/>
          </w:pPr>
          <w:hyperlink w:anchor="_Toc00001430" w:history="1">
            <w:r>
              <w:t xml:space="preserve">What a standard account can read</w:t>
            </w:r>
          </w:hyperlink>
        </w:p>
        <w:p>
          <w:pPr>
            <w:pStyle w:val="TOC2"/>
          </w:pPr>
          <w:hyperlink w:anchor="_Toc00001431" w:history="1">
            <w:r>
              <w:t xml:space="preserve">Where the default read boundary sits</w:t>
            </w:r>
          </w:hyperlink>
        </w:p>
        <w:p>
          <w:pPr>
            <w:pStyle w:val="TOC2"/>
          </w:pPr>
          <w:hyperlink w:anchor="_Toc00001432" w:history="1">
            <w:r>
              <w:t xml:space="preserve">Recording what read-only discovery couldn’t see</w:t>
            </w:r>
          </w:hyperlink>
        </w:p>
        <w:p>
          <w:pPr>
            <w:pStyle w:val="TOC2"/>
          </w:pPr>
          <w:hyperlink w:anchor="_Toc00001433" w:history="1">
            <w:r>
              <w:t xml:space="preserve">The delegation request</w:t>
            </w:r>
          </w:hyperlink>
        </w:p>
        <w:p>
          <w:pPr>
            <w:pStyle w:val="TOC2"/>
          </w:pPr>
          <w:hyperlink w:anchor="_Toc00001434" w:history="1">
            <w:r>
              <w:t xml:space="preserve">Running the assessment safely</w:t>
            </w:r>
          </w:hyperlink>
        </w:p>
        <w:p>
          <w:pPr>
            <w:pStyle w:val="TOC2"/>
          </w:pPr>
          <w:hyperlink w:anchor="_Toc00001435" w:history="1">
            <w:r>
              <w:t xml:space="preserve">Checklist</w:t>
            </w:r>
          </w:hyperlink>
        </w:p>
        <w:p>
          <w:pPr>
            <w:pStyle w:val="TOC2"/>
          </w:pPr>
          <w:hyperlink w:anchor="_Toc00001436" w:history="1">
            <w:r>
              <w:t xml:space="preserve">Continue the book</w:t>
            </w:r>
          </w:hyperlink>
        </w:p>
        <w:p>
          <w:pPr>
            <w:pStyle w:val="TOC1"/>
          </w:pPr>
          <w:hyperlink w:anchor="_Toc00001437" w:history="1">
            <w:r>
              <w:t xml:space="preserve">Chapter 08 — Assessing the Forest</w:t>
            </w:r>
          </w:hyperlink>
        </w:p>
        <w:p>
          <w:pPr>
            <w:pStyle w:val="TOC2"/>
          </w:pPr>
          <w:hyperlink w:anchor="_Toc00001438" w:history="1">
            <w:r>
              <w:t xml:space="preserve">In this chapter</w:t>
            </w:r>
          </w:hyperlink>
        </w:p>
        <w:p>
          <w:pPr>
            <w:pStyle w:val="TOC2"/>
          </w:pPr>
          <w:hyperlink w:anchor="_Toc00001439" w:history="1">
            <w:r>
              <w:t xml:space="preserve">What the assessment covers</w:t>
            </w:r>
          </w:hyperlink>
        </w:p>
        <w:p>
          <w:pPr>
            <w:pStyle w:val="TOC2"/>
          </w:pPr>
          <w:hyperlink w:anchor="_Toc00001440" w:history="1">
            <w:r>
              <w:t xml:space="preserve">Prerequisites</w:t>
            </w:r>
          </w:hyperlink>
        </w:p>
        <w:p>
          <w:pPr>
            <w:pStyle w:val="TOC2"/>
          </w:pPr>
          <w:hyperlink w:anchor="_Toc00001441" w:history="1">
            <w:r>
              <w:t xml:space="preserve">Illustrative code</w:t>
            </w:r>
          </w:hyperlink>
        </w:p>
        <w:p>
          <w:pPr>
            <w:pStyle w:val="TOC2"/>
          </w:pPr>
          <w:hyperlink w:anchor="_Toc00001442" w:history="1">
            <w:r>
              <w:t xml:space="preserve">Forest and domain topology</w:t>
            </w:r>
          </w:hyperlink>
        </w:p>
        <w:p>
          <w:pPr>
            <w:pStyle w:val="TOC2"/>
          </w:pPr>
          <w:hyperlink w:anchor="_Toc00001443" w:history="1">
            <w:r>
              <w:t xml:space="preserve">OU hierarchy and delegation</w:t>
            </w:r>
          </w:hyperlink>
        </w:p>
        <w:p>
          <w:pPr>
            <w:pStyle w:val="TOC2"/>
          </w:pPr>
          <w:hyperlink w:anchor="_Toc00001444" w:history="1">
            <w:r>
              <w:t xml:space="preserve">Group Policy inventory and analysis</w:t>
            </w:r>
          </w:hyperlink>
        </w:p>
        <w:p>
          <w:pPr>
            <w:pStyle w:val="TOC2"/>
          </w:pPr>
          <w:hyperlink w:anchor="_Toc00001445" w:history="1">
            <w:r>
              <w:t xml:space="preserve">DNS infrastructure</w:t>
            </w:r>
          </w:hyperlink>
        </w:p>
        <w:p>
          <w:pPr>
            <w:pStyle w:val="TOC2"/>
          </w:pPr>
          <w:hyperlink w:anchor="_Toc00001446" w:history="1">
            <w:r>
              <w:t xml:space="preserve">Certificate Services (AD CS)</w:t>
            </w:r>
          </w:hyperlink>
        </w:p>
        <w:p>
          <w:pPr>
            <w:pStyle w:val="TOC2"/>
          </w:pPr>
          <w:hyperlink w:anchor="_Toc00001447" w:history="1">
            <w:r>
              <w:t xml:space="preserve">Computer objects</w:t>
            </w:r>
          </w:hyperlink>
        </w:p>
        <w:p>
          <w:pPr>
            <w:pStyle w:val="TOC2"/>
          </w:pPr>
          <w:hyperlink w:anchor="_Toc00001448" w:history="1">
            <w:r>
              <w:t xml:space="preserve">Users, groups and service accounts</w:t>
            </w:r>
          </w:hyperlink>
        </w:p>
        <w:p>
          <w:pPr>
            <w:pStyle w:val="TOC2"/>
          </w:pPr>
          <w:hyperlink w:anchor="_Toc00001449" w:history="1">
            <w:r>
              <w:t xml:space="preserve">Trust relationships</w:t>
            </w:r>
          </w:hyperlink>
        </w:p>
        <w:p>
          <w:pPr>
            <w:pStyle w:val="TOC2"/>
          </w:pPr>
          <w:hyperlink w:anchor="_Toc00001450" w:history="1">
            <w:r>
              <w:t xml:space="preserve">The assessment pipeline</w:t>
            </w:r>
          </w:hyperlink>
        </w:p>
        <w:p>
          <w:pPr>
            <w:pStyle w:val="TOC2"/>
          </w:pPr>
          <w:hyperlink w:anchor="_Toc00001451" w:history="1">
            <w:r>
              <w:t xml:space="preserve">Git integration for assessment data</w:t>
            </w:r>
          </w:hyperlink>
        </w:p>
        <w:p>
          <w:pPr>
            <w:pStyle w:val="TOC2"/>
          </w:pPr>
          <w:hyperlink w:anchor="_Toc00001452" w:history="1">
            <w:r>
              <w:t xml:space="preserve">Security and least privilege</w:t>
            </w:r>
          </w:hyperlink>
        </w:p>
        <w:p>
          <w:pPr>
            <w:pStyle w:val="TOC2"/>
          </w:pPr>
          <w:hyperlink w:anchor="_Toc00001453" w:history="1">
            <w:r>
              <w:t xml:space="preserve">Troubleshooting</w:t>
            </w:r>
          </w:hyperlink>
        </w:p>
        <w:p>
          <w:pPr>
            <w:pStyle w:val="TOC2"/>
          </w:pPr>
          <w:hyperlink w:anchor="_Toc00001454" w:history="1">
            <w:r>
              <w:t xml:space="preserve">Output schema reference</w:t>
            </w:r>
          </w:hyperlink>
        </w:p>
        <w:p>
          <w:pPr>
            <w:pStyle w:val="TOC2"/>
          </w:pPr>
          <w:hyperlink w:anchor="_Toc00001455" w:history="1">
            <w:r>
              <w:t xml:space="preserve">Quick reference</w:t>
            </w:r>
          </w:hyperlink>
        </w:p>
        <w:p>
          <w:pPr>
            <w:pStyle w:val="TOC2"/>
          </w:pPr>
          <w:hyperlink w:anchor="_Toc00001456" w:history="1">
            <w:r>
              <w:t xml:space="preserve">Continue the book</w:t>
            </w:r>
          </w:hyperlink>
        </w:p>
        <w:p>
          <w:pPr>
            <w:pStyle w:val="TOC1"/>
          </w:pPr>
          <w:hyperlink w:anchor="_Toc00001457" w:history="1">
            <w:r>
              <w:t xml:space="preserve">Chapter 09 — Building the Entra ID Target</w:t>
            </w:r>
          </w:hyperlink>
        </w:p>
        <w:p>
          <w:pPr>
            <w:pStyle w:val="TOC2"/>
          </w:pPr>
          <w:hyperlink w:anchor="_Toc00001458" w:history="1">
            <w:r>
              <w:t xml:space="preserve">In this chapter</w:t>
            </w:r>
          </w:hyperlink>
        </w:p>
        <w:p>
          <w:pPr>
            <w:pStyle w:val="TOC2"/>
          </w:pPr>
          <w:hyperlink w:anchor="_Toc00001459" w:history="1">
            <w:r>
              <w:t xml:space="preserve">Purpose and scope</w:t>
            </w:r>
          </w:hyperlink>
        </w:p>
        <w:p>
          <w:pPr>
            <w:pStyle w:val="TOC2"/>
          </w:pPr>
          <w:hyperlink w:anchor="_Toc00001460" w:history="1">
            <w:r>
              <w:t xml:space="preserve">Decomposing the Active Directory identity landscape</w:t>
            </w:r>
          </w:hyperlink>
        </w:p>
        <w:p>
          <w:pPr>
            <w:pStyle w:val="TOC2"/>
          </w:pPr>
          <w:hyperlink w:anchor="_Toc00001461" w:history="1">
            <w:r>
              <w:t xml:space="preserve">Design principle: placement versus attributes</w:t>
            </w:r>
          </w:hyperlink>
        </w:p>
        <w:p>
          <w:pPr>
            <w:pStyle w:val="TOC2"/>
          </w:pPr>
          <w:hyperlink w:anchor="_Toc00001462" w:history="1">
            <w:r>
              <w:t xml:space="preserve">The Entra ID identity architecture</w:t>
            </w:r>
          </w:hyperlink>
        </w:p>
        <w:p>
          <w:pPr>
            <w:pStyle w:val="TOC2"/>
          </w:pPr>
          <w:hyperlink w:anchor="_Toc00001463" w:history="1">
            <w:r>
              <w:t xml:space="preserve">Licensing assumption</w:t>
            </w:r>
          </w:hyperlink>
        </w:p>
        <w:p>
          <w:pPr>
            <w:pStyle w:val="TOC2"/>
          </w:pPr>
          <w:hyperlink w:anchor="_Toc00001464" w:history="1">
            <w:r>
              <w:t xml:space="preserve">Choosing and configuring the sync engine</w:t>
            </w:r>
          </w:hyperlink>
        </w:p>
        <w:p>
          <w:pPr>
            <w:pStyle w:val="TOC2"/>
          </w:pPr>
          <w:hyperlink w:anchor="_Toc00001465" w:history="1">
            <w:r>
              <w:t xml:space="preserve">Recommendation: Cloud Sync unless a Connect-only requirement applies</w:t>
            </w:r>
          </w:hyperlink>
        </w:p>
        <w:p>
          <w:pPr>
            <w:pStyle w:val="TOC2"/>
          </w:pPr>
          <w:hyperlink w:anchor="_Toc00001466" w:history="1">
            <w:r>
              <w:t xml:space="preserve">One active Connect Sync server per tenant</w:t>
            </w:r>
          </w:hyperlink>
        </w:p>
        <w:p>
          <w:pPr>
            <w:pStyle w:val="TOC2"/>
          </w:pPr>
          <w:hyperlink w:anchor="_Toc00001467" w:history="1">
            <w:r>
              <w:t xml:space="preserve">Recommendation: PHS everywhere</w:t>
            </w:r>
          </w:hyperlink>
        </w:p>
        <w:p>
          <w:pPr>
            <w:pStyle w:val="TOC2"/>
          </w:pPr>
          <w:hyperlink w:anchor="_Toc00001468" w:history="1">
            <w:r>
              <w:t xml:space="preserve">Migrating groups</w:t>
            </w:r>
          </w:hyperlink>
        </w:p>
        <w:p>
          <w:pPr>
            <w:pStyle w:val="TOC2"/>
          </w:pPr>
          <w:hyperlink w:anchor="_Toc00001469" w:history="1">
            <w:r>
              <w:t xml:space="preserve">Illustrative code</w:t>
            </w:r>
          </w:hyperlink>
        </w:p>
        <w:p>
          <w:pPr>
            <w:pStyle w:val="TOC2"/>
          </w:pPr>
          <w:hyperlink w:anchor="_Toc00001470" w:history="1">
            <w:r>
              <w:t xml:space="preserve">Modernizing service accounts</w:t>
            </w:r>
          </w:hyperlink>
        </w:p>
        <w:p>
          <w:pPr>
            <w:pStyle w:val="TOC2"/>
          </w:pPr>
          <w:hyperlink w:anchor="_Toc00001471" w:history="1">
            <w:r>
              <w:t xml:space="preserve">Privileged access</w:t>
            </w:r>
          </w:hyperlink>
        </w:p>
        <w:p>
          <w:pPr>
            <w:pStyle w:val="TOC2"/>
          </w:pPr>
          <w:hyperlink w:anchor="_Toc00001472" w:history="1">
            <w:r>
              <w:t xml:space="preserve">The Conditional Access framework</w:t>
            </w:r>
          </w:hyperlink>
        </w:p>
        <w:p>
          <w:pPr>
            <w:pStyle w:val="TOC2"/>
          </w:pPr>
          <w:hyperlink w:anchor="_Toc00001473" w:history="1">
            <w:r>
              <w:t xml:space="preserve">The full library is in Book 04</w:t>
            </w:r>
          </w:hyperlink>
        </w:p>
        <w:p>
          <w:pPr>
            <w:pStyle w:val="TOC2"/>
          </w:pPr>
          <w:hyperlink w:anchor="_Toc00001474" w:history="1">
            <w:r>
              <w:t xml:space="preserve">Never enforce untested policies on all users</w:t>
            </w:r>
          </w:hyperlink>
        </w:p>
        <w:p>
          <w:pPr>
            <w:pStyle w:val="TOC2"/>
          </w:pPr>
          <w:hyperlink w:anchor="_Toc00001475" w:history="1">
            <w:r>
              <w:t xml:space="preserve">Continue the book</w:t>
            </w:r>
          </w:hyperlink>
        </w:p>
        <w:p>
          <w:pPr>
            <w:pStyle w:val="TOC1"/>
          </w:pPr>
          <w:hyperlink w:anchor="_Toc00001476" w:history="1">
            <w:r>
              <w:t xml:space="preserve">Chapter 10 — Migrating and Governing</w:t>
            </w:r>
          </w:hyperlink>
        </w:p>
        <w:p>
          <w:pPr>
            <w:pStyle w:val="TOC2"/>
          </w:pPr>
          <w:hyperlink w:anchor="_Toc00001477" w:history="1">
            <w:r>
              <w:t xml:space="preserve">In this chapter</w:t>
            </w:r>
          </w:hyperlink>
        </w:p>
        <w:p>
          <w:pPr>
            <w:pStyle w:val="TOC2"/>
          </w:pPr>
          <w:hyperlink w:anchor="_Toc00001478" w:history="1">
            <w:r>
              <w:t xml:space="preserve">Identity governance and lifecycle</w:t>
            </w:r>
          </w:hyperlink>
        </w:p>
        <w:p>
          <w:pPr>
            <w:pStyle w:val="TOC2"/>
          </w:pPr>
          <w:hyperlink w:anchor="_Toc00001479" w:history="1">
            <w:r>
              <w:t xml:space="preserve">Cross-tenant and B2B collaboration</w:t>
            </w:r>
          </w:hyperlink>
        </w:p>
        <w:p>
          <w:pPr>
            <w:pStyle w:val="TOC2"/>
          </w:pPr>
          <w:hyperlink w:anchor="_Toc00001480" w:history="1">
            <w:r>
              <w:t xml:space="preserve">Authentication modernization</w:t>
            </w:r>
          </w:hyperlink>
        </w:p>
        <w:p>
          <w:pPr>
            <w:pStyle w:val="TOC2"/>
          </w:pPr>
          <w:hyperlink w:anchor="_Toc00001481" w:history="1">
            <w:r>
              <w:t xml:space="preserve">Illustrative code</w:t>
            </w:r>
          </w:hyperlink>
        </w:p>
        <w:p>
          <w:pPr>
            <w:pStyle w:val="TOC2"/>
          </w:pPr>
          <w:hyperlink w:anchor="_Toc00001482" w:history="1">
            <w:r>
              <w:t xml:space="preserve">The compliance amendment: phishing-resistant authenticators and privileged access</w:t>
            </w:r>
          </w:hyperlink>
        </w:p>
        <w:p>
          <w:pPr>
            <w:pStyle w:val="TOC2"/>
          </w:pPr>
          <w:hyperlink w:anchor="_Toc00001483" w:history="1">
            <w:r>
              <w:t xml:space="preserve">Monitoring, audit, and compliance</w:t>
            </w:r>
          </w:hyperlink>
        </w:p>
        <w:p>
          <w:pPr>
            <w:pStyle w:val="TOC2"/>
          </w:pPr>
          <w:hyperlink w:anchor="_Toc00001484" w:history="1">
            <w:r>
              <w:t xml:space="preserve">The migration execution playbook</w:t>
            </w:r>
          </w:hyperlink>
        </w:p>
        <w:p>
          <w:pPr>
            <w:pStyle w:val="TOC2"/>
          </w:pPr>
          <w:hyperlink w:anchor="_Toc00001485" w:history="1">
            <w:r>
              <w:t xml:space="preserve">Git-based drift detection</w:t>
            </w:r>
          </w:hyperlink>
        </w:p>
        <w:p>
          <w:pPr>
            <w:pStyle w:val="TOC2"/>
          </w:pPr>
          <w:hyperlink w:anchor="_Toc00001486" w:history="1">
            <w:r>
              <w:t xml:space="preserve">Troubleshooting reference</w:t>
            </w:r>
          </w:hyperlink>
        </w:p>
        <w:p>
          <w:pPr>
            <w:pStyle w:val="TOC2"/>
          </w:pPr>
          <w:hyperlink w:anchor="_Toc00001487" w:history="1">
            <w:r>
              <w:t xml:space="preserve">Continue the book</w:t>
            </w:r>
          </w:hyperlink>
        </w:p>
        <w:p>
          <w:pPr>
            <w:pStyle w:val="TOC1"/>
          </w:pPr>
          <w:hyperlink w:anchor="_Toc00001488" w:history="1">
            <w:r>
              <w:t xml:space="preserve">Chapter 11 — Reference Deployment</w:t>
            </w:r>
          </w:hyperlink>
        </w:p>
        <w:p>
          <w:pPr>
            <w:pStyle w:val="TOC2"/>
          </w:pPr>
          <w:hyperlink w:anchor="_Toc00001489" w:history="1">
            <w:r>
              <w:t xml:space="preserve">In this chapter</w:t>
            </w:r>
          </w:hyperlink>
        </w:p>
        <w:p>
          <w:pPr>
            <w:pStyle w:val="TOC2"/>
          </w:pPr>
          <w:hyperlink w:anchor="_Toc00001490" w:history="1">
            <w:r>
              <w:t xml:space="preserve">A framing pattern, not a real engagement</w:t>
            </w:r>
          </w:hyperlink>
        </w:p>
        <w:p>
          <w:pPr>
            <w:pStyle w:val="TOC2"/>
          </w:pPr>
          <w:hyperlink w:anchor="_Toc00001491" w:history="1">
            <w:r>
              <w:t xml:space="preserve">The archetype</w:t>
            </w:r>
          </w:hyperlink>
        </w:p>
        <w:p>
          <w:pPr>
            <w:pStyle w:val="TOC2"/>
          </w:pPr>
          <w:hyperlink w:anchor="_Toc00001492" w:history="1">
            <w:r>
              <w:t xml:space="preserve">Phase 1 — Discover</w:t>
            </w:r>
          </w:hyperlink>
        </w:p>
        <w:p>
          <w:pPr>
            <w:pStyle w:val="TOC2"/>
          </w:pPr>
          <w:hyperlink w:anchor="_Toc00001493" w:history="1">
            <w:r>
              <w:t xml:space="preserve">Phase 2 — Normalize</w:t>
            </w:r>
          </w:hyperlink>
        </w:p>
        <w:p>
          <w:pPr>
            <w:pStyle w:val="TOC2"/>
          </w:pPr>
          <w:hyperlink w:anchor="_Toc00001494" w:history="1">
            <w:r>
              <w:t xml:space="preserve">Phase 3 — Map</w:t>
            </w:r>
          </w:hyperlink>
        </w:p>
        <w:p>
          <w:pPr>
            <w:pStyle w:val="TOC2"/>
          </w:pPr>
          <w:hyperlink w:anchor="_Toc00001495" w:history="1">
            <w:r>
              <w:t xml:space="preserve">Phase 4 — Migrate</w:t>
            </w:r>
          </w:hyperlink>
        </w:p>
        <w:p>
          <w:pPr>
            <w:pStyle w:val="TOC2"/>
          </w:pPr>
          <w:hyperlink w:anchor="_Toc00001496" w:history="1">
            <w:r>
              <w:t xml:space="preserve">Phase 5 — Validate</w:t>
            </w:r>
          </w:hyperlink>
        </w:p>
        <w:p>
          <w:pPr>
            <w:pStyle w:val="TOC2"/>
          </w:pPr>
          <w:hyperlink w:anchor="_Toc00001497" w:history="1">
            <w:r>
              <w:t xml:space="preserve">Illustrative commands</w:t>
            </w:r>
          </w:hyperlink>
        </w:p>
        <w:p>
          <w:pPr>
            <w:pStyle w:val="TOC2"/>
          </w:pPr>
          <w:hyperlink w:anchor="_Toc00001498" w:history="1">
            <w:r>
              <w:t xml:space="preserve">The Azure SSOT bridge</w:t>
            </w:r>
          </w:hyperlink>
        </w:p>
        <w:p>
          <w:pPr>
            <w:pStyle w:val="TOC2"/>
          </w:pPr>
          <w:hyperlink w:anchor="_Toc00001499" w:history="1">
            <w:r>
              <w:t xml:space="preserve">The evidence bundle the assessor consumes</w:t>
            </w:r>
          </w:hyperlink>
        </w:p>
        <w:p>
          <w:pPr>
            <w:pStyle w:val="TOC2"/>
          </w:pPr>
          <w:hyperlink w:anchor="_Toc00001500" w:history="1">
            <w:r>
              <w:t xml:space="preserve">What survives the engagement</w:t>
            </w:r>
          </w:hyperlink>
        </w:p>
        <w:p>
          <w:pPr>
            <w:pStyle w:val="TOC2"/>
          </w:pPr>
          <w:hyperlink w:anchor="_Toc00001501" w:history="1">
            <w:r>
              <w:t xml:space="preserve">Where to go next</w:t>
            </w:r>
          </w:hyperlink>
        </w:p>
        <w:p>
          <w:pPr>
            <w:pStyle w:val="TOC2"/>
          </w:pPr>
          <w:hyperlink w:anchor="_Toc00001502" w:history="1">
            <w:r>
              <w:t xml:space="preserve">Continue the book</w:t>
            </w:r>
          </w:hyperlink>
        </w:p>
        <w:p>
          <w:pPr>
            <w:pStyle w:val="TOC1"/>
          </w:pPr>
          <w:hyperlink w:anchor="_Toc00001503" w:history="1">
            <w:r>
              <w:t xml:space="preserve">Appendix A — Federal Requirements Crosswalk</w:t>
            </w:r>
          </w:hyperlink>
        </w:p>
        <w:p>
          <w:pPr>
            <w:pStyle w:val="TOC2"/>
          </w:pPr>
          <w:hyperlink w:anchor="_Toc00001504" w:history="1">
            <w:r>
              <w:t xml:space="preserve">In this appendix</w:t>
            </w:r>
          </w:hyperlink>
        </w:p>
        <w:p>
          <w:pPr>
            <w:pStyle w:val="TOC2"/>
          </w:pPr>
          <w:hyperlink w:anchor="_Toc00001505" w:history="1">
            <w:r>
              <w:t xml:space="preserve">The assessment in one paragraph</w:t>
            </w:r>
          </w:hyperlink>
        </w:p>
        <w:p>
          <w:pPr>
            <w:pStyle w:val="TOC2"/>
          </w:pPr>
          <w:hyperlink w:anchor="_Toc00001506" w:history="1">
            <w:r>
              <w:t xml:space="preserve">The baseline</w:t>
            </w:r>
          </w:hyperlink>
        </w:p>
        <w:p>
          <w:pPr>
            <w:pStyle w:val="TOC2"/>
          </w:pPr>
          <w:hyperlink w:anchor="_Toc00001507" w:history="1">
            <w:r>
              <w:t xml:space="preserve">The three filters</w:t>
            </w:r>
          </w:hyperlink>
        </w:p>
        <w:p>
          <w:pPr>
            <w:pStyle w:val="TOC2"/>
          </w:pPr>
          <w:hyperlink w:anchor="_Toc00001508" w:history="1">
            <w:r>
              <w:t xml:space="preserve">How to read the crosswalk</w:t>
            </w:r>
          </w:hyperlink>
        </w:p>
        <w:p>
          <w:pPr>
            <w:pStyle w:val="TOC2"/>
          </w:pPr>
          <w:hyperlink w:anchor="_Toc00001509" w:history="1">
            <w:r>
              <w:t xml:space="preserve">The crosswalk: identity controls</w:t>
            </w:r>
          </w:hyperlink>
        </w:p>
        <w:p>
          <w:pPr>
            <w:pStyle w:val="TOC2"/>
          </w:pPr>
          <w:hyperlink w:anchor="_Toc00001510" w:history="1">
            <w:r>
              <w:t xml:space="preserve">Sequencing</w:t>
            </w:r>
          </w:hyperlink>
        </w:p>
        <w:p>
          <w:pPr>
            <w:pStyle w:val="TOC2"/>
          </w:pPr>
          <w:hyperlink w:anchor="_Toc00001511" w:history="1">
            <w:r>
              <w:t xml:space="preserve">Federal mandates behind the baseline</w:t>
            </w:r>
          </w:hyperlink>
        </w:p>
        <w:p>
          <w:pPr>
            <w:pStyle w:val="TOC2"/>
          </w:pPr>
          <w:hyperlink w:anchor="_Toc00001512" w:history="1">
            <w:r>
              <w:t xml:space="preserve">The identity modernization specification</w:t>
            </w:r>
          </w:hyperlink>
        </w:p>
        <w:p>
          <w:pPr>
            <w:pStyle w:val="TOC2"/>
          </w:pPr>
          <w:hyperlink w:anchor="_Toc00001513" w:history="1">
            <w:r>
              <w:t xml:space="preserve">NIST SP 800-53 Rev. 5 control mapping</w:t>
            </w:r>
          </w:hyperlink>
        </w:p>
        <w:p>
          <w:pPr>
            <w:pStyle w:val="TOC2"/>
          </w:pPr>
          <w:hyperlink w:anchor="_Toc00001514" w:history="1">
            <w:r>
              <w:t xml:space="preserve">Continue the book</w:t>
            </w:r>
          </w:hyperlink>
        </w:p>
        <w:p>
          <w:pPr>
            <w:pStyle w:val="TOC1"/>
          </w:pPr>
          <w:hyperlink w:anchor="_Toc00001515" w:history="1">
            <w:r>
              <w:t xml:space="preserve">Appendix B — Forest Assessment Module</w:t>
            </w:r>
          </w:hyperlink>
        </w:p>
        <w:p>
          <w:pPr>
            <w:pStyle w:val="TOC2"/>
          </w:pPr>
          <w:hyperlink w:anchor="_Toc00001516" w:history="1">
            <w:r>
              <w:t xml:space="preserve">In this appendix</w:t>
            </w:r>
          </w:hyperlink>
        </w:p>
        <w:p>
          <w:pPr>
            <w:pStyle w:val="TOC2"/>
          </w:pPr>
          <w:hyperlink w:anchor="_Toc00001517" w:history="1">
            <w:r>
              <w:t xml:space="preserve">Illustrative code</w:t>
            </w:r>
          </w:hyperlink>
        </w:p>
        <w:p>
          <w:pPr>
            <w:pStyle w:val="TOC2"/>
          </w:pPr>
          <w:hyperlink w:anchor="_Toc00001518" w:history="1">
            <w:r>
              <w:t xml:space="preserve">Corrections to the source design</w:t>
            </w:r>
          </w:hyperlink>
        </w:p>
        <w:p>
          <w:pPr>
            <w:pStyle w:val="TOC2"/>
          </w:pPr>
          <w:hyperlink w:anchor="_Toc00001519" w:history="1">
            <w:r>
              <w:t xml:space="preserve">C.1 Module manifest (FMPADAssessment.psd1)</w:t>
            </w:r>
          </w:hyperlink>
        </w:p>
        <w:p>
          <w:pPr>
            <w:pStyle w:val="TOC2"/>
          </w:pPr>
          <w:hyperlink w:anchor="_Toc00001520" w:history="1">
            <w:r>
              <w:t xml:space="preserve">C.2 Module file (FMPADAssessment.psm1)</w:t>
            </w:r>
          </w:hyperlink>
        </w:p>
        <w:p>
          <w:pPr>
            <w:pStyle w:val="TOC2"/>
          </w:pPr>
          <w:hyperlink w:anchor="_Toc00001521" w:history="1">
            <w:r>
              <w:t xml:space="preserve">C.3 Installation</w:t>
            </w:r>
          </w:hyperlink>
        </w:p>
        <w:p>
          <w:pPr>
            <w:pStyle w:val="TOC2"/>
          </w:pPr>
          <w:hyperlink w:anchor="_Toc00001522" w:history="1">
            <w:r>
              <w:t xml:space="preserve">C.4 Output schema reference</w:t>
            </w:r>
          </w:hyperlink>
        </w:p>
        <w:p>
          <w:pPr>
            <w:pStyle w:val="TOC2"/>
          </w:pPr>
          <w:hyperlink w:anchor="_Toc00001523" w:history="1">
            <w:r>
              <w:t xml:space="preserve">Continue the book</w:t>
            </w:r>
          </w:hyperlink>
        </w:p>
        <w:p>
          <w:pPr>
            <w:pStyle w:val="TOC1"/>
          </w:pPr>
          <w:hyperlink w:anchor="_Toc00001524" w:history="1">
            <w:r>
              <w:t xml:space="preserve">Appendix C — Identity Assessment Module</w:t>
            </w:r>
          </w:hyperlink>
        </w:p>
        <w:p>
          <w:pPr>
            <w:pStyle w:val="TOC2"/>
          </w:pPr>
          <w:hyperlink w:anchor="_Toc00001525" w:history="1">
            <w:r>
              <w:t xml:space="preserve">In this appendix</w:t>
            </w:r>
          </w:hyperlink>
        </w:p>
        <w:p>
          <w:pPr>
            <w:pStyle w:val="TOC2"/>
          </w:pPr>
          <w:hyperlink w:anchor="_Toc00001526" w:history="1">
            <w:r>
              <w:t xml:space="preserve">Attribute mapping reference</w:t>
            </w:r>
          </w:hyperlink>
        </w:p>
        <w:p>
          <w:pPr>
            <w:pStyle w:val="TOC2"/>
          </w:pPr>
          <w:hyperlink w:anchor="_Toc00001527" w:history="1">
            <w:r>
              <w:t xml:space="preserve">Conditional Access policy templates</w:t>
            </w:r>
          </w:hyperlink>
        </w:p>
        <w:p>
          <w:pPr>
            <w:pStyle w:val="TOC2"/>
          </w:pPr>
          <w:hyperlink w:anchor="_Toc00001528" w:history="1">
            <w:r>
              <w:t xml:space="preserve">Placeholders and endpoints</w:t>
            </w:r>
          </w:hyperlink>
        </w:p>
        <w:p>
          <w:pPr>
            <w:pStyle w:val="TOC2"/>
          </w:pPr>
          <w:hyperlink w:anchor="_Toc00001529" w:history="1">
            <w:r>
              <w:t xml:space="preserve">Illustrative code</w:t>
            </w:r>
          </w:hyperlink>
        </w:p>
        <w:p>
          <w:pPr>
            <w:pStyle w:val="TOC2"/>
          </w:pPr>
          <w:hyperlink w:anchor="_Toc00001530" w:history="1">
            <w:r>
              <w:t xml:space="preserve">The FMPIdentityAssessment module</w:t>
            </w:r>
          </w:hyperlink>
        </w:p>
        <w:p>
          <w:pPr>
            <w:pStyle w:val="TOC2"/>
          </w:pPr>
          <w:hyperlink w:anchor="_Toc00001531" w:history="1">
            <w:r>
              <w:t xml:space="preserve">Continue the book</w:t>
            </w:r>
          </w:hyperlink>
          <w:r>
            <w:fldChar w:fldCharType="end"/>
          </w:r>
        </w:p>
      </w:sdtContent>
    </w:sdt>
    <w:bookmarkStart w:id="15" w:name="X961f7b55fa64a79c4bc533e3a4547690a2ff8df"/>
    <w:p>
      <w:pPr>
        <w:pStyle w:val="Heading1"/>
      </w:pPr>
      <w:bookmarkStart w:id="1362" w:name="_Toc00001362"/>
      <w:r>
        <w:t xml:space="preserve">Book 02 — Identity &amp; Directory: Active Directory to Entra ID</w:t>
      </w:r>
      <w:bookmarkEnd w:id="1362"/>
    </w:p>
    <w:bookmarkStart w:id="10" w:name="status-draft-book"/>
    <w:p>
      <w:pPr>
        <w:pStyle w:val="Heading2"/>
      </w:pPr>
      <w:bookmarkStart w:id="1363" w:name="_Toc00001363"/>
      <w:r>
        <w:t xml:space="preserve">Status — draft book</w:t>
      </w:r>
      <w:bookmarkEnd w:id="1363"/>
    </w:p>
    <w:p>
      <w:pPr>
        <w:pStyle w:val="FirstParagraph"/>
      </w:pPr>
      <w:r>
        <w:t xml:space="preserve">This book consolidates twenty-two earlier workbook pages on identity and directory modernization (whitepapers, operational guides, reference architecture, learning pages and framing case studies) into one ordered book. Every external claim was checked against a primary source on October 20, 2026 and carries a footnote. The earlier pages are kept in the repository’s</w:t>
      </w:r>
      <w:r>
        <w:t xml:space="preserve"> </w:t>
      </w:r>
      <w:hyperlink r:id="rId9">
        <w:r>
          <w:rPr>
            <w:rStyle w:val="VerbatimChar"/>
          </w:rPr>
          <w:t xml:space="preserve">archive/b02-identity/</w:t>
        </w:r>
      </w:hyperlink>
      <w:r>
        <w:t xml:space="preserve"> </w:t>
      </w:r>
      <w:r>
        <w:t xml:space="preserve">folder, and their old addresses forward to the chapters that replaced them.</w:t>
      </w:r>
    </w:p>
    <w:bookmarkEnd w:id="10"/>
    <w:p>
      <w:pPr>
        <w:pStyle w:val="BodyText"/>
      </w:pPr>
      <w:r>
        <w:rPr>
          <w:b/>
          <w:bCs/>
        </w:rPr>
        <w:t xml:space="preserve">15-minute presentation</w:t>
      </w:r>
      <w:r>
        <w:t xml:space="preserve">: the Why / What / Who / How deck and its narrated, self-running version are in the repository under</w:t>
      </w:r>
      <w:r>
        <w:t xml:space="preserve"> </w:t>
      </w:r>
      <w:hyperlink r:id="rId11">
        <w:r>
          <w:rPr>
            <w:rStyle w:val="VerbatimChar"/>
          </w:rPr>
          <w:t xml:space="preserve">presentations/b02-identity/</w:t>
        </w:r>
      </w:hyperlink>
      <w:r>
        <w:t xml:space="preserve">.</w:t>
      </w:r>
    </w:p>
    <w:p>
      <w:pPr>
        <w:pStyle w:val="BodyText"/>
      </w:pPr>
      <w:r>
        <w:t xml:space="preserve">Every access decision in a modern federal estate starts with a question about identity: who is this, is the claim about them still true, and what is this device or workload allowed to do? For twenty-five years Active Directory answered those questions inside the network perimeter, and it quietly took on much more: DNS, certificates, Wi-Fi and VPN authentication, file shares, time, application logins, and the organization chart encoded as OUs. Zero Trust moves the decision to the identity provider and evaluates it on every request. Moving from Active Directory to Entra ID is therefore not a directory upgrade. It decides whether every later control works.</w:t>
      </w:r>
    </w:p>
    <w:bookmarkStart w:id="12" w:name="why-what-who-how"/>
    <w:p>
      <w:pPr>
        <w:pStyle w:val="Heading2"/>
      </w:pPr>
      <w:bookmarkStart w:id="1364" w:name="_Toc00001364"/>
      <w:r>
        <w:t xml:space="preserve">Why, what, who, how</w:t>
      </w:r>
      <w:bookmarkEnd w:id="1364"/>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Question</w:t>
            </w:r>
          </w:p>
        </w:tc>
        <w:tc>
          <w:tcPr/>
          <w:p>
            <w:pPr>
              <w:pStyle w:val="Compact"/>
            </w:pPr>
            <w:r>
              <w:t xml:space="preserve">Chapters</w:t>
            </w:r>
          </w:p>
        </w:tc>
      </w:tr>
      <w:tr>
        <w:tc>
          <w:tcPr/>
          <w:p>
            <w:pPr>
              <w:pStyle w:val="Compact"/>
            </w:pPr>
            <w:r>
              <w:rPr>
                <w:b/>
                <w:bCs/>
              </w:rPr>
              <w:t xml:space="preserve">Why</w:t>
            </w:r>
          </w:p>
        </w:tc>
        <w:tc>
          <w:tcPr/>
          <w:p>
            <w:pPr>
              <w:pStyle w:val="Compact"/>
            </w:pPr>
            <w:r>
              <w:t xml:space="preserve">Why does identity matter, and why can’t AD simply be lifted into the cloud?</w:t>
            </w:r>
          </w:p>
        </w:tc>
        <w:tc>
          <w:tcPr/>
          <w:p>
            <w:pPr>
              <w:pStyle w:val="Compact"/>
            </w:pPr>
            <w:r>
              <w:t xml:space="preserve">01, 02</w:t>
            </w:r>
          </w:p>
        </w:tc>
      </w:tr>
      <w:tr>
        <w:tc>
          <w:tcPr/>
          <w:p>
            <w:pPr>
              <w:pStyle w:val="Compact"/>
            </w:pPr>
            <w:r>
              <w:rPr>
                <w:b/>
                <w:bCs/>
              </w:rPr>
              <w:t xml:space="preserve">What</w:t>
            </w:r>
          </w:p>
        </w:tc>
        <w:tc>
          <w:tcPr/>
          <w:p>
            <w:pPr>
              <w:pStyle w:val="Compact"/>
            </w:pPr>
            <w:r>
              <w:t xml:space="preserve">What actually changes: the concepts, the hidden dependencies, the delegation model</w:t>
            </w:r>
          </w:p>
        </w:tc>
        <w:tc>
          <w:tcPr/>
          <w:p>
            <w:pPr>
              <w:pStyle w:val="Compact"/>
            </w:pPr>
            <w:r>
              <w:t xml:space="preserve">03, 04, 05</w:t>
            </w:r>
          </w:p>
        </w:tc>
      </w:tr>
      <w:tr>
        <w:tc>
          <w:tcPr/>
          <w:p>
            <w:pPr>
              <w:pStyle w:val="Compact"/>
            </w:pPr>
            <w:r>
              <w:rPr>
                <w:b/>
                <w:bCs/>
              </w:rPr>
              <w:t xml:space="preserve">Who</w:t>
            </w:r>
          </w:p>
        </w:tc>
        <w:tc>
          <w:tcPr/>
          <w:p>
            <w:pPr>
              <w:pStyle w:val="Compact"/>
            </w:pPr>
            <w:r>
              <w:t xml:space="preserve">Who decides, who does the work, and which tools do what</w:t>
            </w:r>
          </w:p>
        </w:tc>
        <w:tc>
          <w:tcPr/>
          <w:p>
            <w:pPr>
              <w:pStyle w:val="Compact"/>
            </w:pPr>
            <w:r>
              <w:t xml:space="preserve">06</w:t>
            </w:r>
          </w:p>
        </w:tc>
      </w:tr>
      <w:tr>
        <w:tc>
          <w:tcPr/>
          <w:p>
            <w:pPr>
              <w:pStyle w:val="Compact"/>
            </w:pPr>
            <w:r>
              <w:rPr>
                <w:b/>
                <w:bCs/>
              </w:rPr>
              <w:t xml:space="preserve">How</w:t>
            </w:r>
          </w:p>
        </w:tc>
        <w:tc>
          <w:tcPr/>
          <w:p>
            <w:pPr>
              <w:pStyle w:val="Compact"/>
            </w:pPr>
            <w:r>
              <w:t xml:space="preserve">Discover, assess, build the target, migrate and govern, with a reference deployment</w:t>
            </w:r>
          </w:p>
        </w:tc>
        <w:tc>
          <w:tcPr/>
          <w:p>
            <w:pPr>
              <w:pStyle w:val="Compact"/>
            </w:pPr>
            <w:r>
              <w:t xml:space="preserve">07, 08, 09, 10, 11</w:t>
            </w:r>
          </w:p>
        </w:tc>
      </w:tr>
    </w:tbl>
    <w:p>
      <w:pPr>
        <w:pStyle w:val="BodyText"/>
      </w:pPr>
      <w:r>
        <w:t xml:space="preserve">Appendices: A — Federal requirements crosswalk · B — Forest assessment module · C — Identity assessment module</w:t>
      </w:r>
    </w:p>
    <w:bookmarkEnd w:id="12"/>
    <w:bookmarkStart w:id="13" w:name="reading-paths"/>
    <w:p>
      <w:pPr>
        <w:pStyle w:val="Heading2"/>
      </w:pPr>
      <w:bookmarkStart w:id="1365" w:name="_Toc00001365"/>
      <w:r>
        <w:t xml:space="preserve">Reading paths</w:t>
      </w:r>
      <w:bookmarkEnd w:id="1365"/>
    </w:p>
    <w:p>
      <w:pPr>
        <w:pStyle w:val="Compact"/>
        <w:numPr>
          <w:ilvl w:val="0"/>
          <w:numId w:val="1001"/>
        </w:numPr>
      </w:pPr>
      <w:r>
        <w:rPr>
          <w:b/>
          <w:bCs/>
        </w:rPr>
        <w:t xml:space="preserve">Executives (20 minutes):</w:t>
      </w:r>
      <w:r>
        <w:t xml:space="preserve"> </w:t>
      </w:r>
      <w:r>
        <w:t xml:space="preserve">Chapters 01, 02 and 06, or the 15-minute presentation.</w:t>
      </w:r>
    </w:p>
    <w:p>
      <w:pPr>
        <w:pStyle w:val="Compact"/>
        <w:numPr>
          <w:ilvl w:val="0"/>
          <w:numId w:val="1001"/>
        </w:numPr>
      </w:pPr>
      <w:r>
        <w:rPr>
          <w:b/>
          <w:bCs/>
        </w:rPr>
        <w:t xml:space="preserve">Architects:</w:t>
      </w:r>
      <w:r>
        <w:t xml:space="preserve"> </w:t>
      </w:r>
      <w:r>
        <w:t xml:space="preserve">Chapters 01–06, then 11, then Appendix A.</w:t>
      </w:r>
    </w:p>
    <w:p>
      <w:pPr>
        <w:pStyle w:val="Compact"/>
        <w:numPr>
          <w:ilvl w:val="0"/>
          <w:numId w:val="1001"/>
        </w:numPr>
      </w:pPr>
      <w:r>
        <w:rPr>
          <w:b/>
          <w:bCs/>
        </w:rPr>
        <w:t xml:space="preserve">Engineers running the work:</w:t>
      </w:r>
      <w:r>
        <w:t xml:space="preserve"> </w:t>
      </w:r>
      <w:r>
        <w:t xml:space="preserve">Chapters 03–05 for the model, then 07–10 with Appendices B and C at hand.</w:t>
      </w:r>
    </w:p>
    <w:bookmarkEnd w:id="13"/>
    <w:bookmarkStart w:id="14" w:name="where-this-book-sits-in-the-workbook"/>
    <w:p>
      <w:pPr>
        <w:pStyle w:val="Heading2"/>
      </w:pPr>
      <w:bookmarkStart w:id="1366" w:name="_Toc00001366"/>
      <w:r>
        <w:t xml:space="preserve">Where this book sits in the workbook</w:t>
      </w:r>
      <w:bookmarkEnd w:id="1366"/>
    </w:p>
    <w:p>
      <w:pPr>
        <w:pStyle w:val="FirstParagraph"/>
      </w:pPr>
      <w:r>
        <w:t xml:space="preserve">This is Book 02 of the Modernization Workbook. The workforce side of identity, with HR as the source of authority, is in HR-Driven Identity. The SQL Server estate’s move off Windows authentication is in the SQL Server Identity Transformation series.</w:t>
      </w:r>
    </w:p>
    <w:bookmarkEnd w:id="14"/>
    <w:bookmarkEnd w:id="15"/>
    <w:bookmarkStart w:id="71" w:name="chapter-01-why-identity-matters"/>
    <w:p>
      <w:pPr>
        <w:pStyle w:val="Heading1"/>
      </w:pPr>
      <w:bookmarkStart w:id="1367" w:name="_Toc00001367"/>
      <w:r>
        <w:t xml:space="preserve">Chapter 01 — Why Identity Matters</w:t>
      </w:r>
      <w:bookmarkEnd w:id="1367"/>
    </w:p>
    <w:p>
      <w:pPr>
        <w:pStyle w:val="FirstParagraph"/>
      </w:pPr>
      <w:r>
        <w:rPr>
          <w:i/>
          <w:iCs/>
        </w:rPr>
        <w:t xml:space="preserve">Once the network stops deciding who gets in, the directory decides, and most directories were never built to carry that decision.</w:t>
      </w:r>
    </w:p>
    <w:bookmarkStart w:id="16" w:name="in-this-chapter"/>
    <w:p>
      <w:pPr>
        <w:pStyle w:val="Heading2"/>
      </w:pPr>
      <w:bookmarkStart w:id="1368" w:name="_Toc00001368"/>
      <w:r>
        <w:t xml:space="preserve">In this chapter</w:t>
      </w:r>
      <w:bookmarkEnd w:id="1368"/>
    </w:p>
    <w:p>
      <w:pPr>
        <w:pStyle w:val="FirstParagraph"/>
      </w:pPr>
      <w:r>
        <w:t xml:space="preserve">Why federal Zero Trust policy makes identity, not the network, the place where every access decision is made. What more than twenty-five years of Active Directory accumulated, and why nobody owns it. Why the move to Microsoft Entra ID is forced, and what exactly is doing the forcing. What is at stake if the forest is synchronized into the cloud as it stands.</w:t>
      </w:r>
    </w:p>
    <w:bookmarkEnd w:id="16"/>
    <w:bookmarkStart w:id="28" w:name="the-access-decision-moved-to-identity"/>
    <w:p>
      <w:pPr>
        <w:pStyle w:val="Heading2"/>
      </w:pPr>
      <w:bookmarkStart w:id="1369" w:name="_Toc00001369"/>
      <w:r>
        <w:t xml:space="preserve">The access decision moved to identity</w:t>
      </w:r>
      <w:bookmarkEnd w:id="1369"/>
    </w:p>
    <w:p>
      <w:pPr>
        <w:pStyle w:val="FirstParagraph"/>
      </w:pPr>
      <w:r>
        <w:t xml:space="preserve">For most of the directory era, the network made the first access decision. A user inside the perimeter reached what the perimeter allowed, and the directory’s job was to answer</w:t>
      </w:r>
      <w:r>
        <w:t xml:space="preserve"> </w:t>
      </w:r>
      <w:r>
        <w:t xml:space="preserve">“who is this?”</w:t>
      </w:r>
      <w:r>
        <w:t xml:space="preserve"> </w:t>
      </w:r>
      <w:r>
        <w:t xml:space="preserve">for systems that were already on the same network. Federal direction has moved that decision off the network and onto identity.</w:t>
      </w:r>
    </w:p>
    <w:p>
      <w:pPr>
        <w:pStyle w:val="Compact"/>
        <w:numPr>
          <w:ilvl w:val="0"/>
          <w:numId w:val="1002"/>
        </w:numPr>
      </w:pPr>
      <w:r>
        <w:rPr>
          <w:b/>
          <w:bCs/>
        </w:rPr>
        <w:t xml:space="preserve">OMB M-22-09</w:t>
      </w:r>
      <w:r>
        <w:t xml:space="preserve"> </w:t>
      </w:r>
      <w:r>
        <w:t xml:space="preserve">sets the federal Zero Trust strategy. It requires agencies to use centralized identity management systems for agency users, to enforce multifactor authentication at the application layer rather than the network layer, to require phishing-resistant MFA for staff, contractors and partners, and to consider at least one device-level signal alongside identity when authorizing access. It states that federal applications can’t rely on network perimeter protections, and that users should log into applications rather than networks. It also directs agencies to consolidate identity systems so that protections and monitoring apply consistently.</w:t>
      </w:r>
      <w:r>
        <w:rPr>
          <w:rStyle w:val="FootnoteReference"/>
        </w:rPr>
        <w:footnoteReference w:id="17"/>
      </w:r>
    </w:p>
    <w:p>
      <w:pPr>
        <w:pStyle w:val="Compact"/>
        <w:numPr>
          <w:ilvl w:val="0"/>
          <w:numId w:val="1002"/>
        </w:numPr>
      </w:pPr>
      <w:r>
        <w:rPr>
          <w:b/>
          <w:bCs/>
        </w:rPr>
        <w:t xml:space="preserve">NIST SP 800-207</w:t>
      </w:r>
      <w:r>
        <w:t xml:space="preserve"> </w:t>
      </w:r>
      <w:r>
        <w:t xml:space="preserve">defines the architecture. Zero trust grants no implicit trust based on network location or asset ownership. Access to each resource is granted per session, decided by dynamic policy that includes the client’s identity and the attributes the enterprise assigns to it, and authentication and authorization are re-evaluated continually rather than once at the door.</w:t>
      </w:r>
      <w:r>
        <w:rPr>
          <w:rStyle w:val="FootnoteReference"/>
        </w:rPr>
        <w:footnoteReference w:id="19"/>
      </w:r>
    </w:p>
    <w:p>
      <w:pPr>
        <w:pStyle w:val="Compact"/>
        <w:numPr>
          <w:ilvl w:val="0"/>
          <w:numId w:val="1002"/>
        </w:numPr>
      </w:pPr>
      <w:r>
        <w:rPr>
          <w:b/>
          <w:bCs/>
        </w:rPr>
        <w:t xml:space="preserve">CISA’s Zero Trust Maturity Model</w:t>
      </w:r>
      <w:r>
        <w:t xml:space="preserve"> </w:t>
      </w:r>
      <w:r>
        <w:t xml:space="preserve">makes identity the first of its five pillars (Identity, Devices, Networks, Applications and Workloads, Data) and defines an identity as an attribute or set of attributes that uniquely describes a user or entity. At its optimal level, an agency validates identity continuously, not only when access is first granted.</w:t>
      </w:r>
      <w:r>
        <w:rPr>
          <w:rStyle w:val="FootnoteReference"/>
        </w:rPr>
        <w:footnoteReference w:id="21"/>
      </w:r>
    </w:p>
    <w:p>
      <w:pPr>
        <w:pStyle w:val="FirstParagraph"/>
      </w:pPr>
      <w:r>
        <w:t xml:space="preserve">M-22-09 is explicit about where the data behind those decisions comes from. Zero Trust needs metadata about the user at the policy enforcement point, and the enterprise identity system maintains that metadata and keeps it correct when a person leaves or changes position, drawing on human resources, contract management and personnel security systems.</w:t>
      </w:r>
      <w:r>
        <w:rPr>
          <w:rStyle w:val="FootnoteReference"/>
        </w:rPr>
        <w:footnoteReference w:id="23"/>
      </w:r>
      <w:r>
        <w:t xml:space="preserve"> </w:t>
      </w:r>
      <w:r>
        <w:t xml:space="preserve">The identity provider becomes the policy decision point for the whole estate. Whatever it believes about a person, a group or a device is what the estate enforces.</w:t>
      </w:r>
    </w:p>
    <w:bookmarkStart w:id="27" w:name="fig-ch01-identity-control-plane"/>
    <w:p>
      <w:pPr>
        <w:pStyle w:val="CaptionedFigure"/>
      </w:pPr>
      <w:r>
        <w:drawing>
          <wp:inline>
            <wp:extent cx="5334000" cy="2307404"/>
            <wp:effectExtent b="0" l="0" r="0" t="0"/>
            <wp:docPr descr="Identity is the control plane: federal Zero Trust policy moves the access decision from the network to the identity provider, which decides each request from the directory data behind it." title="" id="25" name="Picture"/>
            <a:graphic>
              <a:graphicData uri="http://schemas.openxmlformats.org/drawingml/2006/picture">
                <pic:pic>
                  <pic:nvPicPr>
                    <pic:cNvPr descr="/home/runner/work/modernization-workbook/modernization-workbook/docs/images/diagrams/b02-identity/png/ch01-identity-control-plane.png" id="26" name="Picture"/>
                    <pic:cNvPicPr>
                      <a:picLocks noChangeArrowheads="1" noChangeAspect="1"/>
                    </pic:cNvPicPr>
                  </pic:nvPicPr>
                  <pic:blipFill>
                    <a:blip r:embed="rId24"/>
                    <a:stretch>
                      <a:fillRect/>
                    </a:stretch>
                  </pic:blipFill>
                  <pic:spPr bwMode="auto">
                    <a:xfrm>
                      <a:off x="0" y="0"/>
                      <a:ext cx="5334000" cy="2307404"/>
                    </a:xfrm>
                    <a:prstGeom prst="rect">
                      <a:avLst/>
                    </a:prstGeom>
                    <a:noFill/>
                    <a:ln w="9525">
                      <a:noFill/>
                      <a:headEnd/>
                      <a:tailEnd/>
                    </a:ln>
                  </pic:spPr>
                </pic:pic>
              </a:graphicData>
            </a:graphic>
          </wp:inline>
        </w:drawing>
      </w:r>
    </w:p>
    <w:p>
      <w:pPr>
        <w:pStyle w:val="ImageCaption"/>
      </w:pPr>
      <w:r>
        <w:t xml:space="preserve">Identity is the control plane: federal Zero Trust policy moves the access decision from the network to the identity provider, which decides each request from the directory data behind it.</w:t>
      </w:r>
    </w:p>
    <w:bookmarkEnd w:id="27"/>
    <w:p>
      <w:pPr>
        <w:pStyle w:val="BodyText"/>
      </w:pPr>
      <w:r>
        <w:t xml:space="preserve">That is the sense in which identity is the control plane. A wrong attribute used to produce a wrong entry in the phone book. Under Zero Trust it produces a wrong group, a wrong policy match and the wrong access, enforced consistently everywhere. A stale account used to be reachable only from inside the building. Under Zero Trust it is a valid identity that can be used from anywhere the applications are published. The workforce side of that dependency, the employee data that identity attributes are projected from, is the subject of HR-Driven Identity. This book is about the directory those attributes land in.</w:t>
      </w:r>
    </w:p>
    <w:bookmarkEnd w:id="28"/>
    <w:bookmarkStart w:id="35" w:name="Xf56676cbc93407b0834c7a13266349b1ca398a1"/>
    <w:p>
      <w:pPr>
        <w:pStyle w:val="Heading2"/>
      </w:pPr>
      <w:bookmarkStart w:id="1370" w:name="_Toc00001370"/>
      <w:r>
        <w:t xml:space="preserve">What twenty-five years of Active Directory accumulated</w:t>
      </w:r>
      <w:bookmarkEnd w:id="1370"/>
    </w:p>
    <w:p>
      <w:pPr>
        <w:pStyle w:val="FirstParagraph"/>
      </w:pPr>
      <w:r>
        <w:t xml:space="preserve">Active Directory arrived with Windows 2000, and with it the organizational unit: a hierarchical container inside a domain, used to group users, computers and groups so that administrative rights could be delegated and policies applied to them as a unit.</w:t>
      </w:r>
      <w:r>
        <w:rPr>
          <w:rStyle w:val="FootnoteReference"/>
        </w:rPr>
        <w:footnoteReference w:id="29"/>
      </w:r>
      <w:r>
        <w:t xml:space="preserve"> </w:t>
      </w:r>
      <w:r>
        <w:t xml:space="preserve">That design worked, and organizations built on it for a quarter of a century. Most of them, federal agencies included, never ended up with a clean, well-governed directory. What they have is decades of organic growth.</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What accumulated</w:t>
            </w:r>
          </w:p>
        </w:tc>
        <w:tc>
          <w:tcPr/>
          <w:p>
            <w:pPr>
              <w:pStyle w:val="Compact"/>
            </w:pPr>
            <w:r>
              <w:t xml:space="preserve">How it looks today</w:t>
            </w:r>
          </w:p>
        </w:tc>
        <w:tc>
          <w:tcPr/>
          <w:p>
            <w:pPr>
              <w:pStyle w:val="Compact"/>
            </w:pPr>
            <w:r>
              <w:t xml:space="preserve">Why it matters now</w:t>
            </w:r>
          </w:p>
        </w:tc>
      </w:tr>
      <w:tr>
        <w:tc>
          <w:tcPr/>
          <w:p>
            <w:pPr>
              <w:pStyle w:val="Compact"/>
            </w:pPr>
            <w:r>
              <w:t xml:space="preserve">Regional domain controllers and domains</w:t>
            </w:r>
          </w:p>
        </w:tc>
        <w:tc>
          <w:tcPr/>
          <w:p>
            <w:pPr>
              <w:pStyle w:val="Compact"/>
            </w:pPr>
            <w:r>
              <w:t xml:space="preserve">Never fully consolidated; some exist because a region once needed its own</w:t>
            </w:r>
          </w:p>
        </w:tc>
        <w:tc>
          <w:tcPr/>
          <w:p>
            <w:pPr>
              <w:pStyle w:val="Compact"/>
            </w:pPr>
            <w:r>
              <w:t xml:space="preserve">Each is a separate administrative boundary to discover and reconcile</w:t>
            </w:r>
          </w:p>
        </w:tc>
      </w:tr>
      <w:tr>
        <w:tc>
          <w:tcPr/>
          <w:p>
            <w:pPr>
              <w:pStyle w:val="Compact"/>
            </w:pPr>
            <w:r>
              <w:t xml:space="preserve">OUs that mirror old organization charts</w:t>
            </w:r>
          </w:p>
        </w:tc>
        <w:tc>
          <w:tcPr/>
          <w:p>
            <w:pPr>
              <w:pStyle w:val="Compact"/>
            </w:pPr>
            <w:r>
              <w:t xml:space="preserve">Containers named for offices, programs and reorganizations that no longer exist</w:t>
            </w:r>
          </w:p>
        </w:tc>
        <w:tc>
          <w:tcPr/>
          <w:p>
            <w:pPr>
              <w:pStyle w:val="Compact"/>
            </w:pPr>
            <w:r>
              <w:t xml:space="preserve">Delegation and policy still follow the old structure</w:t>
            </w:r>
          </w:p>
        </w:tc>
      </w:tr>
      <w:tr>
        <w:tc>
          <w:tcPr/>
          <w:p>
            <w:pPr>
              <w:pStyle w:val="Compact"/>
            </w:pPr>
            <w:r>
              <w:t xml:space="preserve">Group Policy layered on Group Policy</w:t>
            </w:r>
          </w:p>
        </w:tc>
        <w:tc>
          <w:tcPr/>
          <w:p>
            <w:pPr>
              <w:pStyle w:val="Compact"/>
            </w:pPr>
            <w:r>
              <w:t xml:space="preserve">Inherited settings whose original purpose nobody can state</w:t>
            </w:r>
          </w:p>
        </w:tc>
        <w:tc>
          <w:tcPr/>
          <w:p>
            <w:pPr>
              <w:pStyle w:val="Compact"/>
            </w:pPr>
            <w:r>
              <w:t xml:space="preserve">Policy intent has to be recovered before it can be rebuilt</w:t>
            </w:r>
          </w:p>
        </w:tc>
      </w:tr>
      <w:tr>
        <w:tc>
          <w:tcPr/>
          <w:p>
            <w:pPr>
              <w:pStyle w:val="Compact"/>
            </w:pPr>
            <w:r>
              <w:t xml:space="preserve">Service accounts nobody remembers creating</w:t>
            </w:r>
          </w:p>
        </w:tc>
        <w:tc>
          <w:tcPr/>
          <w:p>
            <w:pPr>
              <w:pStyle w:val="Compact"/>
            </w:pPr>
            <w:r>
              <w:t xml:space="preserve">Enabled, often privileged, frequently with non-expiring passwords</w:t>
            </w:r>
          </w:p>
        </w:tc>
        <w:tc>
          <w:tcPr/>
          <w:p>
            <w:pPr>
              <w:pStyle w:val="Compact"/>
            </w:pPr>
            <w:r>
              <w:t xml:space="preserve">Each is a dependency or a standing risk, and usually both</w:t>
            </w:r>
          </w:p>
        </w:tc>
      </w:tr>
      <w:tr>
        <w:tc>
          <w:tcPr/>
          <w:p>
            <w:pPr>
              <w:pStyle w:val="Compact"/>
            </w:pPr>
            <w:r>
              <w:t xml:space="preserve">Trusts created to make something work quickly</w:t>
            </w:r>
          </w:p>
        </w:tc>
        <w:tc>
          <w:tcPr/>
          <w:p>
            <w:pPr>
              <w:pStyle w:val="Compact"/>
            </w:pPr>
            <w:r>
              <w:t xml:space="preserve">Cross-forest and cross-domain trusts with no current owner</w:t>
            </w:r>
          </w:p>
        </w:tc>
        <w:tc>
          <w:tcPr/>
          <w:p>
            <w:pPr>
              <w:pStyle w:val="Compact"/>
            </w:pPr>
            <w:r>
              <w:t xml:space="preserve">Entra ID has no equivalent concept to carry them into</w:t>
            </w:r>
            <w:r>
              <w:rPr>
                <w:rStyle w:val="FootnoteReference"/>
              </w:rPr>
              <w:footnoteReference w:id="31"/>
            </w:r>
          </w:p>
        </w:tc>
      </w:tr>
    </w:tbl>
    <w:p>
      <w:pPr>
        <w:pStyle w:val="BodyText"/>
      </w:pPr>
      <w:r>
        <w:t xml:space="preserve">The consolidation projects that followed often didn’t clean this up. They moved it behind a load balancer and added a layer on top. And nobody wants to own it. Active Directory became infrastructure that everything depends on and nobody champions. It runs until it doesn’t.</w:t>
      </w:r>
    </w:p>
    <w:p>
      <w:pPr>
        <w:pStyle w:val="BodyText"/>
      </w:pPr>
      <w:r>
        <w:t xml:space="preserve">It is also the target. CISA, with the Australian Signals Directorate and other partners, published joint guidance in September 2024 on detecting and mitigating Active Directory compromises. It describes Active Directory as the most widely used authentication and authorization solution in enterprise networks and explains how attackers use it to escalate privilege toward the most sensitive objects in the directory.</w:t>
      </w:r>
      <w:r>
        <w:rPr>
          <w:rStyle w:val="FootnoteReference"/>
        </w:rPr>
        <w:footnoteReference w:id="33"/>
      </w:r>
      <w:r>
        <w:t xml:space="preserve"> </w:t>
      </w:r>
      <w:r>
        <w:t xml:space="preserve">An estate whose access decisions now flow from identity can’t treat its oldest identity store as background plumbing.</w:t>
      </w:r>
    </w:p>
    <w:bookmarkEnd w:id="35"/>
    <w:bookmarkStart w:id="57" w:name="why-the-move-to-entra-id-is-forced"/>
    <w:p>
      <w:pPr>
        <w:pStyle w:val="Heading2"/>
      </w:pPr>
      <w:bookmarkStart w:id="1371" w:name="_Toc00001371"/>
      <w:r>
        <w:t xml:space="preserve">Why the move to Entra ID is forced</w:t>
      </w:r>
      <w:bookmarkEnd w:id="1371"/>
    </w:p>
    <w:p>
      <w:pPr>
        <w:pStyle w:val="FirstParagraph"/>
      </w:pPr>
      <w:r>
        <w:t xml:space="preserve">The usual worry is that Microsoft will retire Active Directory and force the migration. That isn’t what is happening, and planning against the wrong threat leads to the wrong plan. Microsoft states that it continues to support and enhance Windows Server Active Directory for on-premises identity.</w:t>
      </w:r>
      <w:r>
        <w:rPr>
          <w:rStyle w:val="FootnoteReference"/>
        </w:rPr>
        <w:footnoteReference w:id="36"/>
      </w:r>
      <w:r>
        <w:t xml:space="preserve"> </w:t>
      </w:r>
      <w:r>
        <w:t xml:space="preserve">The forcing comes from two directions at once: federal policy, described above, and the direction of Microsoft’s own identity investment, which is moving every hybrid component toward the cloud.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Signal</w:t>
            </w:r>
          </w:p>
        </w:tc>
        <w:tc>
          <w:tcPr/>
          <w:p>
            <w:pPr>
              <w:pStyle w:val="Compact"/>
            </w:pPr>
            <w:r>
              <w:t xml:space="preserve">What Microsoft states</w:t>
            </w:r>
          </w:p>
        </w:tc>
        <w:tc>
          <w:tcPr/>
          <w:p>
            <w:pPr>
              <w:pStyle w:val="Compact"/>
            </w:pPr>
            <w:r>
              <w:t xml:space="preserve">What it means for the migration</w:t>
            </w:r>
          </w:p>
        </w:tc>
      </w:tr>
      <w:tr>
        <w:tc>
          <w:tcPr/>
          <w:p>
            <w:pPr>
              <w:pStyle w:val="Compact"/>
            </w:pPr>
            <w:r>
              <w:t xml:space="preserve">Synchronization</w:t>
            </w:r>
          </w:p>
        </w:tc>
        <w:tc>
          <w:tcPr/>
          <w:p>
            <w:pPr>
              <w:pStyle w:val="Compact"/>
            </w:pPr>
            <w:r>
              <w:t xml:space="preserve">Cloud Sync is replacing Entra Connect Sync, which will be retired once Cloud Sync reaches full functional parity.</w:t>
            </w:r>
            <w:r>
              <w:rPr>
                <w:rStyle w:val="FootnoteReference"/>
              </w:rPr>
              <w:footnoteReference w:id="38"/>
            </w:r>
            <w:r>
              <w:t xml:space="preserve"> </w:t>
            </w:r>
            <w:r>
              <w:t xml:space="preserve">Microsoft announced that, beginning in July 2026, it would notify each customer of its own transition window, in phases that start with tenants whose needs Cloud Sync already meets.</w:t>
            </w:r>
            <w:r>
              <w:rPr>
                <w:rStyle w:val="FootnoteReference"/>
              </w:rPr>
              <w:footnoteReference w:id="40"/>
            </w:r>
          </w:p>
        </w:tc>
        <w:tc>
          <w:tcPr/>
          <w:p>
            <w:pPr>
              <w:pStyle w:val="Compact"/>
            </w:pPr>
            <w:r>
              <w:t xml:space="preserve">The sync engine most hybrid estates run today is on a published replacement path</w:t>
            </w:r>
          </w:p>
        </w:tc>
      </w:tr>
      <w:tr>
        <w:tc>
          <w:tcPr/>
          <w:p>
            <w:pPr>
              <w:pStyle w:val="Compact"/>
            </w:pPr>
            <w:r>
              <w:t xml:space="preserve">Federation</w:t>
            </w:r>
          </w:p>
        </w:tc>
        <w:tc>
          <w:tcPr/>
          <w:p>
            <w:pPr>
              <w:pStyle w:val="Compact"/>
            </w:pPr>
            <w:r>
              <w:t xml:space="preserve">Microsoft recommends migrating from AD FS to cloud authentication and recommends password hash synchronization for it.</w:t>
            </w:r>
            <w:r>
              <w:rPr>
                <w:rStyle w:val="FootnoteReference"/>
              </w:rPr>
              <w:footnoteReference w:id="42"/>
            </w:r>
            <w:r>
              <w:t xml:space="preserve"> </w:t>
            </w:r>
            <w:r>
              <w:t xml:space="preserve">It identifies federation trusts as one of the two main paths by which an on-premises compromise reaches the cloud.</w:t>
            </w:r>
            <w:r>
              <w:rPr>
                <w:rStyle w:val="FootnoteReference"/>
              </w:rPr>
              <w:footnoteReference w:id="44"/>
            </w:r>
          </w:p>
        </w:tc>
        <w:tc>
          <w:tcPr/>
          <w:p>
            <w:pPr>
              <w:pStyle w:val="Compact"/>
            </w:pPr>
            <w:r>
              <w:t xml:space="preserve">AD FS is a dependency to retire, not a component to modernize in place</w:t>
            </w:r>
          </w:p>
        </w:tc>
      </w:tr>
      <w:tr>
        <w:tc>
          <w:tcPr/>
          <w:p>
            <w:pPr>
              <w:pStyle w:val="Compact"/>
            </w:pPr>
            <w:r>
              <w:t xml:space="preserve">Legacy protocols</w:t>
            </w:r>
          </w:p>
        </w:tc>
        <w:tc>
          <w:tcPr/>
          <w:p>
            <w:pPr>
              <w:pStyle w:val="Compact"/>
            </w:pPr>
            <w:r>
              <w:t xml:space="preserve">All versions of NTLM were deprecated in June 2024. NTLMv1 is removed in Windows 11 version 24H2 and Windows Server 2025.</w:t>
            </w:r>
            <w:r>
              <w:rPr>
                <w:rStyle w:val="FootnoteReference"/>
              </w:rPr>
              <w:footnoteReference w:id="46"/>
            </w:r>
            <w:r>
              <w:t xml:space="preserve"> </w:t>
            </w:r>
            <w:r>
              <w:t xml:space="preserve">Microsoft’s cloud-first guidance says new applications that use NTLM, Kerberos or LDAP should be exceptions.</w:t>
            </w:r>
            <w:r>
              <w:rPr>
                <w:rStyle w:val="FootnoteReference"/>
              </w:rPr>
              <w:footnoteReference w:id="48"/>
            </w:r>
          </w:p>
        </w:tc>
        <w:tc>
          <w:tcPr/>
          <w:p>
            <w:pPr>
              <w:pStyle w:val="Compact"/>
            </w:pPr>
            <w:r>
              <w:t xml:space="preserve">Applications that depend on the oldest protocols are on a clock</w:t>
            </w:r>
          </w:p>
        </w:tc>
      </w:tr>
      <w:tr>
        <w:tc>
          <w:tcPr/>
          <w:p>
            <w:pPr>
              <w:pStyle w:val="Compact"/>
            </w:pPr>
            <w:r>
              <w:t xml:space="preserve">Source of authority</w:t>
            </w:r>
          </w:p>
        </w:tc>
        <w:tc>
          <w:tcPr/>
          <w:p>
            <w:pPr>
              <w:pStyle w:val="Compact"/>
            </w:pPr>
            <w:r>
              <w:t xml:space="preserve">Converting synced users from Active Directory to cloud-managed users became generally available in January 2026, supported by both Connect Sync and Cloud Sync.</w:t>
            </w:r>
            <w:r>
              <w:rPr>
                <w:rStyle w:val="FootnoteReference"/>
              </w:rPr>
              <w:footnoteReference w:id="49"/>
            </w:r>
            <w:r>
              <w:t xml:space="preserve"> </w:t>
            </w:r>
            <w:r>
              <w:t xml:space="preserve">Groups can be converted the same way.</w:t>
            </w:r>
            <w:r>
              <w:rPr>
                <w:rStyle w:val="FootnoteReference"/>
              </w:rPr>
              <w:footnoteReference w:id="50"/>
            </w:r>
          </w:p>
        </w:tc>
        <w:tc>
          <w:tcPr/>
          <w:p>
            <w:pPr>
              <w:pStyle w:val="Compact"/>
            </w:pPr>
            <w:r>
              <w:t xml:space="preserve">Moving authority to the cloud is now a supported, object-by-object operation, not a rebuild</w:t>
            </w:r>
          </w:p>
        </w:tc>
      </w:tr>
      <w:tr>
        <w:tc>
          <w:tcPr/>
          <w:p>
            <w:pPr>
              <w:pStyle w:val="Compact"/>
            </w:pPr>
            <w:r>
              <w:t xml:space="preserve">Target posture</w:t>
            </w:r>
          </w:p>
        </w:tc>
        <w:tc>
          <w:tcPr/>
          <w:p>
            <w:pPr>
              <w:pStyle w:val="Compact"/>
            </w:pPr>
            <w:r>
              <w:t xml:space="preserve">Microsoft models the journey as five states (cloud attached, hybrid, cloud first, AD minimized, 100% cloud) and describes it as a multi-year effort for large organizations.</w:t>
            </w:r>
            <w:r>
              <w:rPr>
                <w:rStyle w:val="FootnoteReference"/>
              </w:rPr>
              <w:footnoteReference w:id="52"/>
            </w:r>
          </w:p>
        </w:tc>
        <w:tc>
          <w:tcPr/>
          <w:p>
            <w:pPr>
              <w:pStyle w:val="Compact"/>
            </w:pPr>
            <w:r>
              <w:t xml:space="preserve">The question is no longer whether to move, but how far and in what order</w:t>
            </w:r>
          </w:p>
        </w:tc>
      </w:tr>
    </w:tbl>
    <w:p>
      <w:pPr>
        <w:pStyle w:val="BodyText"/>
      </w:pPr>
      <w:r>
        <w:t xml:space="preserve">There is precedent for this pattern, and it is more precise than</w:t>
      </w:r>
      <w:r>
        <w:t xml:space="preserve"> </w:t>
      </w:r>
      <w:r>
        <w:t xml:space="preserve">“Microsoft forces migrations.”</w:t>
      </w:r>
      <w:r>
        <w:t xml:space="preserve"> </w:t>
      </w:r>
      <w:r>
        <w:t xml:space="preserve">Skype for Business Online was retired on July 31, 2021, after two years’ notice, while on-premises Skype for Business Server remained supported.</w:t>
      </w:r>
      <w:r>
        <w:rPr>
          <w:rStyle w:val="FootnoteReference"/>
        </w:rPr>
        <w:footnoteReference w:id="53"/>
      </w:r>
      <w:r>
        <w:t xml:space="preserve"> </w:t>
      </w:r>
      <w:r>
        <w:t xml:space="preserve">Exchange Server 2016 and 2019 reached end of support on October 14, 2025. The options Microsoft lists are migrating to Microsoft 365 or upgrading on-premises to Exchange Server Subscription Edition.</w:t>
      </w:r>
      <w:r>
        <w:rPr>
          <w:rStyle w:val="FootnoteReference"/>
        </w:rPr>
        <w:footnoteReference w:id="55"/>
      </w:r>
      <w:r>
        <w:t xml:space="preserve"> </w:t>
      </w:r>
      <w:r>
        <w:t xml:space="preserve">In each case the on-premises path narrowed and the new capability went to the cloud, and organizations that had already cleaned up their environments made the transition far more easily than those that hadn’t.</w:t>
      </w:r>
    </w:p>
    <w:p>
      <w:pPr>
        <w:pStyle w:val="BodyText"/>
      </w:pPr>
      <w:r>
        <w:t xml:space="preserve">What makes the identity version harder is that the gap is structural, not only technical. An organization whose authority model depends on the OU hierarchy can’t script its way into a flat tenant. It has to rebuild that model in a different paradigm, and it can only do that if it knows what the old model was. In most estates that knowledge is tribal, if it exists at all. Chapter 02 explains the structural mismatch in detail.</w:t>
      </w:r>
    </w:p>
    <w:bookmarkEnd w:id="57"/>
    <w:bookmarkStart w:id="67" w:name="what-a-lift-and-shift-puts-at-risk"/>
    <w:p>
      <w:pPr>
        <w:pStyle w:val="Heading2"/>
      </w:pPr>
      <w:bookmarkStart w:id="1372" w:name="_Toc00001372"/>
      <w:r>
        <w:t xml:space="preserve">What a lift-and-shift puts at risk</w:t>
      </w:r>
      <w:bookmarkEnd w:id="1372"/>
    </w:p>
    <w:p>
      <w:pPr>
        <w:pStyle w:val="FirstParagraph"/>
      </w:pPr>
      <w:r>
        <w:t xml:space="preserve">The tempting plan is to install a sync engine, synchronize the forest as it stands, and call the identity layer migrated. The sync works. What it carries across is the problem.</w:t>
      </w:r>
    </w:p>
    <w:bookmarkStart w:id="61" w:name="fig-ch01-two-paths"/>
    <w:p>
      <w:pPr>
        <w:pStyle w:val="CaptionedFigure"/>
      </w:pPr>
      <w:r>
        <w:drawing>
          <wp:inline>
            <wp:extent cx="5334000" cy="3135049"/>
            <wp:effectExtent b="0" l="0" r="0" t="0"/>
            <wp:docPr descr="Two ways out of the forest: a lift-and-shift synchronizes the accumulated estate and its risks into the tenant, while a governed migration discovers what Active Directory encodes and rebuilds it explicitly in Entra ID." title="" id="59" name="Picture"/>
            <a:graphic>
              <a:graphicData uri="http://schemas.openxmlformats.org/drawingml/2006/picture">
                <pic:pic>
                  <pic:nvPicPr>
                    <pic:cNvPr descr="/home/runner/work/modernization-workbook/modernization-workbook/docs/images/diagrams/b02-identity/png/ch01-two-paths.png" id="60" name="Picture"/>
                    <pic:cNvPicPr>
                      <a:picLocks noChangeArrowheads="1" noChangeAspect="1"/>
                    </pic:cNvPicPr>
                  </pic:nvPicPr>
                  <pic:blipFill>
                    <a:blip r:embed="rId58"/>
                    <a:stretch>
                      <a:fillRect/>
                    </a:stretch>
                  </pic:blipFill>
                  <pic:spPr bwMode="auto">
                    <a:xfrm>
                      <a:off x="0" y="0"/>
                      <a:ext cx="5334000" cy="3135049"/>
                    </a:xfrm>
                    <a:prstGeom prst="rect">
                      <a:avLst/>
                    </a:prstGeom>
                    <a:noFill/>
                    <a:ln w="9525">
                      <a:noFill/>
                      <a:headEnd/>
                      <a:tailEnd/>
                    </a:ln>
                  </pic:spPr>
                </pic:pic>
              </a:graphicData>
            </a:graphic>
          </wp:inline>
        </w:drawing>
      </w:r>
    </w:p>
    <w:p>
      <w:pPr>
        <w:pStyle w:val="ImageCaption"/>
      </w:pPr>
      <w:r>
        <w:t xml:space="preserve">Two ways out of the forest: a lift-and-shift synchronizes the accumulated estate and its risks into the tenant, while a governed migration discovers what Active Directory encodes and rebuilds it explicitly in Entra ID.</w:t>
      </w:r>
    </w:p>
    <w:bookmarkEnd w:id="61"/>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Carried across as it stands</w:t>
            </w:r>
          </w:p>
        </w:tc>
        <w:tc>
          <w:tcPr/>
          <w:p>
            <w:pPr>
              <w:pStyle w:val="Compact"/>
            </w:pPr>
            <w:r>
              <w:t xml:space="preserve">Consequence in Entra ID</w:t>
            </w:r>
          </w:p>
        </w:tc>
      </w:tr>
      <w:tr>
        <w:tc>
          <w:tcPr/>
          <w:p>
            <w:pPr>
              <w:pStyle w:val="Compact"/>
            </w:pPr>
            <w:r>
              <w:t xml:space="preserve">OU-based delegation and Group Policy</w:t>
            </w:r>
          </w:p>
        </w:tc>
        <w:tc>
          <w:tcPr/>
          <w:p>
            <w:pPr>
              <w:pStyle w:val="Compact"/>
            </w:pPr>
            <w:r>
              <w:t xml:space="preserve">Neither has a landing place. Entra ID has no OU tree, so delegation and policy have to be rebuilt as administrative units, scoped roles, dynamic groups and Conditional Access, or they are simply lost (Chapter 05)</w:t>
            </w:r>
          </w:p>
        </w:tc>
      </w:tr>
      <w:tr>
        <w:tc>
          <w:tcPr/>
          <w:p>
            <w:pPr>
              <w:pStyle w:val="Compact"/>
            </w:pPr>
            <w:r>
              <w:t xml:space="preserve">Privileged accounts mastered on-premises</w:t>
            </w:r>
          </w:p>
        </w:tc>
        <w:tc>
          <w:tcPr/>
          <w:p>
            <w:pPr>
              <w:pStyle w:val="Compact"/>
            </w:pPr>
            <w:r>
              <w:t xml:space="preserve">If a synchronized account holds cloud privileges, an attacker who gets its on-premises credentials can use them in the cloud. Microsoft’s guidance is that privileged cloud roles use cloud-only accounts and that synchronized objects hold no privileges beyond those of a user</w:t>
            </w:r>
            <w:r>
              <w:rPr>
                <w:rStyle w:val="FootnoteReference"/>
              </w:rPr>
              <w:footnoteReference w:id="62"/>
            </w:r>
            <w:r>
              <w:rPr>
                <w:rStyle w:val="FootnoteReference"/>
              </w:rPr>
              <w:footnoteReference w:id="64"/>
            </w:r>
          </w:p>
        </w:tc>
      </w:tr>
      <w:tr>
        <w:tc>
          <w:tcPr/>
          <w:p>
            <w:pPr>
              <w:pStyle w:val="Compact"/>
            </w:pPr>
            <w:r>
              <w:t xml:space="preserve">Groups and attributes that drive access</w:t>
            </w:r>
          </w:p>
        </w:tc>
        <w:tc>
          <w:tcPr/>
          <w:p>
            <w:pPr>
              <w:pStyle w:val="Compact"/>
            </w:pPr>
            <w:r>
              <w:t xml:space="preserve">On-premises membership or attribute manipulation can change cloud group membership, including dynamic groups, so owners of groups used for access have to be treated as privileged</w:t>
            </w:r>
            <w:r>
              <w:rPr>
                <w:rStyle w:val="FootnoteReference"/>
              </w:rPr>
              <w:footnoteReference w:id="65"/>
            </w:r>
          </w:p>
        </w:tc>
      </w:tr>
      <w:tr>
        <w:tc>
          <w:tcPr/>
          <w:p>
            <w:pPr>
              <w:pStyle w:val="Compact"/>
            </w:pPr>
            <w:r>
              <w:t xml:space="preserve">Federation through AD FS</w:t>
            </w:r>
          </w:p>
        </w:tc>
        <w:tc>
          <w:tcPr/>
          <w:p>
            <w:pPr>
              <w:pStyle w:val="Compact"/>
            </w:pPr>
            <w:r>
              <w:t xml:space="preserve">A compromised token-signing certificate lets its holder impersonate any user in the cloud tenant</w:t>
            </w:r>
            <w:r>
              <w:rPr>
                <w:rStyle w:val="FootnoteReference"/>
              </w:rPr>
              <w:footnoteReference w:id="66"/>
            </w:r>
          </w:p>
        </w:tc>
      </w:tr>
      <w:tr>
        <w:tc>
          <w:tcPr/>
          <w:p>
            <w:pPr>
              <w:pStyle w:val="Compact"/>
            </w:pPr>
            <w:r>
              <w:t xml:space="preserve">Stale and orphaned accounts</w:t>
            </w:r>
          </w:p>
        </w:tc>
        <w:tc>
          <w:tcPr/>
          <w:p>
            <w:pPr>
              <w:pStyle w:val="Compact"/>
            </w:pPr>
            <w:r>
              <w:t xml:space="preserve">Accounts that were reachable only from inside the perimeter become valid cloud identities, usable wherever the applications are published</w:t>
            </w:r>
          </w:p>
        </w:tc>
      </w:tr>
      <w:tr>
        <w:tc>
          <w:tcPr/>
          <w:p>
            <w:pPr>
              <w:pStyle w:val="Compact"/>
            </w:pPr>
            <w:r>
              <w:t xml:space="preserve">Undocumented dependencies</w:t>
            </w:r>
          </w:p>
        </w:tc>
        <w:tc>
          <w:tcPr/>
          <w:p>
            <w:pPr>
              <w:pStyle w:val="Compact"/>
            </w:pPr>
            <w:r>
              <w:t xml:space="preserve">Kerberos-dependent services, Windows-authenticated SQL Server, LDAP-bound applications and certificate chains break silently when the directory underneath them changes (Chapter 04)</w:t>
            </w:r>
          </w:p>
        </w:tc>
      </w:tr>
    </w:tbl>
    <w:p>
      <w:pPr>
        <w:pStyle w:val="BodyText"/>
      </w:pPr>
      <w:r>
        <w:t xml:space="preserve">The last risk is the quiet one. If the program moves the objects but not the governance, it inherits the OU-driven model in a platform that can’t express it. The organization pays for a cloud identity platform and runs it as a copy of the old directory, losing most of what made the move worth doing: access computed from attributes, scoped and time-bound privilege, and evidence of who has access and why.</w:t>
      </w:r>
    </w:p>
    <w:bookmarkEnd w:id="67"/>
    <w:bookmarkStart w:id="68" w:name="an-illustrative-starting-point"/>
    <w:p>
      <w:pPr>
        <w:pStyle w:val="Heading2"/>
      </w:pPr>
      <w:bookmarkStart w:id="1373" w:name="_Toc00001373"/>
      <w:r>
        <w:t xml:space="preserve">An illustrative starting point</w:t>
      </w:r>
      <w:bookmarkEnd w:id="1373"/>
    </w:p>
    <w:p>
      <w:pPr>
        <w:pStyle w:val="FirstParagraph"/>
      </w:pPr>
      <w:r>
        <w:t xml:space="preserve">The workbook’s case studies are framing patterns, not real engagements. They describe the situation a program should expect, with no agency names or metrics. Two patterns frame this book.</w:t>
      </w:r>
    </w:p>
    <w:p>
      <w:pPr>
        <w:pStyle w:val="Compact"/>
        <w:numPr>
          <w:ilvl w:val="0"/>
          <w:numId w:val="1003"/>
        </w:numPr>
      </w:pPr>
      <w:r>
        <w:rPr>
          <w:b/>
          <w:bCs/>
        </w:rPr>
        <w:t xml:space="preserve">A large, multi-forest directory.</w:t>
      </w:r>
      <w:r>
        <w:t xml:space="preserve"> </w:t>
      </w:r>
      <w:r>
        <w:t xml:space="preserve">An agency runs Active Directory at scale: more than 100,000 identities, a multi-forest topology, and an OU hierarchy that is a decade old and runs to several thousand OUs. Group memberships are maintained by hand, and movers are handled by ticket-driven re-permissioning. SIEM, the identity provider, IP address management and the authorization package each consume identity claims inconsistently. The authorization package describes the intended controls, but nobody can reproduce what the directory actually enforces at a given moment. The program has chosen its migration tooling. It hasn’t addressed the inversion from placement in a hierarchy to access computed from attributes.</w:t>
      </w:r>
    </w:p>
    <w:p>
      <w:pPr>
        <w:pStyle w:val="Compact"/>
        <w:numPr>
          <w:ilvl w:val="0"/>
          <w:numId w:val="1003"/>
        </w:numPr>
      </w:pPr>
      <w:r>
        <w:rPr>
          <w:b/>
          <w:bCs/>
        </w:rPr>
        <w:t xml:space="preserve">A twenty-year forest with SQL Server sprawl.</w:t>
      </w:r>
      <w:r>
        <w:t xml:space="preserve"> </w:t>
      </w:r>
      <w:r>
        <w:t xml:space="preserve">A civilian agency runs a twenty-year-old forest alongside twenty years of SQL Server instance and database growth. Service principal names, service accounts and LDAP-dependent applications have never been inventoried, and evidence that services kept working through past changes was assembled after the fact. The directory and the database estate share one authentication boundary, so neither can move safely without the other.</w:t>
      </w:r>
    </w:p>
    <w:p>
      <w:pPr>
        <w:pStyle w:val="FirstParagraph"/>
      </w:pPr>
      <w:r>
        <w:t xml:space="preserve">Neither pattern is unusual. Both show why the migration can’t be scoped as a directory project, and both reappear in the How chapters as the estate that discovery (Chapter 07) and assessment (Chapter 08) are built to read.</w:t>
      </w:r>
    </w:p>
    <w:bookmarkEnd w:id="68"/>
    <w:bookmarkStart w:id="69" w:name="the-argument-in-brief"/>
    <w:p>
      <w:pPr>
        <w:pStyle w:val="Heading2"/>
      </w:pPr>
      <w:bookmarkStart w:id="1374" w:name="_Toc00001374"/>
      <w:r>
        <w:t xml:space="preserve">The argument in brief</w:t>
      </w:r>
      <w:bookmarkEnd w:id="1374"/>
    </w:p>
    <w:p>
      <w:pPr>
        <w:pStyle w:val="Compact"/>
        <w:numPr>
          <w:ilvl w:val="0"/>
          <w:numId w:val="1004"/>
        </w:numPr>
      </w:pPr>
      <w:r>
        <w:t xml:space="preserve">Federal Zero Trust policy moves the access decision from the network to identity, and the identity provider enforces whatever it believes about people, groups and devices.</w:t>
      </w:r>
    </w:p>
    <w:p>
      <w:pPr>
        <w:pStyle w:val="Compact"/>
        <w:numPr>
          <w:ilvl w:val="0"/>
          <w:numId w:val="1004"/>
        </w:numPr>
      </w:pPr>
      <w:r>
        <w:t xml:space="preserve">The identity data most agencies hold is a twenty-five-year accumulation of OUs, policy layers, service accounts and trusts that nobody owns and few have documented.</w:t>
      </w:r>
    </w:p>
    <w:p>
      <w:pPr>
        <w:pStyle w:val="Compact"/>
        <w:numPr>
          <w:ilvl w:val="0"/>
          <w:numId w:val="1004"/>
        </w:numPr>
      </w:pPr>
      <w:r>
        <w:t xml:space="preserve">Active Directory isn’t being retired, but Microsoft’s synchronization, federation, protocol and source-of-authority direction all point to the cloud, and federal policy requires the outcome that direction delivers.</w:t>
      </w:r>
    </w:p>
    <w:p>
      <w:pPr>
        <w:pStyle w:val="Compact"/>
        <w:numPr>
          <w:ilvl w:val="0"/>
          <w:numId w:val="1004"/>
        </w:numPr>
      </w:pPr>
      <w:r>
        <w:t xml:space="preserve">A lift-and-shift synchronizes the accumulated risk into the tenant and discards the governance that the hierarchy carried.</w:t>
      </w:r>
    </w:p>
    <w:p>
      <w:pPr>
        <w:pStyle w:val="Compact"/>
        <w:numPr>
          <w:ilvl w:val="0"/>
          <w:numId w:val="1004"/>
        </w:numPr>
      </w:pPr>
      <w:r>
        <w:t xml:space="preserve">The migration therefore has to be treated as a governance event: discover what the directory encodes, rebuild it explicitly, and prove it survived. Chapter 02 shows why that rebuild is structural, and Chapter 06 assigns who owns it.</w:t>
      </w:r>
    </w:p>
    <w:bookmarkEnd w:id="69"/>
    <w:bookmarkStart w:id="70" w:name="continue-the-book"/>
    <w:p>
      <w:pPr>
        <w:pStyle w:val="Heading2"/>
      </w:pPr>
      <w:bookmarkStart w:id="1375" w:name="_Toc00001375"/>
      <w:r>
        <w:t xml:space="preserve">Continue the book</w:t>
      </w:r>
      <w:bookmarkEnd w:id="1375"/>
    </w:p>
    <w:p>
      <w:pPr>
        <w:pStyle w:val="FirstParagraph"/>
      </w:pPr>
      <w:r>
        <w:t xml:space="preserve">Book index · Next: Chapter 02 — The Structural Problem →</w:t>
      </w:r>
    </w:p>
    <w:bookmarkEnd w:id="70"/>
    <w:bookmarkEnd w:id="71"/>
    <w:bookmarkStart w:id="134" w:name="chapter-02-the-structural-problem"/>
    <w:p>
      <w:pPr>
        <w:pStyle w:val="Heading1"/>
      </w:pPr>
      <w:bookmarkStart w:id="1376" w:name="_Toc00001376"/>
      <w:r>
        <w:t xml:space="preserve">Chapter 02 — The Structural Problem</w:t>
      </w:r>
      <w:bookmarkEnd w:id="1376"/>
    </w:p>
    <w:p>
      <w:pPr>
        <w:pStyle w:val="FirstParagraph"/>
      </w:pPr>
      <w:r>
        <w:rPr>
          <w:i/>
          <w:iCs/>
        </w:rPr>
        <w:t xml:space="preserve">Active Directory governs an object by where it sits; Entra ID governs it by what the object says about itself, and nothing translates one into the other automatically.</w:t>
      </w:r>
    </w:p>
    <w:bookmarkStart w:id="72" w:name="in-this-chapter-1"/>
    <w:p>
      <w:pPr>
        <w:pStyle w:val="Heading2"/>
      </w:pPr>
      <w:bookmarkStart w:id="1377" w:name="_Toc00001377"/>
      <w:r>
        <w:t xml:space="preserve">In this chapter</w:t>
      </w:r>
      <w:bookmarkEnd w:id="1377"/>
    </w:p>
    <w:p>
      <w:pPr>
        <w:pStyle w:val="FirstParagraph"/>
      </w:pPr>
      <w:r>
        <w:t xml:space="preserve">How the forest, domain, OU and Group Policy hierarchy carries an organization’s governance, and what a flat tenant offers in its place. The two limits that decide whether the mapping works. The session-versus-telemetry divide that makes hybrid identity break at a continuous-verification boundary such as FedRAMP’s. Why the migration is a governance and single-source-of-truth event, and the capabilities that treatment requires.</w:t>
      </w:r>
    </w:p>
    <w:bookmarkEnd w:id="72"/>
    <w:bookmarkStart w:id="83" w:name="hierarchy-is-the-governance-model"/>
    <w:p>
      <w:pPr>
        <w:pStyle w:val="Heading2"/>
      </w:pPr>
      <w:bookmarkStart w:id="1378" w:name="_Toc00001378"/>
      <w:r>
        <w:t xml:space="preserve">Hierarchy is the governance model</w:t>
      </w:r>
      <w:bookmarkEnd w:id="1378"/>
    </w:p>
    <w:p>
      <w:pPr>
        <w:pStyle w:val="FirstParagraph"/>
      </w:pPr>
      <w:r>
        <w:t xml:space="preserve">Active Directory’s structure isn’t only technical. Forests and domains form the outer layers of the hierarchy, and within each domain the organizational unit, introduced with Windows 2000, groups users, computers and groups so that administrative rights can be delegated and policies applied to them as a unit.</w:t>
      </w:r>
      <w:r>
        <w:rPr>
          <w:rStyle w:val="FootnoteReference"/>
        </w:rPr>
        <w:footnoteReference w:id="73"/>
      </w:r>
      <w:r>
        <w:t xml:space="preserve"> </w:t>
      </w:r>
      <w:r>
        <w:t xml:space="preserve">Kerberos ticket policy is defined per domain and enforced by the domain’s key distribution center.</w:t>
      </w:r>
      <w:r>
        <w:rPr>
          <w:rStyle w:val="FootnoteReference"/>
        </w:rPr>
        <w:footnoteReference w:id="74"/>
      </w:r>
      <w:r>
        <w:t xml:space="preserve"> </w:t>
      </w:r>
      <w:r>
        <w:t xml:space="preserve">Group Policy objects are linked to sites, domains and OUs, and by default their settings are inherited and cumulative down the tree, with the container closest to the object taking precedence. Their contents are stored in the directory and in each domain controller’s SYSVOL folder and replicate between domain controllers.</w:t>
      </w:r>
      <w:r>
        <w:rPr>
          <w:rStyle w:val="FootnoteReference"/>
        </w:rPr>
        <w:footnoteReference w:id="76"/>
      </w:r>
    </w:p>
    <w:p>
      <w:pPr>
        <w:pStyle w:val="BodyText"/>
      </w:pPr>
      <w:r>
        <w:t xml:space="preserve">The result is that an object’s position decides how it is governed. Move a user into a different OU and its delegated administrators, inherited policies and often its access all change, without anyone editing the user. Over twenty-five years, organizations built operational process on that property: help desk scope by regional OU, server baselines by OU, service accounts parked in a protected OU, and the organization chart itself encoded as the tree.</w:t>
      </w:r>
    </w:p>
    <w:p>
      <w:pPr>
        <w:pStyle w:val="BodyText"/>
      </w:pPr>
      <w:r>
        <w:t xml:space="preserve">Entra ID has no tree to put an object in. A tenant holds users, groups, devices and service principals side by side, and governs them by what they carry: attributes, group memberships, role assignments and policy conditions. Microsoft notes that because Active Directory and Entra ID are separate products for different environments, they don’t have like-for-like features, and Entra ID has no notion of Active Directory domain and forest trusts.</w:t>
      </w:r>
      <w:r>
        <w:rPr>
          <w:rStyle w:val="FootnoteReference"/>
        </w:rPr>
        <w:footnoteReference w:id="78"/>
      </w:r>
    </w:p>
    <w:bookmarkStart w:id="82" w:name="fig-ch02-placement-vs-attributes"/>
    <w:p>
      <w:pPr>
        <w:pStyle w:val="CaptionedFigure"/>
      </w:pPr>
      <w:r>
        <w:drawing>
          <wp:inline>
            <wp:extent cx="5334000" cy="4749328"/>
            <wp:effectExtent b="0" l="0" r="0" t="0"/>
            <wp:docPr descr="Placement versus attributes: in Active Directory an object inherits delegation and policy from where it sits in the forest, domain and OU tree; in Entra ID an object’s attributes are evaluated by rules that place it in administrative units, dynamic groups and Conditional Access policies." title="" id="80" name="Picture"/>
            <a:graphic>
              <a:graphicData uri="http://schemas.openxmlformats.org/drawingml/2006/picture">
                <pic:pic>
                  <pic:nvPicPr>
                    <pic:cNvPr descr="/home/runner/work/modernization-workbook/modernization-workbook/docs/images/diagrams/b02-identity/png/ch02-placement-vs-attributes.png" id="81" name="Picture"/>
                    <pic:cNvPicPr>
                      <a:picLocks noChangeArrowheads="1" noChangeAspect="1"/>
                    </pic:cNvPicPr>
                  </pic:nvPicPr>
                  <pic:blipFill>
                    <a:blip r:embed="rId79"/>
                    <a:stretch>
                      <a:fillRect/>
                    </a:stretch>
                  </pic:blipFill>
                  <pic:spPr bwMode="auto">
                    <a:xfrm>
                      <a:off x="0" y="0"/>
                      <a:ext cx="5334000" cy="4749328"/>
                    </a:xfrm>
                    <a:prstGeom prst="rect">
                      <a:avLst/>
                    </a:prstGeom>
                    <a:noFill/>
                    <a:ln w="9525">
                      <a:noFill/>
                      <a:headEnd/>
                      <a:tailEnd/>
                    </a:ln>
                  </pic:spPr>
                </pic:pic>
              </a:graphicData>
            </a:graphic>
          </wp:inline>
        </w:drawing>
      </w:r>
    </w:p>
    <w:p>
      <w:pPr>
        <w:pStyle w:val="ImageCaption"/>
      </w:pPr>
      <w:r>
        <w:t xml:space="preserve">Placement versus attributes: in Active Directory an object inherits delegation and policy from where it sits in the forest, domain and OU tree; in Entra ID an object’s attributes are evaluated by rules that place it in administrative units, dynamic groups and Conditional Access policies.</w:t>
      </w:r>
    </w:p>
    <w:bookmarkEnd w:id="82"/>
    <w:p>
      <w:pPr>
        <w:pStyle w:val="BodyText"/>
      </w:pPr>
      <w:r>
        <w:t xml:space="preserve">So the gap between the two isn’t a missing feature that a later release will fill. It is a different idea of where governance lives. An OU tree carries governance by containment. A tenant carries it by predicate. Every piece of governance that relied on containment has to be found and rewritten as an explicit predicate, an explicit role assignment or an explicit policy.</w:t>
      </w:r>
    </w:p>
    <w:bookmarkEnd w:id="83"/>
    <w:bookmarkStart w:id="97" w:name="X7cef9e52148a2f654f4a7f15eef007b60c449be"/>
    <w:p>
      <w:pPr>
        <w:pStyle w:val="Heading2"/>
      </w:pPr>
      <w:bookmarkStart w:id="1379" w:name="_Toc00001379"/>
      <w:r>
        <w:t xml:space="preserve">Two limits decide whether the mapping works</w:t>
      </w:r>
      <w:bookmarkEnd w:id="1379"/>
    </w:p>
    <w:p>
      <w:pPr>
        <w:pStyle w:val="FirstParagraph"/>
      </w:pPr>
      <w:r>
        <w:t xml:space="preserve">Microsoft’s usual answer to</w:t>
      </w:r>
      <w:r>
        <w:t xml:space="preserve"> </w:t>
      </w:r>
      <w:r>
        <w:t xml:space="preserve">“where do my OUs go?”</w:t>
      </w:r>
      <w:r>
        <w:t xml:space="preserve"> </w:t>
      </w:r>
      <w:r>
        <w:t xml:space="preserve">is administrative units. That answer is right, but two limits determine how far it gets you.</w:t>
      </w:r>
    </w:p>
    <w:bookmarkStart w:id="92" w:name="administrative-units-cant-nest"/>
    <w:p>
      <w:pPr>
        <w:pStyle w:val="Heading3"/>
      </w:pPr>
      <w:r>
        <w:t xml:space="preserve">Administrative units can’t nest</w:t>
      </w:r>
    </w:p>
    <w:p>
      <w:pPr>
        <w:pStyle w:val="FirstParagraph"/>
      </w:pPr>
      <w:r>
        <w:t xml:space="preserve">Microsoft lists this as the first constraint on administrative units.</w:t>
      </w:r>
      <w:r>
        <w:rPr>
          <w:rStyle w:val="FootnoteReference"/>
        </w:rPr>
        <w:footnoteReference w:id="84"/>
      </w:r>
      <w:r>
        <w:t xml:space="preserve"> </w:t>
      </w:r>
      <w:r>
        <w:t xml:space="preserve">An OU tree doesn’t become an administrative-unit tree. It becomes a flat set of administrative units, each with its own membership. Governance that depended on inheritance down the tree has to be expressed as a separate predicate for each unit. Several related constraints shape the design:</w:t>
      </w:r>
    </w:p>
    <w:p>
      <w:pPr>
        <w:pStyle w:val="Compact"/>
        <w:numPr>
          <w:ilvl w:val="0"/>
          <w:numId w:val="1005"/>
        </w:numPr>
      </w:pPr>
      <w:r>
        <w:t xml:space="preserve">A user, group or device can be a member of no more than 30 administrative units.</w:t>
      </w:r>
      <w:r>
        <w:rPr>
          <w:rStyle w:val="FootnoteReference"/>
        </w:rPr>
        <w:footnoteReference w:id="86"/>
      </w:r>
    </w:p>
    <w:p>
      <w:pPr>
        <w:pStyle w:val="Compact"/>
        <w:numPr>
          <w:ilvl w:val="0"/>
          <w:numId w:val="1005"/>
        </w:numPr>
      </w:pPr>
      <w:r>
        <w:t xml:space="preserve">An administrative unit with dynamic membership rules can contain users or devices, but not both, and dynamic rules for groups aren’t supported. Adding a group to an administrative unit brings the group into scope, not its members.</w:t>
      </w:r>
      <w:r>
        <w:rPr>
          <w:rStyle w:val="FootnoteReference"/>
        </w:rPr>
        <w:footnoteReference w:id="88"/>
      </w:r>
      <w:r>
        <w:rPr>
          <w:rStyle w:val="FootnoteReference"/>
        </w:rPr>
        <w:footnoteReference w:id="90"/>
      </w:r>
    </w:p>
    <w:p>
      <w:pPr>
        <w:pStyle w:val="Compact"/>
        <w:numPr>
          <w:ilvl w:val="0"/>
          <w:numId w:val="1005"/>
        </w:numPr>
      </w:pPr>
      <w:r>
        <w:t xml:space="preserve">Dynamic membership requires a Microsoft Entra ID P1 license for each unique member, and Microsoft documents dynamic administrative units for the global Azure cloud, not for specialized clouds such as Azure Government.</w:t>
      </w:r>
      <w:r>
        <w:rPr>
          <w:rStyle w:val="FootnoteReference"/>
        </w:rPr>
        <w:footnoteReference w:id="91"/>
      </w:r>
    </w:p>
    <w:bookmarkEnd w:id="92"/>
    <w:bookmarkStart w:id="96" w:name="Xcc1a53d329b6a3a0f88d40a345b10cdfad4f110"/>
    <w:p>
      <w:pPr>
        <w:pStyle w:val="Heading3"/>
      </w:pPr>
      <w:r>
        <w:t xml:space="preserve">The attributes that drive membership are mastered in Active Directory</w:t>
      </w:r>
    </w:p>
    <w:p>
      <w:pPr>
        <w:pStyle w:val="FirstParagraph"/>
      </w:pPr>
      <w:r>
        <w:t xml:space="preserve">For a user synchronized from Active Directory, Microsoft Graph treats the on-premises extension attributes as read-only: their source of authority is the on-premises directory. For a cloud-only user, including one whose source of authority has been converted to the cloud, they can be set directly. Device extension attributes are managed only in Entra ID.</w:t>
      </w:r>
      <w:r>
        <w:rPr>
          <w:rStyle w:val="FootnoteReference"/>
        </w:rPr>
        <w:footnoteReference w:id="93"/>
      </w:r>
      <w:r>
        <w:t xml:space="preserve"> </w:t>
      </w:r>
      <w:r>
        <w:t xml:space="preserve">In a hybrid estate where every user is synchronized, the values that administrative-unit and dynamic-group rules match on are written in Active Directory and reach the tenant through directory sync. That has two consequences. The migration can’t stamp the attributes cloud-side for synced users, and every membership change waits on a synchronization cycle. The device plane and the user plane behave differently for the same reason.</w:t>
      </w:r>
    </w:p>
    <w:p>
      <w:pPr>
        <w:pStyle w:val="BodyText"/>
      </w:pPr>
      <w:r>
        <w:t xml:space="preserve">Source-of-authority conversion, generally available for users since January 2026, changes this one object at a time: a converted user stops being synchronized and becomes cloud-managed.</w:t>
      </w:r>
      <w:r>
        <w:rPr>
          <w:rStyle w:val="FootnoteReference"/>
        </w:rPr>
        <w:footnoteReference w:id="95"/>
      </w:r>
      <w:r>
        <w:t xml:space="preserve"> </w:t>
      </w:r>
      <w:r>
        <w:t xml:space="preserve">It doesn’t remove the need to decide which attributes are authoritative and where they come from. It moves that decision earlier. Chapter 05 works through the administrative-unit design, and HR-Driven Identity covers the upstream source for the attributes themselves.</w:t>
      </w:r>
    </w:p>
    <w:bookmarkEnd w:id="96"/>
    <w:bookmarkEnd w:id="97"/>
    <w:bookmarkStart w:id="106" w:name="X2f99b31641771873f2ce4a27b459eaac2c1c34c"/>
    <w:p>
      <w:pPr>
        <w:pStyle w:val="Heading2"/>
      </w:pPr>
      <w:bookmarkStart w:id="1380" w:name="_Toc00001380"/>
      <w:r>
        <w:t xml:space="preserve">Every delegation concept needs an explicit counterpart</w:t>
      </w:r>
      <w:bookmarkEnd w:id="1380"/>
    </w:p>
    <w:p>
      <w:pPr>
        <w:pStyle w:val="FirstParagraph"/>
      </w:pPr>
      <w:r>
        <w:t xml:space="preserve">The reconstruction isn’t guesswork. Each Active Directory delegation concept has an Entra ID counterpart, but it has to be built rather than inherited. The table is the starting map; Chapter 03 compares the two platforms in full and Chapter 05 turns this map into a design.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Active Directory concept</w:t>
            </w:r>
          </w:p>
        </w:tc>
        <w:tc>
          <w:tcPr/>
          <w:p>
            <w:pPr>
              <w:pStyle w:val="Compact"/>
            </w:pPr>
            <w:r>
              <w:t xml:space="preserve">Entra ID counterpart</w:t>
            </w:r>
          </w:p>
        </w:tc>
        <w:tc>
          <w:tcPr/>
          <w:p>
            <w:pPr>
              <w:pStyle w:val="Compact"/>
            </w:pPr>
            <w:r>
              <w:t xml:space="preserve">What changes</w:t>
            </w:r>
          </w:p>
        </w:tc>
      </w:tr>
      <w:tr>
        <w:tc>
          <w:tcPr/>
          <w:p>
            <w:pPr>
              <w:pStyle w:val="Compact"/>
            </w:pPr>
            <w:r>
              <w:t xml:space="preserve">Organizational unit</w:t>
            </w:r>
          </w:p>
        </w:tc>
        <w:tc>
          <w:tcPr/>
          <w:p>
            <w:pPr>
              <w:pStyle w:val="Compact"/>
            </w:pPr>
            <w:r>
              <w:t xml:space="preserve">Administrative unit</w:t>
            </w:r>
          </w:p>
        </w:tc>
        <w:tc>
          <w:tcPr/>
          <w:p>
            <w:pPr>
              <w:pStyle w:val="Compact"/>
            </w:pPr>
            <w:r>
              <w:t xml:space="preserve">Membership is assigned or computed from attributes, not from containment. No nesting.</w:t>
            </w:r>
            <w:r>
              <w:rPr>
                <w:rStyle w:val="FootnoteReference"/>
              </w:rPr>
              <w:footnoteReference w:id="98"/>
            </w:r>
          </w:p>
        </w:tc>
      </w:tr>
      <w:tr>
        <w:tc>
          <w:tcPr/>
          <w:p>
            <w:pPr>
              <w:pStyle w:val="Compact"/>
            </w:pPr>
            <w:r>
              <w:t xml:space="preserve">OU-scoped delegation</w:t>
            </w:r>
          </w:p>
        </w:tc>
        <w:tc>
          <w:tcPr/>
          <w:p>
            <w:pPr>
              <w:pStyle w:val="Compact"/>
            </w:pPr>
            <w:r>
              <w:t xml:space="preserve">A Microsoft Entra role assigned at administrative-unit scope</w:t>
            </w:r>
          </w:p>
        </w:tc>
        <w:tc>
          <w:tcPr/>
          <w:p>
            <w:pPr>
              <w:pStyle w:val="Compact"/>
            </w:pPr>
            <w:r>
              <w:t xml:space="preserve">Same kind of role, different scope binding. Only roles that act on users, groups or devices can be scoped this way, for example User Administrator, Helpdesk Administrator, Authentication Administrator and Groups Administrator.</w:t>
            </w:r>
            <w:r>
              <w:rPr>
                <w:rStyle w:val="FootnoteReference"/>
              </w:rPr>
              <w:footnoteReference w:id="99"/>
            </w:r>
          </w:p>
        </w:tc>
      </w:tr>
      <w:tr>
        <w:tc>
          <w:tcPr/>
          <w:p>
            <w:pPr>
              <w:pStyle w:val="Compact"/>
            </w:pPr>
            <w:r>
              <w:t xml:space="preserve">Help desk delegation on a leaf OU</w:t>
            </w:r>
          </w:p>
        </w:tc>
        <w:tc>
          <w:tcPr/>
          <w:p>
            <w:pPr>
              <w:pStyle w:val="Compact"/>
            </w:pPr>
            <w:r>
              <w:t xml:space="preserve">Helpdesk Administrator or Authentication Administrator scoped to an administrative unit</w:t>
            </w:r>
          </w:p>
        </w:tc>
        <w:tc>
          <w:tcPr/>
          <w:p>
            <w:pPr>
              <w:pStyle w:val="Compact"/>
            </w:pPr>
            <w:r>
              <w:t xml:space="preserve">The unit’s membership rule matches organizational attributes. Scoped roles act only on non-administrator users in the unit.</w:t>
            </w:r>
            <w:r>
              <w:rPr>
                <w:rStyle w:val="FootnoteReference"/>
              </w:rPr>
              <w:footnoteReference w:id="101"/>
            </w:r>
          </w:p>
        </w:tc>
      </w:tr>
      <w:tr>
        <w:tc>
          <w:tcPr/>
          <w:p>
            <w:pPr>
              <w:pStyle w:val="Compact"/>
            </w:pPr>
            <w:r>
              <w:t xml:space="preserve">Security group creation by a department administrator</w:t>
            </w:r>
          </w:p>
        </w:tc>
        <w:tc>
          <w:tcPr/>
          <w:p>
            <w:pPr>
              <w:pStyle w:val="Compact"/>
            </w:pPr>
            <w:r>
              <w:t xml:space="preserve">Groups Administrator scoped to the department’s administrative unit</w:t>
            </w:r>
          </w:p>
        </w:tc>
        <w:tc>
          <w:tcPr/>
          <w:p>
            <w:pPr>
              <w:pStyle w:val="Compact"/>
            </w:pPr>
            <w:r>
              <w:t xml:space="preserve">Role plus scope replace the OU’s access control list.</w:t>
            </w:r>
            <w:r>
              <w:rPr>
                <w:rStyle w:val="FootnoteReference"/>
              </w:rPr>
              <w:footnoteReference w:id="102"/>
            </w:r>
          </w:p>
        </w:tc>
      </w:tr>
      <w:tr>
        <w:tc>
          <w:tcPr/>
          <w:p>
            <w:pPr>
              <w:pStyle w:val="Compact"/>
            </w:pPr>
            <w:r>
              <w:t xml:space="preserve">Group Policy inherited down the OU tree</w:t>
            </w:r>
          </w:p>
        </w:tc>
        <w:tc>
          <w:tcPr/>
          <w:p>
            <w:pPr>
              <w:pStyle w:val="Compact"/>
            </w:pPr>
            <w:r>
              <w:t xml:space="preserve">Device-management policy assigned to dynamic groups</w:t>
            </w:r>
          </w:p>
        </w:tc>
        <w:tc>
          <w:tcPr/>
          <w:p>
            <w:pPr>
              <w:pStyle w:val="Compact"/>
            </w:pPr>
            <w:r>
              <w:t xml:space="preserve">A group rule replaces OU position (program design position; device policy is covered in its own book)</w:t>
            </w:r>
          </w:p>
        </w:tc>
      </w:tr>
      <w:tr>
        <w:tc>
          <w:tcPr/>
          <w:p>
            <w:pPr>
              <w:pStyle w:val="Compact"/>
            </w:pPr>
            <w:r>
              <w:t xml:space="preserve">Site-linked Group Policy for network behavior</w:t>
            </w:r>
          </w:p>
        </w:tc>
        <w:tc>
          <w:tcPr/>
          <w:p>
            <w:pPr>
              <w:pStyle w:val="Compact"/>
            </w:pPr>
            <w:r>
              <w:t xml:space="preserve">Conditional Access with named locations</w:t>
            </w:r>
          </w:p>
        </w:tc>
        <w:tc>
          <w:tcPr/>
          <w:p>
            <w:pPr>
              <w:pStyle w:val="Compact"/>
            </w:pPr>
            <w:r>
              <w:t xml:space="preserve">Evaluated per sign-in from token and signals, not from network proximity</w:t>
            </w:r>
          </w:p>
        </w:tc>
      </w:tr>
      <w:tr>
        <w:tc>
          <w:tcPr/>
          <w:p>
            <w:pPr>
              <w:pStyle w:val="Compact"/>
            </w:pPr>
            <w:r>
              <w:t xml:space="preserve">Domain Admins</w:t>
            </w:r>
          </w:p>
        </w:tc>
        <w:tc>
          <w:tcPr/>
          <w:p>
            <w:pPr>
              <w:pStyle w:val="Compact"/>
            </w:pPr>
            <w:r>
              <w:t xml:space="preserve">Global Administrator, eligible through Privileged Identity Management, never permanently active</w:t>
            </w:r>
          </w:p>
        </w:tc>
        <w:tc>
          <w:tcPr/>
          <w:p>
            <w:pPr>
              <w:pStyle w:val="Compact"/>
            </w:pPr>
            <w:r>
              <w:t xml:space="preserve">Microsoft recommends just-in-time activation with phishing-resistant authentication for privileged roles.</w:t>
            </w:r>
            <w:r>
              <w:rPr>
                <w:rStyle w:val="FootnoteReference"/>
              </w:rPr>
              <w:footnoteReference w:id="103"/>
            </w:r>
          </w:p>
        </w:tc>
      </w:tr>
      <w:tr>
        <w:tc>
          <w:tcPr/>
          <w:p>
            <w:pPr>
              <w:pStyle w:val="Compact"/>
            </w:pPr>
            <w:r>
              <w:t xml:space="preserve">OU read delegation for a service account</w:t>
            </w:r>
          </w:p>
        </w:tc>
        <w:tc>
          <w:tcPr/>
          <w:p>
            <w:pPr>
              <w:pStyle w:val="Compact"/>
            </w:pPr>
            <w:r>
              <w:t xml:space="preserve">Microsoft Graph application permissions with least privilege</w:t>
            </w:r>
          </w:p>
        </w:tc>
        <w:tc>
          <w:tcPr/>
          <w:p>
            <w:pPr>
              <w:pStyle w:val="Compact"/>
            </w:pPr>
            <w:r>
              <w:t xml:space="preserve">Explicit scope; no implicit traversal of a tree</w:t>
            </w:r>
          </w:p>
        </w:tc>
      </w:tr>
      <w:tr>
        <w:tc>
          <w:tcPr/>
          <w:p>
            <w:pPr>
              <w:pStyle w:val="Compact"/>
            </w:pPr>
            <w:r>
              <w:t xml:space="preserve">Privileged service accounts parked in a protected OU</w:t>
            </w:r>
          </w:p>
        </w:tc>
        <w:tc>
          <w:tcPr/>
          <w:p>
            <w:pPr>
              <w:pStyle w:val="Compact"/>
            </w:pPr>
            <w:r>
              <w:t xml:space="preserve">Application Administrator or Cloud Application Administrator, eligible through Privileged Identity Management, or roles scoped to a single application</w:t>
            </w:r>
          </w:p>
        </w:tc>
        <w:tc>
          <w:tcPr/>
          <w:p>
            <w:pPr>
              <w:pStyle w:val="Compact"/>
            </w:pPr>
            <w:r>
              <w:t xml:space="preserve">No containment; every privilege is an explicit role binding.</w:t>
            </w:r>
            <w:r>
              <w:rPr>
                <w:rStyle w:val="FootnoteReference"/>
              </w:rPr>
              <w:footnoteReference w:id="104"/>
            </w:r>
          </w:p>
        </w:tc>
      </w:tr>
    </w:tbl>
    <w:p>
      <w:pPr>
        <w:pStyle w:val="BodyText"/>
      </w:pPr>
      <w:r>
        <w:t xml:space="preserve">The mapping step in the How chapters operationalizes this table. For each delegation record found in discovery it produces the administrative-unit definition, its membership rule and the role assignment Entra ID needs, so the output is executable guidance rather than a spreadsheet.</w:t>
      </w:r>
    </w:p>
    <w:bookmarkEnd w:id="106"/>
    <w:bookmarkStart w:id="122" w:name="the-session-versus-telemetry-divide"/>
    <w:p>
      <w:pPr>
        <w:pStyle w:val="Heading2"/>
      </w:pPr>
      <w:bookmarkStart w:id="1381" w:name="_Toc00001381"/>
      <w:r>
        <w:t xml:space="preserve">The session-versus-telemetry divide</w:t>
      </w:r>
      <w:bookmarkEnd w:id="1381"/>
    </w:p>
    <w:p>
      <w:pPr>
        <w:pStyle w:val="FirstParagraph"/>
      </w:pPr>
      <w:r>
        <w:t xml:space="preserve">The governance gap has a deeper root, and it explains why hybrid identity fails in ways that look like application bugs.</w:t>
      </w:r>
    </w:p>
    <w:p>
      <w:pPr>
        <w:pStyle w:val="BodyText"/>
      </w:pPr>
      <w:r>
        <w:t xml:space="preserve">The typical federal network was built on an assumption of proximity. Users were near their data. Domain controllers were near users. Then the servers and the data moved to consolidated data centers and the cloud, and the architecture didn’t move with them. Users in field offices now reach centralized systems with protocols designed for a local network.</w:t>
      </w:r>
    </w:p>
    <w:p>
      <w:pPr>
        <w:pStyle w:val="BodyText"/>
      </w:pPr>
      <w:r>
        <w:t xml:space="preserve">Those protocols are session-oriented. Trust is established once and carried forward:</w:t>
      </w:r>
    </w:p>
    <w:p>
      <w:pPr>
        <w:pStyle w:val="Compact"/>
        <w:numPr>
          <w:ilvl w:val="0"/>
          <w:numId w:val="1006"/>
        </w:numPr>
      </w:pPr>
      <w:r>
        <w:t xml:space="preserve">A Kerberos ticket-granting ticket is good for 10 hours by default and renewable for 7 days, under the Default Domain Policy.</w:t>
      </w:r>
      <w:r>
        <w:rPr>
          <w:rStyle w:val="FootnoteReference"/>
        </w:rPr>
        <w:footnoteReference w:id="107"/>
      </w:r>
      <w:r>
        <w:rPr>
          <w:rStyle w:val="FootnoteReference"/>
        </w:rPr>
        <w:footnoteReference w:id="109"/>
      </w:r>
      <w:r>
        <w:t xml:space="preserve"> </w:t>
      </w:r>
      <w:r>
        <w:t xml:space="preserve">Every service ticket the user obtains in that window rests on the original sign-in.</w:t>
      </w:r>
    </w:p>
    <w:p>
      <w:pPr>
        <w:pStyle w:val="Compact"/>
        <w:numPr>
          <w:ilvl w:val="0"/>
          <w:numId w:val="1006"/>
        </w:numPr>
      </w:pPr>
      <w:r>
        <w:t xml:space="preserve">Group Policy is applied at startup and logon and refreshed in the background every 90 minutes, plus a random offset of up to 30 minutes. A change reaches a desktop only after it replicates to the domain controller that client talks to.</w:t>
      </w:r>
      <w:r>
        <w:rPr>
          <w:rStyle w:val="FootnoteReference"/>
        </w:rPr>
        <w:footnoteReference w:id="111"/>
      </w:r>
      <w:r>
        <w:t xml:space="preserve"> </w:t>
      </w:r>
      <w:r>
        <w:t xml:space="preserve">When no domain controller can be located, processing fails.</w:t>
      </w:r>
      <w:r>
        <w:rPr>
          <w:rStyle w:val="FootnoteReference"/>
        </w:rPr>
        <w:footnoteReference w:id="112"/>
      </w:r>
    </w:p>
    <w:p>
      <w:pPr>
        <w:pStyle w:val="Compact"/>
        <w:numPr>
          <w:ilvl w:val="0"/>
          <w:numId w:val="1006"/>
        </w:numPr>
      </w:pPr>
      <w:r>
        <w:t xml:space="preserve">Windows-authenticated SQL Server connections, thick clients and file shares assume the session they opened stays intact.</w:t>
      </w:r>
    </w:p>
    <w:p>
      <w:pPr>
        <w:pStyle w:val="FirstParagraph"/>
      </w:pPr>
      <w:r>
        <w:t xml:space="preserve">Zero Trust inverts that model. NIST SP 800-207 describes authentication and authorization as dynamic and strictly enforced before access, with continual monitoring and possible reauthentication throughout a user’s transactions.</w:t>
      </w:r>
      <w:r>
        <w:rPr>
          <w:rStyle w:val="FootnoteReference"/>
        </w:rPr>
        <w:footnoteReference w:id="114"/>
      </w:r>
      <w:r>
        <w:t xml:space="preserve"> </w:t>
      </w:r>
      <w:r>
        <w:t xml:space="preserve">CISA’s maturity model puts the optimal state at validating identity continuously, not only when access is first granted.</w:t>
      </w:r>
      <w:r>
        <w:rPr>
          <w:rStyle w:val="FootnoteReference"/>
        </w:rPr>
        <w:footnoteReference w:id="115"/>
      </w:r>
      <w:r>
        <w:t xml:space="preserve"> </w:t>
      </w:r>
      <w:r>
        <w:t xml:space="preserve">Entra ID implements this with short-lived tokens and event-driven revocation. Access tokens are valid for one hour by default. Continuous access evaluation lets services such as Exchange Online, SharePoint Online and Teams act on critical events (an account disabled or deleted, a password reset, a high user risk) in near real time, with Microsoft noting latency of up to 15 minutes for event propagation.</w:t>
      </w:r>
      <w:r>
        <w:rPr>
          <w:rStyle w:val="FootnoteReference"/>
        </w:rPr>
        <w:footnoteReference w:id="116"/>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Client/server era: sessions</w:t>
            </w:r>
          </w:p>
        </w:tc>
        <w:tc>
          <w:tcPr/>
          <w:p>
            <w:pPr>
              <w:pStyle w:val="Compact"/>
            </w:pPr>
            <w:r>
              <w:t xml:space="preserve">Cloud and Zero Trust era: continuous verification</w:t>
            </w:r>
          </w:p>
        </w:tc>
      </w:tr>
      <w:tr>
        <w:tc>
          <w:tcPr/>
          <w:p>
            <w:pPr>
              <w:pStyle w:val="Compact"/>
            </w:pPr>
            <w:r>
              <w:t xml:space="preserve">When trust is established</w:t>
            </w:r>
          </w:p>
        </w:tc>
        <w:tc>
          <w:tcPr/>
          <w:p>
            <w:pPr>
              <w:pStyle w:val="Compact"/>
            </w:pPr>
            <w:r>
              <w:t xml:space="preserve">Once, at sign-in</w:t>
            </w:r>
          </w:p>
        </w:tc>
        <w:tc>
          <w:tcPr/>
          <w:p>
            <w:pPr>
              <w:pStyle w:val="Compact"/>
            </w:pPr>
            <w:r>
              <w:t xml:space="preserve">On every request, and again when conditions change</w:t>
            </w:r>
          </w:p>
        </w:tc>
      </w:tr>
      <w:tr>
        <w:tc>
          <w:tcPr/>
          <w:p>
            <w:pPr>
              <w:pStyle w:val="Compact"/>
            </w:pPr>
            <w:r>
              <w:t xml:space="preserve">What carries trust forward</w:t>
            </w:r>
          </w:p>
        </w:tc>
        <w:tc>
          <w:tcPr/>
          <w:p>
            <w:pPr>
              <w:pStyle w:val="Compact"/>
            </w:pPr>
            <w:r>
              <w:t xml:space="preserve">A ticket or an open session</w:t>
            </w:r>
          </w:p>
        </w:tc>
        <w:tc>
          <w:tcPr/>
          <w:p>
            <w:pPr>
              <w:pStyle w:val="Compact"/>
            </w:pPr>
            <w:r>
              <w:t xml:space="preserve">A short-lived token, revocable on events</w:t>
            </w:r>
          </w:p>
        </w:tc>
      </w:tr>
      <w:tr>
        <w:tc>
          <w:tcPr/>
          <w:p>
            <w:pPr>
              <w:pStyle w:val="Compact"/>
            </w:pPr>
            <w:r>
              <w:t xml:space="preserve">Inputs to the decision</w:t>
            </w:r>
          </w:p>
        </w:tc>
        <w:tc>
          <w:tcPr/>
          <w:p>
            <w:pPr>
              <w:pStyle w:val="Compact"/>
            </w:pPr>
            <w:r>
              <w:t xml:space="preserve">Credentials and domain membership</w:t>
            </w:r>
          </w:p>
        </w:tc>
        <w:tc>
          <w:tcPr/>
          <w:p>
            <w:pPr>
              <w:pStyle w:val="Compact"/>
            </w:pPr>
            <w:r>
              <w:t xml:space="preserve">Identity, device health, location, risk and behavior</w:t>
            </w:r>
          </w:p>
        </w:tc>
      </w:tr>
      <w:tr>
        <w:tc>
          <w:tcPr/>
          <w:p>
            <w:pPr>
              <w:pStyle w:val="Compact"/>
            </w:pPr>
            <w:r>
              <w:t xml:space="preserve">Where policy comes from</w:t>
            </w:r>
          </w:p>
        </w:tc>
        <w:tc>
          <w:tcPr/>
          <w:p>
            <w:pPr>
              <w:pStyle w:val="Compact"/>
            </w:pPr>
            <w:r>
              <w:t xml:space="preserve">A domain controller the client can reach</w:t>
            </w:r>
          </w:p>
        </w:tc>
        <w:tc>
          <w:tcPr/>
          <w:p>
            <w:pPr>
              <w:pStyle w:val="Compact"/>
            </w:pPr>
            <w:r>
              <w:t xml:space="preserve">The identity provider, evaluated at sign-in and at the resource</w:t>
            </w:r>
          </w:p>
        </w:tc>
      </w:tr>
      <w:tr>
        <w:tc>
          <w:tcPr/>
          <w:p>
            <w:pPr>
              <w:pStyle w:val="Compact"/>
            </w:pPr>
            <w:r>
              <w:t xml:space="preserve">What failure looks like</w:t>
            </w:r>
          </w:p>
        </w:tc>
        <w:tc>
          <w:tcPr/>
          <w:p>
            <w:pPr>
              <w:pStyle w:val="Compact"/>
            </w:pPr>
            <w:r>
              <w:t xml:space="preserve">Expired tickets, unreachable domain controllers, broken sessions</w:t>
            </w:r>
          </w:p>
        </w:tc>
        <w:tc>
          <w:tcPr/>
          <w:p>
            <w:pPr>
              <w:pStyle w:val="Compact"/>
            </w:pPr>
            <w:r>
              <w:t xml:space="preserve">A denied request with a stated reason</w:t>
            </w:r>
          </w:p>
        </w:tc>
      </w:tr>
    </w:tbl>
    <w:bookmarkStart w:id="121" w:name="fig-ch02-session-vs-telemetry"/>
    <w:p>
      <w:pPr>
        <w:pStyle w:val="CaptionedFigure"/>
      </w:pPr>
      <w:r>
        <w:drawing>
          <wp:inline>
            <wp:extent cx="5334000" cy="2305488"/>
            <wp:effectExtent b="0" l="0" r="0" t="0"/>
            <wp:docPr descr="The bridge between the two trust models rests on a single source of truth: the session-based estate and the continuously verified target are joined by a governance substrate rather than by forcing one model to imitate the other." title="" id="119" name="Picture"/>
            <a:graphic>
              <a:graphicData uri="http://schemas.openxmlformats.org/drawingml/2006/picture">
                <pic:pic>
                  <pic:nvPicPr>
                    <pic:cNvPr descr="/home/runner/work/modernization-workbook/modernization-workbook/docs/images/diagrams/b02-identity/png/ch02-session-vs-telemetry.png" id="120" name="Picture"/>
                    <pic:cNvPicPr>
                      <a:picLocks noChangeArrowheads="1" noChangeAspect="1"/>
                    </pic:cNvPicPr>
                  </pic:nvPicPr>
                  <pic:blipFill>
                    <a:blip r:embed="rId118"/>
                    <a:stretch>
                      <a:fillRect/>
                    </a:stretch>
                  </pic:blipFill>
                  <pic:spPr bwMode="auto">
                    <a:xfrm>
                      <a:off x="0" y="0"/>
                      <a:ext cx="5334000" cy="2305488"/>
                    </a:xfrm>
                    <a:prstGeom prst="rect">
                      <a:avLst/>
                    </a:prstGeom>
                    <a:noFill/>
                    <a:ln w="9525">
                      <a:noFill/>
                      <a:headEnd/>
                      <a:tailEnd/>
                    </a:ln>
                  </pic:spPr>
                </pic:pic>
              </a:graphicData>
            </a:graphic>
          </wp:inline>
        </w:drawing>
      </w:r>
    </w:p>
    <w:p>
      <w:pPr>
        <w:pStyle w:val="ImageCaption"/>
      </w:pPr>
      <w:r>
        <w:t xml:space="preserve">The bridge between the two trust models rests on a single source of truth: the session-based estate and the continuously verified target are joined by a governance substrate rather than by forcing one model to imitate the other.</w:t>
      </w:r>
    </w:p>
    <w:bookmarkEnd w:id="121"/>
    <w:p>
      <w:pPr>
        <w:pStyle w:val="BodyText"/>
      </w:pPr>
      <w:r>
        <w:t xml:space="preserve">The two models aren’t compatible. A session-based application can’t pass through a continuous-verification enforcement point without its session model breaking: the inspection point sits in the path the session assumed was uninterrupted, adds latency, and re-evaluates trust the application believed was settled. Many applications with a web front end are still client/server at the protocol level, and they fail. The symptoms look like user error, WAN trouble or application defects, which is why they get diagnosed one at a time.</w:t>
      </w:r>
    </w:p>
    <w:bookmarkEnd w:id="122"/>
    <w:bookmarkStart w:id="125" w:name="why-it-breaks-at-the-fedramp-boundary"/>
    <w:p>
      <w:pPr>
        <w:pStyle w:val="Heading2"/>
      </w:pPr>
      <w:bookmarkStart w:id="1382" w:name="_Toc00001382"/>
      <w:r>
        <w:t xml:space="preserve">Why it breaks at the FedRAMP boundary</w:t>
      </w:r>
      <w:bookmarkEnd w:id="1382"/>
    </w:p>
    <w:p>
      <w:pPr>
        <w:pStyle w:val="FirstParagraph"/>
      </w:pPr>
      <w:r>
        <w:t xml:space="preserve">The program’s reading is that FedRAMP’s boundary and monitoring expectations were written for cloud-native services that never had long-lived sessions: stateless, token-based, short-lived authentication, every component reachable from the cloud, telemetry flowing continuously to a SIEM. FedRAMP’s own direction reinforces that reading. FedRAMP 20x is a new approach to assessment and authorization, and its early pilots validated security decisions automatically through Key Security Indicators.</w:t>
      </w:r>
      <w:r>
        <w:rPr>
          <w:rStyle w:val="FootnoteReference"/>
        </w:rPr>
        <w:footnoteReference w:id="123"/>
      </w:r>
    </w:p>
    <w:p>
      <w:pPr>
        <w:pStyle w:val="BodyText"/>
      </w:pPr>
      <w:r>
        <w:t xml:space="preserve">Impose those expectations on a hybrid estate that still runs on-premises domain controllers, Kerberos, Windows Server Update Services, Windows-authenticated SQL Server and thick clients, and defense in depth becomes defense in conflict. Each control added for the boundary breaks something that worked before, because the controls and the estate assume different trust models. Hybrid identity lives on that fault line, and FedRAMP is where federal environments meet it most sharply. The same mechanism applies to any client/server application pushed through a Zero Trust or SASE enforcement point.</w:t>
      </w:r>
    </w:p>
    <w:bookmarkEnd w:id="125"/>
    <w:bookmarkStart w:id="126" w:name="why-nobody-wants-to-own-it"/>
    <w:p>
      <w:pPr>
        <w:pStyle w:val="Heading2"/>
      </w:pPr>
      <w:bookmarkStart w:id="1383" w:name="_Toc00001383"/>
      <w:r>
        <w:t xml:space="preserve">Why nobody wants to own it</w:t>
      </w:r>
      <w:bookmarkEnd w:id="1383"/>
    </w:p>
    <w:p>
      <w:pPr>
        <w:pStyle w:val="FirstParagraph"/>
      </w:pPr>
      <w:r>
        <w:t xml:space="preserve">Fixing this correctly means admitting that the problem isn’t one system or one team. It is the architecture. In federal IT, saying</w:t>
      </w:r>
      <w:r>
        <w:t xml:space="preserve"> </w:t>
      </w:r>
      <w:r>
        <w:t xml:space="preserve">“we need to re-architect”</w:t>
      </w:r>
      <w:r>
        <w:t xml:space="preserve"> </w:t>
      </w:r>
      <w:r>
        <w:t xml:space="preserve">is career risk, so the easier path is to patch the symptom, write a plan of action and milestones, add a proxy and move on. The people who understand the problem well enough to fix it are pushed aside because the fix sounds too large, and the people deciding often lack the depth to judge whether the diagnosis is right, so they default to incremental change. Chapter 06 assigns the ownership this chapter says is missing.</w:t>
      </w:r>
    </w:p>
    <w:bookmarkEnd w:id="126"/>
    <w:bookmarkStart w:id="132" w:name="the-migration-is-a-governance-event"/>
    <w:p>
      <w:pPr>
        <w:pStyle w:val="Heading2"/>
      </w:pPr>
      <w:bookmarkStart w:id="1384" w:name="_Toc00001384"/>
      <w:r>
        <w:t xml:space="preserve">The migration is a governance event</w:t>
      </w:r>
      <w:bookmarkEnd w:id="1384"/>
    </w:p>
    <w:p>
      <w:pPr>
        <w:pStyle w:val="FirstParagraph"/>
      </w:pPr>
      <w:r>
        <w:t xml:space="preserve">A conventional migration moves users. A governance-aware migration moves the entire identity namespace and every dependency attached to it.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Domain</w:t>
            </w:r>
          </w:p>
        </w:tc>
        <w:tc>
          <w:tcPr/>
          <w:p>
            <w:pPr>
              <w:pStyle w:val="Compact"/>
            </w:pPr>
            <w:r>
              <w:t xml:space="preserve">What moves or changes</w:t>
            </w:r>
          </w:p>
        </w:tc>
        <w:tc>
          <w:tcPr/>
          <w:p>
            <w:pPr>
              <w:pStyle w:val="Compact"/>
            </w:pPr>
            <w:r>
              <w:t xml:space="preserve">Migration risk</w:t>
            </w:r>
          </w:p>
        </w:tc>
      </w:tr>
      <w:tr>
        <w:tc>
          <w:tcPr/>
          <w:p>
            <w:pPr>
              <w:pStyle w:val="Compact"/>
            </w:pPr>
            <w:r>
              <w:t xml:space="preserve">Identity</w:t>
            </w:r>
          </w:p>
        </w:tc>
        <w:tc>
          <w:tcPr/>
          <w:p>
            <w:pPr>
              <w:pStyle w:val="Compact"/>
            </w:pPr>
            <w:r>
              <w:t xml:space="preserve">User accounts, service accounts, service principal names</w:t>
            </w:r>
          </w:p>
        </w:tc>
        <w:tc>
          <w:tcPr/>
          <w:p>
            <w:pPr>
              <w:pStyle w:val="Compact"/>
            </w:pPr>
            <w:r>
              <w:t xml:space="preserve">Orphaned accounts, broken dependencies</w:t>
            </w:r>
          </w:p>
        </w:tc>
      </w:tr>
      <w:tr>
        <w:tc>
          <w:tcPr/>
          <w:p>
            <w:pPr>
              <w:pStyle w:val="Compact"/>
            </w:pPr>
            <w:r>
              <w:t xml:space="preserve">Network</w:t>
            </w:r>
          </w:p>
        </w:tc>
        <w:tc>
          <w:tcPr/>
          <w:p>
            <w:pPr>
              <w:pStyle w:val="Compact"/>
            </w:pPr>
            <w:r>
              <w:t xml:space="preserve">DNS, DHCP, DFS namespaces</w:t>
            </w:r>
          </w:p>
        </w:tc>
        <w:tc>
          <w:tcPr/>
          <w:p>
            <w:pPr>
              <w:pStyle w:val="Compact"/>
            </w:pPr>
            <w:r>
              <w:t xml:space="preserve">Namespace drift, split-horizon DNS</w:t>
            </w:r>
          </w:p>
        </w:tc>
      </w:tr>
      <w:tr>
        <w:tc>
          <w:tcPr/>
          <w:p>
            <w:pPr>
              <w:pStyle w:val="Compact"/>
            </w:pPr>
            <w:r>
              <w:t xml:space="preserve">Security</w:t>
            </w:r>
          </w:p>
        </w:tc>
        <w:tc>
          <w:tcPr/>
          <w:p>
            <w:pPr>
              <w:pStyle w:val="Compact"/>
            </w:pPr>
            <w:r>
              <w:t xml:space="preserve">PKI, RADIUS, certificate templates</w:t>
            </w:r>
          </w:p>
        </w:tc>
        <w:tc>
          <w:tcPr/>
          <w:p>
            <w:pPr>
              <w:pStyle w:val="Compact"/>
            </w:pPr>
            <w:r>
              <w:t xml:space="preserve">Broken authentication chains</w:t>
            </w:r>
          </w:p>
        </w:tc>
      </w:tr>
      <w:tr>
        <w:tc>
          <w:tcPr/>
          <w:p>
            <w:pPr>
              <w:pStyle w:val="Compact"/>
            </w:pPr>
            <w:r>
              <w:t xml:space="preserve">Policy</w:t>
            </w:r>
          </w:p>
        </w:tc>
        <w:tc>
          <w:tcPr/>
          <w:p>
            <w:pPr>
              <w:pStyle w:val="Compact"/>
            </w:pPr>
            <w:r>
              <w:t xml:space="preserve">Group Policy, and the Conditional Access that replaces it</w:t>
            </w:r>
          </w:p>
        </w:tc>
        <w:tc>
          <w:tcPr/>
          <w:p>
            <w:pPr>
              <w:pStyle w:val="Compact"/>
            </w:pPr>
            <w:r>
              <w:t xml:space="preserve">Policy gap</w:t>
            </w:r>
          </w:p>
        </w:tc>
      </w:tr>
      <w:tr>
        <w:tc>
          <w:tcPr/>
          <w:p>
            <w:pPr>
              <w:pStyle w:val="Compact"/>
            </w:pPr>
            <w:r>
              <w:t xml:space="preserve">Applications</w:t>
            </w:r>
          </w:p>
        </w:tc>
        <w:tc>
          <w:tcPr/>
          <w:p>
            <w:pPr>
              <w:pStyle w:val="Compact"/>
            </w:pPr>
            <w:r>
              <w:t xml:space="preserve">LDAP-dependent applications, legacy single sign-on</w:t>
            </w:r>
          </w:p>
        </w:tc>
        <w:tc>
          <w:tcPr/>
          <w:p>
            <w:pPr>
              <w:pStyle w:val="Compact"/>
            </w:pPr>
            <w:r>
              <w:t xml:space="preserve">Silent authentication failures</w:t>
            </w:r>
          </w:p>
        </w:tc>
      </w:tr>
      <w:tr>
        <w:tc>
          <w:tcPr/>
          <w:p>
            <w:pPr>
              <w:pStyle w:val="Compact"/>
            </w:pPr>
            <w:r>
              <w:t xml:space="preserve">Devices</w:t>
            </w:r>
          </w:p>
        </w:tc>
        <w:tc>
          <w:tcPr/>
          <w:p>
            <w:pPr>
              <w:pStyle w:val="Compact"/>
            </w:pPr>
            <w:r>
              <w:t xml:space="preserve">Domain-joined endpoints, hybrid management</w:t>
            </w:r>
          </w:p>
        </w:tc>
        <w:tc>
          <w:tcPr/>
          <w:p>
            <w:pPr>
              <w:pStyle w:val="Compact"/>
            </w:pPr>
            <w:r>
              <w:t xml:space="preserve">Device trust drift</w:t>
            </w:r>
          </w:p>
        </w:tc>
      </w:tr>
    </w:tbl>
    <w:p>
      <w:pPr>
        <w:pStyle w:val="BodyText"/>
      </w:pPr>
      <w:r>
        <w:t xml:space="preserve">Conventional engagements manage that surface by hand. No shared, tamper-evident record of the pre-migration state, the migration events or the post-migration posture survives the engagement, so each one starts from scratch, findings aren’t reusable, and evidence is assembled afterward. Chapter 04 inventories this surface in detail.</w:t>
      </w:r>
    </w:p>
    <w:bookmarkStart w:id="129" w:name="Xd5810fef85292bb81eb6ed0985d7baf2088c793"/>
    <w:p>
      <w:pPr>
        <w:pStyle w:val="Heading3"/>
      </w:pPr>
      <w:r>
        <w:t xml:space="preserve">The data-governance obligations it already sits under</w:t>
      </w:r>
    </w:p>
    <w:p>
      <w:pPr>
        <w:pStyle w:val="FirstParagraph"/>
      </w:pPr>
      <w:r>
        <w:t xml:space="preserve">Federal agencies already carry data-governance law. The Foundations for Evidence-Based Policymaking Act of 2018, whose Title II is the OPEN Government Data Act, requires each agency to designate a Chief Data Officer, to develop and maintain a comprehensive data inventory, and to make data open by default.</w:t>
      </w:r>
      <w:r>
        <w:rPr>
          <w:rStyle w:val="FootnoteReference"/>
        </w:rPr>
        <w:footnoteReference w:id="127"/>
      </w:r>
      <w:r>
        <w:t xml:space="preserve"> </w:t>
      </w:r>
      <w:r>
        <w:t xml:space="preserve">The program’s reading is that none of these authorities mandates a single source of truth as such. SSOT is the architectural response agencies adopt to meet them, because a credible data inventory can’t be maintained from sources that disagree about the same fact.</w:t>
      </w:r>
    </w:p>
    <w:p>
      <w:pPr>
        <w:pStyle w:val="BodyText"/>
      </w:pPr>
      <w:r>
        <w:t xml:space="preserve">Agencies almost always run that data-governance program and the directory migration as two unrelated efforts. They shouldn’t. Directory and identity infrastructure is the domain data-governance programs have historically left out, and it is the layer under every one of the decisions those programs care about. The program’s position is to run them as one: treat the identity namespace as the root of the SSOT hierarchy, put governance in place before any identity object moves, and give the Chief Data Officer and the identity team one shared register of which system is authoritative for which fact.</w:t>
      </w:r>
    </w:p>
    <w:bookmarkEnd w:id="129"/>
    <w:bookmarkStart w:id="130" w:name="what-that-treatment-requires"/>
    <w:p>
      <w:pPr>
        <w:pStyle w:val="Heading3"/>
      </w:pPr>
      <w:r>
        <w:t xml:space="preserve">What that treatment requires</w:t>
      </w:r>
    </w:p>
    <w:p>
      <w:pPr>
        <w:pStyle w:val="FirstParagraph"/>
      </w:pPr>
      <w:r>
        <w:t xml:space="preserve">The program’s design rests on four mechanisms, applied to the identity layer:</w:t>
      </w:r>
    </w:p>
    <w:p>
      <w:pPr>
        <w:pStyle w:val="Compact"/>
        <w:numPr>
          <w:ilvl w:val="0"/>
          <w:numId w:val="1007"/>
        </w:numPr>
      </w:pPr>
      <w:r>
        <w:rPr>
          <w:b/>
          <w:bCs/>
        </w:rPr>
        <w:t xml:space="preserve">Authoritative origin.</w:t>
      </w:r>
      <w:r>
        <w:t xml:space="preserve"> </w:t>
      </w:r>
      <w:r>
        <w:t xml:space="preserve">Every principal has one authoritative representation. Downstream systems reference it or synchronize from it. They don’t keep independent copies.</w:t>
      </w:r>
    </w:p>
    <w:p>
      <w:pPr>
        <w:pStyle w:val="Compact"/>
        <w:numPr>
          <w:ilvl w:val="0"/>
          <w:numId w:val="1007"/>
        </w:numPr>
      </w:pPr>
      <w:r>
        <w:rPr>
          <w:b/>
          <w:bCs/>
        </w:rPr>
        <w:t xml:space="preserve">Provenance chain.</w:t>
      </w:r>
      <w:r>
        <w:t xml:space="preserve"> </w:t>
      </w:r>
      <w:r>
        <w:t xml:space="preserve">Every change records who made it, from what source, when and under which policy authority: the identity-layer equivalent of data-catalog lineage.</w:t>
      </w:r>
    </w:p>
    <w:p>
      <w:pPr>
        <w:pStyle w:val="Compact"/>
        <w:numPr>
          <w:ilvl w:val="0"/>
          <w:numId w:val="1007"/>
        </w:numPr>
      </w:pPr>
      <w:r>
        <w:rPr>
          <w:b/>
          <w:bCs/>
        </w:rPr>
        <w:t xml:space="preserve">Drift detection.</w:t>
      </w:r>
      <w:r>
        <w:t xml:space="preserve"> </w:t>
      </w:r>
      <w:r>
        <w:t xml:space="preserve">Differences between the authoritative state and what systems actually hold are classified (schema, semantic, provenance, authorization, identity and source-of-truth contention), each with a severity and a remediation commitment.</w:t>
      </w:r>
    </w:p>
    <w:p>
      <w:pPr>
        <w:pStyle w:val="Compact"/>
        <w:numPr>
          <w:ilvl w:val="0"/>
          <w:numId w:val="1007"/>
        </w:numPr>
      </w:pPr>
      <w:r>
        <w:rPr>
          <w:b/>
          <w:bCs/>
        </w:rPr>
        <w:t xml:space="preserve">Governance domains.</w:t>
      </w:r>
      <w:r>
        <w:t xml:space="preserve"> </w:t>
      </w:r>
      <w:r>
        <w:t xml:space="preserve">Identity, authorization, compliance, migration, evidence and operations each have a named owner.</w:t>
      </w:r>
    </w:p>
    <w:p>
      <w:pPr>
        <w:pStyle w:val="FirstParagraph"/>
      </w:pPr>
      <w:r>
        <w:t xml:space="preserve">Together they make the bridge in the figure above concrete. An agency can’t move from sessions to continuous verification without knowing its authoritative identity state, can’t implement Zero Trust unless identity is the root namespace that every decision resolves against, and can’t run an access plane that enforces policy against named services unless addressing is deterministic.</w:t>
      </w:r>
    </w:p>
    <w:p>
      <w:pPr>
        <w:pStyle w:val="BodyText"/>
      </w:pPr>
      <w:r>
        <w:t xml:space="preserve">The migration itself then becomes five capabilities rather than one tool: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What it answers</w:t>
            </w:r>
          </w:p>
        </w:tc>
      </w:tr>
      <w:tr>
        <w:tc>
          <w:tcPr/>
          <w:p>
            <w:pPr>
              <w:pStyle w:val="Compact"/>
            </w:pPr>
            <w:r>
              <w:t xml:space="preserve">Discovery</w:t>
            </w:r>
          </w:p>
        </w:tc>
        <w:tc>
          <w:tcPr/>
          <w:p>
            <w:pPr>
              <w:pStyle w:val="Compact"/>
            </w:pPr>
            <w:r>
              <w:t xml:space="preserve">What governance does the current directory actually encode, whether or not it was set up well? (Chapter 07, Chapter 08)</w:t>
            </w:r>
          </w:p>
        </w:tc>
      </w:tr>
      <w:tr>
        <w:tc>
          <w:tcPr/>
          <w:p>
            <w:pPr>
              <w:pStyle w:val="Compact"/>
            </w:pPr>
            <w:r>
              <w:t xml:space="preserve">Normalization</w:t>
            </w:r>
          </w:p>
        </w:tc>
        <w:tc>
          <w:tcPr/>
          <w:p>
            <w:pPr>
              <w:pStyle w:val="Compact"/>
            </w:pPr>
            <w:r>
              <w:t xml:space="preserve">What is the clean authority model, decided before the migration rather than after?</w:t>
            </w:r>
          </w:p>
        </w:tc>
      </w:tr>
      <w:tr>
        <w:tc>
          <w:tcPr/>
          <w:p>
            <w:pPr>
              <w:pStyle w:val="Compact"/>
            </w:pPr>
            <w:r>
              <w:t xml:space="preserve">Mapping</w:t>
            </w:r>
          </w:p>
        </w:tc>
        <w:tc>
          <w:tcPr/>
          <w:p>
            <w:pPr>
              <w:pStyle w:val="Compact"/>
            </w:pPr>
            <w:r>
              <w:t xml:space="preserve">Which administrative units, scoped roles, access packages and Conditional Access policies express that model in Entra ID? (Chapter 05, Chapter 09)</w:t>
            </w:r>
          </w:p>
        </w:tc>
      </w:tr>
      <w:tr>
        <w:tc>
          <w:tcPr/>
          <w:p>
            <w:pPr>
              <w:pStyle w:val="Compact"/>
            </w:pPr>
            <w:r>
              <w:t xml:space="preserve">Continuity</w:t>
            </w:r>
          </w:p>
        </w:tc>
        <w:tc>
          <w:tcPr/>
          <w:p>
            <w:pPr>
              <w:pStyle w:val="Compact"/>
            </w:pPr>
            <w:r>
              <w:t xml:space="preserve">What governed transition path do Kerberos-dependent services, SQL Server, legacy applications and on-premises systems get, instead of a cliff? (Chapter 04)</w:t>
            </w:r>
          </w:p>
        </w:tc>
      </w:tr>
      <w:tr>
        <w:tc>
          <w:tcPr/>
          <w:p>
            <w:pPr>
              <w:pStyle w:val="Compact"/>
            </w:pPr>
            <w:r>
              <w:t xml:space="preserve">Validation</w:t>
            </w:r>
          </w:p>
        </w:tc>
        <w:tc>
          <w:tcPr/>
          <w:p>
            <w:pPr>
              <w:pStyle w:val="Compact"/>
            </w:pPr>
            <w:r>
              <w:t xml:space="preserve">What evidence shows that the governance model survived the move? (Chapter 10)</w:t>
            </w:r>
          </w:p>
        </w:tc>
      </w:tr>
    </w:tbl>
    <w:p>
      <w:pPr>
        <w:pStyle w:val="BodyText"/>
      </w:pPr>
      <w:r>
        <w:t xml:space="preserve">The phased posture follows from it: assess, govern, migrate, validate, operate, with governance in place before the first identity object moves.</w:t>
      </w:r>
    </w:p>
    <w:bookmarkEnd w:id="130"/>
    <w:bookmarkStart w:id="131" w:name="the-pattern-illustrated"/>
    <w:p>
      <w:pPr>
        <w:pStyle w:val="Heading3"/>
      </w:pPr>
      <w:r>
        <w:t xml:space="preserve">The pattern, illustrated</w:t>
      </w:r>
    </w:p>
    <w:p>
      <w:pPr>
        <w:pStyle w:val="FirstParagraph"/>
      </w:pPr>
      <w:r>
        <w:t xml:space="preserve">The framing case studies show what this looks like across an engagement. They describe the pattern a program should expect, not the outcome of a real engagement.</w:t>
      </w:r>
    </w:p>
    <w:p>
      <w:pPr>
        <w:pStyle w:val="Compact"/>
        <w:numPr>
          <w:ilvl w:val="0"/>
          <w:numId w:val="1008"/>
        </w:numPr>
      </w:pPr>
      <w:r>
        <w:rPr>
          <w:b/>
          <w:bCs/>
        </w:rPr>
        <w:t xml:space="preserve">Model first.</w:t>
      </w:r>
      <w:r>
        <w:t xml:space="preserve"> </w:t>
      </w:r>
      <w:r>
        <w:t xml:space="preserve">Define the canonical attribute set (for example assignment scope, organizational role and clearance), the group rules computed from combinations of those attributes, and the provenance carried with each identity claim. Validate the model before any runtime change.</w:t>
      </w:r>
    </w:p>
    <w:p>
      <w:pPr>
        <w:pStyle w:val="Compact"/>
        <w:numPr>
          <w:ilvl w:val="0"/>
          <w:numId w:val="1008"/>
        </w:numPr>
      </w:pPr>
      <w:r>
        <w:rPr>
          <w:b/>
          <w:bCs/>
        </w:rPr>
        <w:t xml:space="preserve">Connect the sources.</w:t>
      </w:r>
      <w:r>
        <w:t xml:space="preserve"> </w:t>
      </w:r>
      <w:r>
        <w:t xml:space="preserve">Stand up read connections to Entra ID, Active Directory, Conditional Access targeting and the attribute sources, such as the PIV credential system and the agency’s HR system. Each emits claims with full provenance from day one, including during parallel running.</w:t>
      </w:r>
    </w:p>
    <w:p>
      <w:pPr>
        <w:pStyle w:val="Compact"/>
        <w:numPr>
          <w:ilvl w:val="0"/>
          <w:numId w:val="1008"/>
        </w:numPr>
      </w:pPr>
      <w:r>
        <w:rPr>
          <w:b/>
          <w:bCs/>
        </w:rPr>
        <w:t xml:space="preserve">Clean up before cutover.</w:t>
      </w:r>
      <w:r>
        <w:t xml:space="preserve"> </w:t>
      </w:r>
      <w:r>
        <w:t xml:space="preserve">Pre-cutover runs surface inherited inconsistencies (stale attributes, group rules that reference retired values, broken provenance chains) as drift findings, and each is remediated on a set timetable. Orphaned accounts and broken dependencies are found before cutover, and silent authentication failures become explicit findings.</w:t>
      </w:r>
    </w:p>
    <w:p>
      <w:pPr>
        <w:pStyle w:val="Compact"/>
        <w:numPr>
          <w:ilvl w:val="0"/>
          <w:numId w:val="1008"/>
        </w:numPr>
      </w:pPr>
      <w:r>
        <w:rPr>
          <w:b/>
          <w:bCs/>
        </w:rPr>
        <w:t xml:space="preserve">Cut over.</w:t>
      </w:r>
      <w:r>
        <w:t xml:space="preserve"> </w:t>
      </w:r>
      <w:r>
        <w:t xml:space="preserve">The identity plane’s authoritative source switches from on-premises Active Directory to Entra ID, and the model is already in place to interpret claims afterward. Where SQL Server shares the authentication boundary, its move from Windows authentication to token-based authentication runs in parallel with the directory.</w:t>
      </w:r>
    </w:p>
    <w:p>
      <w:pPr>
        <w:pStyle w:val="Compact"/>
        <w:numPr>
          <w:ilvl w:val="0"/>
          <w:numId w:val="1008"/>
        </w:numPr>
      </w:pPr>
      <w:r>
        <w:rPr>
          <w:b/>
          <w:bCs/>
        </w:rPr>
        <w:t xml:space="preserve">Operate.</w:t>
      </w:r>
      <w:r>
        <w:t xml:space="preserve"> </w:t>
      </w:r>
      <w:r>
        <w:t xml:space="preserve">Drift findings keep surfacing inconsistencies, deterministic fixes are automated, and changes to the model go through the program’s decision process.</w:t>
      </w:r>
    </w:p>
    <w:p>
      <w:pPr>
        <w:pStyle w:val="FirstParagraph"/>
      </w:pPr>
      <w:r>
        <w:t xml:space="preserve">A real engagement would report, with metrics, how often provenance broke during cutover, how many identities passed validation before and after, whether the same person resolves identically across PIV, Entra ID and HR, and what share of access decisions are computed from attributes rather than administered by hand. Those measures are what a releasable case study would have to show. The lessons the patterns carry are already clear: findings must be reusable so that each engagement doesn’t start from scratch, and the SQL Server estate and the directory must be governed together because they share one authentication boundary. Evidence then becomes a byproduct of the migration instead of something reconstructed after it.</w:t>
      </w:r>
    </w:p>
    <w:bookmarkEnd w:id="131"/>
    <w:bookmarkEnd w:id="132"/>
    <w:bookmarkStart w:id="133" w:name="continue-the-book-1"/>
    <w:p>
      <w:pPr>
        <w:pStyle w:val="Heading2"/>
      </w:pPr>
      <w:bookmarkStart w:id="1385" w:name="_Toc00001385"/>
      <w:r>
        <w:t xml:space="preserve">Continue the book</w:t>
      </w:r>
      <w:bookmarkEnd w:id="1385"/>
    </w:p>
    <w:p>
      <w:pPr>
        <w:pStyle w:val="FirstParagraph"/>
      </w:pPr>
      <w:r>
        <w:t xml:space="preserve">← Previous: Chapter 01 — Why Identity Matters · Book index · Next: Chapter 03 — Active Directory and Entra ID, Side by Side →</w:t>
      </w:r>
    </w:p>
    <w:bookmarkEnd w:id="133"/>
    <w:bookmarkEnd w:id="134"/>
    <w:bookmarkStart w:id="251" w:name="Xc88cf3efc2d869e5ad920d1051e1c974d17dc11"/>
    <w:p>
      <w:pPr>
        <w:pStyle w:val="Heading1"/>
      </w:pPr>
      <w:bookmarkStart w:id="1386" w:name="_Toc00001386"/>
      <w:r>
        <w:t xml:space="preserve">Chapter 03 — Active Directory and Entra ID, Side by Side</w:t>
      </w:r>
      <w:bookmarkEnd w:id="1386"/>
    </w:p>
    <w:p>
      <w:pPr>
        <w:pStyle w:val="FirstParagraph"/>
      </w:pPr>
      <w:r>
        <w:rPr>
          <w:i/>
          <w:iCs/>
        </w:rPr>
        <w:t xml:space="preserve">The scripts mostly survive the move; the protocols, the session unit, and the policy plane don’t.</w:t>
      </w:r>
    </w:p>
    <w:bookmarkStart w:id="135" w:name="in-this-chapter-2"/>
    <w:p>
      <w:pPr>
        <w:pStyle w:val="Heading2"/>
      </w:pPr>
      <w:bookmarkStart w:id="1387" w:name="_Toc00001387"/>
      <w:r>
        <w:t xml:space="preserve">In this chapter</w:t>
      </w:r>
      <w:bookmarkEnd w:id="1387"/>
    </w:p>
    <w:p>
      <w:pPr>
        <w:pStyle w:val="FirstParagraph"/>
      </w:pPr>
      <w:r>
        <w:t xml:space="preserve">The two identity worlds at a glance, and the protocols each one speaks. Where the old protocols stand in Windows as of late 2026, and how the cryptography changes. Which languages and tools carry over and which modules are gone. The eight core concepts the program uses to frame directory migration, and why treating the move as a tooling swap keeps the old failure modes alive.</w:t>
      </w:r>
    </w:p>
    <w:bookmarkEnd w:id="135"/>
    <w:bookmarkStart w:id="144" w:name="the-shift-in-one-paragraph"/>
    <w:p>
      <w:pPr>
        <w:pStyle w:val="Heading2"/>
      </w:pPr>
      <w:bookmarkStart w:id="1388" w:name="_Toc00001388"/>
      <w:r>
        <w:t xml:space="preserve">The shift in one paragraph</w:t>
      </w:r>
      <w:bookmarkEnd w:id="1388"/>
    </w:p>
    <w:p>
      <w:pPr>
        <w:pStyle w:val="FirstParagraph"/>
      </w:pPr>
      <w:r>
        <w:t xml:space="preserve">Microsoft identity has moved from a</w:t>
      </w:r>
      <w:r>
        <w:t xml:space="preserve"> </w:t>
      </w:r>
      <w:r>
        <w:rPr>
          <w:i/>
          <w:iCs/>
        </w:rPr>
        <w:t xml:space="preserve">directory-and-tickets</w:t>
      </w:r>
      <w:r>
        <w:t xml:space="preserve"> </w:t>
      </w:r>
      <w:r>
        <w:t xml:space="preserve">world to a</w:t>
      </w:r>
      <w:r>
        <w:t xml:space="preserve"> </w:t>
      </w:r>
      <w:r>
        <w:rPr>
          <w:i/>
          <w:iCs/>
        </w:rPr>
        <w:t xml:space="preserve">token-and-API</w:t>
      </w:r>
      <w:r>
        <w:t xml:space="preserve"> </w:t>
      </w:r>
      <w:r>
        <w:t xml:space="preserve">world. In the old world, the on-premises Active Directory domain controller is the trust root. It issues Kerberos tickets, answers LDAP queries, and replicates SYSVOL to its peers. Clients talk to domain controllers directly over Kerberos, NTLM, LDAP, and MS-RPC, and administrators automate against those same interfaces. In the new world, the Microsoft Entra ID tenant is the trust root. It issues OAuth 2.0 access tokens and OpenID Connect ID tokens, exposes the directory through the Microsoft Graph REST API, and federates with SaaS applications over SAML 2.0 and OpenID Connect. Around it sits an operating layer that barely existed around Active Directory: infrastructure as code, pipelines as code, and compliance as code.</w:t>
      </w:r>
    </w:p>
    <w:bookmarkStart w:id="139" w:name="fig-ch03-two-worlds"/>
    <w:p>
      <w:pPr>
        <w:pStyle w:val="CaptionedFigure"/>
      </w:pPr>
      <w:r>
        <w:drawing>
          <wp:inline>
            <wp:extent cx="5334000" cy="1552309"/>
            <wp:effectExtent b="0" l="0" r="0" t="0"/>
            <wp:docPr descr="Active Directory and Microsoft Entra ID differ in trust root, session unit, and policy plane, and Kerberos or NTLM sessions never reach Conditional Access." title="" id="137" name="Picture"/>
            <a:graphic>
              <a:graphicData uri="http://schemas.openxmlformats.org/drawingml/2006/picture">
                <pic:pic>
                  <pic:nvPicPr>
                    <pic:cNvPr descr="/home/runner/work/modernization-workbook/modernization-workbook/docs/images/diagrams/b02-identity/png/ch03-two-worlds.png" id="138" name="Picture"/>
                    <pic:cNvPicPr>
                      <a:picLocks noChangeArrowheads="1" noChangeAspect="1"/>
                    </pic:cNvPicPr>
                  </pic:nvPicPr>
                  <pic:blipFill>
                    <a:blip r:embed="rId136"/>
                    <a:stretch>
                      <a:fillRect/>
                    </a:stretch>
                  </pic:blipFill>
                  <pic:spPr bwMode="auto">
                    <a:xfrm>
                      <a:off x="0" y="0"/>
                      <a:ext cx="5334000" cy="1552309"/>
                    </a:xfrm>
                    <a:prstGeom prst="rect">
                      <a:avLst/>
                    </a:prstGeom>
                    <a:noFill/>
                    <a:ln w="9525">
                      <a:noFill/>
                      <a:headEnd/>
                      <a:tailEnd/>
                    </a:ln>
                  </pic:spPr>
                </pic:pic>
              </a:graphicData>
            </a:graphic>
          </wp:inline>
        </w:drawing>
      </w:r>
    </w:p>
    <w:p>
      <w:pPr>
        <w:pStyle w:val="ImageCaption"/>
      </w:pPr>
      <w:r>
        <w:t xml:space="preserve">Active Directory and Microsoft Entra ID differ in trust root, session unit, and policy plane, and Kerberos or NTLM sessions never reach Conditional Access.</w:t>
      </w:r>
    </w:p>
    <w:bookmarkEnd w:id="139"/>
    <w:p>
      <w:pPr>
        <w:pStyle w:val="BodyText"/>
      </w:pPr>
      <w:r>
        <w:t xml:space="preserve">The figure carries the chapter’s main point. A Kerberos ticket or an NTLM exchange is settled between a client and a domain controller. Microsoft Entra Conditional Access is enforced after first-factor authentication to Entra ID completes,</w:t>
      </w:r>
      <w:r>
        <w:rPr>
          <w:rStyle w:val="FootnoteReference"/>
        </w:rPr>
        <w:footnoteReference w:id="140"/>
      </w:r>
      <w:r>
        <w:t xml:space="preserve"> </w:t>
      </w:r>
      <w:r>
        <w:t xml:space="preserve">and when a cloud-native device reaches an on-premises file server or printer, the domain controller still returns a Kerberos ticket-granting ticket or an NTLM response.</w:t>
      </w:r>
      <w:r>
        <w:rPr>
          <w:rStyle w:val="FootnoteReference"/>
        </w:rPr>
        <w:footnoteReference w:id="142"/>
      </w:r>
      <w:r>
        <w:t xml:space="preserve"> </w:t>
      </w:r>
      <w:r>
        <w:t xml:space="preserve">Every access decision that rides on those protocols sits outside the cloud policy engine. That gap is the silent-failure surface that Chapter 04 inventories.</w:t>
      </w:r>
    </w:p>
    <w:bookmarkEnd w:id="144"/>
    <w:bookmarkStart w:id="147" w:name="the-two-worlds-at-a-glance"/>
    <w:p>
      <w:pPr>
        <w:pStyle w:val="Heading2"/>
      </w:pPr>
      <w:bookmarkStart w:id="1389" w:name="_Toc00001389"/>
      <w:r>
        <w:t xml:space="preserve">The two worlds at a glance</w:t>
      </w:r>
      <w:bookmarkEnd w:id="1389"/>
    </w:p>
    <w:p>
      <w:pPr>
        <w:pStyle w:val="TableCaption"/>
      </w:pPr>
      <w:r>
        <w:t xml:space="preserve">The two identity worlds at a glance</w:t>
      </w:r>
    </w:p>
    <w:tbl>
      <w:tblPr>
        <w:tblStyle w:val="Table"/>
        <w:tblW w:type="pct" w:w="5000"/>
        <w:tblLayout w:type="fixed"/>
        <w:tblLook w:firstRow="1" w:lastRow="0" w:firstColumn="0" w:lastColumn="0" w:noHBand="0" w:noVBand="0" w:val="0020"/>
        <w:tblCaption w:val="The two identity worlds at a glance"/>
      </w:tblPr>
      <w:tblGrid>
        <w:gridCol w:w="2640"/>
        <w:gridCol w:w="2640"/>
        <w:gridCol w:w="2640"/>
      </w:tblGrid>
      <w:tr>
        <w:trPr>
          <w:tblHeader w:val="on"/>
        </w:trPr>
        <w:tc>
          <w:tcPr/>
          <w:p>
            <w:pPr>
              <w:pStyle w:val="Compact"/>
            </w:pPr>
            <w:r>
              <w:t xml:space="preserve">Dimension</w:t>
            </w:r>
          </w:p>
        </w:tc>
        <w:tc>
          <w:tcPr/>
          <w:p>
            <w:pPr>
              <w:pStyle w:val="Compact"/>
            </w:pPr>
            <w:r>
              <w:t xml:space="preserve">Active Directory</w:t>
            </w:r>
          </w:p>
        </w:tc>
        <w:tc>
          <w:tcPr/>
          <w:p>
            <w:pPr>
              <w:pStyle w:val="Compact"/>
            </w:pPr>
            <w:r>
              <w:t xml:space="preserve">Microsoft Entra ID</w:t>
            </w:r>
          </w:p>
        </w:tc>
      </w:tr>
      <w:tr>
        <w:tc>
          <w:tcPr/>
          <w:p>
            <w:pPr>
              <w:pStyle w:val="Compact"/>
            </w:pPr>
            <w:r>
              <w:t xml:space="preserve">Trust root</w:t>
            </w:r>
          </w:p>
        </w:tc>
        <w:tc>
          <w:tcPr/>
          <w:p>
            <w:pPr>
              <w:pStyle w:val="Compact"/>
            </w:pPr>
            <w:r>
              <w:t xml:space="preserve">On-premises domain controllers and the Key Distribution Center (KDC)</w:t>
            </w:r>
          </w:p>
        </w:tc>
        <w:tc>
          <w:tcPr/>
          <w:p>
            <w:pPr>
              <w:pStyle w:val="Compact"/>
            </w:pPr>
            <w:r>
              <w:t xml:space="preserve">The Entra ID tenant</w:t>
            </w:r>
          </w:p>
        </w:tc>
      </w:tr>
      <w:tr>
        <w:tc>
          <w:tcPr/>
          <w:p>
            <w:pPr>
              <w:pStyle w:val="Compact"/>
            </w:pPr>
            <w:r>
              <w:t xml:space="preserve">Primary authentication protocol</w:t>
            </w:r>
          </w:p>
        </w:tc>
        <w:tc>
          <w:tcPr/>
          <w:p>
            <w:pPr>
              <w:pStyle w:val="Compact"/>
            </w:pPr>
            <w:r>
              <w:t xml:space="preserve">Kerberos v5, with NTLM as fallback through Negotiate</w:t>
            </w:r>
          </w:p>
        </w:tc>
        <w:tc>
          <w:tcPr/>
          <w:p>
            <w:pPr>
              <w:pStyle w:val="Compact"/>
            </w:pPr>
            <w:r>
              <w:t xml:space="preserve">OpenID Connect sign-in; OAuth 2.0 for authorization</w:t>
            </w:r>
          </w:p>
        </w:tc>
      </w:tr>
      <w:tr>
        <w:tc>
          <w:tcPr/>
          <w:p>
            <w:pPr>
              <w:pStyle w:val="Compact"/>
            </w:pPr>
            <w:r>
              <w:t xml:space="preserve">Directory wire protocol</w:t>
            </w:r>
          </w:p>
        </w:tc>
        <w:tc>
          <w:tcPr/>
          <w:p>
            <w:pPr>
              <w:pStyle w:val="Compact"/>
            </w:pPr>
            <w:r>
              <w:t xml:space="preserve">LDAP and LDAPS; Active Directory Web Services for the PowerShell module</w:t>
            </w:r>
          </w:p>
        </w:tc>
        <w:tc>
          <w:tcPr/>
          <w:p>
            <w:pPr>
              <w:pStyle w:val="Compact"/>
            </w:pPr>
            <w:r>
              <w:t xml:space="preserve">Microsoft Graph REST API over HTTPS</w:t>
            </w:r>
          </w:p>
        </w:tc>
      </w:tr>
      <w:tr>
        <w:tc>
          <w:tcPr/>
          <w:p>
            <w:pPr>
              <w:pStyle w:val="Compact"/>
            </w:pPr>
            <w:r>
              <w:t xml:space="preserve">Federation</w:t>
            </w:r>
          </w:p>
        </w:tc>
        <w:tc>
          <w:tcPr/>
          <w:p>
            <w:pPr>
              <w:pStyle w:val="Compact"/>
            </w:pPr>
            <w:r>
              <w:t xml:space="preserve">SAML and WS-Federation through Active Directory Federation Services (AD FS)</w:t>
            </w:r>
          </w:p>
        </w:tc>
        <w:tc>
          <w:tcPr/>
          <w:p>
            <w:pPr>
              <w:pStyle w:val="Compact"/>
            </w:pPr>
            <w:r>
              <w:t xml:space="preserve">SAML 2.0 and OpenID Connect directly to the tenant</w:t>
            </w:r>
          </w:p>
        </w:tc>
      </w:tr>
      <w:tr>
        <w:tc>
          <w:tcPr/>
          <w:p>
            <w:pPr>
              <w:pStyle w:val="Compact"/>
            </w:pPr>
            <w:r>
              <w:t xml:space="preserve">Strong authentication</w:t>
            </w:r>
          </w:p>
        </w:tc>
        <w:tc>
          <w:tcPr/>
          <w:p>
            <w:pPr>
              <w:pStyle w:val="Compact"/>
            </w:pPr>
            <w:r>
              <w:t xml:space="preserve">Smart card logon with certificates from an enterprise CA</w:t>
            </w:r>
          </w:p>
        </w:tc>
        <w:tc>
          <w:tcPr/>
          <w:p>
            <w:pPr>
              <w:pStyle w:val="Compact"/>
            </w:pPr>
            <w:r>
              <w:t xml:space="preserve">Certificate-based authentication with PIV/CAC, FIDO2 passkeys, Windows Hello for Business, Microsoft Authenticator</w:t>
            </w:r>
          </w:p>
        </w:tc>
      </w:tr>
      <w:tr>
        <w:tc>
          <w:tcPr/>
          <w:p>
            <w:pPr>
              <w:pStyle w:val="Compact"/>
            </w:pPr>
            <w:r>
              <w:t xml:space="preserve">Stored password form</w:t>
            </w:r>
          </w:p>
        </w:tc>
        <w:tc>
          <w:tcPr/>
          <w:p>
            <w:pPr>
              <w:pStyle w:val="Compact"/>
            </w:pPr>
            <w:r>
              <w:t xml:space="preserve">NT hash (MD4)</w:t>
            </w:r>
          </w:p>
        </w:tc>
        <w:tc>
          <w:tcPr/>
          <w:p>
            <w:pPr>
              <w:pStyle w:val="Compact"/>
            </w:pPr>
            <w:r>
              <w:t xml:space="preserve">For synced users, a PBKDF2-HMAC-SHA256 hash of the NT hash</w:t>
            </w:r>
          </w:p>
        </w:tc>
      </w:tr>
      <w:tr>
        <w:tc>
          <w:tcPr/>
          <w:p>
            <w:pPr>
              <w:pStyle w:val="Compact"/>
            </w:pPr>
            <w:r>
              <w:t xml:space="preserve">Session unit</w:t>
            </w:r>
          </w:p>
        </w:tc>
        <w:tc>
          <w:tcPr/>
          <w:p>
            <w:pPr>
              <w:pStyle w:val="Compact"/>
            </w:pPr>
            <w:r>
              <w:t xml:space="preserve">Kerberos ticket-granting ticket and service tickets</w:t>
            </w:r>
          </w:p>
        </w:tc>
        <w:tc>
          <w:tcPr/>
          <w:p>
            <w:pPr>
              <w:pStyle w:val="Compact"/>
            </w:pPr>
            <w:r>
              <w:t xml:space="preserve">JWT access tokens, ID tokens, and refresh tokens</w:t>
            </w:r>
          </w:p>
        </w:tc>
      </w:tr>
      <w:tr>
        <w:tc>
          <w:tcPr/>
          <w:p>
            <w:pPr>
              <w:pStyle w:val="Compact"/>
            </w:pPr>
            <w:r>
              <w:t xml:space="preserve">Policy plane</w:t>
            </w:r>
          </w:p>
        </w:tc>
        <w:tc>
          <w:tcPr/>
          <w:p>
            <w:pPr>
              <w:pStyle w:val="Compact"/>
            </w:pPr>
            <w:r>
              <w:t xml:space="preserve">Group Policy Objects linked to sites, domains, and OUs</w:t>
            </w:r>
          </w:p>
        </w:tc>
        <w:tc>
          <w:tcPr/>
          <w:p>
            <w:pPr>
              <w:pStyle w:val="Compact"/>
            </w:pPr>
            <w:r>
              <w:t xml:space="preserve">Conditional Access, the Authentication methods policy, and device-management policy</w:t>
            </w:r>
          </w:p>
        </w:tc>
      </w:tr>
      <w:tr>
        <w:tc>
          <w:tcPr/>
          <w:p>
            <w:pPr>
              <w:pStyle w:val="Compact"/>
            </w:pPr>
            <w:r>
              <w:t xml:space="preserve">Account lifecycle</w:t>
            </w:r>
          </w:p>
        </w:tc>
        <w:tc>
          <w:tcPr/>
          <w:p>
            <w:pPr>
              <w:pStyle w:val="Compact"/>
            </w:pPr>
            <w:r>
              <w:t xml:space="preserve">Manual tools and scripts against the directory</w:t>
            </w:r>
          </w:p>
        </w:tc>
        <w:tc>
          <w:tcPr/>
          <w:p>
            <w:pPr>
              <w:pStyle w:val="Compact"/>
            </w:pPr>
            <w:r>
              <w:t xml:space="preserve">Lifecycle workflows, entitlement management, access reviews</w:t>
            </w:r>
          </w:p>
        </w:tc>
      </w:tr>
      <w:tr>
        <w:tc>
          <w:tcPr/>
          <w:p>
            <w:pPr>
              <w:pStyle w:val="Compact"/>
            </w:pPr>
            <w:r>
              <w:t xml:space="preserve">Provisioning to applications</w:t>
            </w:r>
          </w:p>
        </w:tc>
        <w:tc>
          <w:tcPr/>
          <w:p>
            <w:pPr>
              <w:pStyle w:val="Compact"/>
            </w:pPr>
            <w:r>
              <w:t xml:space="preserve">LDAP binds and custom connectors</w:t>
            </w:r>
          </w:p>
        </w:tc>
        <w:tc>
          <w:tcPr/>
          <w:p>
            <w:pPr>
              <w:pStyle w:val="Compact"/>
            </w:pPr>
            <w:r>
              <w:t xml:space="preserve">SCIM 2.0 from the Entra provisioning service</w:t>
            </w:r>
          </w:p>
        </w:tc>
      </w:tr>
      <w:tr>
        <w:tc>
          <w:tcPr/>
          <w:p>
            <w:pPr>
              <w:pStyle w:val="Compact"/>
            </w:pPr>
            <w:r>
              <w:t xml:space="preserve">Audit pipeline</w:t>
            </w:r>
          </w:p>
        </w:tc>
        <w:tc>
          <w:tcPr/>
          <w:p>
            <w:pPr>
              <w:pStyle w:val="Compact"/>
            </w:pPr>
            <w:r>
              <w:t xml:space="preserve">Windows Security event log, forwarded to a SIEM</w:t>
            </w:r>
          </w:p>
        </w:tc>
        <w:tc>
          <w:tcPr/>
          <w:p>
            <w:pPr>
              <w:pStyle w:val="Compact"/>
            </w:pPr>
            <w:r>
              <w:t xml:space="preserve">Entra sign-in and audit logs, streamed to a SIEM through diagnostic settings</w:t>
            </w:r>
          </w:p>
        </w:tc>
      </w:tr>
      <w:tr>
        <w:tc>
          <w:tcPr/>
          <w:p>
            <w:pPr>
              <w:pStyle w:val="Compact"/>
            </w:pPr>
            <w:r>
              <w:t xml:space="preserve">Infrastructure as code</w:t>
            </w:r>
          </w:p>
        </w:tc>
        <w:tc>
          <w:tcPr/>
          <w:p>
            <w:pPr>
              <w:pStyle w:val="Compact"/>
            </w:pPr>
            <w:r>
              <w:t xml:space="preserve">Little native support</w:t>
            </w:r>
          </w:p>
        </w:tc>
        <w:tc>
          <w:tcPr/>
          <w:p>
            <w:pPr>
              <w:pStyle w:val="Compact"/>
            </w:pPr>
            <w:r>
              <w:t xml:space="preserve">Bicep templates with the Microsoft Graph extension, alongside other declarative tools</w:t>
            </w:r>
          </w:p>
        </w:tc>
      </w:tr>
      <w:tr>
        <w:tc>
          <w:tcPr/>
          <w:p>
            <w:pPr>
              <w:pStyle w:val="Compact"/>
            </w:pPr>
            <w:r>
              <w:t xml:space="preserve">Compliance authoring</w:t>
            </w:r>
          </w:p>
        </w:tc>
        <w:tc>
          <w:tcPr/>
          <w:p>
            <w:pPr>
              <w:pStyle w:val="Compact"/>
            </w:pPr>
            <w:r>
              <w:t xml:space="preserve">Word and Excel system security plans</w:t>
            </w:r>
          </w:p>
        </w:tc>
        <w:tc>
          <w:tcPr/>
          <w:p>
            <w:pPr>
              <w:pStyle w:val="Compact"/>
            </w:pPr>
            <w:r>
              <w:t xml:space="preserve">OSCAL models (catalog, profile, control mapping, component definition, SSP, assessment plan, assessment results, POA&amp;M)</w:t>
            </w:r>
          </w:p>
        </w:tc>
      </w:tr>
    </w:tbl>
    <w:p>
      <w:pPr>
        <w:pStyle w:val="BodyText"/>
      </w:pPr>
      <w:r>
        <w:t xml:space="preserve">Each row is covered in the sections below or in a later chapter. Two rows need a caveat now. Entra ID stores a password hash only for users in scope of password hash synchronization: Microsoft Entra Connect never sends the original MD4 hash; it sends a PBKDF2 derivation of it, salted per user and run through 1,000 iterations of HMAC-SHA256.</w:t>
      </w:r>
      <w:r>
        <w:rPr>
          <w:rStyle w:val="FootnoteReference"/>
        </w:rPr>
        <w:footnoteReference w:id="145"/>
      </w:r>
      <w:r>
        <w:t xml:space="preserve"> </w:t>
      </w:r>
      <w:r>
        <w:t xml:space="preserve">And the policy plane doesn’t map one to one. Group Policy configures domain-joined machines. Conditional Access decides whether a sign-in gets a token. Device configuration moves to a device-management service, part of the target build in Chapter 09.</w:t>
      </w:r>
    </w:p>
    <w:bookmarkEnd w:id="147"/>
    <w:bookmarkStart w:id="188" w:name="protocols-what-each-side-speaks"/>
    <w:p>
      <w:pPr>
        <w:pStyle w:val="Heading2"/>
      </w:pPr>
      <w:bookmarkStart w:id="1390" w:name="_Toc00001390"/>
      <w:r>
        <w:t xml:space="preserve">Protocols: what each side speaks</w:t>
      </w:r>
      <w:bookmarkEnd w:id="1390"/>
    </w:p>
    <w:bookmarkStart w:id="152" w:name="the-active-directory-protocol-stack"/>
    <w:p>
      <w:pPr>
        <w:pStyle w:val="Heading3"/>
      </w:pPr>
      <w:r>
        <w:t xml:space="preserve">The Active Directory protocol stack</w:t>
      </w:r>
    </w:p>
    <w:p>
      <w:pPr>
        <w:pStyle w:val="Compact"/>
        <w:numPr>
          <w:ilvl w:val="0"/>
          <w:numId w:val="1009"/>
        </w:numPr>
      </w:pPr>
      <w:r>
        <w:rPr>
          <w:b/>
          <w:bCs/>
        </w:rPr>
        <w:t xml:space="preserve">Kerberos v5</w:t>
      </w:r>
      <w:r>
        <w:t xml:space="preserve"> </w:t>
      </w:r>
      <w:r>
        <w:t xml:space="preserve">(RFC 4120) is the default authentication protocol for domain accounts.</w:t>
      </w:r>
      <w:r>
        <w:rPr>
          <w:rStyle w:val="FootnoteReference"/>
        </w:rPr>
        <w:footnoteReference w:id="148"/>
      </w:r>
      <w:r>
        <w:t xml:space="preserve"> </w:t>
      </w:r>
      <w:r>
        <w:t xml:space="preserve">Clients reach it through SPNEGO, the Simple and Protected GSS-API Negotiation Mechanism (RFC 4178), which Windows exposes as the Negotiate package.</w:t>
      </w:r>
      <w:r>
        <w:rPr>
          <w:rStyle w:val="FootnoteReference"/>
        </w:rPr>
        <w:footnoteReference w:id="150"/>
      </w:r>
    </w:p>
    <w:p>
      <w:pPr>
        <w:pStyle w:val="Compact"/>
        <w:numPr>
          <w:ilvl w:val="0"/>
          <w:numId w:val="1009"/>
        </w:numPr>
      </w:pPr>
      <w:r>
        <w:rPr>
          <w:b/>
          <w:bCs/>
        </w:rPr>
        <w:t xml:space="preserve">NTLM</w:t>
      </w:r>
      <w:r>
        <w:t xml:space="preserve"> </w:t>
      </w:r>
      <w:r>
        <w:t xml:space="preserve">(NTLMv1, NTLMv2, and LANMAN) is the challenge-response fallback when Kerberos can’t be used: no line of sight to a domain controller, a local account, or a missing service principal name.</w:t>
      </w:r>
    </w:p>
    <w:p>
      <w:pPr>
        <w:pStyle w:val="Compact"/>
        <w:numPr>
          <w:ilvl w:val="0"/>
          <w:numId w:val="1009"/>
        </w:numPr>
      </w:pPr>
      <w:r>
        <w:rPr>
          <w:b/>
          <w:bCs/>
        </w:rPr>
        <w:t xml:space="preserve">LDAP and LDAPS</w:t>
      </w:r>
      <w:r>
        <w:t xml:space="preserve"> </w:t>
      </w:r>
      <w:r>
        <w:t xml:space="preserve">carry directory reads and writes. Binds can be signed, sealed, or wrapped in TLS, and channel binding ties a SASL bind to its TLS session.</w:t>
      </w:r>
    </w:p>
    <w:p>
      <w:pPr>
        <w:pStyle w:val="Compact"/>
        <w:numPr>
          <w:ilvl w:val="0"/>
          <w:numId w:val="1009"/>
        </w:numPr>
      </w:pPr>
      <w:r>
        <w:rPr>
          <w:b/>
          <w:bCs/>
        </w:rPr>
        <w:t xml:space="preserve">MS-RPC and SMB</w:t>
      </w:r>
      <w:r>
        <w:t xml:space="preserve"> </w:t>
      </w:r>
      <w:r>
        <w:t xml:space="preserve">carry replication, Netlogon, the legacy SAM password-change calls, and Group Policy file delivery from SYSVOL.</w:t>
      </w:r>
    </w:p>
    <w:p>
      <w:pPr>
        <w:pStyle w:val="Compact"/>
        <w:numPr>
          <w:ilvl w:val="0"/>
          <w:numId w:val="1009"/>
        </w:numPr>
      </w:pPr>
      <w:r>
        <w:rPr>
          <w:b/>
          <w:bCs/>
        </w:rPr>
        <w:t xml:space="preserve">SAML and WS-Federation</w:t>
      </w:r>
      <w:r>
        <w:t xml:space="preserve"> </w:t>
      </w:r>
      <w:r>
        <w:t xml:space="preserve">reach SaaS applications through AD FS, a separate federation server the agency runs.</w:t>
      </w:r>
    </w:p>
    <w:bookmarkEnd w:id="152"/>
    <w:bookmarkStart w:id="175" w:name="the-entra-id-protocol-stack"/>
    <w:p>
      <w:pPr>
        <w:pStyle w:val="Heading3"/>
      </w:pPr>
      <w:r>
        <w:t xml:space="preserve">The Entra ID protocol stack</w:t>
      </w:r>
    </w:p>
    <w:p>
      <w:pPr>
        <w:pStyle w:val="Compact"/>
        <w:numPr>
          <w:ilvl w:val="0"/>
          <w:numId w:val="1010"/>
        </w:numPr>
      </w:pPr>
      <w:r>
        <w:rPr>
          <w:b/>
          <w:bCs/>
        </w:rPr>
        <w:t xml:space="preserve">OAuth 2.0</w:t>
      </w:r>
      <w:r>
        <w:t xml:space="preserve"> </w:t>
      </w:r>
      <w:r>
        <w:t xml:space="preserve">(RFC 6749) is the authorization framework that issues access tokens to applications.</w:t>
      </w:r>
      <w:r>
        <w:rPr>
          <w:rStyle w:val="FootnoteReference"/>
        </w:rPr>
        <w:footnoteReference w:id="153"/>
      </w:r>
    </w:p>
    <w:p>
      <w:pPr>
        <w:pStyle w:val="Compact"/>
        <w:numPr>
          <w:ilvl w:val="0"/>
          <w:numId w:val="1010"/>
        </w:numPr>
      </w:pPr>
      <w:r>
        <w:rPr>
          <w:b/>
          <w:bCs/>
        </w:rPr>
        <w:t xml:space="preserve">OpenID Connect Core 1.0</w:t>
      </w:r>
      <w:r>
        <w:t xml:space="preserve"> </w:t>
      </w:r>
      <w:r>
        <w:t xml:space="preserve">adds an ID token and user sign-in on top of OAuth 2.0.</w:t>
      </w:r>
      <w:r>
        <w:rPr>
          <w:rStyle w:val="FootnoteReference"/>
        </w:rPr>
        <w:footnoteReference w:id="155"/>
      </w:r>
    </w:p>
    <w:p>
      <w:pPr>
        <w:pStyle w:val="Compact"/>
        <w:numPr>
          <w:ilvl w:val="0"/>
          <w:numId w:val="1010"/>
        </w:numPr>
      </w:pPr>
      <w:r>
        <w:rPr>
          <w:b/>
          <w:bCs/>
        </w:rPr>
        <w:t xml:space="preserve">SAML 2.0</w:t>
      </w:r>
      <w:r>
        <w:t xml:space="preserve"> </w:t>
      </w:r>
      <w:r>
        <w:t xml:space="preserve">remains supported for applications that need it, now federated directly to the tenant.</w:t>
      </w:r>
    </w:p>
    <w:p>
      <w:pPr>
        <w:pStyle w:val="Compact"/>
        <w:numPr>
          <w:ilvl w:val="0"/>
          <w:numId w:val="1010"/>
        </w:numPr>
      </w:pPr>
      <w:r>
        <w:rPr>
          <w:b/>
          <w:bCs/>
        </w:rPr>
        <w:t xml:space="preserve">SCIM 2.0</w:t>
      </w:r>
      <w:r>
        <w:t xml:space="preserve"> </w:t>
      </w:r>
      <w:r>
        <w:t xml:space="preserve">(RFC 7643 for the schema, RFC 7644 for the protocol) is how the Entra provisioning service creates, updates, and removes accounts in applications.</w:t>
      </w:r>
      <w:r>
        <w:rPr>
          <w:rStyle w:val="FootnoteReference"/>
        </w:rPr>
        <w:footnoteReference w:id="157"/>
      </w:r>
      <w:r>
        <w:rPr>
          <w:rStyle w:val="FootnoteReference"/>
        </w:rPr>
        <w:footnoteReference w:id="159"/>
      </w:r>
      <w:r>
        <w:t xml:space="preserve"> </w:t>
      </w:r>
      <w:r>
        <w:t xml:space="preserve">Entra ID acts as a SCIM client for outbound app provisioning and can also expose a SCIM service endpoint for inbound provisioning.</w:t>
      </w:r>
      <w:r>
        <w:rPr>
          <w:rStyle w:val="FootnoteReference"/>
        </w:rPr>
        <w:footnoteReference w:id="161"/>
      </w:r>
    </w:p>
    <w:p>
      <w:pPr>
        <w:pStyle w:val="Compact"/>
        <w:numPr>
          <w:ilvl w:val="0"/>
          <w:numId w:val="1010"/>
        </w:numPr>
      </w:pPr>
      <w:r>
        <w:rPr>
          <w:b/>
          <w:bCs/>
        </w:rPr>
        <w:t xml:space="preserve">Proof-of-possession tokens</w:t>
      </w:r>
      <w:r>
        <w:t xml:space="preserve"> </w:t>
      </w:r>
      <w:r>
        <w:t xml:space="preserve">bind a token to a key the client holds. Microsoft’s authentication libraries describe two target variants, mutual-TLS certificate-bound tokens (RFC 8705) for service-to-service calls and DPoP (RFC 9449) for public clients, with the older signed-HTTP-request form being phased out.</w:t>
      </w:r>
      <w:r>
        <w:rPr>
          <w:rStyle w:val="FootnoteReference"/>
        </w:rPr>
        <w:footnoteReference w:id="163"/>
      </w:r>
      <w:r>
        <w:rPr>
          <w:rStyle w:val="FootnoteReference"/>
        </w:rPr>
        <w:footnoteReference w:id="165"/>
      </w:r>
      <w:r>
        <w:rPr>
          <w:rStyle w:val="FootnoteReference"/>
        </w:rPr>
        <w:footnoteReference w:id="167"/>
      </w:r>
      <w:r>
        <w:t xml:space="preserve"> </w:t>
      </w:r>
      <w:r>
        <w:t xml:space="preserve">Separately, Conditional Access Token Protection accepts only device-bound sign-in session tokens such as the Primary Refresh Token.</w:t>
      </w:r>
      <w:r>
        <w:rPr>
          <w:rStyle w:val="FootnoteReference"/>
        </w:rPr>
        <w:footnoteReference w:id="169"/>
      </w:r>
    </w:p>
    <w:p>
      <w:pPr>
        <w:pStyle w:val="Compact"/>
        <w:numPr>
          <w:ilvl w:val="0"/>
          <w:numId w:val="1010"/>
        </w:numPr>
      </w:pPr>
      <w:r>
        <w:rPr>
          <w:b/>
          <w:bCs/>
        </w:rPr>
        <w:t xml:space="preserve">FIDO2/WebAuthn passkeys and certificate-based authentication</w:t>
      </w:r>
      <w:r>
        <w:t xml:space="preserve"> </w:t>
      </w:r>
      <w:r>
        <w:t xml:space="preserve">are the phishing-resistant user credentials. Entra certificate-based authentication validates X.509 certificates, including PIV and CAC smart cards and derived PIV credentials, directly against the tenant, without a federation server.</w:t>
      </w:r>
      <w:r>
        <w:rPr>
          <w:rStyle w:val="FootnoteReference"/>
        </w:rPr>
        <w:footnoteReference w:id="171"/>
      </w:r>
      <w:r>
        <w:rPr>
          <w:rStyle w:val="FootnoteReference"/>
        </w:rPr>
        <w:footnoteReference w:id="173"/>
      </w:r>
    </w:p>
    <w:bookmarkEnd w:id="175"/>
    <w:bookmarkStart w:id="182" w:name="the-protocol-mapping"/>
    <w:p>
      <w:pPr>
        <w:pStyle w:val="Heading3"/>
      </w:pPr>
      <w:r>
        <w:t xml:space="preserve">The protocol mapping</w:t>
      </w:r>
    </w:p>
    <w:bookmarkStart w:id="179" w:name="fig-ch03-protocol-mapping"/>
    <w:p>
      <w:pPr>
        <w:pStyle w:val="CaptionedFigure"/>
      </w:pPr>
      <w:r>
        <w:drawing>
          <wp:inline>
            <wp:extent cx="5334000" cy="2842846"/>
            <wp:effectExtent b="0" l="0" r="0" t="0"/>
            <wp:docPr descr="For each job the directory performs, the Active Directory protocol and the Entra ID protocol that replaces it." title="" id="177" name="Picture"/>
            <a:graphic>
              <a:graphicData uri="http://schemas.openxmlformats.org/drawingml/2006/picture">
                <pic:pic>
                  <pic:nvPicPr>
                    <pic:cNvPr descr="/home/runner/work/modernization-workbook/modernization-workbook/docs/images/diagrams/b02-identity/png/ch03-protocol-mapping.png" id="178" name="Picture"/>
                    <pic:cNvPicPr>
                      <a:picLocks noChangeArrowheads="1" noChangeAspect="1"/>
                    </pic:cNvPicPr>
                  </pic:nvPicPr>
                  <pic:blipFill>
                    <a:blip r:embed="rId176"/>
                    <a:stretch>
                      <a:fillRect/>
                    </a:stretch>
                  </pic:blipFill>
                  <pic:spPr bwMode="auto">
                    <a:xfrm>
                      <a:off x="0" y="0"/>
                      <a:ext cx="5334000" cy="2842846"/>
                    </a:xfrm>
                    <a:prstGeom prst="rect">
                      <a:avLst/>
                    </a:prstGeom>
                    <a:noFill/>
                    <a:ln w="9525">
                      <a:noFill/>
                      <a:headEnd/>
                      <a:tailEnd/>
                    </a:ln>
                  </pic:spPr>
                </pic:pic>
              </a:graphicData>
            </a:graphic>
          </wp:inline>
        </w:drawing>
      </w:r>
    </w:p>
    <w:p>
      <w:pPr>
        <w:pStyle w:val="ImageCaption"/>
      </w:pPr>
      <w:r>
        <w:t xml:space="preserve">For each job the directory performs, the Active Directory protocol and the Entra ID protocol that replaces it.</w:t>
      </w:r>
    </w:p>
    <w:bookmarkEnd w:id="179"/>
    <w:p>
      <w:pPr>
        <w:pStyle w:val="BodyText"/>
      </w:pPr>
      <w:r>
        <w:t xml:space="preserve">The mapping is a planning aid, not a promise of equivalence. Some Active Directory jobs have no cloud equivalent that applications can use without change. An application that binds to LDAP or expects a Kerberos service ticket keeps needing a domain controller, or a bridge such as Microsoft Entra application proxy with Kerberos constrained delegation, until it’s rewritten or replaced.</w:t>
      </w:r>
      <w:r>
        <w:rPr>
          <w:rStyle w:val="FootnoteReference"/>
        </w:rPr>
        <w:footnoteReference w:id="180"/>
      </w:r>
    </w:p>
    <w:bookmarkEnd w:id="182"/>
    <w:bookmarkStart w:id="187" w:name="what-conditional-access-can-and-cant-see"/>
    <w:p>
      <w:pPr>
        <w:pStyle w:val="Heading3"/>
      </w:pPr>
      <w:r>
        <w:t xml:space="preserve">What Conditional Access can and can’t see</w:t>
      </w:r>
    </w:p>
    <w:p>
      <w:pPr>
        <w:pStyle w:val="FirstParagraph"/>
      </w:pPr>
      <w:r>
        <w:t xml:space="preserve">Conditional Access is the Zero Trust policy engine for Entra ID, and its policies run after first-factor authentication to the tenant completes.</w:t>
      </w:r>
      <w:r>
        <w:rPr>
          <w:rStyle w:val="FootnoteReference"/>
        </w:rPr>
        <w:footnoteReference w:id="183"/>
      </w:r>
      <w:r>
        <w:t xml:space="preserve"> </w:t>
      </w:r>
      <w:r>
        <w:t xml:space="preserve">It sees modern-authentication clients and it can block legacy-authentication clients. Microsoft notes that legacy clients don’t support multifactor authentication and don’t pass device state, so a policy that requires MFA or a compliant device blocks them.</w:t>
      </w:r>
      <w:r>
        <w:rPr>
          <w:rStyle w:val="FootnoteReference"/>
        </w:rPr>
        <w:footnoteReference w:id="184"/>
      </w:r>
      <w:r>
        <w:t xml:space="preserve"> </w:t>
      </w:r>
      <w:r>
        <w:t xml:space="preserve">Kerberos and NTLM traffic between a client and a domain controller never reaches it.</w:t>
      </w:r>
      <w:r>
        <w:rPr>
          <w:rStyle w:val="FootnoteReference"/>
        </w:rPr>
        <w:footnoteReference w:id="186"/>
      </w:r>
      <w:r>
        <w:t xml:space="preserve"> </w:t>
      </w:r>
      <w:r>
        <w:t xml:space="preserve">In the program’s planning model, every remaining Kerberos or NTLM dependency is an access path with no cloud policy decision, and every one has to be found, moved to a token-based protocol, or accepted as a documented exception.</w:t>
      </w:r>
    </w:p>
    <w:bookmarkEnd w:id="187"/>
    <w:bookmarkEnd w:id="188"/>
    <w:bookmarkStart w:id="205" w:name="where-the-old-protocols-stand-in-2026"/>
    <w:p>
      <w:pPr>
        <w:pStyle w:val="Heading2"/>
      </w:pPr>
      <w:bookmarkStart w:id="1391" w:name="_Toc00001391"/>
      <w:r>
        <w:t xml:space="preserve">Where the old protocols stand in 2026</w:t>
      </w:r>
      <w:bookmarkEnd w:id="1391"/>
    </w:p>
    <w:p>
      <w:pPr>
        <w:pStyle w:val="FirstParagraph"/>
      </w:pPr>
      <w:r>
        <w:t xml:space="preserve">The Active Directory protocols aren’t frozen; Microsoft has been hardening and retiring them. Plans that assume 2015-era defaults will misjudge both the risk and the breakage.</w:t>
      </w:r>
    </w:p>
    <w:p>
      <w:pPr>
        <w:pStyle w:val="TableCaption"/>
      </w:pPr>
      <w:r>
        <w:t xml:space="preserve">Status of the Active Directory protocols as of October 2026</w:t>
      </w:r>
    </w:p>
    <w:tbl>
      <w:tblPr>
        <w:tblStyle w:val="Table"/>
        <w:tblW w:type="pct" w:w="5000"/>
        <w:tblLayout w:type="fixed"/>
        <w:tblLook w:firstRow="1" w:lastRow="0" w:firstColumn="0" w:lastColumn="0" w:noHBand="0" w:noVBand="0" w:val="0020"/>
        <w:tblCaption w:val="Status of the Active Directory protocols as of October 2026"/>
      </w:tblPr>
      <w:tblGrid>
        <w:gridCol w:w="3960"/>
        <w:gridCol w:w="3960"/>
      </w:tblGrid>
      <w:tr>
        <w:trPr>
          <w:tblHeader w:val="on"/>
        </w:trPr>
        <w:tc>
          <w:tcPr/>
          <w:p>
            <w:pPr>
              <w:pStyle w:val="Compact"/>
            </w:pPr>
            <w:r>
              <w:t xml:space="preserve">Protocol or setting</w:t>
            </w:r>
          </w:p>
        </w:tc>
        <w:tc>
          <w:tcPr/>
          <w:p>
            <w:pPr>
              <w:pStyle w:val="Compact"/>
            </w:pPr>
            <w:r>
              <w:t xml:space="preserve">Status as of October 2026</w:t>
            </w:r>
          </w:p>
        </w:tc>
      </w:tr>
      <w:tr>
        <w:tc>
          <w:tcPr/>
          <w:p>
            <w:pPr>
              <w:pStyle w:val="Compact"/>
            </w:pPr>
            <w:r>
              <w:t xml:space="preserve">NTLM (all versions)</w:t>
            </w:r>
          </w:p>
        </w:tc>
        <w:tc>
          <w:tcPr/>
          <w:p>
            <w:pPr>
              <w:pStyle w:val="Compact"/>
            </w:pPr>
            <w:r>
              <w:t xml:space="preserve">Deprecated since June 2024 and no longer under active feature development. Calls should move to Negotiate, which tries Kerberos first.</w:t>
            </w:r>
            <w:r>
              <w:rPr>
                <w:rStyle w:val="FootnoteReference"/>
              </w:rPr>
              <w:footnoteReference w:id="189"/>
            </w:r>
          </w:p>
        </w:tc>
      </w:tr>
      <w:tr>
        <w:tc>
          <w:tcPr/>
          <w:p>
            <w:pPr>
              <w:pStyle w:val="Compact"/>
            </w:pPr>
            <w:r>
              <w:t xml:space="preserve">NTLMv1</w:t>
            </w:r>
          </w:p>
        </w:tc>
        <w:tc>
          <w:tcPr/>
          <w:p>
            <w:pPr>
              <w:pStyle w:val="Compact"/>
            </w:pPr>
            <w:r>
              <w:t xml:space="preserve">Removed starting with Windows 11, version 24H2 and Windows Server 2025.</w:t>
            </w:r>
            <w:r>
              <w:rPr>
                <w:rStyle w:val="FootnoteReference"/>
              </w:rPr>
              <w:footnoteReference w:id="191"/>
            </w:r>
            <w:r>
              <w:t xml:space="preserve"> </w:t>
            </w:r>
            <w:r>
              <w:t xml:space="preserve">Beginning with the October 2026 security update, those versions and Windows 11 25H2 and 26H2 restrict generating NTLMv1-derived credentials for single sign-on by default on devices without Credential Guard, which can break Wi-Fi, Ethernet, and VPN connections that rely on MS-CHAPv2.</w:t>
            </w:r>
            <w:r>
              <w:rPr>
                <w:rStyle w:val="FootnoteReference"/>
              </w:rPr>
              <w:footnoteReference w:id="192"/>
            </w:r>
          </w:p>
        </w:tc>
      </w:tr>
      <w:tr>
        <w:tc>
          <w:tcPr/>
          <w:p>
            <w:pPr>
              <w:pStyle w:val="Compact"/>
            </w:pPr>
            <w:r>
              <w:t xml:space="preserve">NTLMv2 and LANMAN</w:t>
            </w:r>
          </w:p>
        </w:tc>
        <w:tc>
          <w:tcPr/>
          <w:p>
            <w:pPr>
              <w:pStyle w:val="Compact"/>
            </w:pPr>
            <w:r>
              <w:t xml:space="preserve">Deprecated in Windows Server 2025; NTLMv2 still works but is slated for removal in a future release.</w:t>
            </w:r>
            <w:r>
              <w:rPr>
                <w:rStyle w:val="FootnoteReference"/>
              </w:rPr>
              <w:footnoteReference w:id="194"/>
            </w:r>
            <w:r>
              <w:t xml:space="preserve"> </w:t>
            </w:r>
            <w:r>
              <w:t xml:space="preserve">Microsoft’s January 2026 plan adds NTLM auditing now, IAKerb and a local KDC in the second half of 2026, and network NTLM disabled by default in the next major Windows release.</w:t>
            </w:r>
            <w:r>
              <w:rPr>
                <w:rStyle w:val="FootnoteReference"/>
              </w:rPr>
              <w:footnoteReference w:id="196"/>
            </w:r>
          </w:p>
        </w:tc>
      </w:tr>
      <w:tr>
        <w:tc>
          <w:tcPr/>
          <w:p>
            <w:pPr>
              <w:pStyle w:val="Compact"/>
            </w:pPr>
            <w:r>
              <w:t xml:space="preserve">Kerberos RC4</w:t>
            </w:r>
          </w:p>
        </w:tc>
        <w:tc>
          <w:tcPr/>
          <w:p>
            <w:pPr>
              <w:pStyle w:val="Compact"/>
            </w:pPr>
            <w:r>
              <w:t xml:space="preserve">Deprecated in Windows Server 2025; AES should be used instead.</w:t>
            </w:r>
            <w:r>
              <w:rPr>
                <w:rStyle w:val="FootnoteReference"/>
              </w:rPr>
              <w:footnoteReference w:id="198"/>
            </w:r>
            <w:r>
              <w:t xml:space="preserve"> </w:t>
            </w:r>
            <w:r>
              <w:t xml:space="preserve">DES is removed from Windows Server 2025.</w:t>
            </w:r>
            <w:r>
              <w:rPr>
                <w:rStyle w:val="FootnoteReference"/>
              </w:rPr>
              <w:footnoteReference w:id="199"/>
            </w:r>
          </w:p>
        </w:tc>
      </w:tr>
      <w:tr>
        <w:tc>
          <w:tcPr/>
          <w:p>
            <w:pPr>
              <w:pStyle w:val="Compact"/>
            </w:pPr>
            <w:r>
              <w:t xml:space="preserve">LDAP signing</w:t>
            </w:r>
          </w:p>
        </w:tc>
        <w:tc>
          <w:tcPr/>
          <w:p>
            <w:pPr>
              <w:pStyle w:val="Compact"/>
            </w:pPr>
            <w:r>
              <w:t xml:space="preserve">Required by default for new Active Directory deployments on Windows Server 2025 or later. Upgrades keep existing policy, and if none is set, Windows Server 2025 requires signing.</w:t>
            </w:r>
            <w:r>
              <w:rPr>
                <w:rStyle w:val="FootnoteReference"/>
              </w:rPr>
              <w:footnoteReference w:id="200"/>
            </w:r>
          </w:p>
        </w:tc>
      </w:tr>
      <w:tr>
        <w:tc>
          <w:tcPr/>
          <w:p>
            <w:pPr>
              <w:pStyle w:val="Compact"/>
            </w:pPr>
            <w:r>
              <w:t xml:space="preserve">LDAP channel binding</w:t>
            </w:r>
          </w:p>
        </w:tc>
        <w:tc>
          <w:tcPr/>
          <w:p>
            <w:pPr>
              <w:pStyle w:val="Compact"/>
            </w:pPr>
            <w:r>
              <w:t xml:space="preserve">Defaults to</w:t>
            </w:r>
            <w:r>
              <w:t xml:space="preserve"> </w:t>
            </w:r>
            <w:r>
              <w:t xml:space="preserve">“When supported”</w:t>
            </w:r>
            <w:r>
              <w:t xml:space="preserve"> </w:t>
            </w:r>
            <w:r>
              <w:t xml:space="preserve">for new Windows Server 2025 deployments, with auditing on; Windows Server 2022 and earlier default to</w:t>
            </w:r>
            <w:r>
              <w:t xml:space="preserve"> </w:t>
            </w:r>
            <w:r>
              <w:t xml:space="preserve">“Never,”</w:t>
            </w:r>
            <w:r>
              <w:t xml:space="preserve"> </w:t>
            </w:r>
            <w:r>
              <w:t xml:space="preserve">with auditing on since the March 2023 updates.</w:t>
            </w:r>
            <w:r>
              <w:rPr>
                <w:rStyle w:val="FootnoteReference"/>
              </w:rPr>
              <w:footnoteReference w:id="202"/>
            </w:r>
          </w:p>
        </w:tc>
      </w:tr>
    </w:tbl>
    <w:p>
      <w:pPr>
        <w:pStyle w:val="BodyText"/>
      </w:pPr>
      <w:r>
        <w:t xml:space="preserve">The source material for this chapter called NTLM simply</w:t>
      </w:r>
      <w:r>
        <w:t xml:space="preserve"> </w:t>
      </w:r>
      <w:r>
        <w:t xml:space="preserve">“legacy.”</w:t>
      </w:r>
      <w:r>
        <w:t xml:space="preserve"> </w:t>
      </w:r>
      <w:r>
        <w:t xml:space="preserve">That understates the schedule: NTLMv1 is already gone from current Windows, and Microsoft has said network NTLM will be off by default in the next major release, though the code stays so administrators can turn it back on by policy.</w:t>
      </w:r>
      <w:r>
        <w:rPr>
          <w:rStyle w:val="FootnoteReference"/>
        </w:rPr>
        <w:footnoteReference w:id="204"/>
      </w:r>
      <w:r>
        <w:t xml:space="preserve"> </w:t>
      </w:r>
      <w:r>
        <w:t xml:space="preserve">An agency that waits for the cutover to find its NTLM dependencies will find them in production. That’s why NTLM auditing belongs in the read-only discovery described in Chapter 07.</w:t>
      </w:r>
    </w:p>
    <w:bookmarkEnd w:id="205"/>
    <w:bookmarkStart w:id="215" w:name="cryptography"/>
    <w:p>
      <w:pPr>
        <w:pStyle w:val="Heading2"/>
      </w:pPr>
      <w:bookmarkStart w:id="1392" w:name="_Toc00001392"/>
      <w:r>
        <w:t xml:space="preserve">Cryptography</w:t>
      </w:r>
      <w:bookmarkEnd w:id="1392"/>
    </w:p>
    <w:p>
      <w:pPr>
        <w:pStyle w:val="TableCaption"/>
      </w:pPr>
      <w:r>
        <w:t xml:space="preserve">Cryptography in the two worlds</w:t>
      </w:r>
    </w:p>
    <w:tbl>
      <w:tblPr>
        <w:tblStyle w:val="Table"/>
        <w:tblW w:type="pct" w:w="5000"/>
        <w:tblLayout w:type="fixed"/>
        <w:tblLook w:firstRow="1" w:lastRow="0" w:firstColumn="0" w:lastColumn="0" w:noHBand="0" w:noVBand="0" w:val="0020"/>
        <w:tblCaption w:val="Cryptography in the two worlds"/>
      </w:tblPr>
      <w:tblGrid>
        <w:gridCol w:w="2640"/>
        <w:gridCol w:w="2640"/>
        <w:gridCol w:w="2640"/>
      </w:tblGrid>
      <w:tr>
        <w:trPr>
          <w:tblHeader w:val="on"/>
        </w:trPr>
        <w:tc>
          <w:tcPr/>
          <w:p>
            <w:pPr>
              <w:pStyle w:val="Compact"/>
            </w:pPr>
            <w:r>
              <w:t xml:space="preserve">Purpose</w:t>
            </w:r>
          </w:p>
        </w:tc>
        <w:tc>
          <w:tcPr/>
          <w:p>
            <w:pPr>
              <w:pStyle w:val="Compact"/>
            </w:pPr>
            <w:r>
              <w:t xml:space="preserve">Active Directory</w:t>
            </w:r>
          </w:p>
        </w:tc>
        <w:tc>
          <w:tcPr/>
          <w:p>
            <w:pPr>
              <w:pStyle w:val="Compact"/>
            </w:pPr>
            <w:r>
              <w:t xml:space="preserve">Microsoft Entra ID</w:t>
            </w:r>
          </w:p>
        </w:tc>
      </w:tr>
      <w:tr>
        <w:tc>
          <w:tcPr/>
          <w:p>
            <w:pPr>
              <w:pStyle w:val="Compact"/>
            </w:pPr>
            <w:r>
              <w:t xml:space="preserve">Stored password</w:t>
            </w:r>
          </w:p>
        </w:tc>
        <w:tc>
          <w:tcPr/>
          <w:p>
            <w:pPr>
              <w:pStyle w:val="Compact"/>
            </w:pPr>
            <w:r>
              <w:t xml:space="preserve">NT hash, an MD4 hash of the password</w:t>
            </w:r>
            <w:r>
              <w:rPr>
                <w:rStyle w:val="FootnoteReference"/>
              </w:rPr>
              <w:footnoteReference w:id="206"/>
            </w:r>
          </w:p>
        </w:tc>
        <w:tc>
          <w:tcPr/>
          <w:p>
            <w:pPr>
              <w:pStyle w:val="Compact"/>
            </w:pPr>
            <w:r>
              <w:t xml:space="preserve">For synced users, a salted PBKDF2-HMAC-SHA256 hash of the NT hash; the original MD4 hash isn’t sent to the cloud and can’t be replayed on-premises</w:t>
            </w:r>
            <w:r>
              <w:rPr>
                <w:rStyle w:val="FootnoteReference"/>
              </w:rPr>
              <w:footnoteReference w:id="207"/>
            </w:r>
          </w:p>
        </w:tc>
      </w:tr>
      <w:tr>
        <w:tc>
          <w:tcPr/>
          <w:p>
            <w:pPr>
              <w:pStyle w:val="Compact"/>
            </w:pPr>
            <w:r>
              <w:t xml:space="preserve">Ticket or token protection</w:t>
            </w:r>
          </w:p>
        </w:tc>
        <w:tc>
          <w:tcPr/>
          <w:p>
            <w:pPr>
              <w:pStyle w:val="Compact"/>
            </w:pPr>
            <w:r>
              <w:t xml:space="preserve">Kerberos encryption types; RC4 deprecated, AES preferred</w:t>
            </w:r>
            <w:r>
              <w:rPr>
                <w:rStyle w:val="FootnoteReference"/>
              </w:rPr>
              <w:footnoteReference w:id="208"/>
            </w:r>
          </w:p>
        </w:tc>
        <w:tc>
          <w:tcPr/>
          <w:p>
            <w:pPr>
              <w:pStyle w:val="Compact"/>
            </w:pPr>
            <w:r>
              <w:t xml:space="preserve">JWT signatures from asymmetric keys such as RS256, published through the tenant’s OpenID Connect metadata and rotated on a schedule</w:t>
            </w:r>
            <w:r>
              <w:rPr>
                <w:rStyle w:val="FootnoteReference"/>
              </w:rPr>
              <w:footnoteReference w:id="209"/>
            </w:r>
          </w:p>
        </w:tc>
      </w:tr>
      <w:tr>
        <w:tc>
          <w:tcPr/>
          <w:p>
            <w:pPr>
              <w:pStyle w:val="Compact"/>
            </w:pPr>
            <w:r>
              <w:t xml:space="preserve">Transport</w:t>
            </w:r>
          </w:p>
        </w:tc>
        <w:tc>
          <w:tcPr/>
          <w:p>
            <w:pPr>
              <w:pStyle w:val="Compact"/>
            </w:pPr>
            <w:r>
              <w:t xml:space="preserve">LDAP signing and sealing, LDAPS, SMB signing</w:t>
            </w:r>
          </w:p>
        </w:tc>
        <w:tc>
          <w:tcPr/>
          <w:p>
            <w:pPr>
              <w:pStyle w:val="Compact"/>
            </w:pPr>
            <w:r>
              <w:t xml:space="preserve">TLS on every endpoint; the provisioning service connects to applications over TLS 1.2</w:t>
            </w:r>
            <w:r>
              <w:rPr>
                <w:rStyle w:val="FootnoteReference"/>
              </w:rPr>
              <w:footnoteReference w:id="211"/>
            </w:r>
          </w:p>
        </w:tc>
      </w:tr>
      <w:tr>
        <w:tc>
          <w:tcPr/>
          <w:p>
            <w:pPr>
              <w:pStyle w:val="Compact"/>
            </w:pPr>
            <w:r>
              <w:t xml:space="preserve">User credential</w:t>
            </w:r>
          </w:p>
        </w:tc>
        <w:tc>
          <w:tcPr/>
          <w:p>
            <w:pPr>
              <w:pStyle w:val="Compact"/>
            </w:pPr>
            <w:r>
              <w:t xml:space="preserve">Password; smart card logon</w:t>
            </w:r>
          </w:p>
        </w:tc>
        <w:tc>
          <w:tcPr/>
          <w:p>
            <w:pPr>
              <w:pStyle w:val="Compact"/>
            </w:pPr>
            <w:r>
              <w:t xml:space="preserve">Passkeys (FIDO2), certificate-based authentication with PIV/CAC, Windows Hello for Business</w:t>
            </w:r>
            <w:r>
              <w:rPr>
                <w:rStyle w:val="FootnoteReference"/>
              </w:rPr>
              <w:footnoteReference w:id="213"/>
            </w:r>
          </w:p>
        </w:tc>
      </w:tr>
    </w:tbl>
    <w:p>
      <w:pPr>
        <w:pStyle w:val="BodyText"/>
      </w:pPr>
      <w:r>
        <w:t xml:space="preserve">The source table listed ES256 and ES384 among Entra’s token-signing algorithms and said the cloud hash lives</w:t>
      </w:r>
      <w:r>
        <w:t xml:space="preserve"> </w:t>
      </w:r>
      <w:r>
        <w:t xml:space="preserve">“in an HSM-backed boundary.”</w:t>
      </w:r>
      <w:r>
        <w:t xml:space="preserve"> </w:t>
      </w:r>
      <w:r>
        <w:t xml:space="preserve">Microsoft’s documentation shows RS256 as the signing algorithm for Entra access and ID tokens and doesn’t make the HSM claim for password hashes, so both statements are dropped here.</w:t>
      </w:r>
      <w:r>
        <w:rPr>
          <w:rStyle w:val="FootnoteReference"/>
        </w:rPr>
        <w:footnoteReference w:id="214"/>
      </w:r>
    </w:p>
    <w:bookmarkEnd w:id="215"/>
    <w:bookmarkStart w:id="234" w:name="languages-and-tooling"/>
    <w:p>
      <w:pPr>
        <w:pStyle w:val="Heading2"/>
      </w:pPr>
      <w:bookmarkStart w:id="1393" w:name="_Toc00001393"/>
      <w:r>
        <w:t xml:space="preserve">Languages and tooling</w:t>
      </w:r>
      <w:bookmarkEnd w:id="1393"/>
    </w:p>
    <w:p>
      <w:pPr>
        <w:pStyle w:val="FirstParagraph"/>
      </w:pPr>
      <w:r>
        <w:t xml:space="preserve">Most languages carry over; the libraries and endpoints underneath them change.</w:t>
      </w:r>
    </w:p>
    <w:p>
      <w:pPr>
        <w:pStyle w:val="TableCaption"/>
      </w:pPr>
      <w:r>
        <w:t xml:space="preserve">Languages and libraries in the two worlds</w:t>
      </w:r>
    </w:p>
    <w:tbl>
      <w:tblPr>
        <w:tblStyle w:val="Table"/>
        <w:tblW w:type="pct" w:w="5000"/>
        <w:tblLayout w:type="fixed"/>
        <w:tblLook w:firstRow="1" w:lastRow="0" w:firstColumn="0" w:lastColumn="0" w:noHBand="0" w:noVBand="0" w:val="0020"/>
        <w:tblCaption w:val="Languages and libraries in the two worlds"/>
      </w:tblPr>
      <w:tblGrid>
        <w:gridCol w:w="2640"/>
        <w:gridCol w:w="2640"/>
        <w:gridCol w:w="2640"/>
      </w:tblGrid>
      <w:tr>
        <w:trPr>
          <w:tblHeader w:val="on"/>
        </w:trPr>
        <w:tc>
          <w:tcPr/>
          <w:p>
            <w:pPr>
              <w:pStyle w:val="Compact"/>
            </w:pPr>
            <w:r>
              <w:t xml:space="preserve">Language</w:t>
            </w:r>
          </w:p>
        </w:tc>
        <w:tc>
          <w:tcPr/>
          <w:p>
            <w:pPr>
              <w:pStyle w:val="Compact"/>
            </w:pPr>
            <w:r>
              <w:t xml:space="preserve">Active Directory era</w:t>
            </w:r>
          </w:p>
        </w:tc>
        <w:tc>
          <w:tcPr/>
          <w:p>
            <w:pPr>
              <w:pStyle w:val="Compact"/>
            </w:pPr>
            <w:r>
              <w:t xml:space="preserve">Entra ID era</w:t>
            </w:r>
          </w:p>
        </w:tc>
      </w:tr>
      <w:tr>
        <w:tc>
          <w:tcPr/>
          <w:p>
            <w:pPr>
              <w:pStyle w:val="Compact"/>
            </w:pPr>
            <w:r>
              <w:t xml:space="preserve">PowerShell</w:t>
            </w:r>
          </w:p>
        </w:tc>
        <w:tc>
          <w:tcPr/>
          <w:p>
            <w:pPr>
              <w:pStyle w:val="Compact"/>
            </w:pPr>
            <w:r>
              <w:rPr>
                <w:rStyle w:val="VerbatimChar"/>
              </w:rPr>
              <w:t xml:space="preserve">ActiveDirectory</w:t>
            </w:r>
            <w:r>
              <w:t xml:space="preserve"> </w:t>
            </w:r>
            <w:r>
              <w:t xml:space="preserve">module from RSAT, talking to Active Directory Web Services on a domain controller</w:t>
            </w:r>
            <w:r>
              <w:rPr>
                <w:rStyle w:val="FootnoteReference"/>
              </w:rPr>
              <w:footnoteReference w:id="216"/>
            </w:r>
          </w:p>
        </w:tc>
        <w:tc>
          <w:tcPr/>
          <w:p>
            <w:pPr>
              <w:pStyle w:val="Compact"/>
            </w:pPr>
            <w:r>
              <w:t xml:space="preserve">Microsoft Graph PowerShell SDK and Microsoft Entra PowerShell, both authenticating with MSAL</w:t>
            </w:r>
            <w:r>
              <w:rPr>
                <w:rStyle w:val="FootnoteReference"/>
              </w:rPr>
              <w:footnoteReference w:id="218"/>
            </w:r>
          </w:p>
        </w:tc>
      </w:tr>
      <w:tr>
        <w:tc>
          <w:tcPr/>
          <w:p>
            <w:pPr>
              <w:pStyle w:val="Compact"/>
            </w:pPr>
            <w:r>
              <w:t xml:space="preserve">.NET (C#)</w:t>
            </w:r>
          </w:p>
        </w:tc>
        <w:tc>
          <w:tcPr/>
          <w:p>
            <w:pPr>
              <w:pStyle w:val="Compact"/>
            </w:pPr>
            <w:r>
              <w:rPr>
                <w:rStyle w:val="VerbatimChar"/>
              </w:rPr>
              <w:t xml:space="preserve">System.DirectoryServices</w:t>
            </w:r>
            <w:r>
              <w:t xml:space="preserve">,</w:t>
            </w:r>
            <w:r>
              <w:t xml:space="preserve"> </w:t>
            </w:r>
            <w:r>
              <w:rPr>
                <w:rStyle w:val="VerbatimChar"/>
              </w:rPr>
              <w:t xml:space="preserve">System.DirectoryServices.AccountManagement</w:t>
            </w:r>
          </w:p>
        </w:tc>
        <w:tc>
          <w:tcPr/>
          <w:p>
            <w:pPr>
              <w:pStyle w:val="Compact"/>
            </w:pPr>
            <w:r>
              <w:t xml:space="preserve">MSAL.NET, Microsoft.Identity.Web, the Microsoft Graph SDK, Azure.Identity</w:t>
            </w:r>
            <w:r>
              <w:rPr>
                <w:rStyle w:val="FootnoteReference"/>
              </w:rPr>
              <w:footnoteReference w:id="220"/>
            </w:r>
          </w:p>
        </w:tc>
      </w:tr>
      <w:tr>
        <w:tc>
          <w:tcPr/>
          <w:p>
            <w:pPr>
              <w:pStyle w:val="Compact"/>
            </w:pPr>
            <w:r>
              <w:t xml:space="preserve">Python</w:t>
            </w:r>
          </w:p>
        </w:tc>
        <w:tc>
          <w:tcPr/>
          <w:p>
            <w:pPr>
              <w:pStyle w:val="Compact"/>
            </w:pPr>
            <w:r>
              <w:t xml:space="preserve">python-ldap, ldap3, pywin32</w:t>
            </w:r>
          </w:p>
        </w:tc>
        <w:tc>
          <w:tcPr/>
          <w:p>
            <w:pPr>
              <w:pStyle w:val="Compact"/>
            </w:pPr>
            <w:r>
              <w:t xml:space="preserve">MSAL Python, the Microsoft Graph SDK, azure-identity</w:t>
            </w:r>
            <w:r>
              <w:rPr>
                <w:rStyle w:val="FootnoteReference"/>
              </w:rPr>
              <w:footnoteReference w:id="222"/>
            </w:r>
          </w:p>
        </w:tc>
      </w:tr>
      <w:tr>
        <w:tc>
          <w:tcPr/>
          <w:p>
            <w:pPr>
              <w:pStyle w:val="Compact"/>
            </w:pPr>
            <w:r>
              <w:t xml:space="preserve">JavaScript and TypeScript</w:t>
            </w:r>
          </w:p>
        </w:tc>
        <w:tc>
          <w:tcPr/>
          <w:p>
            <w:pPr>
              <w:pStyle w:val="Compact"/>
            </w:pPr>
            <w:r>
              <w:t xml:space="preserve">Rare</w:t>
            </w:r>
          </w:p>
        </w:tc>
        <w:tc>
          <w:tcPr/>
          <w:p>
            <w:pPr>
              <w:pStyle w:val="Compact"/>
            </w:pPr>
            <w:r>
              <w:t xml:space="preserve">MSAL.js for browser apps, MSAL Node, MSAL React and Angular</w:t>
            </w:r>
            <w:r>
              <w:rPr>
                <w:rStyle w:val="FootnoteReference"/>
              </w:rPr>
              <w:footnoteReference w:id="223"/>
            </w:r>
          </w:p>
        </w:tc>
      </w:tr>
      <w:tr>
        <w:tc>
          <w:tcPr/>
          <w:p>
            <w:pPr>
              <w:pStyle w:val="Compact"/>
            </w:pPr>
            <w:r>
              <w:t xml:space="preserve">Java and Go</w:t>
            </w:r>
          </w:p>
        </w:tc>
        <w:tc>
          <w:tcPr/>
          <w:p>
            <w:pPr>
              <w:pStyle w:val="Compact"/>
            </w:pPr>
            <w:r>
              <w:t xml:space="preserve">Java via JNDI over LDAP</w:t>
            </w:r>
          </w:p>
        </w:tc>
        <w:tc>
          <w:tcPr/>
          <w:p>
            <w:pPr>
              <w:pStyle w:val="Compact"/>
            </w:pPr>
            <w:r>
              <w:t xml:space="preserve">MSAL Java and MSAL Go</w:t>
            </w:r>
            <w:r>
              <w:rPr>
                <w:rStyle w:val="FootnoteReference"/>
              </w:rPr>
              <w:footnoteReference w:id="224"/>
            </w:r>
          </w:p>
        </w:tc>
      </w:tr>
      <w:tr>
        <w:tc>
          <w:tcPr/>
          <w:p>
            <w:pPr>
              <w:pStyle w:val="Compact"/>
            </w:pPr>
            <w:r>
              <w:t xml:space="preserve">VBScript</w:t>
            </w:r>
          </w:p>
        </w:tc>
        <w:tc>
          <w:tcPr/>
          <w:p>
            <w:pPr>
              <w:pStyle w:val="Compact"/>
            </w:pPr>
            <w:r>
              <w:t xml:space="preserve">Logon scripts and directory automation</w:t>
            </w:r>
          </w:p>
        </w:tc>
        <w:tc>
          <w:tcPr/>
          <w:p>
            <w:pPr>
              <w:pStyle w:val="Compact"/>
            </w:pPr>
            <w:r>
              <w:t xml:space="preserve">Deprecated in Windows; available as a Feature on Demand in Windows Server 2025 before removal; rewrite in PowerShell</w:t>
            </w:r>
            <w:r>
              <w:rPr>
                <w:rStyle w:val="FootnoteReference"/>
              </w:rPr>
              <w:footnoteReference w:id="225"/>
            </w:r>
          </w:p>
        </w:tc>
      </w:tr>
      <w:tr>
        <w:tc>
          <w:tcPr/>
          <w:p>
            <w:pPr>
              <w:pStyle w:val="Compact"/>
            </w:pPr>
            <w:r>
              <w:t xml:space="preserve">C++</w:t>
            </w:r>
          </w:p>
        </w:tc>
        <w:tc>
          <w:tcPr/>
          <w:p>
            <w:pPr>
              <w:pStyle w:val="Compact"/>
            </w:pPr>
            <w:r>
              <w:t xml:space="preserve">Native clients over ADSI, LDAP, and SSPI</w:t>
            </w:r>
          </w:p>
        </w:tc>
        <w:tc>
          <w:tcPr/>
          <w:p>
            <w:pPr>
              <w:pStyle w:val="Compact"/>
            </w:pPr>
            <w:r>
              <w:t xml:space="preserve">Little greenfield identity work; native apps usually use MSAL for their platform</w:t>
            </w:r>
          </w:p>
        </w:tc>
      </w:tr>
      <w:tr>
        <w:tc>
          <w:tcPr/>
          <w:p>
            <w:pPr>
              <w:pStyle w:val="Compact"/>
            </w:pPr>
            <w:r>
              <w:t xml:space="preserve">YAML</w:t>
            </w:r>
          </w:p>
        </w:tc>
        <w:tc>
          <w:tcPr/>
          <w:p>
            <w:pPr>
              <w:pStyle w:val="Compact"/>
            </w:pPr>
            <w:r>
              <w:t xml:space="preserve">Little use</w:t>
            </w:r>
          </w:p>
        </w:tc>
        <w:tc>
          <w:tcPr/>
          <w:p>
            <w:pPr>
              <w:pStyle w:val="Compact"/>
            </w:pPr>
            <w:r>
              <w:t xml:space="preserve">Pipeline definitions, parameter files, and policy-as-code repositories</w:t>
            </w:r>
          </w:p>
        </w:tc>
      </w:tr>
    </w:tbl>
    <w:bookmarkStart w:id="233" w:name="the-retired-modules"/>
    <w:p>
      <w:pPr>
        <w:pStyle w:val="Heading3"/>
      </w:pPr>
      <w:r>
        <w:t xml:space="preserve">The retired modules</w:t>
      </w:r>
    </w:p>
    <w:p>
      <w:pPr>
        <w:pStyle w:val="FirstParagraph"/>
      </w:pPr>
      <w:r>
        <w:t xml:space="preserve">PowerShell stayed the primary administration language, but three modules that many scripts still import are gone. Microsoft Learn lists the Azure AD, Azure AD Preview, and MSOnline modules as deprecated and points to Microsoft Graph PowerShell instead.</w:t>
      </w:r>
      <w:r>
        <w:rPr>
          <w:rStyle w:val="FootnoteReference"/>
        </w:rPr>
        <w:footnoteReference w:id="226"/>
      </w:r>
      <w:r>
        <w:t xml:space="preserve"> </w:t>
      </w:r>
      <w:r>
        <w:t xml:space="preserve">MSOnline stopped working between early April and late May 2025, and Microsoft scheduled the AzureAD module’s retirement for later in 2025, after the MSOnline migration.</w:t>
      </w:r>
      <w:r>
        <w:rPr>
          <w:rStyle w:val="FootnoteReference"/>
        </w:rPr>
        <w:footnoteReference w:id="227"/>
      </w:r>
      <w:r>
        <w:t xml:space="preserve"> </w:t>
      </w:r>
      <w:r>
        <w:t xml:space="preserve">Microsoft’s own security checklist now includes a check to block the legacy Azure AD PowerShell application in the tenant.</w:t>
      </w:r>
      <w:r>
        <w:rPr>
          <w:rStyle w:val="FootnoteReference"/>
        </w:rPr>
        <w:footnoteReference w:id="229"/>
      </w:r>
      <w:r>
        <w:t xml:space="preserve"> </w:t>
      </w:r>
      <w:r>
        <w:t xml:space="preserve">Any script that calls</w:t>
      </w:r>
      <w:r>
        <w:t xml:space="preserve"> </w:t>
      </w:r>
      <w:r>
        <w:rPr>
          <w:rStyle w:val="VerbatimChar"/>
        </w:rPr>
        <w:t xml:space="preserve">Connect-MsolService</w:t>
      </w:r>
      <w:r>
        <w:t xml:space="preserve"> </w:t>
      </w:r>
      <w:r>
        <w:t xml:space="preserve">or</w:t>
      </w:r>
      <w:r>
        <w:t xml:space="preserve"> </w:t>
      </w:r>
      <w:r>
        <w:rPr>
          <w:rStyle w:val="VerbatimChar"/>
        </w:rPr>
        <w:t xml:space="preserve">Connect-AzureAD</w:t>
      </w:r>
      <w:r>
        <w:t xml:space="preserve"> </w:t>
      </w:r>
      <w:r>
        <w:t xml:space="preserve">should be treated as already broken. Microsoft publishes cmdlet maps from both old modules to Microsoft Graph PowerShell and to Microsoft Entra PowerShell, which offers a backward-compatibility option for AzureAD scripts.</w:t>
      </w:r>
      <w:r>
        <w:rPr>
          <w:rStyle w:val="FootnoteReference"/>
        </w:rPr>
        <w:footnoteReference w:id="231"/>
      </w:r>
    </w:p>
    <w:p>
      <w:pPr>
        <w:pStyle w:val="BodyText"/>
      </w:pPr>
      <w:r>
        <w:t xml:space="preserve">The same task in each world shows the protocol shift inside a familiar language. The Active Directory version reads from a domain controller. The Graph version gets an OAuth token with a named permission scope and calls a REST API.</w:t>
      </w:r>
    </w:p>
    <w:bookmarkEnd w:id="233"/>
    <w:bookmarkEnd w:id="234"/>
    <w:bookmarkStart w:id="235" w:name="illustrative-code"/>
    <w:p>
      <w:pPr>
        <w:pStyle w:val="Heading2"/>
      </w:pPr>
      <w:bookmarkStart w:id="1394" w:name="_Toc00001394"/>
      <w:r>
        <w:t xml:space="preserve">Illustrative code</w:t>
      </w:r>
      <w:bookmarkEnd w:id="1394"/>
    </w:p>
    <w:p>
      <w:pPr>
        <w:pStyle w:val="FirstParagraph"/>
      </w:pPr>
      <w:r>
        <w:t xml:space="preserve">The code in this chapter is illustrative. It hasn’t been tested against a production forest or tenant. Review it, and run it first in a test environment with read-only permissions.</w:t>
      </w:r>
    </w:p>
    <w:bookmarkEnd w:id="235"/>
    <w:p>
      <w:pPr>
        <w:pStyle w:val="SourceCode"/>
      </w:pPr>
      <w:r>
        <w:rPr>
          <w:rStyle w:val="CommentTok"/>
        </w:rPr>
        <w:t xml:space="preserve"># Active Directory: the RSAT ActiveDirectory module queries a domain controller</w:t>
      </w:r>
      <w:r>
        <w:br/>
      </w:r>
      <w:r>
        <w:rPr>
          <w:rStyle w:val="FunctionTok"/>
        </w:rPr>
        <w:t xml:space="preserve">Import-Module</w:t>
      </w:r>
      <w:r>
        <w:rPr>
          <w:rStyle w:val="NormalTok"/>
        </w:rPr>
        <w:t xml:space="preserve"> ActiveDirectory</w:t>
      </w:r>
      <w:r>
        <w:br/>
      </w:r>
      <w:r>
        <w:rPr>
          <w:rStyle w:val="FunctionTok"/>
        </w:rPr>
        <w:t xml:space="preserve">Get-ADUser</w:t>
      </w:r>
      <w:r>
        <w:rPr>
          <w:rStyle w:val="NormalTok"/>
        </w:rPr>
        <w:t xml:space="preserve"> </w:t>
      </w:r>
      <w:r>
        <w:rPr>
          <w:rStyle w:val="OperatorTok"/>
        </w:rPr>
        <w:t xml:space="preserve">-</w:t>
      </w:r>
      <w:r>
        <w:rPr>
          <w:rStyle w:val="NormalTok"/>
        </w:rPr>
        <w:t xml:space="preserve">Filter </w:t>
      </w:r>
      <w:r>
        <w:rPr>
          <w:rStyle w:val="StringTok"/>
        </w:rPr>
        <w:t xml:space="preserve">"Department -eq 'Finance'"</w:t>
      </w:r>
      <w:r>
        <w:rPr>
          <w:rStyle w:val="NormalTok"/>
        </w:rPr>
        <w:t xml:space="preserve"> </w:t>
      </w:r>
      <w:r>
        <w:rPr>
          <w:rStyle w:val="OperatorTok"/>
        </w:rPr>
        <w:t xml:space="preserve">-</w:t>
      </w:r>
      <w:r>
        <w:rPr>
          <w:rStyle w:val="NormalTok"/>
        </w:rPr>
        <w:t xml:space="preserve">Properties Department</w:t>
      </w:r>
      <w:r>
        <w:rPr>
          <w:rStyle w:val="OperatorTok"/>
        </w:rPr>
        <w:t xml:space="preserve">,</w:t>
      </w:r>
      <w:r>
        <w:rPr>
          <w:rStyle w:val="NormalTok"/>
        </w:rPr>
        <w:t xml:space="preserve"> Manager </w:t>
      </w:r>
      <w:r>
        <w:rPr>
          <w:rStyle w:val="OperatorTok"/>
        </w:rPr>
        <w:t xml:space="preserve">|</w:t>
      </w:r>
      <w:r>
        <w:br/>
      </w:r>
      <w:r>
        <w:rPr>
          <w:rStyle w:val="NormalTok"/>
        </w:rPr>
        <w:t xml:space="preserve">    </w:t>
      </w:r>
      <w:r>
        <w:rPr>
          <w:rStyle w:val="FunctionTok"/>
        </w:rPr>
        <w:t xml:space="preserve">Select-Object</w:t>
      </w:r>
      <w:r>
        <w:rPr>
          <w:rStyle w:val="NormalTok"/>
        </w:rPr>
        <w:t xml:space="preserve"> SamAccountName</w:t>
      </w:r>
      <w:r>
        <w:rPr>
          <w:rStyle w:val="OperatorTok"/>
        </w:rPr>
        <w:t xml:space="preserve">,</w:t>
      </w:r>
      <w:r>
        <w:rPr>
          <w:rStyle w:val="NormalTok"/>
        </w:rPr>
        <w:t xml:space="preserve"> Department</w:t>
      </w:r>
      <w:r>
        <w:rPr>
          <w:rStyle w:val="OperatorTok"/>
        </w:rPr>
        <w:t xml:space="preserve">,</w:t>
      </w:r>
      <w:r>
        <w:rPr>
          <w:rStyle w:val="NormalTok"/>
        </w:rPr>
        <w:t xml:space="preserve"> Manager</w:t>
      </w:r>
      <w:r>
        <w:br/>
      </w:r>
      <w:r>
        <w:br/>
      </w:r>
      <w:r>
        <w:rPr>
          <w:rStyle w:val="CommentTok"/>
        </w:rPr>
        <w:t xml:space="preserve"># Microsoft Entra ID: Microsoft Graph PowerShell gets an OAuth token, then calls Graph</w:t>
      </w:r>
      <w:r>
        <w:br/>
      </w:r>
      <w:r>
        <w:rPr>
          <w:rStyle w:val="NormalTok"/>
        </w:rPr>
        <w:t xml:space="preserve">Connect-MgGraph </w:t>
      </w:r>
      <w:r>
        <w:rPr>
          <w:rStyle w:val="OperatorTok"/>
        </w:rPr>
        <w:t xml:space="preserve">-</w:t>
      </w:r>
      <w:r>
        <w:rPr>
          <w:rStyle w:val="NormalTok"/>
        </w:rPr>
        <w:t xml:space="preserve">Scopes </w:t>
      </w:r>
      <w:r>
        <w:rPr>
          <w:rStyle w:val="StringTok"/>
        </w:rPr>
        <w:t xml:space="preserve">"User.Read.All"</w:t>
      </w:r>
      <w:r>
        <w:br/>
      </w:r>
      <w:r>
        <w:rPr>
          <w:rStyle w:val="NormalTok"/>
        </w:rPr>
        <w:t xml:space="preserve">Get-MgUser </w:t>
      </w:r>
      <w:r>
        <w:rPr>
          <w:rStyle w:val="OperatorTok"/>
        </w:rPr>
        <w:t xml:space="preserve">-</w:t>
      </w:r>
      <w:r>
        <w:rPr>
          <w:rStyle w:val="NormalTok"/>
        </w:rPr>
        <w:t xml:space="preserve">Filter </w:t>
      </w:r>
      <w:r>
        <w:rPr>
          <w:rStyle w:val="StringTok"/>
        </w:rPr>
        <w:t xml:space="preserve">"department eq 'Finance'"</w:t>
      </w:r>
      <w:r>
        <w:rPr>
          <w:rStyle w:val="NormalTok"/>
        </w:rPr>
        <w:t xml:space="preserve"> </w:t>
      </w:r>
      <w:r>
        <w:rPr>
          <w:rStyle w:val="OperatorTok"/>
        </w:rPr>
        <w:t xml:space="preserve">-</w:t>
      </w:r>
      <w:r>
        <w:rPr>
          <w:rStyle w:val="NormalTok"/>
        </w:rPr>
        <w:t xml:space="preserve">Property </w:t>
      </w:r>
      <w:r>
        <w:rPr>
          <w:rStyle w:val="StringTok"/>
        </w:rPr>
        <w:t xml:space="preserve">"userPrincipalName,department"</w:t>
      </w:r>
      <w:r>
        <w:rPr>
          <w:rStyle w:val="NormalTok"/>
        </w:rPr>
        <w:t xml:space="preserve"> </w:t>
      </w:r>
      <w:r>
        <w:rPr>
          <w:rStyle w:val="OperatorTok"/>
        </w:rPr>
        <w:t xml:space="preserve">-</w:t>
      </w:r>
      <w:r>
        <w:rPr>
          <w:rStyle w:val="NormalTok"/>
        </w:rPr>
        <w:t xml:space="preserve">All </w:t>
      </w:r>
      <w:r>
        <w:rPr>
          <w:rStyle w:val="OperatorTok"/>
        </w:rPr>
        <w:t xml:space="preserve">|</w:t>
      </w:r>
      <w:r>
        <w:br/>
      </w:r>
      <w:r>
        <w:rPr>
          <w:rStyle w:val="NormalTok"/>
        </w:rPr>
        <w:t xml:space="preserve">    </w:t>
      </w:r>
      <w:r>
        <w:rPr>
          <w:rStyle w:val="FunctionTok"/>
        </w:rPr>
        <w:t xml:space="preserve">Select-Object</w:t>
      </w:r>
      <w:r>
        <w:rPr>
          <w:rStyle w:val="NormalTok"/>
        </w:rPr>
        <w:t xml:space="preserve"> UserPrincipalName</w:t>
      </w:r>
      <w:r>
        <w:rPr>
          <w:rStyle w:val="OperatorTok"/>
        </w:rPr>
        <w:t xml:space="preserve">,</w:t>
      </w:r>
      <w:r>
        <w:rPr>
          <w:rStyle w:val="NormalTok"/>
        </w:rPr>
        <w:t xml:space="preserve"> Department</w:t>
      </w:r>
    </w:p>
    <w:p>
      <w:pPr>
        <w:pStyle w:val="FirstParagraph"/>
      </w:pPr>
      <w:r>
        <w:t xml:space="preserve">Two differences matter more than the syntax. The Graph session carries a consented permission (</w:t>
      </w:r>
      <w:r>
        <w:rPr>
          <w:rStyle w:val="VerbatimChar"/>
        </w:rPr>
        <w:t xml:space="preserve">User.Read.All</w:t>
      </w:r>
      <w:r>
        <w:t xml:space="preserve">) that shows up in the tenant’s audit trail, while the Active Directory session runs with whatever rights the signed-in account holds. And the Graph call works from any network that can reach the service; it doesn’t need line of sight to a domain controller.</w:t>
      </w:r>
    </w:p>
    <w:bookmarkStart w:id="242" w:name="Xc57cd8da867fa2c90bf3d667155d9bab7293d5a"/>
    <w:p>
      <w:pPr>
        <w:pStyle w:val="Heading2"/>
      </w:pPr>
      <w:bookmarkStart w:id="1395" w:name="_Toc00001395"/>
      <w:r>
        <w:t xml:space="preserve">Infrastructure, pipelines, and compliance as code</w:t>
      </w:r>
      <w:bookmarkEnd w:id="1395"/>
    </w:p>
    <w:p>
      <w:pPr>
        <w:pStyle w:val="FirstParagraph"/>
      </w:pPr>
      <w:r>
        <w:t xml:space="preserve">Three layers that Active Directory never had grow up around Entra ID.</w:t>
      </w:r>
    </w:p>
    <w:p>
      <w:pPr>
        <w:pStyle w:val="Compact"/>
        <w:numPr>
          <w:ilvl w:val="0"/>
          <w:numId w:val="1011"/>
        </w:numPr>
      </w:pPr>
      <w:r>
        <w:rPr>
          <w:b/>
          <w:bCs/>
        </w:rPr>
        <w:t xml:space="preserve">Infrastructure as code.</w:t>
      </w:r>
      <w:r>
        <w:t xml:space="preserve"> </w:t>
      </w:r>
      <w:r>
        <w:t xml:space="preserve">The Microsoft Graph Bicep extension lets a Bicep template declare Entra resources, such as groups, applications, and service principals, next to Azure resources, and deploy them repeatably.</w:t>
      </w:r>
      <w:r>
        <w:rPr>
          <w:rStyle w:val="FootnoteReference"/>
        </w:rPr>
        <w:footnoteReference w:id="236"/>
      </w:r>
      <w:r>
        <w:t xml:space="preserve"> </w:t>
      </w:r>
      <w:r>
        <w:t xml:space="preserve">It covers a limited set of resource types today: role-assignable groups can’t be deployed through it, and application passwords aren’t supported.</w:t>
      </w:r>
      <w:r>
        <w:rPr>
          <w:rStyle w:val="FootnoteReference"/>
        </w:rPr>
        <w:footnoteReference w:id="238"/>
      </w:r>
      <w:r>
        <w:t xml:space="preserve"> </w:t>
      </w:r>
      <w:r>
        <w:t xml:space="preserve">Other declarative tools fill gaps; the program doesn’t prescribe one.</w:t>
      </w:r>
    </w:p>
    <w:p>
      <w:pPr>
        <w:pStyle w:val="Compact"/>
        <w:numPr>
          <w:ilvl w:val="0"/>
          <w:numId w:val="1011"/>
        </w:numPr>
      </w:pPr>
      <w:r>
        <w:rPr>
          <w:b/>
          <w:bCs/>
        </w:rPr>
        <w:t xml:space="preserve">Pipelines as code.</w:t>
      </w:r>
      <w:r>
        <w:t xml:space="preserve"> </w:t>
      </w:r>
      <w:r>
        <w:t xml:space="preserve">In the program’s design, changes to identity configuration move through YAML pipelines with review and approval, the same way application code does.</w:t>
      </w:r>
    </w:p>
    <w:p>
      <w:pPr>
        <w:pStyle w:val="Compact"/>
        <w:numPr>
          <w:ilvl w:val="0"/>
          <w:numId w:val="1011"/>
        </w:numPr>
      </w:pPr>
      <w:r>
        <w:rPr>
          <w:b/>
          <w:bCs/>
        </w:rPr>
        <w:t xml:space="preserve">Compliance as code.</w:t>
      </w:r>
      <w:r>
        <w:t xml:space="preserve"> </w:t>
      </w:r>
      <w:r>
        <w:t xml:space="preserve">NIST’s Open Security Controls Assessment Language (OSCAL) defines eight models in three layers: catalog, profile, and control mapping (control layer); system security plan and component definition (implementation layer); and assessment plan, assessment results, and plan of action and milestones (assessment layer).</w:t>
      </w:r>
      <w:r>
        <w:rPr>
          <w:rStyle w:val="FootnoteReference"/>
        </w:rPr>
        <w:footnoteReference w:id="240"/>
      </w:r>
      <w:r>
        <w:t xml:space="preserve"> </w:t>
      </w:r>
      <w:r>
        <w:t xml:space="preserve">The source material listed seven; the control mapping model is the newer addition. Generating these from the configuration, instead of writing them in Word, is what makes the evidence in Appendix A regenerable.</w:t>
      </w:r>
    </w:p>
    <w:bookmarkEnd w:id="242"/>
    <w:bookmarkStart w:id="248" w:name="X213a11a24f141e96fed4a57824cbcc6fa81477b"/>
    <w:p>
      <w:pPr>
        <w:pStyle w:val="Heading2"/>
      </w:pPr>
      <w:bookmarkStart w:id="1396" w:name="_Toc00001396"/>
      <w:r>
        <w:t xml:space="preserve">The eight core concepts of directory migration</w:t>
      </w:r>
      <w:bookmarkEnd w:id="1396"/>
    </w:p>
    <w:p>
      <w:pPr>
        <w:pStyle w:val="FirstParagraph"/>
      </w:pPr>
      <w:r>
        <w:t xml:space="preserve">The Federal Modernization Program frames every migration workstream with eight concepts. They’re the program’s own architecture principles, not external standards, and they apply beyond identity. Directory migration is where most of them are tested first.</w:t>
      </w:r>
    </w:p>
    <w:p>
      <w:pPr>
        <w:pStyle w:val="TableCaption"/>
      </w:pPr>
      <w:r>
        <w:t xml:space="preserve">The eight core concepts</w:t>
      </w:r>
    </w:p>
    <w:tbl>
      <w:tblPr>
        <w:tblStyle w:val="Table"/>
        <w:tblW w:type="pct" w:w="5000"/>
        <w:tblLayout w:type="fixed"/>
        <w:tblLook w:firstRow="1" w:lastRow="0" w:firstColumn="0" w:lastColumn="0" w:noHBand="0" w:noVBand="0" w:val="0020"/>
        <w:tblCaption w:val="The eight core concepts"/>
      </w:tblPr>
      <w:tblGrid>
        <w:gridCol w:w="2640"/>
        <w:gridCol w:w="2640"/>
        <w:gridCol w:w="2640"/>
      </w:tblGrid>
      <w:tr>
        <w:trPr>
          <w:tblHeader w:val="on"/>
        </w:trPr>
        <w:tc>
          <w:tcPr/>
          <w:p>
            <w:pPr>
              <w:pStyle w:val="Compact"/>
            </w:pPr>
            <w:r>
              <w:t xml:space="preserve">#</w:t>
            </w:r>
          </w:p>
        </w:tc>
        <w:tc>
          <w:tcPr/>
          <w:p>
            <w:pPr>
              <w:pStyle w:val="Compact"/>
            </w:pPr>
            <w:r>
              <w:t xml:space="preserve">Core concept</w:t>
            </w:r>
          </w:p>
        </w:tc>
        <w:tc>
          <w:tcPr/>
          <w:p>
            <w:pPr>
              <w:pStyle w:val="Compact"/>
            </w:pPr>
            <w:r>
              <w:t xml:space="preserve">What it means</w:t>
            </w:r>
          </w:p>
        </w:tc>
      </w:tr>
      <w:tr>
        <w:tc>
          <w:tcPr/>
          <w:p>
            <w:pPr>
              <w:pStyle w:val="Compact"/>
            </w:pPr>
            <w:r>
              <w:t xml:space="preserve">1</w:t>
            </w:r>
          </w:p>
        </w:tc>
        <w:tc>
          <w:tcPr/>
          <w:p>
            <w:pPr>
              <w:pStyle w:val="Compact"/>
            </w:pPr>
            <w:r>
              <w:t xml:space="preserve">Single source of truth</w:t>
            </w:r>
          </w:p>
        </w:tc>
        <w:tc>
          <w:tcPr/>
          <w:p>
            <w:pPr>
              <w:pStyle w:val="Compact"/>
            </w:pPr>
            <w:r>
              <w:t xml:space="preserve">Every claim has one authoritative origin. Every other representation is a pointer, not a copy.</w:t>
            </w:r>
          </w:p>
        </w:tc>
      </w:tr>
      <w:tr>
        <w:tc>
          <w:tcPr/>
          <w:p>
            <w:pPr>
              <w:pStyle w:val="Compact"/>
            </w:pPr>
            <w:r>
              <w:t xml:space="preserve">2</w:t>
            </w:r>
          </w:p>
        </w:tc>
        <w:tc>
          <w:tcPr/>
          <w:p>
            <w:pPr>
              <w:pStyle w:val="Compact"/>
            </w:pPr>
            <w:r>
              <w:t xml:space="preserve">Conversation as the atomic unit</w:t>
            </w:r>
          </w:p>
        </w:tc>
        <w:tc>
          <w:tcPr/>
          <w:p>
            <w:pPr>
              <w:pStyle w:val="Compact"/>
            </w:pPr>
            <w:r>
              <w:t xml:space="preserve">Each interaction binds identity, certificates, addressing, path, quality of service, and telemetry together.</w:t>
            </w:r>
          </w:p>
        </w:tc>
      </w:tr>
      <w:tr>
        <w:tc>
          <w:tcPr/>
          <w:p>
            <w:pPr>
              <w:pStyle w:val="Compact"/>
            </w:pPr>
            <w:r>
              <w:t xml:space="preserve">3</w:t>
            </w:r>
          </w:p>
        </w:tc>
        <w:tc>
          <w:tcPr/>
          <w:p>
            <w:pPr>
              <w:pStyle w:val="Compact"/>
            </w:pPr>
            <w:r>
              <w:t xml:space="preserve">Identity as the root namespace</w:t>
            </w:r>
          </w:p>
        </w:tc>
        <w:tc>
          <w:tcPr/>
          <w:p>
            <w:pPr>
              <w:pStyle w:val="Compact"/>
            </w:pPr>
            <w:r>
              <w:t xml:space="preserve">Addresses, certificates, subnets, policies, and telemetry events all derive from identity.</w:t>
            </w:r>
          </w:p>
        </w:tc>
      </w:tr>
      <w:tr>
        <w:tc>
          <w:tcPr/>
          <w:p>
            <w:pPr>
              <w:pStyle w:val="Compact"/>
            </w:pPr>
            <w:r>
              <w:t xml:space="preserve">4</w:t>
            </w:r>
          </w:p>
        </w:tc>
        <w:tc>
          <w:tcPr/>
          <w:p>
            <w:pPr>
              <w:pStyle w:val="Compact"/>
            </w:pPr>
            <w:r>
              <w:t xml:space="preserve">Deterministic addressing</w:t>
            </w:r>
          </w:p>
        </w:tc>
        <w:tc>
          <w:tcPr/>
          <w:p>
            <w:pPr>
              <w:pStyle w:val="Compact"/>
            </w:pPr>
            <w:r>
              <w:t xml:space="preserve">Addressing is derived from identity and driven by policy.</w:t>
            </w:r>
          </w:p>
        </w:tc>
      </w:tr>
      <w:tr>
        <w:tc>
          <w:tcPr/>
          <w:p>
            <w:pPr>
              <w:pStyle w:val="Compact"/>
            </w:pPr>
            <w:r>
              <w:t xml:space="preserve">5</w:t>
            </w:r>
          </w:p>
        </w:tc>
        <w:tc>
          <w:tcPr/>
          <w:p>
            <w:pPr>
              <w:pStyle w:val="Compact"/>
            </w:pPr>
            <w:r>
              <w:t xml:space="preserve">Certificate-anchored overlay</w:t>
            </w:r>
          </w:p>
        </w:tc>
        <w:tc>
          <w:tcPr/>
          <w:p>
            <w:pPr>
              <w:pStyle w:val="Compact"/>
            </w:pPr>
            <w:r>
              <w:t xml:space="preserve">Mutual TLS anchors tunnels, services, and trust relationships.</w:t>
            </w:r>
          </w:p>
        </w:tc>
      </w:tr>
      <w:tr>
        <w:tc>
          <w:tcPr/>
          <w:p>
            <w:pPr>
              <w:pStyle w:val="Compact"/>
            </w:pPr>
            <w:r>
              <w:t xml:space="preserve">6</w:t>
            </w:r>
          </w:p>
        </w:tc>
        <w:tc>
          <w:tcPr/>
          <w:p>
            <w:pPr>
              <w:pStyle w:val="Compact"/>
            </w:pPr>
            <w:r>
              <w:t xml:space="preserve">Telemetry as control</w:t>
            </w:r>
          </w:p>
        </w:tc>
        <w:tc>
          <w:tcPr/>
          <w:p>
            <w:pPr>
              <w:pStyle w:val="Compact"/>
            </w:pPr>
            <w:r>
              <w:t xml:space="preserve">Telemetry is a real-time control input, not passive reporting.</w:t>
            </w:r>
          </w:p>
        </w:tc>
      </w:tr>
      <w:tr>
        <w:tc>
          <w:tcPr/>
          <w:p>
            <w:pPr>
              <w:pStyle w:val="Compact"/>
            </w:pPr>
            <w:r>
              <w:t xml:space="preserve">7</w:t>
            </w:r>
          </w:p>
        </w:tc>
        <w:tc>
          <w:tcPr/>
          <w:p>
            <w:pPr>
              <w:pStyle w:val="Compact"/>
            </w:pPr>
            <w:r>
              <w:t xml:space="preserve">Embedded governance</w:t>
            </w:r>
          </w:p>
        </w:tc>
        <w:tc>
          <w:tcPr/>
          <w:p>
            <w:pPr>
              <w:pStyle w:val="Compact"/>
            </w:pPr>
            <w:r>
              <w:t xml:space="preserve">Governance runs through orchestrated workflows, not manual tickets.</w:t>
            </w:r>
          </w:p>
        </w:tc>
      </w:tr>
      <w:tr>
        <w:tc>
          <w:tcPr/>
          <w:p>
            <w:pPr>
              <w:pStyle w:val="Compact"/>
            </w:pPr>
            <w:r>
              <w:t xml:space="preserve">8</w:t>
            </w:r>
          </w:p>
        </w:tc>
        <w:tc>
          <w:tcPr/>
          <w:p>
            <w:pPr>
              <w:pStyle w:val="Compact"/>
            </w:pPr>
            <w:r>
              <w:t xml:space="preserve">User experience first</w:t>
            </w:r>
          </w:p>
        </w:tc>
        <w:tc>
          <w:tcPr/>
          <w:p>
            <w:pPr>
              <w:pStyle w:val="Compact"/>
            </w:pPr>
            <w:r>
              <w:t xml:space="preserve">If governance was done right, the migration is invisible to end users.</w:t>
            </w:r>
          </w:p>
        </w:tc>
      </w:tr>
    </w:tbl>
    <w:bookmarkStart w:id="247" w:name="Xde727b81dcd9c68a4b7d139084a120fd6c51a5b"/>
    <w:p>
      <w:pPr>
        <w:pStyle w:val="Heading3"/>
      </w:pPr>
      <w:r>
        <w:t xml:space="preserve">How the concepts map to the migration adapters</w:t>
      </w:r>
    </w:p>
    <w:p>
      <w:pPr>
        <w:pStyle w:val="FirstParagraph"/>
      </w:pPr>
      <w:r>
        <w:t xml:space="preserve">The program breaks directory migration into adapters, each one an interface to a service that Active Directory either provides or underpins. Each adapter names the concepts it has to satisfy.</w:t>
      </w:r>
    </w:p>
    <w:p>
      <w:pPr>
        <w:pStyle w:val="TableCaption"/>
      </w:pPr>
      <w:r>
        <w:t xml:space="preserve">Migration adapters and the core concepts they implement</w:t>
      </w:r>
    </w:p>
    <w:tbl>
      <w:tblPr>
        <w:tblStyle w:val="Table"/>
        <w:tblW w:type="pct" w:w="5000"/>
        <w:tblLayout w:type="fixed"/>
        <w:tblLook w:firstRow="1" w:lastRow="0" w:firstColumn="0" w:lastColumn="0" w:noHBand="0" w:noVBand="0" w:val="0020"/>
        <w:tblCaption w:val="Migration adapters and the core concepts they implement"/>
      </w:tblPr>
      <w:tblGrid>
        <w:gridCol w:w="2640"/>
        <w:gridCol w:w="2640"/>
        <w:gridCol w:w="2640"/>
      </w:tblGrid>
      <w:tr>
        <w:trPr>
          <w:tblHeader w:val="on"/>
        </w:trPr>
        <w:tc>
          <w:tcPr/>
          <w:p>
            <w:pPr>
              <w:pStyle w:val="Compact"/>
            </w:pPr>
            <w:r>
              <w:t xml:space="preserve">Adapter</w:t>
            </w:r>
          </w:p>
        </w:tc>
        <w:tc>
          <w:tcPr/>
          <w:p>
            <w:pPr>
              <w:pStyle w:val="Compact"/>
            </w:pPr>
            <w:r>
              <w:t xml:space="preserve">Concepts</w:t>
            </w:r>
          </w:p>
        </w:tc>
        <w:tc>
          <w:tcPr/>
          <w:p>
            <w:pPr>
              <w:pStyle w:val="Compact"/>
            </w:pPr>
            <w:r>
              <w:t xml:space="preserve">Why</w:t>
            </w:r>
          </w:p>
        </w:tc>
      </w:tr>
      <w:tr>
        <w:tc>
          <w:tcPr/>
          <w:p>
            <w:pPr>
              <w:pStyle w:val="Compact"/>
            </w:pPr>
            <w:r>
              <w:t xml:space="preserve">IP address management</w:t>
            </w:r>
          </w:p>
        </w:tc>
        <w:tc>
          <w:tcPr/>
          <w:p>
            <w:pPr>
              <w:pStyle w:val="Compact"/>
            </w:pPr>
            <w:r>
              <w:t xml:space="preserve">1, 4</w:t>
            </w:r>
          </w:p>
        </w:tc>
        <w:tc>
          <w:tcPr/>
          <w:p>
            <w:pPr>
              <w:pStyle w:val="Compact"/>
            </w:pPr>
            <w:r>
              <w:t xml:space="preserve">Addressing records have one master and are derived from identity, not maintained by hand.</w:t>
            </w:r>
          </w:p>
        </w:tc>
      </w:tr>
      <w:tr>
        <w:tc>
          <w:tcPr/>
          <w:p>
            <w:pPr>
              <w:pStyle w:val="Compact"/>
            </w:pPr>
            <w:r>
              <w:t xml:space="preserve">PKI</w:t>
            </w:r>
          </w:p>
        </w:tc>
        <w:tc>
          <w:tcPr/>
          <w:p>
            <w:pPr>
              <w:pStyle w:val="Compact"/>
            </w:pPr>
            <w:r>
              <w:t xml:space="preserve">5</w:t>
            </w:r>
          </w:p>
        </w:tc>
        <w:tc>
          <w:tcPr/>
          <w:p>
            <w:pPr>
              <w:pStyle w:val="Compact"/>
            </w:pPr>
            <w:r>
              <w:t xml:space="preserve">Certificates anchor service and device trust once Kerberos is no longer the trust mechanism.</w:t>
            </w:r>
          </w:p>
        </w:tc>
      </w:tr>
      <w:tr>
        <w:tc>
          <w:tcPr/>
          <w:p>
            <w:pPr>
              <w:pStyle w:val="Compact"/>
            </w:pPr>
            <w:r>
              <w:t xml:space="preserve">RADIUS</w:t>
            </w:r>
          </w:p>
        </w:tc>
        <w:tc>
          <w:tcPr/>
          <w:p>
            <w:pPr>
              <w:pStyle w:val="Compact"/>
            </w:pPr>
            <w:r>
              <w:t xml:space="preserve">3, 5</w:t>
            </w:r>
          </w:p>
        </w:tc>
        <w:tc>
          <w:tcPr/>
          <w:p>
            <w:pPr>
              <w:pStyle w:val="Compact"/>
            </w:pPr>
            <w:r>
              <w:t xml:space="preserve">Network access decisions key off identity and certificates instead of domain group membership.</w:t>
            </w:r>
          </w:p>
        </w:tc>
      </w:tr>
      <w:tr>
        <w:tc>
          <w:tcPr/>
          <w:p>
            <w:pPr>
              <w:pStyle w:val="Compact"/>
            </w:pPr>
            <w:r>
              <w:t xml:space="preserve">LDAP proxy</w:t>
            </w:r>
          </w:p>
        </w:tc>
        <w:tc>
          <w:tcPr/>
          <w:p>
            <w:pPr>
              <w:pStyle w:val="Compact"/>
            </w:pPr>
            <w:r>
              <w:t xml:space="preserve">3</w:t>
            </w:r>
          </w:p>
        </w:tc>
        <w:tc>
          <w:tcPr/>
          <w:p>
            <w:pPr>
              <w:pStyle w:val="Compact"/>
            </w:pPr>
            <w:r>
              <w:t xml:space="preserve">Applications that still bind over LDAP get identity from the authoritative source, not a stale copy.</w:t>
            </w:r>
          </w:p>
        </w:tc>
      </w:tr>
      <w:tr>
        <w:tc>
          <w:tcPr/>
          <w:p>
            <w:pPr>
              <w:pStyle w:val="Compact"/>
            </w:pPr>
            <w:r>
              <w:t xml:space="preserve">Directory synchronization engine</w:t>
            </w:r>
          </w:p>
        </w:tc>
        <w:tc>
          <w:tcPr/>
          <w:p>
            <w:pPr>
              <w:pStyle w:val="Compact"/>
            </w:pPr>
            <w:r>
              <w:t xml:space="preserve">1</w:t>
            </w:r>
          </w:p>
        </w:tc>
        <w:tc>
          <w:tcPr/>
          <w:p>
            <w:pPr>
              <w:pStyle w:val="Compact"/>
            </w:pPr>
            <w:r>
              <w:t xml:space="preserve">Retiring sync is the moment the single source of truth moves to the cloud identity platform.</w:t>
            </w:r>
          </w:p>
        </w:tc>
      </w:tr>
      <w:tr>
        <w:tc>
          <w:tcPr/>
          <w:p>
            <w:pPr>
              <w:pStyle w:val="Compact"/>
            </w:pPr>
            <w:r>
              <w:t xml:space="preserve">Device management</w:t>
            </w:r>
          </w:p>
        </w:tc>
        <w:tc>
          <w:tcPr/>
          <w:p>
            <w:pPr>
              <w:pStyle w:val="Compact"/>
            </w:pPr>
            <w:r>
              <w:t xml:space="preserve">7</w:t>
            </w:r>
          </w:p>
        </w:tc>
        <w:tc>
          <w:tcPr/>
          <w:p>
            <w:pPr>
              <w:pStyle w:val="Compact"/>
            </w:pPr>
            <w:r>
              <w:t xml:space="preserve">Device configuration moves from Group Policy to workflow-driven policy.</w:t>
            </w:r>
          </w:p>
        </w:tc>
      </w:tr>
      <w:tr>
        <w:tc>
          <w:tcPr/>
          <w:p>
            <w:pPr>
              <w:pStyle w:val="Compact"/>
            </w:pPr>
            <w:r>
              <w:t xml:space="preserve">NTP</w:t>
            </w:r>
          </w:p>
        </w:tc>
        <w:tc>
          <w:tcPr/>
          <w:p>
            <w:pPr>
              <w:pStyle w:val="Compact"/>
            </w:pPr>
            <w:r>
              <w:t xml:space="preserve">5</w:t>
            </w:r>
          </w:p>
        </w:tc>
        <w:tc>
          <w:tcPr/>
          <w:p>
            <w:pPr>
              <w:pStyle w:val="Compact"/>
            </w:pPr>
            <w:r>
              <w:t xml:space="preserve">Time remains a dependency while Kerberos is in use: by default, Kerberos tolerates at most five minutes of clock difference.</w:t>
            </w:r>
            <w:r>
              <w:rPr>
                <w:rStyle w:val="FootnoteReference"/>
              </w:rPr>
              <w:footnoteReference w:id="243"/>
            </w:r>
          </w:p>
        </w:tc>
      </w:tr>
      <w:tr>
        <w:tc>
          <w:tcPr/>
          <w:p>
            <w:pPr>
              <w:pStyle w:val="Compact"/>
            </w:pPr>
            <w:r>
              <w:t xml:space="preserve">Distributed File System</w:t>
            </w:r>
          </w:p>
        </w:tc>
        <w:tc>
          <w:tcPr/>
          <w:p>
            <w:pPr>
              <w:pStyle w:val="Compact"/>
            </w:pPr>
            <w:r>
              <w:t xml:space="preserve">8</w:t>
            </w:r>
          </w:p>
        </w:tc>
        <w:tc>
          <w:tcPr/>
          <w:p>
            <w:pPr>
              <w:pStyle w:val="Compact"/>
            </w:pPr>
            <w:r>
              <w:t xml:space="preserve">Users’ path names must not break when the namespace behind them changes.</w:t>
            </w:r>
          </w:p>
        </w:tc>
      </w:tr>
    </w:tbl>
    <w:p>
      <w:pPr>
        <w:pStyle w:val="BodyText"/>
      </w:pPr>
      <w:r>
        <w:t xml:space="preserve">The directory synchronization row is the one most programs get wrong. While Microsoft Entra Connect is synchronizing, Active Directory stays the master for synced users and the sync cycle, every 30 minutes by default, is the floor for how fast a change reaches the cloud.</w:t>
      </w:r>
      <w:r>
        <w:rPr>
          <w:rStyle w:val="FootnoteReference"/>
        </w:rPr>
        <w:footnoteReference w:id="245"/>
      </w:r>
      <w:r>
        <w:t xml:space="preserve"> </w:t>
      </w:r>
      <w:r>
        <w:t xml:space="preserve">Retiring sync is not a cleanup task at the end. It’s the change of authority that concept 1 describes, and it has to be planned as one.</w:t>
      </w:r>
    </w:p>
    <w:bookmarkEnd w:id="247"/>
    <w:bookmarkEnd w:id="248"/>
    <w:bookmarkStart w:id="249" w:name="why-the-shift-matters"/>
    <w:p>
      <w:pPr>
        <w:pStyle w:val="Heading2"/>
      </w:pPr>
      <w:bookmarkStart w:id="1397" w:name="_Toc00001397"/>
      <w:r>
        <w:t xml:space="preserve">Why the shift matters</w:t>
      </w:r>
      <w:bookmarkEnd w:id="1397"/>
    </w:p>
    <w:p>
      <w:pPr>
        <w:pStyle w:val="FirstParagraph"/>
      </w:pPr>
      <w:r>
        <w:t xml:space="preserve">The languages mostly carry over. The protocols, the cryptography, the session unit, and the policy plane don’t. A program that treats the move as swapping one admin tool for another will carry Active Directory’s silent failures into the new estate: NTLM fallback that nobody audited, services that work only because a service principal name happens to be missing, and database logins that authenticate outside the directory entirely. Those dependencies don’t show up in a user count or a group export. They show up when a domain controller is switched off. Chapter 04 lays out where they hide, and Chapter 05 takes on the other concept that doesn’t carry over: delegation through organizational units.</w:t>
      </w:r>
    </w:p>
    <w:bookmarkEnd w:id="249"/>
    <w:bookmarkStart w:id="250" w:name="continue-the-book-2"/>
    <w:p>
      <w:pPr>
        <w:pStyle w:val="Heading2"/>
      </w:pPr>
      <w:bookmarkStart w:id="1398" w:name="_Toc00001398"/>
      <w:r>
        <w:t xml:space="preserve">Continue the book</w:t>
      </w:r>
      <w:bookmarkEnd w:id="1398"/>
    </w:p>
    <w:p>
      <w:pPr>
        <w:pStyle w:val="FirstParagraph"/>
      </w:pPr>
      <w:r>
        <w:t xml:space="preserve">← Previous: Chapter 02 — The Structural Problem · Book index · Next: Chapter 04 — The Hidden Migration Surface →</w:t>
      </w:r>
    </w:p>
    <w:bookmarkEnd w:id="250"/>
    <w:bookmarkEnd w:id="251"/>
    <w:bookmarkStart w:id="343" w:name="chapter-04-the-hidden-migration-surface"/>
    <w:p>
      <w:pPr>
        <w:pStyle w:val="Heading1"/>
      </w:pPr>
      <w:bookmarkStart w:id="1399" w:name="_Toc00001399"/>
      <w:r>
        <w:t xml:space="preserve">Chapter 04 — The Hidden Migration Surface</w:t>
      </w:r>
      <w:bookmarkEnd w:id="1399"/>
    </w:p>
    <w:p>
      <w:pPr>
        <w:pStyle w:val="FirstParagraph"/>
      </w:pPr>
      <w:r>
        <w:rPr>
          <w:i/>
          <w:iCs/>
        </w:rPr>
        <w:t xml:space="preserve">Moving the users is the visible tenth of the work; the rest is every service that quietly trusted the domain.</w:t>
      </w:r>
    </w:p>
    <w:bookmarkStart w:id="252" w:name="in-this-chapter-3"/>
    <w:p>
      <w:pPr>
        <w:pStyle w:val="Heading2"/>
      </w:pPr>
      <w:bookmarkStart w:id="1400" w:name="_Toc00001400"/>
      <w:r>
        <w:t xml:space="preserve">In this chapter</w:t>
      </w:r>
      <w:bookmarkEnd w:id="1400"/>
    </w:p>
    <w:p>
      <w:pPr>
        <w:pStyle w:val="FirstParagraph"/>
      </w:pPr>
      <w:r>
        <w:t xml:space="preserve">The eleven types of object that depend on Active Directory, and why most of them fail without an error when AD goes away. The eight adapter interfaces the Federal Modernization Program uses to move those services off AD, ranked by risk, with what Microsoft’s products do and don’t replace. The six-phase adapter model, how adapters register, how a migration is validated before AD is decommissioned, and the inventory categories that feed the whole effort.</w:t>
      </w:r>
    </w:p>
    <w:bookmarkEnd w:id="252"/>
    <w:p>
      <w:pPr>
        <w:pStyle w:val="BodyText"/>
      </w:pPr>
      <w:r>
        <w:t xml:space="preserve">When an organization plans its move from Active Directory to Microsoft Entra ID, it plans for users and groups. It rarely plans for everything else AD was holding together. For twenty years AD was the implicit governance model for name resolution, certificates, network access, application sign-in, time, and file paths. None of those services were designed as</w:t>
      </w:r>
      <w:r>
        <w:t xml:space="preserve"> </w:t>
      </w:r>
      <w:r>
        <w:t xml:space="preserve">“AD projects”</w:t>
      </w:r>
      <w:r>
        <w:t xml:space="preserve">; they simply assumed a domain controller would always be there.</w:t>
      </w:r>
    </w:p>
    <w:p>
      <w:pPr>
        <w:pStyle w:val="BodyText"/>
      </w:pPr>
      <w:r>
        <w:t xml:space="preserve">When that assumption breaks, most of them don’t fail loudly. There’s no error and no alert. Certificates stop renewing and nobody notices until they expire. RADIUS authentications start failing at the network edge. DNS records go stale. Applications that bind to a domain controller over LDAP stop letting people in. Each of these looks like a local outage with a local cause, and the connection to the identity migration is made late, if at all.</w:t>
      </w:r>
    </w:p>
    <w:bookmarkStart w:id="256" w:name="fig-ch04-dependency-surface"/>
    <w:p>
      <w:pPr>
        <w:pStyle w:val="CaptionedFigure"/>
      </w:pPr>
      <w:r>
        <w:drawing>
          <wp:inline>
            <wp:extent cx="5334000" cy="2545298"/>
            <wp:effectExtent b="0" l="0" r="0" t="0"/>
            <wp:docPr descr="Active Directory anchors eleven types of object; most migration plans count only users and groups." title="" id="254" name="Picture"/>
            <a:graphic>
              <a:graphicData uri="http://schemas.openxmlformats.org/drawingml/2006/picture">
                <pic:pic>
                  <pic:nvPicPr>
                    <pic:cNvPr descr="/home/runner/work/modernization-workbook/modernization-workbook/docs/images/diagrams/b02-identity/png/ch04-dependency-surface.png" id="255" name="Picture"/>
                    <pic:cNvPicPr>
                      <a:picLocks noChangeArrowheads="1" noChangeAspect="1"/>
                    </pic:cNvPicPr>
                  </pic:nvPicPr>
                  <pic:blipFill>
                    <a:blip r:embed="rId253"/>
                    <a:stretch>
                      <a:fillRect/>
                    </a:stretch>
                  </pic:blipFill>
                  <pic:spPr bwMode="auto">
                    <a:xfrm>
                      <a:off x="0" y="0"/>
                      <a:ext cx="5334000" cy="2545298"/>
                    </a:xfrm>
                    <a:prstGeom prst="rect">
                      <a:avLst/>
                    </a:prstGeom>
                    <a:noFill/>
                    <a:ln w="9525">
                      <a:noFill/>
                      <a:headEnd/>
                      <a:tailEnd/>
                    </a:ln>
                  </pic:spPr>
                </pic:pic>
              </a:graphicData>
            </a:graphic>
          </wp:inline>
        </w:drawing>
      </w:r>
    </w:p>
    <w:p>
      <w:pPr>
        <w:pStyle w:val="ImageCaption"/>
      </w:pPr>
      <w:r>
        <w:t xml:space="preserve">Active Directory anchors eleven types of object; most migration plans count only users and groups.</w:t>
      </w:r>
    </w:p>
    <w:bookmarkEnd w:id="256"/>
    <w:bookmarkStart w:id="259" w:name="the-eleven-ad-dependency-object-types"/>
    <w:p>
      <w:pPr>
        <w:pStyle w:val="Heading2"/>
      </w:pPr>
      <w:bookmarkStart w:id="1401" w:name="_Toc00001401"/>
      <w:r>
        <w:t xml:space="preserve">The eleven AD dependency object types</w:t>
      </w:r>
      <w:bookmarkEnd w:id="1401"/>
    </w:p>
    <w:p>
      <w:pPr>
        <w:pStyle w:val="FirstParagraph"/>
      </w:pPr>
      <w:r>
        <w:t xml:space="preserve">The program’s dependency inventory names eleven object types. The first five are what a migration plan usually covers. Types 6 through 11 are the hidden surface.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Object type</w:t>
            </w:r>
          </w:p>
        </w:tc>
        <w:tc>
          <w:tcPr/>
          <w:p>
            <w:pPr>
              <w:pStyle w:val="Compact"/>
            </w:pPr>
            <w:r>
              <w:t xml:space="preserve">What AD was doing</w:t>
            </w:r>
          </w:p>
        </w:tc>
        <w:tc>
          <w:tcPr/>
          <w:p>
            <w:pPr>
              <w:pStyle w:val="Compact"/>
            </w:pPr>
            <w:r>
              <w:t xml:space="preserve">What breaks without governance</w:t>
            </w:r>
          </w:p>
        </w:tc>
      </w:tr>
      <w:tr>
        <w:tc>
          <w:tcPr/>
          <w:p>
            <w:pPr>
              <w:pStyle w:val="Compact"/>
            </w:pPr>
            <w:r>
              <w:t xml:space="preserve">1</w:t>
            </w:r>
          </w:p>
        </w:tc>
        <w:tc>
          <w:tcPr/>
          <w:p>
            <w:pPr>
              <w:pStyle w:val="Compact"/>
            </w:pPr>
            <w:r>
              <w:t xml:space="preserve">Users</w:t>
            </w:r>
          </w:p>
        </w:tc>
        <w:tc>
          <w:tcPr/>
          <w:p>
            <w:pPr>
              <w:pStyle w:val="Compact"/>
            </w:pPr>
            <w:r>
              <w:t xml:space="preserve">Identity lifecycle, OU placement, attribute authority</w:t>
            </w:r>
          </w:p>
        </w:tc>
        <w:tc>
          <w:tcPr/>
          <w:p>
            <w:pPr>
              <w:pStyle w:val="Compact"/>
            </w:pPr>
            <w:r>
              <w:t xml:space="preserve">Orphaned accounts, privilege drift, compliance gaps</w:t>
            </w:r>
          </w:p>
        </w:tc>
      </w:tr>
      <w:tr>
        <w:tc>
          <w:tcPr/>
          <w:p>
            <w:pPr>
              <w:pStyle w:val="Compact"/>
            </w:pPr>
            <w:r>
              <w:t xml:space="preserve">2</w:t>
            </w:r>
          </w:p>
        </w:tc>
        <w:tc>
          <w:tcPr/>
          <w:p>
            <w:pPr>
              <w:pStyle w:val="Compact"/>
            </w:pPr>
            <w:r>
              <w:t xml:space="preserve">Computers</w:t>
            </w:r>
          </w:p>
        </w:tc>
        <w:tc>
          <w:tcPr/>
          <w:p>
            <w:pPr>
              <w:pStyle w:val="Compact"/>
            </w:pPr>
            <w:r>
              <w:t xml:space="preserve">Domain join, Group Policy targeting, machine certificates</w:t>
            </w:r>
          </w:p>
        </w:tc>
        <w:tc>
          <w:tcPr/>
          <w:p>
            <w:pPr>
              <w:pStyle w:val="Compact"/>
            </w:pPr>
            <w:r>
              <w:t xml:space="preserve">Unmanaged endpoints, missed patches, security exposure</w:t>
            </w:r>
          </w:p>
        </w:tc>
      </w:tr>
      <w:tr>
        <w:tc>
          <w:tcPr/>
          <w:p>
            <w:pPr>
              <w:pStyle w:val="Compact"/>
            </w:pPr>
            <w:r>
              <w:t xml:space="preserve">3</w:t>
            </w:r>
          </w:p>
        </w:tc>
        <w:tc>
          <w:tcPr/>
          <w:p>
            <w:pPr>
              <w:pStyle w:val="Compact"/>
            </w:pPr>
            <w:r>
              <w:t xml:space="preserve">Service accounts</w:t>
            </w:r>
          </w:p>
        </w:tc>
        <w:tc>
          <w:tcPr/>
          <w:p>
            <w:pPr>
              <w:pStyle w:val="Compact"/>
            </w:pPr>
            <w:r>
              <w:t xml:space="preserve">Service principal names (SPNs), Kerberos delegation, password management</w:t>
            </w:r>
          </w:p>
        </w:tc>
        <w:tc>
          <w:tcPr/>
          <w:p>
            <w:pPr>
              <w:pStyle w:val="Compact"/>
            </w:pPr>
            <w:r>
              <w:t xml:space="preserve">Application authentication failures, silent service outages</w:t>
            </w:r>
          </w:p>
        </w:tc>
      </w:tr>
      <w:tr>
        <w:tc>
          <w:tcPr/>
          <w:p>
            <w:pPr>
              <w:pStyle w:val="Compact"/>
            </w:pPr>
            <w:r>
              <w:t xml:space="preserve">4</w:t>
            </w:r>
          </w:p>
        </w:tc>
        <w:tc>
          <w:tcPr/>
          <w:p>
            <w:pPr>
              <w:pStyle w:val="Compact"/>
            </w:pPr>
            <w:r>
              <w:t xml:space="preserve">Security groups</w:t>
            </w:r>
          </w:p>
        </w:tc>
        <w:tc>
          <w:tcPr/>
          <w:p>
            <w:pPr>
              <w:pStyle w:val="Compact"/>
            </w:pPr>
            <w:r>
              <w:t xml:space="preserve">Access control, policy scoping, resource permissions</w:t>
            </w:r>
          </w:p>
        </w:tc>
        <w:tc>
          <w:tcPr/>
          <w:p>
            <w:pPr>
              <w:pStyle w:val="Compact"/>
            </w:pPr>
            <w:r>
              <w:t xml:space="preserve">Permission sprawl, ungoverned access, audit findings</w:t>
            </w:r>
          </w:p>
        </w:tc>
      </w:tr>
      <w:tr>
        <w:tc>
          <w:tcPr/>
          <w:p>
            <w:pPr>
              <w:pStyle w:val="Compact"/>
            </w:pPr>
            <w:r>
              <w:t xml:space="preserve">5</w:t>
            </w:r>
          </w:p>
        </w:tc>
        <w:tc>
          <w:tcPr/>
          <w:p>
            <w:pPr>
              <w:pStyle w:val="Compact"/>
            </w:pPr>
            <w:r>
              <w:t xml:space="preserve">Group Policy Objects</w:t>
            </w:r>
          </w:p>
        </w:tc>
        <w:tc>
          <w:tcPr/>
          <w:p>
            <w:pPr>
              <w:pStyle w:val="Compact"/>
            </w:pPr>
            <w:r>
              <w:t xml:space="preserve">Device configuration, security baselines, software deployment</w:t>
            </w:r>
          </w:p>
        </w:tc>
        <w:tc>
          <w:tcPr/>
          <w:p>
            <w:pPr>
              <w:pStyle w:val="Compact"/>
            </w:pPr>
            <w:r>
              <w:t xml:space="preserve">Configuration drift, inconsistent baselines</w:t>
            </w:r>
          </w:p>
        </w:tc>
      </w:tr>
      <w:tr>
        <w:tc>
          <w:tcPr/>
          <w:p>
            <w:pPr>
              <w:pStyle w:val="Compact"/>
            </w:pPr>
            <w:r>
              <w:t xml:space="preserve">6</w:t>
            </w:r>
          </w:p>
        </w:tc>
        <w:tc>
          <w:tcPr/>
          <w:p>
            <w:pPr>
              <w:pStyle w:val="Compact"/>
            </w:pPr>
            <w:r>
              <w:t xml:space="preserve">DNS and DHCP</w:t>
            </w:r>
          </w:p>
        </w:tc>
        <w:tc>
          <w:tcPr/>
          <w:p>
            <w:pPr>
              <w:pStyle w:val="Compact"/>
            </w:pPr>
            <w:r>
              <w:t xml:space="preserve">Name resolution, IP allocation, AD-integrated zones</w:t>
            </w:r>
          </w:p>
        </w:tc>
        <w:tc>
          <w:tcPr/>
          <w:p>
            <w:pPr>
              <w:pStyle w:val="Compact"/>
            </w:pPr>
            <w:r>
              <w:t xml:space="preserve">Resolution failures, IP conflicts, split-brain DNS</w:t>
            </w:r>
          </w:p>
        </w:tc>
      </w:tr>
      <w:tr>
        <w:tc>
          <w:tcPr/>
          <w:p>
            <w:pPr>
              <w:pStyle w:val="Compact"/>
            </w:pPr>
            <w:r>
              <w:t xml:space="preserve">7</w:t>
            </w:r>
          </w:p>
        </w:tc>
        <w:tc>
          <w:tcPr/>
          <w:p>
            <w:pPr>
              <w:pStyle w:val="Compact"/>
            </w:pPr>
            <w:r>
              <w:t xml:space="preserve">PKI and certificate services</w:t>
            </w:r>
          </w:p>
        </w:tc>
        <w:tc>
          <w:tcPr/>
          <w:p>
            <w:pPr>
              <w:pStyle w:val="Compact"/>
            </w:pPr>
            <w:r>
              <w:t xml:space="preserve">Certificate issuance, auto-enrollment, CRL distribution</w:t>
            </w:r>
          </w:p>
        </w:tc>
        <w:tc>
          <w:tcPr/>
          <w:p>
            <w:pPr>
              <w:pStyle w:val="Compact"/>
            </w:pPr>
            <w:r>
              <w:t xml:space="preserve">Silent certificate expiration, authentication failures, broken mutual TLS</w:t>
            </w:r>
          </w:p>
        </w:tc>
      </w:tr>
      <w:tr>
        <w:tc>
          <w:tcPr/>
          <w:p>
            <w:pPr>
              <w:pStyle w:val="Compact"/>
            </w:pPr>
            <w:r>
              <w:t xml:space="preserve">8</w:t>
            </w:r>
          </w:p>
        </w:tc>
        <w:tc>
          <w:tcPr/>
          <w:p>
            <w:pPr>
              <w:pStyle w:val="Compact"/>
            </w:pPr>
            <w:r>
              <w:t xml:space="preserve">RADIUS and NPS</w:t>
            </w:r>
          </w:p>
        </w:tc>
        <w:tc>
          <w:tcPr/>
          <w:p>
            <w:pPr>
              <w:pStyle w:val="Compact"/>
            </w:pPr>
            <w:r>
              <w:t xml:space="preserve">802.1X wired and wireless access, VPN authentication</w:t>
            </w:r>
          </w:p>
        </w:tc>
        <w:tc>
          <w:tcPr/>
          <w:p>
            <w:pPr>
              <w:pStyle w:val="Compact"/>
            </w:pPr>
            <w:r>
              <w:t xml:space="preserve">Network access failures, VPN outages</w:t>
            </w:r>
          </w:p>
        </w:tc>
      </w:tr>
      <w:tr>
        <w:tc>
          <w:tcPr/>
          <w:p>
            <w:pPr>
              <w:pStyle w:val="Compact"/>
            </w:pPr>
            <w:r>
              <w:t xml:space="preserve">9</w:t>
            </w:r>
          </w:p>
        </w:tc>
        <w:tc>
          <w:tcPr/>
          <w:p>
            <w:pPr>
              <w:pStyle w:val="Compact"/>
            </w:pPr>
            <w:r>
              <w:t xml:space="preserve">LDAP</w:t>
            </w:r>
          </w:p>
        </w:tc>
        <w:tc>
          <w:tcPr/>
          <w:p>
            <w:pPr>
              <w:pStyle w:val="Compact"/>
            </w:pPr>
            <w:r>
              <w:t xml:space="preserve">Application authentication, directory queries, legacy integrations</w:t>
            </w:r>
          </w:p>
        </w:tc>
        <w:tc>
          <w:tcPr/>
          <w:p>
            <w:pPr>
              <w:pStyle w:val="Compact"/>
            </w:pPr>
            <w:r>
              <w:t xml:space="preserve">Application sign-in failures, broken integrations</w:t>
            </w:r>
          </w:p>
        </w:tc>
      </w:tr>
      <w:tr>
        <w:tc>
          <w:tcPr/>
          <w:p>
            <w:pPr>
              <w:pStyle w:val="Compact"/>
            </w:pPr>
            <w:r>
              <w:t xml:space="preserve">10</w:t>
            </w:r>
          </w:p>
        </w:tc>
        <w:tc>
          <w:tcPr/>
          <w:p>
            <w:pPr>
              <w:pStyle w:val="Compact"/>
            </w:pPr>
            <w:r>
              <w:t xml:space="preserve">SPNs and service identities</w:t>
            </w:r>
          </w:p>
        </w:tc>
        <w:tc>
          <w:tcPr/>
          <w:p>
            <w:pPr>
              <w:pStyle w:val="Compact"/>
            </w:pPr>
            <w:r>
              <w:t xml:space="preserve">Kerberos service principal names, application identity</w:t>
            </w:r>
          </w:p>
        </w:tc>
        <w:tc>
          <w:tcPr/>
          <w:p>
            <w:pPr>
              <w:pStyle w:val="Compact"/>
            </w:pPr>
            <w:r>
              <w:t xml:space="preserve">Single sign-on breaks, delegation failures</w:t>
            </w:r>
          </w:p>
        </w:tc>
      </w:tr>
      <w:tr>
        <w:tc>
          <w:tcPr/>
          <w:p>
            <w:pPr>
              <w:pStyle w:val="Compact"/>
            </w:pPr>
            <w:r>
              <w:t xml:space="preserve">11</w:t>
            </w:r>
          </w:p>
        </w:tc>
        <w:tc>
          <w:tcPr/>
          <w:p>
            <w:pPr>
              <w:pStyle w:val="Compact"/>
            </w:pPr>
            <w:r>
              <w:t xml:space="preserve">Trust relationships</w:t>
            </w:r>
          </w:p>
        </w:tc>
        <w:tc>
          <w:tcPr/>
          <w:p>
            <w:pPr>
              <w:pStyle w:val="Compact"/>
            </w:pPr>
            <w:r>
              <w:t xml:space="preserve">Cross-domain and forest trusts, selective authentication</w:t>
            </w:r>
          </w:p>
        </w:tc>
        <w:tc>
          <w:tcPr/>
          <w:p>
            <w:pPr>
              <w:pStyle w:val="Compact"/>
            </w:pPr>
            <w:r>
              <w:t xml:space="preserve">Cross-domain access failures between organizations</w:t>
            </w:r>
          </w:p>
        </w:tc>
      </w:tr>
    </w:tbl>
    <w:p>
      <w:pPr>
        <w:pStyle w:val="BodyText"/>
      </w:pPr>
      <w:r>
        <w:t xml:space="preserve">Types 10 and 11 have no direct counterpart in Entra ID. An Entra ID tenant has app registrations and service principals rather than Kerberos SPNs, and it has cross-tenant access settings and cross-tenant synchronization rather than forest trusts: cross-tenant synchronization creates and removes B2B collaboration users across the tenants of one organization.</w:t>
      </w:r>
      <w:r>
        <w:rPr>
          <w:rStyle w:val="FootnoteReference"/>
        </w:rPr>
        <w:footnoteReference w:id="257"/>
      </w:r>
      <w:r>
        <w:t xml:space="preserve"> </w:t>
      </w:r>
      <w:r>
        <w:t xml:space="preserve">Neither is a drop-in replacement; each needs its own design, which is why the program lists both as adapter gaps (see</w:t>
      </w:r>
      <w:r>
        <w:t xml:space="preserve"> </w:t>
      </w:r>
      <w:hyperlink w:anchor="the-adapter-priority-matrix">
        <w:r>
          <w:rPr>
            <w:rStyle w:val="Hyperlink"/>
          </w:rPr>
          <w:t xml:space="preserve">the adapter priority matrix</w:t>
        </w:r>
      </w:hyperlink>
      <w:r>
        <w:t xml:space="preserve">).</w:t>
      </w:r>
    </w:p>
    <w:bookmarkEnd w:id="259"/>
    <w:bookmarkStart w:id="261" w:name="the-adapter-interface"/>
    <w:p>
      <w:pPr>
        <w:pStyle w:val="Heading2"/>
      </w:pPr>
      <w:bookmarkStart w:id="1402" w:name="_Toc00001402"/>
      <w:r>
        <w:t xml:space="preserve">The adapter interface</w:t>
      </w:r>
      <w:bookmarkEnd w:id="1402"/>
    </w:p>
    <w:p>
      <w:pPr>
        <w:pStyle w:val="FirstParagraph"/>
      </w:pPr>
      <w:r>
        <w:t xml:space="preserve">Each AD-dependent service gets a dedicated adapter: an interface that defines how that service is governed while it moves off AD. Vendor implementations plug in underneath the interface. Every adapter has the same six parts:</w:t>
      </w:r>
    </w:p>
    <w:p>
      <w:pPr>
        <w:pStyle w:val="Compact"/>
        <w:numPr>
          <w:ilvl w:val="0"/>
          <w:numId w:val="1012"/>
        </w:numPr>
      </w:pPr>
      <w:r>
        <w:rPr>
          <w:b/>
          <w:bCs/>
        </w:rPr>
        <w:t xml:space="preserve">Discovery</w:t>
      </w:r>
      <w:r>
        <w:t xml:space="preserve">: what to inventory and how to find it in AD.</w:t>
      </w:r>
    </w:p>
    <w:p>
      <w:pPr>
        <w:pStyle w:val="Compact"/>
        <w:numPr>
          <w:ilvl w:val="0"/>
          <w:numId w:val="1012"/>
        </w:numPr>
      </w:pPr>
      <w:r>
        <w:rPr>
          <w:b/>
          <w:bCs/>
        </w:rPr>
        <w:t xml:space="preserve">Risk assessment</w:t>
      </w:r>
      <w:r>
        <w:t xml:space="preserve">: what fails if the service is migrated badly.</w:t>
      </w:r>
    </w:p>
    <w:p>
      <w:pPr>
        <w:pStyle w:val="Compact"/>
        <w:numPr>
          <w:ilvl w:val="0"/>
          <w:numId w:val="1012"/>
        </w:numPr>
      </w:pPr>
      <w:r>
        <w:rPr>
          <w:b/>
          <w:bCs/>
        </w:rPr>
        <w:t xml:space="preserve">Target architecture</w:t>
      </w:r>
      <w:r>
        <w:t xml:space="preserve">: the modern equivalent and how governance works there.</w:t>
      </w:r>
    </w:p>
    <w:p>
      <w:pPr>
        <w:pStyle w:val="Compact"/>
        <w:numPr>
          <w:ilvl w:val="0"/>
          <w:numId w:val="1012"/>
        </w:numPr>
      </w:pPr>
      <w:r>
        <w:rPr>
          <w:b/>
          <w:bCs/>
        </w:rPr>
        <w:t xml:space="preserve">Migration path</w:t>
      </w:r>
      <w:r>
        <w:t xml:space="preserve">: the step-by-step governed migration.</w:t>
      </w:r>
    </w:p>
    <w:p>
      <w:pPr>
        <w:pStyle w:val="Compact"/>
        <w:numPr>
          <w:ilvl w:val="0"/>
          <w:numId w:val="1012"/>
        </w:numPr>
      </w:pPr>
      <w:r>
        <w:rPr>
          <w:b/>
          <w:bCs/>
        </w:rPr>
        <w:t xml:space="preserve">Validation</w:t>
      </w:r>
      <w:r>
        <w:t xml:space="preserve">: how to confirm governance survived the move.</w:t>
      </w:r>
    </w:p>
    <w:p>
      <w:pPr>
        <w:pStyle w:val="Compact"/>
        <w:numPr>
          <w:ilvl w:val="0"/>
          <w:numId w:val="1012"/>
        </w:numPr>
      </w:pPr>
      <w:r>
        <w:rPr>
          <w:b/>
          <w:bCs/>
        </w:rPr>
        <w:t xml:space="preserve">Rollback</w:t>
      </w:r>
      <w:r>
        <w:t xml:space="preserve">: what to do if the migration causes failures.</w:t>
      </w:r>
    </w:p>
    <w:bookmarkStart w:id="260" w:name="the-core-concepts-behind-every-adapter"/>
    <w:p>
      <w:pPr>
        <w:pStyle w:val="Heading3"/>
      </w:pPr>
      <w:r>
        <w:t xml:space="preserve">The core concepts behind every adapter</w:t>
      </w:r>
    </w:p>
    <w:p>
      <w:pPr>
        <w:pStyle w:val="FirstParagraph"/>
      </w:pPr>
      <w:r>
        <w:t xml:space="preserve">The adapters rest on eight architectural concepts the Federal Modernization Program applies everywhere. They’re design positions, not product facts, and they explain why the adapters are ordered as they are.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Core concept</w:t>
            </w:r>
          </w:p>
        </w:tc>
        <w:tc>
          <w:tcPr/>
          <w:p>
            <w:pPr>
              <w:pStyle w:val="Compact"/>
            </w:pPr>
            <w:r>
              <w:t xml:space="preserve">Definition</w:t>
            </w:r>
          </w:p>
        </w:tc>
        <w:tc>
          <w:tcPr/>
          <w:p>
            <w:pPr>
              <w:pStyle w:val="Compact"/>
            </w:pPr>
            <w:r>
              <w:t xml:space="preserve">Adapter relevance</w:t>
            </w:r>
          </w:p>
        </w:tc>
      </w:tr>
      <w:tr>
        <w:tc>
          <w:tcPr/>
          <w:p>
            <w:pPr>
              <w:pStyle w:val="Compact"/>
            </w:pPr>
            <w:r>
              <w:t xml:space="preserve">Single source of truth</w:t>
            </w:r>
          </w:p>
        </w:tc>
        <w:tc>
          <w:tcPr/>
          <w:p>
            <w:pPr>
              <w:pStyle w:val="Compact"/>
            </w:pPr>
            <w:r>
              <w:t xml:space="preserve">Every claim has one authoritative origin</w:t>
            </w:r>
          </w:p>
        </w:tc>
        <w:tc>
          <w:tcPr/>
          <w:p>
            <w:pPr>
              <w:pStyle w:val="Compact"/>
            </w:pPr>
            <w:r>
              <w:t xml:space="preserve">Each adapter names its source of truth for governance decisions</w:t>
            </w:r>
          </w:p>
        </w:tc>
      </w:tr>
      <w:tr>
        <w:tc>
          <w:tcPr/>
          <w:p>
            <w:pPr>
              <w:pStyle w:val="Compact"/>
            </w:pPr>
            <w:r>
              <w:t xml:space="preserve">Conversation as atomic unit</w:t>
            </w:r>
          </w:p>
        </w:tc>
        <w:tc>
          <w:tcPr/>
          <w:p>
            <w:pPr>
              <w:pStyle w:val="Compact"/>
            </w:pPr>
            <w:r>
              <w:t xml:space="preserve">Every interaction binds identity, certificates, addressing, path, QoS, and telemetry</w:t>
            </w:r>
          </w:p>
        </w:tc>
        <w:tc>
          <w:tcPr/>
          <w:p>
            <w:pPr>
              <w:pStyle w:val="Compact"/>
            </w:pPr>
            <w:r>
              <w:t xml:space="preserve">A migration must keep every conversation intact end to end</w:t>
            </w:r>
          </w:p>
        </w:tc>
      </w:tr>
      <w:tr>
        <w:tc>
          <w:tcPr/>
          <w:p>
            <w:pPr>
              <w:pStyle w:val="Compact"/>
            </w:pPr>
            <w:r>
              <w:t xml:space="preserve">Identity as root namespace</w:t>
            </w:r>
          </w:p>
        </w:tc>
        <w:tc>
          <w:tcPr/>
          <w:p>
            <w:pPr>
              <w:pStyle w:val="Compact"/>
            </w:pPr>
            <w:r>
              <w:t xml:space="preserve">IPs, certificates, subnets, policy, and telemetry all derive from identity</w:t>
            </w:r>
          </w:p>
        </w:tc>
        <w:tc>
          <w:tcPr/>
          <w:p>
            <w:pPr>
              <w:pStyle w:val="Compact"/>
            </w:pPr>
            <w:r>
              <w:t xml:space="preserve">All adapter governance traces back to identity authority</w:t>
            </w:r>
          </w:p>
        </w:tc>
      </w:tr>
      <w:tr>
        <w:tc>
          <w:tcPr/>
          <w:p>
            <w:pPr>
              <w:pStyle w:val="Compact"/>
            </w:pPr>
            <w:r>
              <w:t xml:space="preserve">Deterministic addressing</w:t>
            </w:r>
          </w:p>
        </w:tc>
        <w:tc>
          <w:tcPr/>
          <w:p>
            <w:pPr>
              <w:pStyle w:val="Compact"/>
            </w:pPr>
            <w:r>
              <w:t xml:space="preserve">Addressing is identity-derived and policy-driven</w:t>
            </w:r>
          </w:p>
        </w:tc>
        <w:tc>
          <w:tcPr/>
          <w:p>
            <w:pPr>
              <w:pStyle w:val="Compact"/>
            </w:pPr>
            <w:r>
              <w:t xml:space="preserve">The IPAM and DNS adapters enforce deterministic assignment</w:t>
            </w:r>
          </w:p>
        </w:tc>
      </w:tr>
      <w:tr>
        <w:tc>
          <w:tcPr/>
          <w:p>
            <w:pPr>
              <w:pStyle w:val="Compact"/>
            </w:pPr>
            <w:r>
              <w:t xml:space="preserve">Certificate-anchored overlay</w:t>
            </w:r>
          </w:p>
        </w:tc>
        <w:tc>
          <w:tcPr/>
          <w:p>
            <w:pPr>
              <w:pStyle w:val="Compact"/>
            </w:pPr>
            <w:r>
              <w:t xml:space="preserve">Mutual TLS anchors tunnels, services, and trust</w:t>
            </w:r>
          </w:p>
        </w:tc>
        <w:tc>
          <w:tcPr/>
          <w:p>
            <w:pPr>
              <w:pStyle w:val="Compact"/>
            </w:pPr>
            <w:r>
              <w:t xml:space="preserve">The PKI adapter is the foundation; others depend on it</w:t>
            </w:r>
          </w:p>
        </w:tc>
      </w:tr>
      <w:tr>
        <w:tc>
          <w:tcPr/>
          <w:p>
            <w:pPr>
              <w:pStyle w:val="Compact"/>
            </w:pPr>
            <w:r>
              <w:t xml:space="preserve">Telemetry as control</w:t>
            </w:r>
          </w:p>
        </w:tc>
        <w:tc>
          <w:tcPr/>
          <w:p>
            <w:pPr>
              <w:pStyle w:val="Compact"/>
            </w:pPr>
            <w:r>
              <w:t xml:space="preserve">Telemetry is a real-time control input, not passive reporting</w:t>
            </w:r>
          </w:p>
        </w:tc>
        <w:tc>
          <w:tcPr/>
          <w:p>
            <w:pPr>
              <w:pStyle w:val="Compact"/>
            </w:pPr>
            <w:r>
              <w:t xml:space="preserve">Every adapter emits governance telemetry for drift detection</w:t>
            </w:r>
          </w:p>
        </w:tc>
      </w:tr>
      <w:tr>
        <w:tc>
          <w:tcPr/>
          <w:p>
            <w:pPr>
              <w:pStyle w:val="Compact"/>
            </w:pPr>
            <w:r>
              <w:t xml:space="preserve">Embedded governance</w:t>
            </w:r>
          </w:p>
        </w:tc>
        <w:tc>
          <w:tcPr/>
          <w:p>
            <w:pPr>
              <w:pStyle w:val="Compact"/>
            </w:pPr>
            <w:r>
              <w:t xml:space="preserve">Governance runs through orchestrated workflows, not manual tickets</w:t>
            </w:r>
          </w:p>
        </w:tc>
        <w:tc>
          <w:tcPr/>
          <w:p>
            <w:pPr>
              <w:pStyle w:val="Compact"/>
            </w:pPr>
            <w:r>
              <w:t xml:space="preserve">Each migration is a governed workflow, not an ad hoc project</w:t>
            </w:r>
          </w:p>
        </w:tc>
      </w:tr>
      <w:tr>
        <w:tc>
          <w:tcPr/>
          <w:p>
            <w:pPr>
              <w:pStyle w:val="Compact"/>
            </w:pPr>
            <w:r>
              <w:t xml:space="preserve">User experience first</w:t>
            </w:r>
          </w:p>
        </w:tc>
        <w:tc>
          <w:tcPr/>
          <w:p>
            <w:pPr>
              <w:pStyle w:val="Compact"/>
            </w:pPr>
            <w:r>
              <w:t xml:space="preserve">If governance was done right, users notice nothing</w:t>
            </w:r>
          </w:p>
        </w:tc>
        <w:tc>
          <w:tcPr/>
          <w:p>
            <w:pPr>
              <w:pStyle w:val="Compact"/>
            </w:pPr>
            <w:r>
              <w:t xml:space="preserve">The final validation: users don’t notice the move</w:t>
            </w:r>
          </w:p>
        </w:tc>
      </w:tr>
    </w:tbl>
    <w:bookmarkEnd w:id="260"/>
    <w:bookmarkEnd w:id="261"/>
    <w:bookmarkStart w:id="267" w:name="the-adapter-priority-matrix"/>
    <w:p>
      <w:pPr>
        <w:pStyle w:val="Heading2"/>
      </w:pPr>
      <w:bookmarkStart w:id="1403" w:name="_Toc00001403"/>
      <w:r>
        <w:t xml:space="preserve">The adapter priority matrix</w:t>
      </w:r>
      <w:bookmarkEnd w:id="1403"/>
    </w:p>
    <w:p>
      <w:pPr>
        <w:pStyle w:val="FirstParagraph"/>
      </w:pPr>
      <w:r>
        <w:t xml:space="preserve">The program ranks the eight adapters by the cost of getting them wrong.</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ID</w:t>
            </w:r>
          </w:p>
        </w:tc>
        <w:tc>
          <w:tcPr/>
          <w:p>
            <w:pPr>
              <w:pStyle w:val="Compact"/>
            </w:pPr>
            <w:r>
              <w:t xml:space="preserve">Adapter</w:t>
            </w:r>
          </w:p>
        </w:tc>
        <w:tc>
          <w:tcPr/>
          <w:p>
            <w:pPr>
              <w:pStyle w:val="Compact"/>
            </w:pPr>
            <w:r>
              <w:t xml:space="preserve">Priority</w:t>
            </w:r>
          </w:p>
        </w:tc>
        <w:tc>
          <w:tcPr/>
          <w:p>
            <w:pPr>
              <w:pStyle w:val="Compact"/>
            </w:pPr>
            <w:r>
              <w:t xml:space="preserve">Risk if ignored</w:t>
            </w:r>
          </w:p>
        </w:tc>
      </w:tr>
      <w:tr>
        <w:tc>
          <w:tcPr/>
          <w:p>
            <w:pPr>
              <w:pStyle w:val="Compact"/>
            </w:pPr>
            <w:r>
              <w:t xml:space="preserve">DM_020</w:t>
            </w:r>
          </w:p>
        </w:tc>
        <w:tc>
          <w:tcPr/>
          <w:p>
            <w:pPr>
              <w:pStyle w:val="Compact"/>
            </w:pPr>
            <w:r>
              <w:t xml:space="preserve">PKI and certificate services</w:t>
            </w:r>
          </w:p>
        </w:tc>
        <w:tc>
          <w:tcPr/>
          <w:p>
            <w:pPr>
              <w:pStyle w:val="Compact"/>
            </w:pPr>
            <w:r>
              <w:rPr>
                <w:b/>
                <w:bCs/>
              </w:rPr>
              <w:t xml:space="preserve">Critical</w:t>
            </w:r>
          </w:p>
        </w:tc>
        <w:tc>
          <w:tcPr/>
          <w:p>
            <w:pPr>
              <w:pStyle w:val="Compact"/>
            </w:pPr>
            <w:r>
              <w:t xml:space="preserve">Silent authentication failure weeks after the migration is declared complete</w:t>
            </w:r>
          </w:p>
        </w:tc>
      </w:tr>
      <w:tr>
        <w:tc>
          <w:tcPr/>
          <w:p>
            <w:pPr>
              <w:pStyle w:val="Compact"/>
            </w:pPr>
            <w:r>
              <w:t xml:space="preserve">DM_030</w:t>
            </w:r>
          </w:p>
        </w:tc>
        <w:tc>
          <w:tcPr/>
          <w:p>
            <w:pPr>
              <w:pStyle w:val="Compact"/>
            </w:pPr>
            <w:r>
              <w:t xml:space="preserve">RADIUS, 802.1X, and VPN</w:t>
            </w:r>
          </w:p>
        </w:tc>
        <w:tc>
          <w:tcPr/>
          <w:p>
            <w:pPr>
              <w:pStyle w:val="Compact"/>
            </w:pPr>
            <w:r>
              <w:rPr>
                <w:b/>
                <w:bCs/>
              </w:rPr>
              <w:t xml:space="preserve">Critical</w:t>
            </w:r>
          </w:p>
        </w:tc>
        <w:tc>
          <w:tcPr/>
          <w:p>
            <w:pPr>
              <w:pStyle w:val="Compact"/>
            </w:pPr>
            <w:r>
              <w:t xml:space="preserve">Total network access failure, not a degraded experience</w:t>
            </w:r>
          </w:p>
        </w:tc>
      </w:tr>
      <w:tr>
        <w:tc>
          <w:tcPr/>
          <w:p>
            <w:pPr>
              <w:pStyle w:val="Compact"/>
            </w:pPr>
            <w:r>
              <w:t xml:space="preserve">DM_040</w:t>
            </w:r>
          </w:p>
        </w:tc>
        <w:tc>
          <w:tcPr/>
          <w:p>
            <w:pPr>
              <w:pStyle w:val="Compact"/>
            </w:pPr>
            <w:r>
              <w:t xml:space="preserve">LDAP proxy</w:t>
            </w:r>
          </w:p>
        </w:tc>
        <w:tc>
          <w:tcPr/>
          <w:p>
            <w:pPr>
              <w:pStyle w:val="Compact"/>
            </w:pPr>
            <w:r>
              <w:rPr>
                <w:b/>
                <w:bCs/>
              </w:rPr>
              <w:t xml:space="preserve">Critical</w:t>
            </w:r>
          </w:p>
        </w:tc>
        <w:tc>
          <w:tcPr/>
          <w:p>
            <w:pPr>
              <w:pStyle w:val="Compact"/>
            </w:pPr>
            <w:r>
              <w:t xml:space="preserve">Silent application sign-in failure across the largest uninventoried surface</w:t>
            </w:r>
          </w:p>
        </w:tc>
      </w:tr>
      <w:tr>
        <w:tc>
          <w:tcPr/>
          <w:p>
            <w:pPr>
              <w:pStyle w:val="Compact"/>
            </w:pPr>
            <w:r>
              <w:t xml:space="preserve">DM_010</w:t>
            </w:r>
          </w:p>
        </w:tc>
        <w:tc>
          <w:tcPr/>
          <w:p>
            <w:pPr>
              <w:pStyle w:val="Compact"/>
            </w:pPr>
            <w:r>
              <w:t xml:space="preserve">IPAM (DNS, DHCP, IP management)</w:t>
            </w:r>
          </w:p>
        </w:tc>
        <w:tc>
          <w:tcPr/>
          <w:p>
            <w:pPr>
              <w:pStyle w:val="Compact"/>
            </w:pPr>
            <w:r>
              <w:t xml:space="preserve">High</w:t>
            </w:r>
          </w:p>
        </w:tc>
        <w:tc>
          <w:tcPr/>
          <w:p>
            <w:pPr>
              <w:pStyle w:val="Compact"/>
            </w:pPr>
            <w:r>
              <w:t xml:space="preserve">DNS resolution failure, rogue DHCP</w:t>
            </w:r>
          </w:p>
        </w:tc>
      </w:tr>
      <w:tr>
        <w:tc>
          <w:tcPr/>
          <w:p>
            <w:pPr>
              <w:pStyle w:val="Compact"/>
            </w:pPr>
            <w:r>
              <w:t xml:space="preserve">DM_050</w:t>
            </w:r>
          </w:p>
        </w:tc>
        <w:tc>
          <w:tcPr/>
          <w:p>
            <w:pPr>
              <w:pStyle w:val="Compact"/>
            </w:pPr>
            <w:r>
              <w:t xml:space="preserve">Sync engine (Microsoft Entra Connect)</w:t>
            </w:r>
          </w:p>
        </w:tc>
        <w:tc>
          <w:tcPr/>
          <w:p>
            <w:pPr>
              <w:pStyle w:val="Compact"/>
            </w:pPr>
            <w:r>
              <w:t xml:space="preserve">High</w:t>
            </w:r>
          </w:p>
        </w:tc>
        <w:tc>
          <w:tcPr/>
          <w:p>
            <w:pPr>
              <w:pStyle w:val="Compact"/>
            </w:pPr>
            <w:r>
              <w:t xml:space="preserve">Permanent AD dependency</w:t>
            </w:r>
          </w:p>
        </w:tc>
      </w:tr>
      <w:tr>
        <w:tc>
          <w:tcPr/>
          <w:p>
            <w:pPr>
              <w:pStyle w:val="Compact"/>
            </w:pPr>
            <w:r>
              <w:t xml:space="preserve">DM_060</w:t>
            </w:r>
          </w:p>
        </w:tc>
        <w:tc>
          <w:tcPr/>
          <w:p>
            <w:pPr>
              <w:pStyle w:val="Compact"/>
            </w:pPr>
            <w:r>
              <w:t xml:space="preserve">Device management</w:t>
            </w:r>
          </w:p>
        </w:tc>
        <w:tc>
          <w:tcPr/>
          <w:p>
            <w:pPr>
              <w:pStyle w:val="Compact"/>
            </w:pPr>
            <w:r>
              <w:t xml:space="preserve">High</w:t>
            </w:r>
          </w:p>
        </w:tc>
        <w:tc>
          <w:tcPr/>
          <w:p>
            <w:pPr>
              <w:pStyle w:val="Compact"/>
            </w:pPr>
            <w:r>
              <w:t xml:space="preserve">Non-deterministic policy application</w:t>
            </w:r>
          </w:p>
        </w:tc>
      </w:tr>
      <w:tr>
        <w:tc>
          <w:tcPr/>
          <w:p>
            <w:pPr>
              <w:pStyle w:val="Compact"/>
            </w:pPr>
            <w:r>
              <w:t xml:space="preserve">DM_070</w:t>
            </w:r>
          </w:p>
        </w:tc>
        <w:tc>
          <w:tcPr/>
          <w:p>
            <w:pPr>
              <w:pStyle w:val="Compact"/>
            </w:pPr>
            <w:r>
              <w:t xml:space="preserve">NTP and time services</w:t>
            </w:r>
          </w:p>
        </w:tc>
        <w:tc>
          <w:tcPr/>
          <w:p>
            <w:pPr>
              <w:pStyle w:val="Compact"/>
            </w:pPr>
            <w:r>
              <w:t xml:space="preserve">Medium</w:t>
            </w:r>
          </w:p>
        </w:tc>
        <w:tc>
          <w:tcPr/>
          <w:p>
            <w:pPr>
              <w:pStyle w:val="Compact"/>
            </w:pPr>
            <w:r>
              <w:t xml:space="preserve">Kerberos clock-skew failures that look like identity problems</w:t>
            </w:r>
          </w:p>
        </w:tc>
      </w:tr>
      <w:tr>
        <w:tc>
          <w:tcPr/>
          <w:p>
            <w:pPr>
              <w:pStyle w:val="Compact"/>
            </w:pPr>
            <w:r>
              <w:t xml:space="preserve">DM_080</w:t>
            </w:r>
          </w:p>
        </w:tc>
        <w:tc>
          <w:tcPr/>
          <w:p>
            <w:pPr>
              <w:pStyle w:val="Compact"/>
            </w:pPr>
            <w:r>
              <w:t xml:space="preserve">DFS and file services</w:t>
            </w:r>
          </w:p>
        </w:tc>
        <w:tc>
          <w:tcPr/>
          <w:p>
            <w:pPr>
              <w:pStyle w:val="Compact"/>
            </w:pPr>
            <w:r>
              <w:t xml:space="preserve">Medium</w:t>
            </w:r>
          </w:p>
        </w:tc>
        <w:tc>
          <w:tcPr/>
          <w:p>
            <w:pPr>
              <w:pStyle w:val="Compact"/>
            </w:pPr>
            <w:r>
              <w:t xml:space="preserve">Silent UNC path failure</w:t>
            </w:r>
          </w:p>
        </w:tc>
      </w:tr>
    </w:tbl>
    <w:p>
      <w:pPr>
        <w:pStyle w:val="BodyText"/>
      </w:pPr>
      <w:r>
        <w:t xml:space="preserve">The three critical adapters share a property: they fail silently. They must be addressed before any AD infrastructure is decommissioned. The sync engine is high priority but finishes last, because it’s the tether that keeps AD in production until every other adapter has moved.</w:t>
      </w:r>
    </w:p>
    <w:bookmarkStart w:id="265" w:name="fig-ch04-adapter-sequence"/>
    <w:p>
      <w:pPr>
        <w:pStyle w:val="CaptionedFigure"/>
      </w:pPr>
      <w:r>
        <w:drawing>
          <wp:inline>
            <wp:extent cx="5334000" cy="2834685"/>
            <wp:effectExtent b="0" l="0" r="0" t="0"/>
            <wp:docPr descr="Adapter sequencing: the critical adapters gate decommissioning, and the sync engine is retired last." title="" id="263" name="Picture"/>
            <a:graphic>
              <a:graphicData uri="http://schemas.openxmlformats.org/drawingml/2006/picture">
                <pic:pic>
                  <pic:nvPicPr>
                    <pic:cNvPr descr="/home/runner/work/modernization-workbook/modernization-workbook/docs/images/diagrams/b02-identity/png/ch04-adapter-sequence.png" id="264" name="Picture"/>
                    <pic:cNvPicPr>
                      <a:picLocks noChangeArrowheads="1" noChangeAspect="1"/>
                    </pic:cNvPicPr>
                  </pic:nvPicPr>
                  <pic:blipFill>
                    <a:blip r:embed="rId262"/>
                    <a:stretch>
                      <a:fillRect/>
                    </a:stretch>
                  </pic:blipFill>
                  <pic:spPr bwMode="auto">
                    <a:xfrm>
                      <a:off x="0" y="0"/>
                      <a:ext cx="5334000" cy="2834685"/>
                    </a:xfrm>
                    <a:prstGeom prst="rect">
                      <a:avLst/>
                    </a:prstGeom>
                    <a:noFill/>
                    <a:ln w="9525">
                      <a:noFill/>
                      <a:headEnd/>
                      <a:tailEnd/>
                    </a:ln>
                  </pic:spPr>
                </pic:pic>
              </a:graphicData>
            </a:graphic>
          </wp:inline>
        </w:drawing>
      </w:r>
    </w:p>
    <w:p>
      <w:pPr>
        <w:pStyle w:val="ImageCaption"/>
      </w:pPr>
      <w:r>
        <w:t xml:space="preserve">Adapter sequencing: the critical adapters gate decommissioning, and the sync engine is retired last.</w:t>
      </w:r>
    </w:p>
    <w:bookmarkEnd w:id="265"/>
    <w:bookmarkStart w:id="266" w:name="gaps-in-the-adapter-registry"/>
    <w:p>
      <w:pPr>
        <w:pStyle w:val="Heading3"/>
      </w:pPr>
      <w:r>
        <w:t xml:space="preserve">Gaps in the adapter registry</w:t>
      </w:r>
    </w:p>
    <w:p>
      <w:pPr>
        <w:pStyle w:val="FirstParagraph"/>
      </w:pPr>
      <w:r>
        <w:t xml:space="preserve">The program’s adapter taxonomy has twelve leaves. Eight have adapter specifications; four are open gaps.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Leaf</w:t>
            </w:r>
          </w:p>
        </w:tc>
        <w:tc>
          <w:tcPr/>
          <w:p>
            <w:pPr>
              <w:pStyle w:val="Compact"/>
            </w:pPr>
            <w:r>
              <w:t xml:space="preserve">Adapter</w:t>
            </w:r>
          </w:p>
        </w:tc>
        <w:tc>
          <w:tcPr/>
          <w:p>
            <w:pPr>
              <w:pStyle w:val="Compact"/>
            </w:pPr>
            <w:r>
              <w:t xml:space="preserve">Status</w:t>
            </w:r>
          </w:p>
        </w:tc>
      </w:tr>
      <w:tr>
        <w:tc>
          <w:tcPr/>
          <w:p>
            <w:pPr>
              <w:pStyle w:val="Compact"/>
            </w:pPr>
            <w:r>
              <w:t xml:space="preserve">D.1</w:t>
            </w:r>
          </w:p>
        </w:tc>
        <w:tc>
          <w:tcPr/>
          <w:p>
            <w:pPr>
              <w:pStyle w:val="Compact"/>
            </w:pPr>
            <w:r>
              <w:t xml:space="preserve">IPAM — DM_010</w:t>
            </w:r>
          </w:p>
        </w:tc>
        <w:tc>
          <w:tcPr/>
          <w:p>
            <w:pPr>
              <w:pStyle w:val="Compact"/>
            </w:pPr>
            <w:r>
              <w:t xml:space="preserve">Specified</w:t>
            </w:r>
          </w:p>
        </w:tc>
      </w:tr>
      <w:tr>
        <w:tc>
          <w:tcPr/>
          <w:p>
            <w:pPr>
              <w:pStyle w:val="Compact"/>
            </w:pPr>
            <w:r>
              <w:t xml:space="preserve">D.2</w:t>
            </w:r>
          </w:p>
        </w:tc>
        <w:tc>
          <w:tcPr/>
          <w:p>
            <w:pPr>
              <w:pStyle w:val="Compact"/>
            </w:pPr>
            <w:r>
              <w:t xml:space="preserve">DNS — DM_015</w:t>
            </w:r>
          </w:p>
        </w:tc>
        <w:tc>
          <w:tcPr/>
          <w:p>
            <w:pPr>
              <w:pStyle w:val="Compact"/>
            </w:pPr>
            <w:r>
              <w:t xml:space="preserve">Gap: not yet in the registry (covered today inside DM_010)</w:t>
            </w:r>
          </w:p>
        </w:tc>
      </w:tr>
      <w:tr>
        <w:tc>
          <w:tcPr/>
          <w:p>
            <w:pPr>
              <w:pStyle w:val="Compact"/>
            </w:pPr>
            <w:r>
              <w:t xml:space="preserve">D.3</w:t>
            </w:r>
          </w:p>
        </w:tc>
        <w:tc>
          <w:tcPr/>
          <w:p>
            <w:pPr>
              <w:pStyle w:val="Compact"/>
            </w:pPr>
            <w:r>
              <w:t xml:space="preserve">DHCP — DM_016</w:t>
            </w:r>
          </w:p>
        </w:tc>
        <w:tc>
          <w:tcPr/>
          <w:p>
            <w:pPr>
              <w:pStyle w:val="Compact"/>
            </w:pPr>
            <w:r>
              <w:t xml:space="preserve">Gap (covered today inside DM_010)</w:t>
            </w:r>
          </w:p>
        </w:tc>
      </w:tr>
      <w:tr>
        <w:tc>
          <w:tcPr/>
          <w:p>
            <w:pPr>
              <w:pStyle w:val="Compact"/>
            </w:pPr>
            <w:r>
              <w:t xml:space="preserve">D.4</w:t>
            </w:r>
          </w:p>
        </w:tc>
        <w:tc>
          <w:tcPr/>
          <w:p>
            <w:pPr>
              <w:pStyle w:val="Compact"/>
            </w:pPr>
            <w:r>
              <w:t xml:space="preserve">PKI / AD CS — DM_020</w:t>
            </w:r>
          </w:p>
        </w:tc>
        <w:tc>
          <w:tcPr/>
          <w:p>
            <w:pPr>
              <w:pStyle w:val="Compact"/>
            </w:pPr>
            <w:r>
              <w:t xml:space="preserve">Specified</w:t>
            </w:r>
          </w:p>
        </w:tc>
      </w:tr>
      <w:tr>
        <w:tc>
          <w:tcPr/>
          <w:p>
            <w:pPr>
              <w:pStyle w:val="Compact"/>
            </w:pPr>
            <w:r>
              <w:t xml:space="preserve">D.5</w:t>
            </w:r>
          </w:p>
        </w:tc>
        <w:tc>
          <w:tcPr/>
          <w:p>
            <w:pPr>
              <w:pStyle w:val="Compact"/>
            </w:pPr>
            <w:r>
              <w:t xml:space="preserve">RADIUS / NPS — DM_030</w:t>
            </w:r>
          </w:p>
        </w:tc>
        <w:tc>
          <w:tcPr/>
          <w:p>
            <w:pPr>
              <w:pStyle w:val="Compact"/>
            </w:pPr>
            <w:r>
              <w:t xml:space="preserve">Specified</w:t>
            </w:r>
          </w:p>
        </w:tc>
      </w:tr>
      <w:tr>
        <w:tc>
          <w:tcPr/>
          <w:p>
            <w:pPr>
              <w:pStyle w:val="Compact"/>
            </w:pPr>
            <w:r>
              <w:t xml:space="preserve">D.6</w:t>
            </w:r>
          </w:p>
        </w:tc>
        <w:tc>
          <w:tcPr/>
          <w:p>
            <w:pPr>
              <w:pStyle w:val="Compact"/>
            </w:pPr>
            <w:r>
              <w:t xml:space="preserve">LDAP proxy — DM_040</w:t>
            </w:r>
          </w:p>
        </w:tc>
        <w:tc>
          <w:tcPr/>
          <w:p>
            <w:pPr>
              <w:pStyle w:val="Compact"/>
            </w:pPr>
            <w:r>
              <w:t xml:space="preserve">Specified</w:t>
            </w:r>
          </w:p>
        </w:tc>
      </w:tr>
      <w:tr>
        <w:tc>
          <w:tcPr/>
          <w:p>
            <w:pPr>
              <w:pStyle w:val="Compact"/>
            </w:pPr>
            <w:r>
              <w:t xml:space="preserve">D.7</w:t>
            </w:r>
          </w:p>
        </w:tc>
        <w:tc>
          <w:tcPr/>
          <w:p>
            <w:pPr>
              <w:pStyle w:val="Compact"/>
            </w:pPr>
            <w:r>
              <w:t xml:space="preserve">Sync engine — DM_050</w:t>
            </w:r>
          </w:p>
        </w:tc>
        <w:tc>
          <w:tcPr/>
          <w:p>
            <w:pPr>
              <w:pStyle w:val="Compact"/>
            </w:pPr>
            <w:r>
              <w:t xml:space="preserve">Specified</w:t>
            </w:r>
          </w:p>
        </w:tc>
      </w:tr>
      <w:tr>
        <w:tc>
          <w:tcPr/>
          <w:p>
            <w:pPr>
              <w:pStyle w:val="Compact"/>
            </w:pPr>
            <w:r>
              <w:t xml:space="preserve">D.8</w:t>
            </w:r>
          </w:p>
        </w:tc>
        <w:tc>
          <w:tcPr/>
          <w:p>
            <w:pPr>
              <w:pStyle w:val="Compact"/>
            </w:pPr>
            <w:r>
              <w:t xml:space="preserve">Device management — DM_060</w:t>
            </w:r>
          </w:p>
        </w:tc>
        <w:tc>
          <w:tcPr/>
          <w:p>
            <w:pPr>
              <w:pStyle w:val="Compact"/>
            </w:pPr>
            <w:r>
              <w:t xml:space="preserve">Specified</w:t>
            </w:r>
          </w:p>
        </w:tc>
      </w:tr>
      <w:tr>
        <w:tc>
          <w:tcPr/>
          <w:p>
            <w:pPr>
              <w:pStyle w:val="Compact"/>
            </w:pPr>
            <w:r>
              <w:t xml:space="preserve">D.9</w:t>
            </w:r>
          </w:p>
        </w:tc>
        <w:tc>
          <w:tcPr/>
          <w:p>
            <w:pPr>
              <w:pStyle w:val="Compact"/>
            </w:pPr>
            <w:r>
              <w:t xml:space="preserve">NTP — DM_070</w:t>
            </w:r>
          </w:p>
        </w:tc>
        <w:tc>
          <w:tcPr/>
          <w:p>
            <w:pPr>
              <w:pStyle w:val="Compact"/>
            </w:pPr>
            <w:r>
              <w:t xml:space="preserve">Specified</w:t>
            </w:r>
          </w:p>
        </w:tc>
      </w:tr>
      <w:tr>
        <w:tc>
          <w:tcPr/>
          <w:p>
            <w:pPr>
              <w:pStyle w:val="Compact"/>
            </w:pPr>
            <w:r>
              <w:t xml:space="preserve">D.10</w:t>
            </w:r>
          </w:p>
        </w:tc>
        <w:tc>
          <w:tcPr/>
          <w:p>
            <w:pPr>
              <w:pStyle w:val="Compact"/>
            </w:pPr>
            <w:r>
              <w:t xml:space="preserve">DFS — DM_080</w:t>
            </w:r>
          </w:p>
        </w:tc>
        <w:tc>
          <w:tcPr/>
          <w:p>
            <w:pPr>
              <w:pStyle w:val="Compact"/>
            </w:pPr>
            <w:r>
              <w:t xml:space="preserve">Specified</w:t>
            </w:r>
          </w:p>
        </w:tc>
      </w:tr>
      <w:tr>
        <w:tc>
          <w:tcPr/>
          <w:p>
            <w:pPr>
              <w:pStyle w:val="Compact"/>
            </w:pPr>
            <w:r>
              <w:t xml:space="preserve">D.11</w:t>
            </w:r>
          </w:p>
        </w:tc>
        <w:tc>
          <w:tcPr/>
          <w:p>
            <w:pPr>
              <w:pStyle w:val="Compact"/>
            </w:pPr>
            <w:r>
              <w:t xml:space="preserve">SPN and app registration — DM_085</w:t>
            </w:r>
          </w:p>
        </w:tc>
        <w:tc>
          <w:tcPr/>
          <w:p>
            <w:pPr>
              <w:pStyle w:val="Compact"/>
            </w:pPr>
            <w:r>
              <w:t xml:space="preserve">Gap</w:t>
            </w:r>
          </w:p>
        </w:tc>
      </w:tr>
      <w:tr>
        <w:tc>
          <w:tcPr/>
          <w:p>
            <w:pPr>
              <w:pStyle w:val="Compact"/>
            </w:pPr>
            <w:r>
              <w:t xml:space="preserve">D.12</w:t>
            </w:r>
          </w:p>
        </w:tc>
        <w:tc>
          <w:tcPr/>
          <w:p>
            <w:pPr>
              <w:pStyle w:val="Compact"/>
            </w:pPr>
            <w:r>
              <w:t xml:space="preserve">Trust relationship — proposed DM_090</w:t>
            </w:r>
          </w:p>
        </w:tc>
        <w:tc>
          <w:tcPr/>
          <w:p>
            <w:pPr>
              <w:pStyle w:val="Compact"/>
            </w:pPr>
            <w:r>
              <w:t xml:space="preserve">Gap; the proposed ID collides with the validation checklist (DM_090) and needs a new number</w:t>
            </w:r>
          </w:p>
        </w:tc>
      </w:tr>
    </w:tbl>
    <w:p>
      <w:pPr>
        <w:pStyle w:val="BodyText"/>
      </w:pPr>
      <w:r>
        <w:t xml:space="preserve">Object types 10 and 11 map to the last two gaps. Until those adapters exist, treat SPNs and trusts as manual line items in the inventory (see</w:t>
      </w:r>
      <w:r>
        <w:t xml:space="preserve"> </w:t>
      </w:r>
      <w:hyperlink w:anchor="the-transformation-inventory">
        <w:r>
          <w:rPr>
            <w:rStyle w:val="Hyperlink"/>
          </w:rPr>
          <w:t xml:space="preserve">the transformation inventory</w:t>
        </w:r>
      </w:hyperlink>
      <w:r>
        <w:t xml:space="preserve">).</w:t>
      </w:r>
    </w:p>
    <w:bookmarkEnd w:id="266"/>
    <w:bookmarkEnd w:id="267"/>
    <w:bookmarkStart w:id="292" w:name="adapter-by-adapter"/>
    <w:p>
      <w:pPr>
        <w:pStyle w:val="Heading2"/>
      </w:pPr>
      <w:bookmarkStart w:id="1404" w:name="_Toc00001404"/>
      <w:r>
        <w:t xml:space="preserve">Adapter by adapter</w:t>
      </w:r>
      <w:bookmarkEnd w:id="1404"/>
    </w:p>
    <w:p>
      <w:pPr>
        <w:pStyle w:val="FirstParagraph"/>
      </w:pPr>
      <w:r>
        <w:t xml:space="preserve">The adapter specifications below keep the program’s discovery lists and migration sequences. Where a source named a Microsoft capability, the claim has been checked against current Microsoft documentation and corrected where needed.</w:t>
      </w:r>
    </w:p>
    <w:bookmarkStart w:id="272" w:name="X4f5e8eb52b5b65bc017f885610657b7d7ea194e"/>
    <w:p>
      <w:pPr>
        <w:pStyle w:val="Heading3"/>
      </w:pPr>
      <w:r>
        <w:t xml:space="preserve">IPAM: DNS, DHCP, and IP management (DM_010, high)</w:t>
      </w:r>
    </w:p>
    <w:p>
      <w:pPr>
        <w:pStyle w:val="FirstParagraph"/>
      </w:pPr>
      <w:r>
        <w:t xml:space="preserve">AD-integrated DNS is the most visible dependency. Domain-joined computers find domain controllers through the DC locator, which queries DNS for SRV records that domain controllers register, such as</w:t>
      </w:r>
      <w:r>
        <w:t xml:space="preserve"> </w:t>
      </w:r>
      <w:r>
        <w:rPr>
          <w:rStyle w:val="VerbatimChar"/>
        </w:rPr>
        <w:t xml:space="preserve">_ldap._tcp.&lt;domain&gt;</w:t>
      </w:r>
      <w:r>
        <w:t xml:space="preserve">, plus records for capabilities like the Key Distribution Center and the global catalog.</w:t>
      </w:r>
      <w:r>
        <w:rPr>
          <w:rStyle w:val="FootnoteReference"/>
        </w:rPr>
        <w:footnoteReference w:id="268"/>
      </w:r>
      <w:r>
        <w:t xml:space="preserve"> </w:t>
      </w:r>
      <w:r>
        <w:t xml:space="preserve">Retiring AD means moving those zones to standalone DNS without losing the records that hybrid clients still need during the transition.</w:t>
      </w:r>
    </w:p>
    <w:p>
      <w:pPr>
        <w:pStyle w:val="BodyText"/>
      </w:pPr>
      <w:r>
        <w:t xml:space="preserve">Required capabilities:</w:t>
      </w:r>
    </w:p>
    <w:p>
      <w:pPr>
        <w:pStyle w:val="Compact"/>
        <w:numPr>
          <w:ilvl w:val="0"/>
          <w:numId w:val="1013"/>
        </w:numPr>
      </w:pPr>
      <w:r>
        <w:t xml:space="preserve">Full zone export as a canonical snapshot and drift-detection baseline.</w:t>
      </w:r>
    </w:p>
    <w:p>
      <w:pPr>
        <w:pStyle w:val="Compact"/>
        <w:numPr>
          <w:ilvl w:val="0"/>
          <w:numId w:val="1013"/>
        </w:numPr>
      </w:pPr>
      <w:r>
        <w:t xml:space="preserve">Migration of the DC locator SRV records (</w:t>
      </w:r>
      <w:r>
        <w:rPr>
          <w:rStyle w:val="VerbatimChar"/>
        </w:rPr>
        <w:t xml:space="preserve">_kerberos</w:t>
      </w:r>
      <w:r>
        <w:t xml:space="preserve">,</w:t>
      </w:r>
      <w:r>
        <w:t xml:space="preserve"> </w:t>
      </w:r>
      <w:r>
        <w:rPr>
          <w:rStyle w:val="VerbatimChar"/>
        </w:rPr>
        <w:t xml:space="preserve">_ldap</w:t>
      </w:r>
      <w:r>
        <w:t xml:space="preserve">,</w:t>
      </w:r>
      <w:r>
        <w:t xml:space="preserve"> </w:t>
      </w:r>
      <w:r>
        <w:rPr>
          <w:rStyle w:val="VerbatimChar"/>
        </w:rPr>
        <w:t xml:space="preserve">_gc</w:t>
      </w:r>
      <w:r>
        <w:t xml:space="preserve">) for as long as any domain remains.</w:t>
      </w:r>
    </w:p>
    <w:p>
      <w:pPr>
        <w:pStyle w:val="Compact"/>
        <w:numPr>
          <w:ilvl w:val="0"/>
          <w:numId w:val="1013"/>
        </w:numPr>
      </w:pPr>
      <w:r>
        <w:t xml:space="preserve">Side-by-side operation with AD-integrated DNS during the hybrid window.</w:t>
      </w:r>
    </w:p>
    <w:p>
      <w:pPr>
        <w:pStyle w:val="Compact"/>
        <w:numPr>
          <w:ilvl w:val="0"/>
          <w:numId w:val="1013"/>
        </w:numPr>
      </w:pPr>
      <w:r>
        <w:t xml:space="preserve">DHCP scope inventory and rogue DHCP detection.</w:t>
      </w:r>
    </w:p>
    <w:p>
      <w:pPr>
        <w:pStyle w:val="FirstParagraph"/>
      </w:pPr>
      <w:r>
        <w:t xml:space="preserve">The program’s registry lists Infoblox, BlueCat Address Manager, and a generic RFC-compliant IPAM as implementations. The earlier description of</w:t>
      </w:r>
      <w:r>
        <w:t xml:space="preserve"> </w:t>
      </w:r>
      <w:r>
        <w:t xml:space="preserve">“Infoblox NIOS (FedRAMP authorized)”</w:t>
      </w:r>
      <w:r>
        <w:t xml:space="preserve"> </w:t>
      </w:r>
      <w:r>
        <w:t xml:space="preserve">was imprecise: the FedRAMP authorization belongs to the Infoblox Government Cloud service, listed on the FedRAMP Marketplace as FedRAMP Certified at the Moderate impact level, not to on-premises NIOS appliances.</w:t>
      </w:r>
      <w:r>
        <w:rPr>
          <w:rStyle w:val="FootnoteReference"/>
        </w:rPr>
        <w:footnoteReference w:id="270"/>
      </w:r>
      <w:r>
        <w:t xml:space="preserve"> </w:t>
      </w:r>
      <w:r>
        <w:t xml:space="preserve">The DNS and DHCP leaves (DM_015, DM_016) will split out of this adapter once specified.</w:t>
      </w:r>
    </w:p>
    <w:bookmarkEnd w:id="272"/>
    <w:bookmarkStart w:id="283" w:name="X05f262d73f54062c9042a30f852ca279eddde32"/>
    <w:p>
      <w:pPr>
        <w:pStyle w:val="Heading3"/>
      </w:pPr>
      <w:r>
        <w:t xml:space="preserve">PKI and certificate services (DM_020, critical)</w:t>
      </w:r>
    </w:p>
    <w:p>
      <w:pPr>
        <w:pStyle w:val="FirstParagraph"/>
      </w:pPr>
      <w:r>
        <w:t xml:space="preserve">Active Directory Certificate Services (AD CS) is embedded deeply in most federal environments. Auto-enrollment flows through Group Policy, machine certificates support 802.1X and VPN, and smart card logon to Windows relies on trust configuration anchored in the domain. The failure mode is the reason this adapter is critical: certificates keep working until they expire. If the replacement CA isn’t issuing before the first expiry wave, authentication fails across the organization weeks or months after the migration was declared complete.</w:t>
      </w:r>
    </w:p>
    <w:p>
      <w:pPr>
        <w:pStyle w:val="BodyText"/>
      </w:pPr>
      <w:r>
        <w:t xml:space="preserve">Required capabilities:</w:t>
      </w:r>
    </w:p>
    <w:p>
      <w:pPr>
        <w:pStyle w:val="Compact"/>
        <w:numPr>
          <w:ilvl w:val="0"/>
          <w:numId w:val="1014"/>
        </w:numPr>
      </w:pPr>
      <w:r>
        <w:t xml:space="preserve">Full certificate inventory: issued, pending, revoked, and expired.</w:t>
      </w:r>
    </w:p>
    <w:p>
      <w:pPr>
        <w:pStyle w:val="Compact"/>
        <w:numPr>
          <w:ilvl w:val="0"/>
          <w:numId w:val="1014"/>
        </w:numPr>
      </w:pPr>
      <w:r>
        <w:t xml:space="preserve">Certificate-to-identity binding: who owns each certificate.</w:t>
      </w:r>
    </w:p>
    <w:p>
      <w:pPr>
        <w:pStyle w:val="Compact"/>
        <w:numPr>
          <w:ilvl w:val="0"/>
          <w:numId w:val="1014"/>
        </w:numPr>
      </w:pPr>
      <w:r>
        <w:t xml:space="preserve">Expiry timeline export in 90-, 180-, and 365-day windows.</w:t>
      </w:r>
    </w:p>
    <w:p>
      <w:pPr>
        <w:pStyle w:val="Compact"/>
        <w:numPr>
          <w:ilvl w:val="0"/>
          <w:numId w:val="1014"/>
        </w:numPr>
      </w:pPr>
      <w:r>
        <w:t xml:space="preserve">CA hierarchy mapping: root, issuing, and subordinate chains.</w:t>
      </w:r>
    </w:p>
    <w:p>
      <w:pPr>
        <w:pStyle w:val="Compact"/>
        <w:numPr>
          <w:ilvl w:val="0"/>
          <w:numId w:val="1014"/>
        </w:numPr>
      </w:pPr>
      <w:r>
        <w:t xml:space="preserve">Smart card, PIV, and CAC certificate inventory.</w:t>
      </w:r>
    </w:p>
    <w:p>
      <w:pPr>
        <w:pStyle w:val="Compact"/>
        <w:numPr>
          <w:ilvl w:val="0"/>
          <w:numId w:val="1014"/>
        </w:numPr>
      </w:pPr>
      <w:r>
        <w:t xml:space="preserve">Migration of auto-enrollment from Group Policy to Intune certificate profiles.</w:t>
      </w:r>
    </w:p>
    <w:p>
      <w:pPr>
        <w:pStyle w:val="FirstParagraph"/>
      </w:pPr>
      <w:r>
        <w:t xml:space="preserve">Migration sequence:</w:t>
      </w:r>
    </w:p>
    <w:p>
      <w:pPr>
        <w:pStyle w:val="Compact"/>
        <w:numPr>
          <w:ilvl w:val="0"/>
          <w:numId w:val="1015"/>
        </w:numPr>
      </w:pPr>
      <w:r>
        <w:t xml:space="preserve">Inventory every issued certificate and its expiry date.</w:t>
      </w:r>
    </w:p>
    <w:p>
      <w:pPr>
        <w:pStyle w:val="Compact"/>
        <w:numPr>
          <w:ilvl w:val="0"/>
          <w:numId w:val="1015"/>
        </w:numPr>
      </w:pPr>
      <w:r>
        <w:t xml:space="preserve">Map certificates to identity objects.</w:t>
      </w:r>
    </w:p>
    <w:p>
      <w:pPr>
        <w:pStyle w:val="Compact"/>
        <w:numPr>
          <w:ilvl w:val="0"/>
          <w:numId w:val="1015"/>
        </w:numPr>
      </w:pPr>
      <w:r>
        <w:t xml:space="preserve">Stand up the replacement CA</w:t>
      </w:r>
      <w:r>
        <w:t xml:space="preserve"> </w:t>
      </w:r>
      <w:r>
        <w:rPr>
          <w:b/>
          <w:bCs/>
        </w:rPr>
        <w:t xml:space="preserve">before</w:t>
      </w:r>
      <w:r>
        <w:t xml:space="preserve"> </w:t>
      </w:r>
      <w:r>
        <w:t xml:space="preserve">any AD retirement begins.</w:t>
      </w:r>
    </w:p>
    <w:p>
      <w:pPr>
        <w:pStyle w:val="Compact"/>
        <w:numPr>
          <w:ilvl w:val="0"/>
          <w:numId w:val="1015"/>
        </w:numPr>
      </w:pPr>
      <w:r>
        <w:t xml:space="preserve">Move auto-enrollment to Intune certificate profiles.</w:t>
      </w:r>
    </w:p>
    <w:p>
      <w:pPr>
        <w:pStyle w:val="Compact"/>
        <w:numPr>
          <w:ilvl w:val="0"/>
          <w:numId w:val="1015"/>
        </w:numPr>
      </w:pPr>
      <w:r>
        <w:t xml:space="preserve">Validate the certificate chain through the new CA.</w:t>
      </w:r>
    </w:p>
    <w:p>
      <w:pPr>
        <w:pStyle w:val="Compact"/>
        <w:numPr>
          <w:ilvl w:val="0"/>
          <w:numId w:val="1015"/>
        </w:numPr>
      </w:pPr>
      <w:r>
        <w:t xml:space="preserve">Retire AD CS only after every renewal is confirmed through the new CA.</w:t>
      </w:r>
    </w:p>
    <w:p>
      <w:pPr>
        <w:pStyle w:val="FirstParagraph"/>
      </w:pPr>
      <w:r>
        <w:t xml:space="preserve">Three corrections to the target architecture:</w:t>
      </w:r>
    </w:p>
    <w:p>
      <w:pPr>
        <w:pStyle w:val="Compact"/>
        <w:numPr>
          <w:ilvl w:val="0"/>
          <w:numId w:val="1016"/>
        </w:numPr>
      </w:pPr>
      <w:r>
        <w:rPr>
          <w:b/>
          <w:bCs/>
        </w:rPr>
        <w:t xml:space="preserve">Intune delivers certificates by SCEP, PKCS, or imported PKCS profiles</w:t>
      </w:r>
      <w:r>
        <w:t xml:space="preserve">, with a trusted-root profile that deploys the CA chain; network authentication (802.1X) and VPN are the typical uses.</w:t>
      </w:r>
      <w:r>
        <w:rPr>
          <w:rStyle w:val="FootnoteReference"/>
        </w:rPr>
        <w:footnoteReference w:id="273"/>
      </w:r>
      <w:r>
        <w:t xml:space="preserve"> </w:t>
      </w:r>
      <w:r>
        <w:t xml:space="preserve">Using SCEP with a Microsoft CA still requires an NDES server and the Certificate Connector for Microsoft Intune. The earlier reference to</w:t>
      </w:r>
      <w:r>
        <w:t xml:space="preserve"> </w:t>
      </w:r>
      <w:r>
        <w:t xml:space="preserve">“Intune/SCEP/EST”</w:t>
      </w:r>
      <w:r>
        <w:t xml:space="preserve"> </w:t>
      </w:r>
      <w:r>
        <w:t xml:space="preserve">is corrected: Intune’s documented provisioning methods are SCEP and PKCS, not EST.</w:t>
      </w:r>
    </w:p>
    <w:p>
      <w:pPr>
        <w:pStyle w:val="Compact"/>
        <w:numPr>
          <w:ilvl w:val="0"/>
          <w:numId w:val="1016"/>
        </w:numPr>
      </w:pPr>
      <w:r>
        <w:rPr>
          <w:b/>
          <w:bCs/>
        </w:rPr>
        <w:t xml:space="preserve">Microsoft Cloud PKI</w:t>
      </w:r>
      <w:r>
        <w:t xml:space="preserve"> </w:t>
      </w:r>
      <w:r>
        <w:t xml:space="preserve">(an Intune capability) can host a two-tier root and issuing CA in the cloud, or anchor a cloud issuing CA to an existing private root (</w:t>
      </w:r>
      <w:r>
        <w:t xml:space="preserve">“bring your own CA”</w:t>
      </w:r>
      <w:r>
        <w:t xml:space="preserve">). It issues leaf certificates through SCEP to Intune-managed devices and hosts the CRL distribution point and AIA endpoint.</w:t>
      </w:r>
      <w:r>
        <w:rPr>
          <w:rStyle w:val="FootnoteReference"/>
        </w:rPr>
        <w:footnoteReference w:id="275"/>
      </w:r>
      <w:r>
        <w:t xml:space="preserve"> </w:t>
      </w:r>
      <w:r>
        <w:t xml:space="preserve">That’s a direct path off AD CS for device certificates.</w:t>
      </w:r>
    </w:p>
    <w:p>
      <w:pPr>
        <w:pStyle w:val="Compact"/>
        <w:numPr>
          <w:ilvl w:val="0"/>
          <w:numId w:val="1016"/>
        </w:numPr>
      </w:pPr>
      <w:r>
        <w:rPr>
          <w:b/>
          <w:bCs/>
        </w:rPr>
        <w:t xml:space="preserve">Microsoft Entra certificate-based authentication (CBA) is a relying party, not a CA.</w:t>
      </w:r>
      <w:r>
        <w:t xml:space="preserve"> </w:t>
      </w:r>
      <w:r>
        <w:t xml:space="preserve">The earlier registry listed</w:t>
      </w:r>
      <w:r>
        <w:t xml:space="preserve"> </w:t>
      </w:r>
      <w:r>
        <w:t xml:space="preserve">“Entra CBA”</w:t>
      </w:r>
      <w:r>
        <w:t xml:space="preserve"> </w:t>
      </w:r>
      <w:r>
        <w:t xml:space="preserve">alongside DigiCert and Entrust as an implementation; it belongs in a different column. CBA validates user certificates against CAs uploaded to the Entra trust store, and every CA in the chain must be uploaded.</w:t>
      </w:r>
      <w:r>
        <w:rPr>
          <w:rStyle w:val="FootnoteReference"/>
        </w:rPr>
        <w:footnoteReference w:id="277"/>
      </w:r>
      <w:r>
        <w:t xml:space="preserve"> </w:t>
      </w:r>
      <w:r>
        <w:t xml:space="preserve">Its CRL distribution point must be an internet-facing HTTP URL; OCSP and LDAP URLs aren’t supported, and a CA with no CRL configured gets no revocation checking at all.</w:t>
      </w:r>
      <w:r>
        <w:rPr>
          <w:rStyle w:val="FootnoteReference"/>
        </w:rPr>
        <w:footnoteReference w:id="279"/>
      </w:r>
      <w:r>
        <w:t xml:space="preserve"> </w:t>
      </w:r>
      <w:r>
        <w:t xml:space="preserve">AD CS deployments that publish CRLs only over LDAP need a new HTTP distribution point before CBA can rely on them.</w:t>
      </w:r>
    </w:p>
    <w:p>
      <w:pPr>
        <w:pStyle w:val="FirstParagraph"/>
      </w:pPr>
      <w:r>
        <w:t xml:space="preserve">Windows Hello for Business also shrinks the PKI surface. Its cloud Kerberos trust model is the only hybrid deployment option that needs no certificates, and Microsoft recommends it over key trust when certificate authentication isn’t otherwise required.</w:t>
      </w:r>
      <w:r>
        <w:rPr>
          <w:rStyle w:val="FootnoteReference"/>
        </w:rPr>
        <w:footnoteReference w:id="281"/>
      </w:r>
    </w:p>
    <w:bookmarkEnd w:id="283"/>
    <w:bookmarkStart w:id="289" w:name="X2ba1eb55c6796897bd992916c40d07adffe5fd8"/>
    <w:p>
      <w:pPr>
        <w:pStyle w:val="Heading3"/>
      </w:pPr>
      <w:r>
        <w:t xml:space="preserve">RADIUS and Network Policy Server (DM_030, critical)</w:t>
      </w:r>
    </w:p>
    <w:p>
      <w:pPr>
        <w:pStyle w:val="FirstParagraph"/>
      </w:pPr>
      <w:r>
        <w:t xml:space="preserve">Windows Network Policy Server (NPS) authenticates 802.1X wired and wireless, VPN, and dial-up connections against AD groups. Every access point, VPN concentrator, and managed switch that uses RADIUS is an AD dependency. If NPS goes down before its replacement is validated, users can’t connect at all.</w:t>
      </w:r>
    </w:p>
    <w:p>
      <w:pPr>
        <w:pStyle w:val="BodyText"/>
      </w:pPr>
      <w:r>
        <w:t xml:space="preserve">Required capabilities:</w:t>
      </w:r>
    </w:p>
    <w:p>
      <w:pPr>
        <w:pStyle w:val="Compact"/>
        <w:numPr>
          <w:ilvl w:val="0"/>
          <w:numId w:val="1017"/>
        </w:numPr>
      </w:pPr>
      <w:r>
        <w:t xml:space="preserve">Inventory of all NPS policies (connection request, network, and health).</w:t>
      </w:r>
    </w:p>
    <w:p>
      <w:pPr>
        <w:pStyle w:val="Compact"/>
        <w:numPr>
          <w:ilvl w:val="0"/>
          <w:numId w:val="1017"/>
        </w:numPr>
      </w:pPr>
      <w:r>
        <w:t xml:space="preserve">Map of every NPS policy to the AD groups it depends on.</w:t>
      </w:r>
    </w:p>
    <w:p>
      <w:pPr>
        <w:pStyle w:val="Compact"/>
        <w:numPr>
          <w:ilvl w:val="0"/>
          <w:numId w:val="1017"/>
        </w:numPr>
      </w:pPr>
      <w:r>
        <w:t xml:space="preserve">Inventory of RADIUS clients: access points, VPN concentrators, switches.</w:t>
      </w:r>
    </w:p>
    <w:p>
      <w:pPr>
        <w:pStyle w:val="Compact"/>
        <w:numPr>
          <w:ilvl w:val="0"/>
          <w:numId w:val="1017"/>
        </w:numPr>
      </w:pPr>
      <w:r>
        <w:t xml:space="preserve">Inventory of 802.1X certificate profiles and EAP methods.</w:t>
      </w:r>
    </w:p>
    <w:p>
      <w:pPr>
        <w:pStyle w:val="Compact"/>
        <w:numPr>
          <w:ilvl w:val="0"/>
          <w:numId w:val="1017"/>
        </w:numPr>
      </w:pPr>
      <w:r>
        <w:t xml:space="preserve">Translation of policy from AD groups to Entra ID groups.</w:t>
      </w:r>
    </w:p>
    <w:p>
      <w:pPr>
        <w:pStyle w:val="Compact"/>
        <w:numPr>
          <w:ilvl w:val="0"/>
          <w:numId w:val="1017"/>
        </w:numPr>
      </w:pPr>
      <w:r>
        <w:t xml:space="preserve">Side-by-side validation before cutover.</w:t>
      </w:r>
    </w:p>
    <w:p>
      <w:pPr>
        <w:pStyle w:val="FirstParagraph"/>
      </w:pPr>
      <w:r>
        <w:t xml:space="preserve">Migration sequence:</w:t>
      </w:r>
    </w:p>
    <w:p>
      <w:pPr>
        <w:pStyle w:val="Compact"/>
        <w:numPr>
          <w:ilvl w:val="0"/>
          <w:numId w:val="1018"/>
        </w:numPr>
      </w:pPr>
      <w:r>
        <w:t xml:space="preserve">Inventory every RADIUS client and NPS policy.</w:t>
      </w:r>
    </w:p>
    <w:p>
      <w:pPr>
        <w:pStyle w:val="Compact"/>
        <w:numPr>
          <w:ilvl w:val="0"/>
          <w:numId w:val="1018"/>
        </w:numPr>
      </w:pPr>
      <w:r>
        <w:t xml:space="preserve">Map every NPS AD group dependency to its Entra ID equivalent.</w:t>
      </w:r>
    </w:p>
    <w:p>
      <w:pPr>
        <w:pStyle w:val="Compact"/>
        <w:numPr>
          <w:ilvl w:val="0"/>
          <w:numId w:val="1018"/>
        </w:numPr>
      </w:pPr>
      <w:r>
        <w:t xml:space="preserve">Deploy the replacement RADIUS service.</w:t>
      </w:r>
    </w:p>
    <w:p>
      <w:pPr>
        <w:pStyle w:val="Compact"/>
        <w:numPr>
          <w:ilvl w:val="0"/>
          <w:numId w:val="1018"/>
        </w:numPr>
      </w:pPr>
      <w:r>
        <w:t xml:space="preserve">Validate in parallel, with NPS and the replacement serving at the same time.</w:t>
      </w:r>
    </w:p>
    <w:p>
      <w:pPr>
        <w:pStyle w:val="Compact"/>
        <w:numPr>
          <w:ilvl w:val="0"/>
          <w:numId w:val="1018"/>
        </w:numPr>
      </w:pPr>
      <w:r>
        <w:t xml:space="preserve">Cut RADIUS clients over to the new server.</w:t>
      </w:r>
    </w:p>
    <w:p>
      <w:pPr>
        <w:pStyle w:val="Compact"/>
        <w:numPr>
          <w:ilvl w:val="0"/>
          <w:numId w:val="1018"/>
        </w:numPr>
      </w:pPr>
      <w:r>
        <w:t xml:space="preserve">Decommission NPS only after a 30-day validation window.</w:t>
      </w:r>
    </w:p>
    <w:p>
      <w:pPr>
        <w:pStyle w:val="FirstParagraph"/>
      </w:pPr>
      <w:r>
        <w:t xml:space="preserve">Entra ID has no native RADIUS service, and the earlier</w:t>
      </w:r>
      <w:r>
        <w:t xml:space="preserve"> </w:t>
      </w:r>
      <w:r>
        <w:t xml:space="preserve">“Entra RADIUS Proxy”</w:t>
      </w:r>
      <w:r>
        <w:t xml:space="preserve"> </w:t>
      </w:r>
      <w:r>
        <w:t xml:space="preserve">implementation doesn’t exist as a Microsoft product; it has been removed. The NPS extension for Microsoft Entra multifactor authentication is often mistaken for an exit path. It isn’t one: NPS still performs primary authentication against AD and then hands off to Entra ID for the second factor.</w:t>
      </w:r>
      <w:r>
        <w:rPr>
          <w:rStyle w:val="FootnoteReference"/>
        </w:rPr>
        <w:footnoteReference w:id="284"/>
      </w:r>
      <w:r>
        <w:t xml:space="preserve"> </w:t>
      </w:r>
      <w:r>
        <w:t xml:space="preserve">The extension also identifies users by their on-premises UPN by default.</w:t>
      </w:r>
      <w:r>
        <w:rPr>
          <w:rStyle w:val="FootnoteReference"/>
        </w:rPr>
        <w:footnoteReference w:id="286"/>
      </w:r>
      <w:r>
        <w:t xml:space="preserve"> </w:t>
      </w:r>
      <w:r>
        <w:t xml:space="preserve">It’s a useful interim control, not a retirement.</w:t>
      </w:r>
    </w:p>
    <w:p>
      <w:pPr>
        <w:pStyle w:val="BodyText"/>
      </w:pPr>
      <w:r>
        <w:t xml:space="preserve">The retirement paths are a non-Microsoft RADIUS or network access control service (the program’s registry lists Cisco ISE and Aruba ClearPass), certificate-based EAP-TLS using device certificates delivered by Intune, and, for VPNs, replacing RADIUS altogether. Microsoft recommends moving VPNs to SAML federated directly with Entra ID so they get Conditional Access, MFA, and device compliance.</w:t>
      </w:r>
      <w:r>
        <w:rPr>
          <w:rStyle w:val="FootnoteReference"/>
        </w:rPr>
        <w:footnoteReference w:id="288"/>
      </w:r>
    </w:p>
    <w:bookmarkEnd w:id="289"/>
    <w:bookmarkStart w:id="291" w:name="ldap-proxy-dm_040-critical"/>
    <w:p>
      <w:pPr>
        <w:pStyle w:val="Heading3"/>
      </w:pPr>
      <w:r>
        <w:t xml:space="preserve">LDAP proxy (DM_040, critical)</w:t>
      </w:r>
    </w:p>
    <w:p>
      <w:pPr>
        <w:pStyle w:val="FirstParagraph"/>
      </w:pPr>
      <w:r>
        <w:t xml:space="preserve">LDAP is the largest hidden AD dependency. Applications deployed ten or fifteen years ago bind to domain controllers to authenticate users and read attributes. Nobody kept an inventory because nobody had to; AD was always there. Discovery for this adapter takes the longest, because you can’t migrate what you can’t see.</w:t>
      </w:r>
    </w:p>
    <w:p>
      <w:pPr>
        <w:pStyle w:val="BodyText"/>
      </w:pPr>
      <w:r>
        <w:t xml:space="preserve">Required capabilities:</w:t>
      </w:r>
    </w:p>
    <w:p>
      <w:pPr>
        <w:pStyle w:val="Compact"/>
        <w:numPr>
          <w:ilvl w:val="0"/>
          <w:numId w:val="1019"/>
        </w:numPr>
      </w:pPr>
      <w:r>
        <w:t xml:space="preserve">Network traffic analysis identifying every host that binds to a domain controller.</w:t>
      </w:r>
    </w:p>
    <w:p>
      <w:pPr>
        <w:pStyle w:val="Compact"/>
        <w:numPr>
          <w:ilvl w:val="0"/>
          <w:numId w:val="1019"/>
        </w:numPr>
      </w:pPr>
      <w:r>
        <w:t xml:space="preserve">Inventory of service accounts used for LDAP binds.</w:t>
      </w:r>
    </w:p>
    <w:p>
      <w:pPr>
        <w:pStyle w:val="Compact"/>
        <w:numPr>
          <w:ilvl w:val="0"/>
          <w:numId w:val="1019"/>
        </w:numPr>
      </w:pPr>
      <w:r>
        <w:t xml:space="preserve">Application-to-LDAP dependency map.</w:t>
      </w:r>
    </w:p>
    <w:p>
      <w:pPr>
        <w:pStyle w:val="Compact"/>
        <w:numPr>
          <w:ilvl w:val="0"/>
          <w:numId w:val="1019"/>
        </w:numPr>
      </w:pPr>
      <w:r>
        <w:t xml:space="preserve">Query analysis: which attributes each application reads.</w:t>
      </w:r>
    </w:p>
    <w:p>
      <w:pPr>
        <w:pStyle w:val="Compact"/>
        <w:numPr>
          <w:ilvl w:val="0"/>
          <w:numId w:val="1019"/>
        </w:numPr>
      </w:pPr>
      <w:r>
        <w:t xml:space="preserve">Bind type inventory: simple, SASL, certificate-based.</w:t>
      </w:r>
    </w:p>
    <w:p>
      <w:pPr>
        <w:pStyle w:val="Compact"/>
        <w:numPr>
          <w:ilvl w:val="0"/>
          <w:numId w:val="1019"/>
        </w:numPr>
      </w:pPr>
      <w:r>
        <w:t xml:space="preserve">Attribute mapping from AD names to Entra ID equivalents.</w:t>
      </w:r>
    </w:p>
    <w:p>
      <w:pPr>
        <w:pStyle w:val="FirstParagraph"/>
      </w:pPr>
      <w:r>
        <w:t xml:space="preserve">Migration sequence:</w:t>
      </w:r>
    </w:p>
    <w:p>
      <w:pPr>
        <w:pStyle w:val="Compact"/>
        <w:numPr>
          <w:ilvl w:val="0"/>
          <w:numId w:val="1020"/>
        </w:numPr>
      </w:pPr>
      <w:r>
        <w:t xml:space="preserve">Deploy a passive LDAP traffic monitor on the domain controller network segment.</w:t>
      </w:r>
    </w:p>
    <w:p>
      <w:pPr>
        <w:pStyle w:val="Compact"/>
        <w:numPr>
          <w:ilvl w:val="0"/>
          <w:numId w:val="1020"/>
        </w:numPr>
      </w:pPr>
      <w:r>
        <w:t xml:space="preserve">Run a</w:t>
      </w:r>
      <w:r>
        <w:t xml:space="preserve"> </w:t>
      </w:r>
      <w:r>
        <w:rPr>
          <w:b/>
          <w:bCs/>
        </w:rPr>
        <w:t xml:space="preserve">30-day discovery window</w:t>
      </w:r>
      <w:r>
        <w:t xml:space="preserve"> </w:t>
      </w:r>
      <w:r>
        <w:t xml:space="preserve">to capture every bind source.</w:t>
      </w:r>
    </w:p>
    <w:p>
      <w:pPr>
        <w:pStyle w:val="Compact"/>
        <w:numPr>
          <w:ilvl w:val="0"/>
          <w:numId w:val="1020"/>
        </w:numPr>
      </w:pPr>
      <w:r>
        <w:t xml:space="preserve">Build the application-to-LDAP dependency map.</w:t>
      </w:r>
    </w:p>
    <w:p>
      <w:pPr>
        <w:pStyle w:val="Compact"/>
        <w:numPr>
          <w:ilvl w:val="0"/>
          <w:numId w:val="1020"/>
        </w:numPr>
      </w:pPr>
      <w:r>
        <w:t xml:space="preserve">Deploy the LDAP target (Microsoft Entra Domain Services or a standalone directory).</w:t>
      </w:r>
    </w:p>
    <w:p>
      <w:pPr>
        <w:pStyle w:val="Compact"/>
        <w:numPr>
          <w:ilvl w:val="0"/>
          <w:numId w:val="1020"/>
        </w:numPr>
      </w:pPr>
      <w:r>
        <w:t xml:space="preserve">Validate each application against the target.</w:t>
      </w:r>
    </w:p>
    <w:p>
      <w:pPr>
        <w:pStyle w:val="Compact"/>
        <w:numPr>
          <w:ilvl w:val="0"/>
          <w:numId w:val="1020"/>
        </w:numPr>
      </w:pPr>
      <w:r>
        <w:t xml:space="preserve">Cut applications over</w:t>
      </w:r>
      <w:r>
        <w:t xml:space="preserve"> </w:t>
      </w:r>
      <w:r>
        <w:rPr>
          <w:b/>
          <w:bCs/>
        </w:rPr>
        <w:t xml:space="preserve">in waves, never all at once</w:t>
      </w:r>
      <w:r>
        <w:t xml:space="preserve">.</w:t>
      </w:r>
    </w:p>
    <w:p>
      <w:pPr>
        <w:pStyle w:val="FirstParagraph"/>
      </w:pPr>
      <w:r>
        <w:t xml:space="preserve">Domain controllers can help with step 2 but can’t replace network capture. A DC logs a daily summary (Event 2887) of unsigned SASL binds and clear-text simple binds, and with the</w:t>
      </w:r>
      <w:r>
        <w:t xml:space="preserve"> </w:t>
      </w:r>
      <w:r>
        <w:rPr>
          <w:rStyle w:val="VerbatimChar"/>
        </w:rPr>
        <w:t xml:space="preserve">16 LDAP Interface Events</w:t>
      </w:r>
      <w:r>
        <w:t xml:space="preserve"> </w:t>
      </w:r>
      <w:r>
        <w:t xml:space="preserve">diagnostic level set to 2 it logs Event 2889 for each such bind, with the client IP address and identity.</w:t>
      </w:r>
      <w:r>
        <w:rPr>
          <w:rStyle w:val="FootnoteReference"/>
        </w:rPr>
        <w:footnoteReference w:id="290"/>
      </w:r>
      <w:r>
        <w:t xml:space="preserve"> </w:t>
      </w:r>
      <w:r>
        <w:t xml:space="preserve">Those events cover only the insecure binds. Applications that already sign their binds don’t appear, which is why the passive monitor stays in the sequence.</w:t>
      </w:r>
    </w:p>
    <w:bookmarkEnd w:id="291"/>
    <w:bookmarkEnd w:id="292"/>
    <w:bookmarkStart w:id="293" w:name="illustrative-code-1"/>
    <w:p>
      <w:pPr>
        <w:pStyle w:val="Heading2"/>
      </w:pPr>
      <w:bookmarkStart w:id="1405" w:name="_Toc00001405"/>
      <w:r>
        <w:t xml:space="preserve">Illustrative code</w:t>
      </w:r>
      <w:bookmarkEnd w:id="1405"/>
    </w:p>
    <w:p>
      <w:pPr>
        <w:pStyle w:val="FirstParagraph"/>
      </w:pPr>
      <w:r>
        <w:t xml:space="preserve">The PowerShell in this chapter is illustrative. It hasn’t been tested against a production forest. Review it, and run it first in a lab, before using it on a domain controller.</w:t>
      </w:r>
    </w:p>
    <w:bookmarkEnd w:id="293"/>
    <w:p>
      <w:pPr>
        <w:pStyle w:val="SourceCode"/>
      </w:pPr>
      <w:r>
        <w:rPr>
          <w:rStyle w:val="CommentTok"/>
        </w:rPr>
        <w:t xml:space="preserve"># On a domain controller: log each unsigned or clear-text LDAP bind (Event 2889)</w:t>
      </w:r>
      <w:r>
        <w:br/>
      </w:r>
      <w:r>
        <w:rPr>
          <w:rStyle w:val="VariableTok"/>
        </w:rPr>
        <w:t xml:space="preserve">$diag</w:t>
      </w:r>
      <w:r>
        <w:rPr>
          <w:rStyle w:val="NormalTok"/>
        </w:rPr>
        <w:t xml:space="preserve"> </w:t>
      </w:r>
      <w:r>
        <w:rPr>
          <w:rStyle w:val="OperatorTok"/>
        </w:rPr>
        <w:t xml:space="preserve">=</w:t>
      </w:r>
      <w:r>
        <w:rPr>
          <w:rStyle w:val="NormalTok"/>
        </w:rPr>
        <w:t xml:space="preserve"> </w:t>
      </w:r>
      <w:r>
        <w:rPr>
          <w:rStyle w:val="StringTok"/>
        </w:rPr>
        <w:t xml:space="preserve">'HKLM:\SYSTEM\CurrentControlSet\Services\NTDS\Diagnostics'</w:t>
      </w:r>
      <w:r>
        <w:br/>
      </w:r>
      <w:r>
        <w:rPr>
          <w:rStyle w:val="FunctionTok"/>
        </w:rPr>
        <w:t xml:space="preserve">Set-ItemProperty</w:t>
      </w:r>
      <w:r>
        <w:rPr>
          <w:rStyle w:val="NormalTok"/>
        </w:rPr>
        <w:t xml:space="preserve"> </w:t>
      </w:r>
      <w:r>
        <w:rPr>
          <w:rStyle w:val="OperatorTok"/>
        </w:rPr>
        <w:t xml:space="preserve">-</w:t>
      </w:r>
      <w:r>
        <w:rPr>
          <w:rStyle w:val="NormalTok"/>
        </w:rPr>
        <w:t xml:space="preserve">Path </w:t>
      </w:r>
      <w:r>
        <w:rPr>
          <w:rStyle w:val="VariableTok"/>
        </w:rPr>
        <w:t xml:space="preserve">$diag</w:t>
      </w:r>
      <w:r>
        <w:rPr>
          <w:rStyle w:val="NormalTok"/>
        </w:rPr>
        <w:t xml:space="preserve"> </w:t>
      </w:r>
      <w:r>
        <w:rPr>
          <w:rStyle w:val="OperatorTok"/>
        </w:rPr>
        <w:t xml:space="preserve">-</w:t>
      </w:r>
      <w:r>
        <w:rPr>
          <w:rStyle w:val="NormalTok"/>
        </w:rPr>
        <w:t xml:space="preserve">Name </w:t>
      </w:r>
      <w:r>
        <w:rPr>
          <w:rStyle w:val="StringTok"/>
        </w:rPr>
        <w:t xml:space="preserve">'16 LDAP Interface Events'</w:t>
      </w:r>
      <w:r>
        <w:rPr>
          <w:rStyle w:val="NormalTok"/>
        </w:rPr>
        <w:t xml:space="preserve"> </w:t>
      </w:r>
      <w:r>
        <w:rPr>
          <w:rStyle w:val="OperatorTok"/>
        </w:rPr>
        <w:t xml:space="preserve">-</w:t>
      </w:r>
      <w:r>
        <w:rPr>
          <w:rStyle w:val="NormalTok"/>
        </w:rPr>
        <w:t xml:space="preserve">Value </w:t>
      </w:r>
      <w:r>
        <w:rPr>
          <w:rStyle w:val="DecValTok"/>
        </w:rPr>
        <w:t xml:space="preserve">2</w:t>
      </w:r>
      <w:r>
        <w:rPr>
          <w:rStyle w:val="NormalTok"/>
        </w:rPr>
        <w:t xml:space="preserve"> </w:t>
      </w:r>
      <w:r>
        <w:rPr>
          <w:rStyle w:val="OperatorTok"/>
        </w:rPr>
        <w:t xml:space="preserve">-</w:t>
      </w:r>
      <w:r>
        <w:rPr>
          <w:rStyle w:val="NormalTok"/>
        </w:rPr>
        <w:t xml:space="preserve">Type DWord</w:t>
      </w:r>
      <w:r>
        <w:br/>
      </w:r>
      <w:r>
        <w:br/>
      </w:r>
      <w:r>
        <w:rPr>
          <w:rStyle w:val="CommentTok"/>
        </w:rPr>
        <w:t xml:space="preserve"># After the collection window: count binds per client address</w:t>
      </w:r>
      <w:r>
        <w:br/>
      </w:r>
      <w:r>
        <w:rPr>
          <w:rStyle w:val="FunctionTok"/>
        </w:rPr>
        <w:t xml:space="preserve">Get-WinEvent</w:t>
      </w:r>
      <w:r>
        <w:rPr>
          <w:rStyle w:val="NormalTok"/>
        </w:rPr>
        <w:t xml:space="preserve"> </w:t>
      </w:r>
      <w:r>
        <w:rPr>
          <w:rStyle w:val="OperatorTok"/>
        </w:rPr>
        <w:t xml:space="preserve">-</w:t>
      </w:r>
      <w:r>
        <w:rPr>
          <w:rStyle w:val="NormalTok"/>
        </w:rPr>
        <w:t xml:space="preserve">FilterHashtable @</w:t>
      </w:r>
      <w:r>
        <w:rPr>
          <w:rStyle w:val="OperatorTok"/>
        </w:rPr>
        <w:t xml:space="preserve">{</w:t>
      </w:r>
      <w:r>
        <w:rPr>
          <w:rStyle w:val="NormalTok"/>
        </w:rPr>
        <w:t xml:space="preserve"> LogName </w:t>
      </w:r>
      <w:r>
        <w:rPr>
          <w:rStyle w:val="OperatorTok"/>
        </w:rPr>
        <w:t xml:space="preserve">=</w:t>
      </w:r>
      <w:r>
        <w:rPr>
          <w:rStyle w:val="NormalTok"/>
        </w:rPr>
        <w:t xml:space="preserve"> </w:t>
      </w:r>
      <w:r>
        <w:rPr>
          <w:rStyle w:val="StringTok"/>
        </w:rPr>
        <w:t xml:space="preserve">'Directory Service'</w:t>
      </w:r>
      <w:r>
        <w:rPr>
          <w:rStyle w:val="OperatorTok"/>
        </w:rPr>
        <w:t xml:space="preserve">;</w:t>
      </w:r>
      <w:r>
        <w:rPr>
          <w:rStyle w:val="NormalTok"/>
        </w:rPr>
        <w:t xml:space="preserve"> Id </w:t>
      </w:r>
      <w:r>
        <w:rPr>
          <w:rStyle w:val="OperatorTok"/>
        </w:rPr>
        <w:t xml:space="preserve">=</w:t>
      </w:r>
      <w:r>
        <w:rPr>
          <w:rStyle w:val="NormalTok"/>
        </w:rPr>
        <w:t xml:space="preserve"> </w:t>
      </w:r>
      <w:r>
        <w:rPr>
          <w:rStyle w:val="DecValTok"/>
        </w:rPr>
        <w:t xml:space="preserve">2889</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Properties</w:t>
      </w:r>
      <w:r>
        <w:rPr>
          <w:rStyle w:val="OperatorTok"/>
        </w:rPr>
        <w:t xml:space="preserve">[</w:t>
      </w:r>
      <w:r>
        <w:rPr>
          <w:rStyle w:val="DecValTok"/>
        </w:rPr>
        <w:t xml:space="preserve">0</w:t>
      </w:r>
      <w:r>
        <w:rPr>
          <w:rStyle w:val="OperatorTok"/>
        </w:rPr>
        <w:t xml:space="preserve">].</w:t>
      </w:r>
      <w:r>
        <w:rPr>
          <w:rStyle w:val="FunctionTok"/>
        </w:rPr>
        <w:t xml:space="preserve">Value</w:t>
      </w:r>
      <w:r>
        <w:rPr>
          <w:rStyle w:val="OperatorTok"/>
        </w:rPr>
        <w:t xml:space="preserve">)</w:t>
      </w:r>
      <w:r>
        <w:rPr>
          <w:rStyle w:val="NormalTok"/>
        </w:rPr>
        <w:t xml:space="preserve"> </w:t>
      </w:r>
      <w:r>
        <w:rPr>
          <w:rStyle w:val="OperatorTok"/>
        </w:rPr>
        <w:t xml:space="preserve">-replace</w:t>
      </w:r>
      <w:r>
        <w:rPr>
          <w:rStyle w:val="NormalTok"/>
        </w:rPr>
        <w:t xml:space="preserve"> </w:t>
      </w:r>
      <w:r>
        <w:rPr>
          <w:rStyle w:val="StringTok"/>
        </w:rPr>
        <w:t xml:space="preserve">':\d+$'</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Group-Object</w:t>
      </w:r>
      <w:r>
        <w:rPr>
          <w:rStyle w:val="NormalTok"/>
        </w:rPr>
        <w:t xml:space="preserve"> </w:t>
      </w:r>
      <w:r>
        <w:rPr>
          <w:rStyle w:val="OperatorTok"/>
        </w:rPr>
        <w:t xml:space="preserve">|</w:t>
      </w:r>
      <w:r>
        <w:br/>
      </w:r>
      <w:r>
        <w:rPr>
          <w:rStyle w:val="NormalTok"/>
        </w:rPr>
        <w:t xml:space="preserve">    </w:t>
      </w:r>
      <w:r>
        <w:rPr>
          <w:rStyle w:val="FunctionTok"/>
        </w:rPr>
        <w:t xml:space="preserve">Sort-Object</w:t>
      </w:r>
      <w:r>
        <w:rPr>
          <w:rStyle w:val="NormalTok"/>
        </w:rPr>
        <w:t xml:space="preserve"> Count </w:t>
      </w:r>
      <w:r>
        <w:rPr>
          <w:rStyle w:val="OperatorTok"/>
        </w:rPr>
        <w:t xml:space="preserve">-</w:t>
      </w:r>
      <w:r>
        <w:rPr>
          <w:rStyle w:val="NormalTok"/>
        </w:rPr>
        <w:t xml:space="preserve">Descending </w:t>
      </w:r>
      <w:r>
        <w:rPr>
          <w:rStyle w:val="OperatorTok"/>
        </w:rPr>
        <w:t xml:space="preserve">|</w:t>
      </w:r>
      <w:r>
        <w:br/>
      </w:r>
      <w:r>
        <w:rPr>
          <w:rStyle w:val="NormalTok"/>
        </w:rPr>
        <w:t xml:space="preserve">    </w:t>
      </w:r>
      <w:r>
        <w:rPr>
          <w:rStyle w:val="FunctionTok"/>
        </w:rPr>
        <w:t xml:space="preserve">Select-Object</w:t>
      </w:r>
      <w:r>
        <w:rPr>
          <w:rStyle w:val="NormalTok"/>
        </w:rPr>
        <w:t xml:space="preserve"> Count</w:t>
      </w:r>
      <w:r>
        <w:rPr>
          <w:rStyle w:val="OperatorTok"/>
        </w:rPr>
        <w:t xml:space="preserve">,</w:t>
      </w:r>
      <w:r>
        <w:rPr>
          <w:rStyle w:val="NormalTok"/>
        </w:rPr>
        <w:t xml:space="preserve"> Name</w:t>
      </w:r>
      <w:r>
        <w:br/>
      </w:r>
      <w:r>
        <w:br/>
      </w:r>
      <w:r>
        <w:rPr>
          <w:rStyle w:val="CommentTok"/>
        </w:rPr>
        <w:t xml:space="preserve"># Turn detailed logging back off when the investigation ends</w:t>
      </w:r>
      <w:r>
        <w:br/>
      </w:r>
      <w:r>
        <w:rPr>
          <w:rStyle w:val="FunctionTok"/>
        </w:rPr>
        <w:t xml:space="preserve">Set-ItemProperty</w:t>
      </w:r>
      <w:r>
        <w:rPr>
          <w:rStyle w:val="NormalTok"/>
        </w:rPr>
        <w:t xml:space="preserve"> </w:t>
      </w:r>
      <w:r>
        <w:rPr>
          <w:rStyle w:val="OperatorTok"/>
        </w:rPr>
        <w:t xml:space="preserve">-</w:t>
      </w:r>
      <w:r>
        <w:rPr>
          <w:rStyle w:val="NormalTok"/>
        </w:rPr>
        <w:t xml:space="preserve">Path </w:t>
      </w:r>
      <w:r>
        <w:rPr>
          <w:rStyle w:val="VariableTok"/>
        </w:rPr>
        <w:t xml:space="preserve">$diag</w:t>
      </w:r>
      <w:r>
        <w:rPr>
          <w:rStyle w:val="NormalTok"/>
        </w:rPr>
        <w:t xml:space="preserve"> </w:t>
      </w:r>
      <w:r>
        <w:rPr>
          <w:rStyle w:val="OperatorTok"/>
        </w:rPr>
        <w:t xml:space="preserve">-</w:t>
      </w:r>
      <w:r>
        <w:rPr>
          <w:rStyle w:val="NormalTok"/>
        </w:rPr>
        <w:t xml:space="preserve">Name </w:t>
      </w:r>
      <w:r>
        <w:rPr>
          <w:rStyle w:val="StringTok"/>
        </w:rPr>
        <w:t xml:space="preserve">'16 LDAP Interface Events'</w:t>
      </w:r>
      <w:r>
        <w:rPr>
          <w:rStyle w:val="NormalTok"/>
        </w:rPr>
        <w:t xml:space="preserve"> </w:t>
      </w:r>
      <w:r>
        <w:rPr>
          <w:rStyle w:val="OperatorTok"/>
        </w:rPr>
        <w:t xml:space="preserve">-</w:t>
      </w:r>
      <w:r>
        <w:rPr>
          <w:rStyle w:val="NormalTok"/>
        </w:rPr>
        <w:t xml:space="preserve">Value </w:t>
      </w:r>
      <w:r>
        <w:rPr>
          <w:rStyle w:val="DecValTok"/>
        </w:rPr>
        <w:t xml:space="preserve">0</w:t>
      </w:r>
      <w:r>
        <w:rPr>
          <w:rStyle w:val="NormalTok"/>
        </w:rPr>
        <w:t xml:space="preserve"> </w:t>
      </w:r>
      <w:r>
        <w:rPr>
          <w:rStyle w:val="OperatorTok"/>
        </w:rPr>
        <w:t xml:space="preserve">-</w:t>
      </w:r>
      <w:r>
        <w:rPr>
          <w:rStyle w:val="NormalTok"/>
        </w:rPr>
        <w:t xml:space="preserve">Type DWord</w:t>
      </w:r>
    </w:p>
    <w:p>
      <w:pPr>
        <w:pStyle w:val="FirstParagraph"/>
      </w:pPr>
      <w:r>
        <w:t xml:space="preserve">Microsoft’s guidance is to set the diagnostic value back to 0 after the investigation.</w:t>
      </w:r>
      <w:r>
        <w:rPr>
          <w:rStyle w:val="FootnoteReference"/>
        </w:rPr>
        <w:footnoteReference w:id="294"/>
      </w:r>
    </w:p>
    <w:p>
      <w:pPr>
        <w:pStyle w:val="BodyText"/>
      </w:pPr>
      <w:r>
        <w:t xml:space="preserve">Microsoft Entra ID itself has no LDAP endpoint. The Microsoft-managed option is Entra Domain Services, a standalone managed domain that supports LDAP bind and read, secure LDAP, Kerberos, and NTLM. LDAP writes work only for objects created in the managed domain, not for objects synchronized from Entra ID.</w:t>
      </w:r>
      <w:r>
        <w:rPr>
          <w:rStyle w:val="FootnoteReference"/>
        </w:rPr>
        <w:footnoteReference w:id="296"/>
      </w:r>
      <w:r>
        <w:t xml:space="preserve"> </w:t>
      </w:r>
      <w:r>
        <w:t xml:space="preserve">Two prerequisites matter for planning. Cloud-only users must change their password before they can use the managed domain, because that’s when Entra ID generates the legacy password hashes it needs. And Microsoft Entra Cloud Sync isn’t supported with Domain Services; synchronized users need Microsoft Entra Connect Sync to carry their password hashes.</w:t>
      </w:r>
      <w:r>
        <w:rPr>
          <w:rStyle w:val="FootnoteReference"/>
        </w:rPr>
        <w:footnoteReference w:id="298"/>
      </w:r>
      <w:r>
        <w:t xml:space="preserve"> </w:t>
      </w:r>
      <w:r>
        <w:t xml:space="preserve">For web applications that use Integrated Windows Authentication, Entra application proxy can provide single sign-on through Kerberos constrained delegation, but its connector servers must be domain-joined.</w:t>
      </w:r>
      <w:r>
        <w:rPr>
          <w:rStyle w:val="FootnoteReference"/>
        </w:rPr>
        <w:footnoteReference w:id="300"/>
      </w:r>
      <w:r>
        <w:t xml:space="preserve"> </w:t>
      </w:r>
      <w:r>
        <w:t xml:space="preserve">Both are bridges that keep a domain alive. The real exit is re-platforming the application onto SAML or OpenID Connect.</w:t>
      </w:r>
    </w:p>
    <w:bookmarkStart w:id="313" w:name="X93bf44e38dcd172d131d0db78f5ae8e58b8bef5"/>
    <w:p>
      <w:pPr>
        <w:pStyle w:val="Heading3"/>
      </w:pPr>
      <w:r>
        <w:t xml:space="preserve">Sync engine: Microsoft Entra Connect (DM_050, high, finishes last)</w:t>
      </w:r>
    </w:p>
    <w:p>
      <w:pPr>
        <w:pStyle w:val="FirstParagraph"/>
      </w:pPr>
      <w:r>
        <w:t xml:space="preserve">The sync engine is both the bridge between AD and Entra ID and the tether that keeps AD alive. As long as it runs, AD is a production dependency. It isn’t retired until every other adapter has moved.</w:t>
      </w:r>
    </w:p>
    <w:p>
      <w:pPr>
        <w:pStyle w:val="BodyText"/>
      </w:pPr>
      <w:r>
        <w:t xml:space="preserve">Retirement criteria (all must be true):</w:t>
      </w:r>
    </w:p>
    <w:p>
      <w:pPr>
        <w:pStyle w:val="Compact"/>
        <w:numPr>
          <w:ilvl w:val="0"/>
          <w:numId w:val="1021"/>
        </w:numPr>
      </w:pPr>
      <w:r>
        <w:t xml:space="preserve">Every user is provisioned from the authoritative HR source, not from AD sync.</w:t>
      </w:r>
    </w:p>
    <w:p>
      <w:pPr>
        <w:pStyle w:val="Compact"/>
        <w:numPr>
          <w:ilvl w:val="0"/>
          <w:numId w:val="1021"/>
        </w:numPr>
      </w:pPr>
      <w:r>
        <w:t xml:space="preserve">Every group is dynamic or managed in Entra ID.</w:t>
      </w:r>
    </w:p>
    <w:p>
      <w:pPr>
        <w:pStyle w:val="Compact"/>
        <w:numPr>
          <w:ilvl w:val="0"/>
          <w:numId w:val="1021"/>
        </w:numPr>
      </w:pPr>
      <w:r>
        <w:t xml:space="preserve">No application uses on-premises AD authentication.</w:t>
      </w:r>
    </w:p>
    <w:p>
      <w:pPr>
        <w:pStyle w:val="Compact"/>
        <w:numPr>
          <w:ilvl w:val="0"/>
          <w:numId w:val="1021"/>
        </w:numPr>
      </w:pPr>
      <w:r>
        <w:t xml:space="preserve">Every device is managed by Intune with no AD dependency.</w:t>
      </w:r>
    </w:p>
    <w:p>
      <w:pPr>
        <w:pStyle w:val="Compact"/>
        <w:numPr>
          <w:ilvl w:val="0"/>
          <w:numId w:val="1021"/>
        </w:numPr>
      </w:pPr>
      <w:r>
        <w:t xml:space="preserve">Every service account has moved to an Entra ID workload identity.</w:t>
      </w:r>
    </w:p>
    <w:p>
      <w:pPr>
        <w:pStyle w:val="Compact"/>
        <w:numPr>
          <w:ilvl w:val="0"/>
          <w:numId w:val="1021"/>
        </w:numPr>
      </w:pPr>
      <w:r>
        <w:t xml:space="preserve">AD CS is replaced; DNS, RADIUS, and LDAP applications are migrated and validated.</w:t>
      </w:r>
    </w:p>
    <w:p>
      <w:pPr>
        <w:pStyle w:val="FirstParagraph"/>
      </w:pPr>
      <w:r>
        <w:t xml:space="preserve">These six conditions are the core of the 12-point retirement readiness checklist in the program’s adapter specification. HR-sourced provisioning is the subject of the provisioning pipeline in the HR-driven IAM series.</w:t>
      </w:r>
    </w:p>
    <w:p>
      <w:pPr>
        <w:pStyle w:val="BodyText"/>
      </w:pPr>
      <w:r>
        <w:t xml:space="preserve">Current Microsoft facts that shape this adapter:</w:t>
      </w:r>
    </w:p>
    <w:p>
      <w:pPr>
        <w:pStyle w:val="Compact"/>
        <w:numPr>
          <w:ilvl w:val="0"/>
          <w:numId w:val="1022"/>
        </w:numPr>
      </w:pPr>
      <w:r>
        <w:rPr>
          <w:b/>
          <w:bCs/>
        </w:rPr>
        <w:t xml:space="preserve">Two sync clients.</w:t>
      </w:r>
      <w:r>
        <w:t xml:space="preserve"> </w:t>
      </w:r>
      <w:r>
        <w:t xml:space="preserve">Microsoft Entra Connect Sync runs a full sync engine on premises; Microsoft Entra Cloud Sync runs the engine in the cloud with lightweight on-premises agents. Microsoft recommends Cloud Sync where it meets an organization’s requirements, because new sync features are arriving there.</w:t>
      </w:r>
      <w:r>
        <w:rPr>
          <w:rStyle w:val="FootnoteReference"/>
        </w:rPr>
        <w:footnoteReference w:id="302"/>
      </w:r>
      <w:r>
        <w:t xml:space="preserve"> </w:t>
      </w:r>
      <w:r>
        <w:t xml:space="preserve">The clients aren’t equivalent. Cloud Sync supports disconnected forests and multiple active agents but limits groups to 50,000 members and supports up to 150,000 objects per domain; Connect Sync keeps advanced sync rules and cross-forest references.</w:t>
      </w:r>
      <w:r>
        <w:rPr>
          <w:rStyle w:val="FootnoteReference"/>
        </w:rPr>
        <w:footnoteReference w:id="304"/>
      </w:r>
      <w:r>
        <w:t xml:space="preserve"> </w:t>
      </w:r>
      <w:r>
        <w:t xml:space="preserve">The two can’t sync the same objects side by side; migration between them uses OU-based scoping.</w:t>
      </w:r>
      <w:r>
        <w:rPr>
          <w:rStyle w:val="FootnoteReference"/>
        </w:rPr>
        <w:footnoteReference w:id="306"/>
      </w:r>
    </w:p>
    <w:p>
      <w:pPr>
        <w:pStyle w:val="Compact"/>
        <w:numPr>
          <w:ilvl w:val="0"/>
          <w:numId w:val="1022"/>
        </w:numPr>
      </w:pPr>
      <w:r>
        <w:rPr>
          <w:b/>
          <w:bCs/>
        </w:rPr>
        <w:t xml:space="preserve">Source of authority can move object by object.</w:t>
      </w:r>
      <w:r>
        <w:t xml:space="preserve"> </w:t>
      </w:r>
      <w:r>
        <w:t xml:space="preserve">Group source of authority conversion turns a synced group into a cloud-managed group; both sync clients then stop syncing it from AD, and the change can be reversed.</w:t>
      </w:r>
      <w:r>
        <w:rPr>
          <w:rStyle w:val="FootnoteReference"/>
        </w:rPr>
        <w:footnoteReference w:id="308"/>
      </w:r>
      <w:r>
        <w:t xml:space="preserve"> </w:t>
      </w:r>
      <w:r>
        <w:t xml:space="preserve">User source of authority conversion works the same way through the</w:t>
      </w:r>
      <w:r>
        <w:t xml:space="preserve"> </w:t>
      </w:r>
      <w:r>
        <w:rPr>
          <w:rStyle w:val="VerbatimChar"/>
        </w:rPr>
        <w:t xml:space="preserve">onPremisesSyncBehavior</w:t>
      </w:r>
      <w:r>
        <w:t xml:space="preserve"> </w:t>
      </w:r>
      <w:r>
        <w:t xml:space="preserve">property.</w:t>
      </w:r>
      <w:r>
        <w:rPr>
          <w:rStyle w:val="FootnoteReference"/>
        </w:rPr>
        <w:footnoteReference w:id="310"/>
      </w:r>
      <w:r>
        <w:t xml:space="preserve"> </w:t>
      </w:r>
      <w:r>
        <w:t xml:space="preserve">That makes the retirement criteria above achievable incrementally rather than in one cutover.</w:t>
      </w:r>
    </w:p>
    <w:p>
      <w:pPr>
        <w:pStyle w:val="Compact"/>
        <w:numPr>
          <w:ilvl w:val="0"/>
          <w:numId w:val="1022"/>
        </w:numPr>
      </w:pPr>
      <w:r>
        <w:rPr>
          <w:b/>
          <w:bCs/>
        </w:rPr>
        <w:t xml:space="preserve">Provisioning back to AD is asymmetric.</w:t>
      </w:r>
      <w:r>
        <w:t xml:space="preserve"> </w:t>
      </w:r>
      <w:r>
        <w:t xml:space="preserve">Cloud Sync can provision groups from Entra ID to AD, but neither client provisions users from the cloud to AD.</w:t>
      </w:r>
      <w:r>
        <w:rPr>
          <w:rStyle w:val="FootnoteReference"/>
        </w:rPr>
        <w:footnoteReference w:id="312"/>
      </w:r>
      <w:r>
        <w:t xml:space="preserve"> </w:t>
      </w:r>
      <w:r>
        <w:t xml:space="preserve">An application that still needs an AD user account keeps AD, and a writer into it, alive.</w:t>
      </w:r>
    </w:p>
    <w:bookmarkEnd w:id="313"/>
    <w:bookmarkStart w:id="318" w:name="device-management-dm_060-high"/>
    <w:p>
      <w:pPr>
        <w:pStyle w:val="Heading3"/>
      </w:pPr>
      <w:r>
        <w:t xml:space="preserve">Device management (DM_060, high)</w:t>
      </w:r>
    </w:p>
    <w:p>
      <w:pPr>
        <w:pStyle w:val="FirstParagraph"/>
      </w:pPr>
      <w:r>
        <w:t xml:space="preserve">Configuration Manager collections query AD, Group Policy flows down the OU tree, and co-management splits responsibility between Configuration Manager and Intune. This adapter governs the move from AD-dependent device policy to Intune-native management.</w:t>
      </w:r>
    </w:p>
    <w:p>
      <w:pPr>
        <w:pStyle w:val="BodyText"/>
      </w:pPr>
      <w:r>
        <w:t xml:space="preserve">Co-management moves seven workloads, individually or together: compliance policies, Windows Update policies, resource access policies, Endpoint Protection, device configuration, Office Click-to-Run apps, and client apps.</w:t>
      </w:r>
      <w:r>
        <w:rPr>
          <w:rStyle w:val="FootnoteReference"/>
        </w:rPr>
        <w:footnoteReference w:id="314"/>
      </w:r>
      <w:r>
        <w:t xml:space="preserve"> </w:t>
      </w:r>
      <w:r>
        <w:t xml:space="preserve">Before switching any workload, run Group Policy analytics in Intune. It imports GPO exports, reports which settings have an MDM equivalent, flags deprecated settings, and can migrate the supported ones into a Settings Catalog policy.</w:t>
      </w:r>
      <w:r>
        <w:rPr>
          <w:rStyle w:val="FootnoteReference"/>
        </w:rPr>
        <w:footnoteReference w:id="316"/>
      </w:r>
      <w:r>
        <w:t xml:space="preserve"> </w:t>
      </w:r>
      <w:r>
        <w:t xml:space="preserve">Settings without an equivalent become explicit decisions: replace, accept the loss, or keep a GPO-managed island.</w:t>
      </w:r>
    </w:p>
    <w:bookmarkEnd w:id="318"/>
    <w:bookmarkStart w:id="326" w:name="ntp-and-time-services-dm_070-medium"/>
    <w:p>
      <w:pPr>
        <w:pStyle w:val="Heading3"/>
      </w:pPr>
      <w:r>
        <w:t xml:space="preserve">NTP and time services (DM_070, medium)</w:t>
      </w:r>
    </w:p>
    <w:p>
      <w:pPr>
        <w:pStyle w:val="FirstParagraph"/>
      </w:pPr>
      <w:r>
        <w:t xml:space="preserve">Kerberos tolerates a maximum clock difference of five minutes by default.</w:t>
      </w:r>
      <w:r>
        <w:rPr>
          <w:rStyle w:val="FootnoteReference"/>
        </w:rPr>
        <w:footnoteReference w:id="319"/>
      </w:r>
      <w:r>
        <w:t xml:space="preserve"> </w:t>
      </w:r>
      <w:r>
        <w:t xml:space="preserve">In a domain, time follows the AD hierarchy: member computers synchronize with a domain controller in their own domain, domain controllers synchronize up the hierarchy, and the PDC emulator of the forest root domain is the best time source unless another reliable source is configured.</w:t>
      </w:r>
      <w:r>
        <w:rPr>
          <w:rStyle w:val="FootnoteReference"/>
        </w:rPr>
        <w:footnoteReference w:id="320"/>
      </w:r>
      <w:r>
        <w:t xml:space="preserve"> </w:t>
      </w:r>
      <w:r>
        <w:t xml:space="preserve">The earlier statement that every domain-joined machine syncs from the PDC emulator is corrected: only the domain controllers chain to the PDC emulator; members use any domain controller in their domain.</w:t>
      </w:r>
    </w:p>
    <w:p>
      <w:pPr>
        <w:pStyle w:val="BodyText"/>
      </w:pPr>
      <w:r>
        <w:t xml:space="preserve">Decommission domain controllers without redirecting time and authentication fails across whatever still uses Kerberos, with symptoms that look like identity problems. Two facts shape the fix:</w:t>
      </w:r>
    </w:p>
    <w:p>
      <w:pPr>
        <w:pStyle w:val="Compact"/>
        <w:numPr>
          <w:ilvl w:val="0"/>
          <w:numId w:val="1023"/>
        </w:numPr>
      </w:pPr>
      <w:r>
        <w:t xml:space="preserve">Computers that aren’t joined to a domain, which includes Microsoft Entra joined Windows devices, get time from</w:t>
      </w:r>
      <w:r>
        <w:t xml:space="preserve"> </w:t>
      </w:r>
      <w:r>
        <w:rPr>
          <w:rStyle w:val="VerbatimChar"/>
        </w:rPr>
        <w:t xml:space="preserve">time.windows.com</w:t>
      </w:r>
      <w:r>
        <w:t xml:space="preserve"> </w:t>
      </w:r>
      <w:r>
        <w:t xml:space="preserve">by default.</w:t>
      </w:r>
      <w:r>
        <w:rPr>
          <w:rStyle w:val="FootnoteReference"/>
        </w:rPr>
        <w:footnoteReference w:id="322"/>
      </w:r>
    </w:p>
    <w:p>
      <w:pPr>
        <w:pStyle w:val="Compact"/>
        <w:numPr>
          <w:ilvl w:val="0"/>
          <w:numId w:val="1023"/>
        </w:numPr>
      </w:pPr>
      <w:r>
        <w:t xml:space="preserve">Intune can set the NTP source explicitly through the</w:t>
      </w:r>
      <w:r>
        <w:t xml:space="preserve"> </w:t>
      </w:r>
      <w:r>
        <w:rPr>
          <w:rStyle w:val="VerbatimChar"/>
        </w:rPr>
        <w:t xml:space="preserve">ADMX_W32Time</w:t>
      </w:r>
      <w:r>
        <w:t xml:space="preserve"> </w:t>
      </w:r>
      <w:r>
        <w:t xml:space="preserve">policy area (Configure Windows NTP Client,</w:t>
      </w:r>
      <w:r>
        <w:t xml:space="preserve"> </w:t>
      </w:r>
      <w:r>
        <w:rPr>
          <w:rStyle w:val="VerbatimChar"/>
        </w:rPr>
        <w:t xml:space="preserve">NtpServer</w:t>
      </w:r>
      <w:r>
        <w:t xml:space="preserve">), whose default value is</w:t>
      </w:r>
      <w:r>
        <w:t xml:space="preserve"> </w:t>
      </w:r>
      <w:r>
        <w:rPr>
          <w:rStyle w:val="VerbatimChar"/>
        </w:rPr>
        <w:t xml:space="preserve">time.windows.com,0x09</w:t>
      </w:r>
      <w:r>
        <w:t xml:space="preserve">.</w:t>
      </w:r>
      <w:r>
        <w:rPr>
          <w:rStyle w:val="FootnoteReference"/>
        </w:rPr>
        <w:footnoteReference w:id="323"/>
      </w:r>
    </w:p>
    <w:p>
      <w:pPr>
        <w:pStyle w:val="FirstParagraph"/>
      </w:pPr>
      <w:r>
        <w:t xml:space="preserve">The program’s position is to set the time source by policy before any domain controller is decommissioned, rather than rely on defaults, and to choose the source deliberately: many agencies require an authoritative government time source. Microsoft notes that manually specified NTP sources aren’t authenticated, unlike time inside the domain hierarchy.</w:t>
      </w:r>
      <w:r>
        <w:rPr>
          <w:rStyle w:val="FootnoteReference"/>
        </w:rPr>
        <w:footnoteReference w:id="325"/>
      </w:r>
    </w:p>
    <w:bookmarkEnd w:id="326"/>
    <w:bookmarkStart w:id="333" w:name="dfs-and-file-services-dm_080-medium"/>
    <w:p>
      <w:pPr>
        <w:pStyle w:val="Heading3"/>
      </w:pPr>
      <w:r>
        <w:t xml:space="preserve">DFS and file services (DM_080, medium)</w:t>
      </w:r>
    </w:p>
    <w:p>
      <w:pPr>
        <w:pStyle w:val="FirstParagraph"/>
      </w:pPr>
      <w:r>
        <w:t xml:space="preserve">A domain-based DFS namespace has a path that starts with the domain name (</w:t>
      </w:r>
      <w:r>
        <w:rPr>
          <w:rStyle w:val="VerbatimChar"/>
        </w:rPr>
        <w:t xml:space="preserve">\\domain\root</w:t>
      </w:r>
      <w:r>
        <w:t xml:space="preserve">), and its configuration lives in AD DS.</w:t>
      </w:r>
      <w:r>
        <w:rPr>
          <w:rStyle w:val="FootnoteReference"/>
        </w:rPr>
        <w:footnoteReference w:id="327"/>
      </w:r>
      <w:r>
        <w:t xml:space="preserve"> </w:t>
      </w:r>
      <w:r>
        <w:t xml:space="preserve">When the domain is retired, those paths fail silently in drive mappings, shortcuts, scripts, and embedded links.</w:t>
      </w:r>
    </w:p>
    <w:p>
      <w:pPr>
        <w:pStyle w:val="BodyText"/>
      </w:pPr>
      <w:r>
        <w:t xml:space="preserve">Migration targets:</w:t>
      </w:r>
    </w:p>
    <w:p>
      <w:pPr>
        <w:pStyle w:val="Compact"/>
        <w:numPr>
          <w:ilvl w:val="0"/>
          <w:numId w:val="1024"/>
        </w:numPr>
      </w:pPr>
      <w:r>
        <w:rPr>
          <w:b/>
          <w:bCs/>
        </w:rPr>
        <w:t xml:space="preserve">SharePoint Online and OneDrive</w:t>
      </w:r>
      <w:r>
        <w:t xml:space="preserve">, for collaborative content.</w:t>
      </w:r>
    </w:p>
    <w:p>
      <w:pPr>
        <w:pStyle w:val="Compact"/>
        <w:numPr>
          <w:ilvl w:val="0"/>
          <w:numId w:val="1024"/>
        </w:numPr>
      </w:pPr>
      <w:r>
        <w:rPr>
          <w:b/>
          <w:bCs/>
        </w:rPr>
        <w:t xml:space="preserve">Azure Files with Microsoft Entra Kerberos</w:t>
      </w:r>
      <w:r>
        <w:t xml:space="preserve">, which lets Entra ID issue the Kerberos tickets for SMB access. Cloud-only identities no longer need a domain controller for authentication or authorization; hybrid identities still need line of sight to a domain controller to set Windows ACLs.</w:t>
      </w:r>
      <w:r>
        <w:rPr>
          <w:rStyle w:val="FootnoteReference"/>
        </w:rPr>
        <w:footnoteReference w:id="329"/>
      </w:r>
    </w:p>
    <w:p>
      <w:pPr>
        <w:pStyle w:val="Compact"/>
        <w:numPr>
          <w:ilvl w:val="0"/>
          <w:numId w:val="1024"/>
        </w:numPr>
      </w:pPr>
      <w:r>
        <w:rPr>
          <w:b/>
          <w:bCs/>
        </w:rPr>
        <w:t xml:space="preserve">A standalone DFS namespace</w:t>
      </w:r>
      <w:r>
        <w:t xml:space="preserve">, whose configuration lives in the namespace server’s registry rather than AD. With root consolidation it can keep an old file server’s UNC path (</w:t>
      </w:r>
      <w:r>
        <w:rPr>
          <w:rStyle w:val="VerbatimChar"/>
        </w:rPr>
        <w:t xml:space="preserve">\\oldserver\share</w:t>
      </w:r>
      <w:r>
        <w:t xml:space="preserve">) working after migration, which Microsoft recommends when migrating shares to Azure Files.</w:t>
      </w:r>
      <w:r>
        <w:rPr>
          <w:rStyle w:val="FootnoteReference"/>
        </w:rPr>
        <w:footnoteReference w:id="331"/>
      </w:r>
    </w:p>
    <w:p>
      <w:pPr>
        <w:pStyle w:val="FirstParagraph"/>
      </w:pPr>
      <w:r>
        <w:t xml:space="preserve">Drive mappings delivered by Group Policy move with the device management adapter.</w:t>
      </w:r>
    </w:p>
    <w:bookmarkEnd w:id="333"/>
    <w:bookmarkStart w:id="336" w:name="kerberos-for-whatever-remains"/>
    <w:p>
      <w:pPr>
        <w:pStyle w:val="Heading3"/>
      </w:pPr>
      <w:r>
        <w:t xml:space="preserve">Kerberos for whatever remains</w:t>
      </w:r>
    </w:p>
    <w:p>
      <w:pPr>
        <w:pStyle w:val="FirstParagraph"/>
      </w:pPr>
      <w:r>
        <w:t xml:space="preserve">Every adapter above shrinks the set of resources that still need an AD Kerberos ticket, but rarely to zero during the transition. Microsoft Entra Kerberos bridges the gap for Entra-joined and hybrid-joined Windows devices: Entra ID issues a cloud ticket-granting ticket for cloud resources such as Azure Files and a partial ticket that an on-premises domain controller exchanges for a full one. The on-premises half requires users synchronized from AD.</w:t>
      </w:r>
      <w:r>
        <w:rPr>
          <w:rStyle w:val="FootnoteReference"/>
        </w:rPr>
        <w:footnoteReference w:id="334"/>
      </w:r>
      <w:r>
        <w:t xml:space="preserve"> </w:t>
      </w:r>
      <w:r>
        <w:t xml:space="preserve">It’s a bridge for the transition, not a target state.</w:t>
      </w:r>
    </w:p>
    <w:bookmarkEnd w:id="336"/>
    <w:bookmarkStart w:id="338" w:name="the-six-migration-phases"/>
    <w:p>
      <w:pPr>
        <w:pStyle w:val="Heading2"/>
      </w:pPr>
      <w:bookmarkStart w:id="1406" w:name="_Toc00001406"/>
      <w:r>
        <w:t xml:space="preserve">The six migration phases</w:t>
      </w:r>
      <w:bookmarkEnd w:id="1406"/>
    </w:p>
    <w:p>
      <w:pPr>
        <w:pStyle w:val="FirstParagraph"/>
      </w:pPr>
      <w:r>
        <w:t xml:space="preserve">Every adapter follows the same six-phase, governance-gated migration.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Phase</w:t>
            </w:r>
          </w:p>
        </w:tc>
        <w:tc>
          <w:tcPr/>
          <w:p>
            <w:pPr>
              <w:pStyle w:val="Compact"/>
            </w:pPr>
            <w:r>
              <w:t xml:space="preserve">What happens</w:t>
            </w:r>
          </w:p>
        </w:tc>
        <w:tc>
          <w:tcPr/>
          <w:p>
            <w:pPr>
              <w:pStyle w:val="Compact"/>
            </w:pPr>
            <w:r>
              <w:t xml:space="preserve">Governance gate</w:t>
            </w:r>
          </w:p>
        </w:tc>
      </w:tr>
      <w:tr>
        <w:tc>
          <w:tcPr/>
          <w:p>
            <w:pPr>
              <w:pStyle w:val="Compact"/>
            </w:pPr>
            <w:r>
              <w:t xml:space="preserve">1. Discover</w:t>
            </w:r>
          </w:p>
        </w:tc>
        <w:tc>
          <w:tcPr/>
          <w:p>
            <w:pPr>
              <w:pStyle w:val="Compact"/>
            </w:pPr>
            <w:r>
              <w:t xml:space="preserve">Complete inventory of what AD encodes for this service</w:t>
            </w:r>
          </w:p>
        </w:tc>
        <w:tc>
          <w:tcPr/>
          <w:p>
            <w:pPr>
              <w:pStyle w:val="Compact"/>
            </w:pPr>
            <w:r>
              <w:t xml:space="preserve">Inventory signed off by the service owner</w:t>
            </w:r>
          </w:p>
        </w:tc>
      </w:tr>
      <w:tr>
        <w:tc>
          <w:tcPr/>
          <w:p>
            <w:pPr>
              <w:pStyle w:val="Compact"/>
            </w:pPr>
            <w:r>
              <w:t xml:space="preserve">2. Normalize</w:t>
            </w:r>
          </w:p>
        </w:tc>
        <w:tc>
          <w:tcPr/>
          <w:p>
            <w:pPr>
              <w:pStyle w:val="Compact"/>
            </w:pPr>
            <w:r>
              <w:t xml:space="preserve">Rationalize decades of organic growth into a clean model</w:t>
            </w:r>
          </w:p>
        </w:tc>
        <w:tc>
          <w:tcPr/>
          <w:p>
            <w:pPr>
              <w:pStyle w:val="Compact"/>
            </w:pPr>
            <w:r>
              <w:t xml:space="preserve">Normalized model reviewed against the canonical model</w:t>
            </w:r>
          </w:p>
        </w:tc>
      </w:tr>
      <w:tr>
        <w:tc>
          <w:tcPr/>
          <w:p>
            <w:pPr>
              <w:pStyle w:val="Compact"/>
            </w:pPr>
            <w:r>
              <w:t xml:space="preserve">3. Map</w:t>
            </w:r>
          </w:p>
        </w:tc>
        <w:tc>
          <w:tcPr/>
          <w:p>
            <w:pPr>
              <w:pStyle w:val="Compact"/>
            </w:pPr>
            <w:r>
              <w:t xml:space="preserve">Translate AD governance constructs to modern equivalents</w:t>
            </w:r>
          </w:p>
        </w:tc>
        <w:tc>
          <w:tcPr/>
          <w:p>
            <w:pPr>
              <w:pStyle w:val="Compact"/>
            </w:pPr>
            <w:r>
              <w:t xml:space="preserve">Mapping validated: no governance gaps, no orphaned objects</w:t>
            </w:r>
          </w:p>
        </w:tc>
      </w:tr>
      <w:tr>
        <w:tc>
          <w:tcPr/>
          <w:p>
            <w:pPr>
              <w:pStyle w:val="Compact"/>
            </w:pPr>
            <w:r>
              <w:t xml:space="preserve">4. Migrate</w:t>
            </w:r>
          </w:p>
        </w:tc>
        <w:tc>
          <w:tcPr/>
          <w:p>
            <w:pPr>
              <w:pStyle w:val="Compact"/>
            </w:pPr>
            <w:r>
              <w:t xml:space="preserve">Execute with continuous validation</w:t>
            </w:r>
          </w:p>
        </w:tc>
        <w:tc>
          <w:tcPr/>
          <w:p>
            <w:pPr>
              <w:pStyle w:val="Compact"/>
            </w:pPr>
            <w:r>
              <w:t xml:space="preserve">Each step validated before the next; no big-bang cutover</w:t>
            </w:r>
          </w:p>
        </w:tc>
      </w:tr>
      <w:tr>
        <w:tc>
          <w:tcPr/>
          <w:p>
            <w:pPr>
              <w:pStyle w:val="Compact"/>
            </w:pPr>
            <w:r>
              <w:t xml:space="preserve">5. Validate</w:t>
            </w:r>
          </w:p>
        </w:tc>
        <w:tc>
          <w:tcPr/>
          <w:p>
            <w:pPr>
              <w:pStyle w:val="Compact"/>
            </w:pPr>
            <w:r>
              <w:t xml:space="preserve">Confirm governance integrity after migration</w:t>
            </w:r>
          </w:p>
        </w:tc>
        <w:tc>
          <w:tcPr/>
          <w:p>
            <w:pPr>
              <w:pStyle w:val="Compact"/>
            </w:pPr>
            <w:r>
              <w:t xml:space="preserve">Full drift scan, telemetry confirmation, user experience check</w:t>
            </w:r>
          </w:p>
        </w:tc>
      </w:tr>
      <w:tr>
        <w:tc>
          <w:tcPr/>
          <w:p>
            <w:pPr>
              <w:pStyle w:val="Compact"/>
            </w:pPr>
            <w:r>
              <w:t xml:space="preserve">6. Decommission</w:t>
            </w:r>
          </w:p>
        </w:tc>
        <w:tc>
          <w:tcPr/>
          <w:p>
            <w:pPr>
              <w:pStyle w:val="Compact"/>
            </w:pPr>
            <w:r>
              <w:t xml:space="preserve">Retire the legacy infrastructure after a stability window</w:t>
            </w:r>
          </w:p>
        </w:tc>
        <w:tc>
          <w:tcPr/>
          <w:p>
            <w:pPr>
              <w:pStyle w:val="Compact"/>
            </w:pPr>
            <w:r>
              <w:t xml:space="preserve">Legacy systems offline, rollback window expired with no incidents, provenance archived for audit</w:t>
            </w:r>
          </w:p>
        </w:tc>
      </w:tr>
    </w:tbl>
    <w:p>
      <w:pPr>
        <w:pStyle w:val="BodyText"/>
      </w:pPr>
      <w:r>
        <w:t xml:space="preserve">An adapter that adds a net-new capability without retiring legacy infrastructure may record Phase 6 as</w:t>
      </w:r>
      <w:r>
        <w:t xml:space="preserve"> </w:t>
      </w:r>
      <w:r>
        <w:rPr>
          <w:rStyle w:val="VerbatimChar"/>
        </w:rPr>
        <w:t xml:space="preserve">N/A — net-new capability</w:t>
      </w:r>
      <w:r>
        <w:t xml:space="preserve">, with a short justification in its registry entry.</w:t>
      </w:r>
    </w:p>
    <w:bookmarkStart w:id="337" w:name="canon-phase-mapping"/>
    <w:p>
      <w:pPr>
        <w:pStyle w:val="Heading3"/>
      </w:pPr>
      <w:r>
        <w:t xml:space="preserve">Canon phase mapping</w:t>
      </w:r>
    </w:p>
    <w:p>
      <w:pPr>
        <w:pStyle w:val="FirstParagraph"/>
      </w:pPr>
      <w:r>
        <w:t xml:space="preserve">Each adapter’s operational guide may have its own internal steps, but every guide, existing or future, must open with a canon phase mapping table that maps its steps onto the six phases above. Two guides serve as reference implementations. The DNS modernization guide maps eleven internal steps onto the six phases; the PKI modernization guide maps six onto six. The mapping is what lets a program manager read the status of a DNS migration and a RADIUS migration on the same scale.</w:t>
      </w:r>
    </w:p>
    <w:bookmarkEnd w:id="337"/>
    <w:bookmarkEnd w:id="338"/>
    <w:bookmarkStart w:id="339" w:name="adapter-registration"/>
    <w:p>
      <w:pPr>
        <w:pStyle w:val="Heading2"/>
      </w:pPr>
      <w:bookmarkStart w:id="1407" w:name="_Toc00001407"/>
      <w:r>
        <w:t xml:space="preserve">Adapter registration</w:t>
      </w:r>
      <w:bookmarkEnd w:id="1407"/>
    </w:p>
    <w:p>
      <w:pPr>
        <w:pStyle w:val="FirstParagraph"/>
      </w:pPr>
      <w:r>
        <w:t xml:space="preserve">Every adapter registers in the program’s migration adapter registry (</w:t>
      </w:r>
      <w:r>
        <w:rPr>
          <w:rStyle w:val="VerbatimChar"/>
        </w:rPr>
        <w:t xml:space="preserve">migration-adapter-registry.yaml</w:t>
      </w:r>
      <w:r>
        <w:t xml:space="preserve">), validated against a JSON schema (</w:t>
      </w:r>
      <w:r>
        <w:rPr>
          <w:rStyle w:val="VerbatimChar"/>
        </w:rPr>
        <w:t xml:space="preserve">migration-adapter-registry.schema.json</w:t>
      </w:r>
      <w:r>
        <w:t xml:space="preserve">). Each entry records:</w:t>
      </w:r>
    </w:p>
    <w:p>
      <w:pPr>
        <w:pStyle w:val="Compact"/>
        <w:numPr>
          <w:ilvl w:val="0"/>
          <w:numId w:val="1025"/>
        </w:numPr>
      </w:pPr>
      <w:r>
        <w:t xml:space="preserve">Adapter ID and name.</w:t>
      </w:r>
    </w:p>
    <w:p>
      <w:pPr>
        <w:pStyle w:val="Compact"/>
        <w:numPr>
          <w:ilvl w:val="0"/>
          <w:numId w:val="1025"/>
        </w:numPr>
      </w:pPr>
      <w:r>
        <w:t xml:space="preserve">Priority tier:</w:t>
      </w:r>
      <w:r>
        <w:t xml:space="preserve"> </w:t>
      </w:r>
      <w:r>
        <w:rPr>
          <w:rStyle w:val="VerbatimChar"/>
        </w:rPr>
        <w:t xml:space="preserve">CRITICAL</w:t>
      </w:r>
      <w:r>
        <w:t xml:space="preserve">,</w:t>
      </w:r>
      <w:r>
        <w:t xml:space="preserve"> </w:t>
      </w:r>
      <w:r>
        <w:rPr>
          <w:rStyle w:val="VerbatimChar"/>
        </w:rPr>
        <w:t xml:space="preserve">HIGH</w:t>
      </w:r>
      <w:r>
        <w:t xml:space="preserve">, or</w:t>
      </w:r>
      <w:r>
        <w:t xml:space="preserve"> </w:t>
      </w:r>
      <w:r>
        <w:rPr>
          <w:rStyle w:val="VerbatimChar"/>
        </w:rPr>
        <w:t xml:space="preserve">MEDIUM</w:t>
      </w:r>
      <w:r>
        <w:t xml:space="preserve">.</w:t>
      </w:r>
    </w:p>
    <w:p>
      <w:pPr>
        <w:pStyle w:val="Compact"/>
        <w:numPr>
          <w:ilvl w:val="0"/>
          <w:numId w:val="1025"/>
        </w:numPr>
      </w:pPr>
      <w:r>
        <w:t xml:space="preserve">Current migration phase, one of</w:t>
      </w:r>
      <w:r>
        <w:t xml:space="preserve"> </w:t>
      </w:r>
      <w:r>
        <w:rPr>
          <w:rStyle w:val="VerbatimChar"/>
        </w:rPr>
        <w:t xml:space="preserve">Discover</w:t>
      </w:r>
      <w:r>
        <w:t xml:space="preserve">,</w:t>
      </w:r>
      <w:r>
        <w:t xml:space="preserve"> </w:t>
      </w:r>
      <w:r>
        <w:rPr>
          <w:rStyle w:val="VerbatimChar"/>
        </w:rPr>
        <w:t xml:space="preserve">Normalize</w:t>
      </w:r>
      <w:r>
        <w:t xml:space="preserve">,</w:t>
      </w:r>
      <w:r>
        <w:t xml:space="preserve"> </w:t>
      </w:r>
      <w:r>
        <w:rPr>
          <w:rStyle w:val="VerbatimChar"/>
        </w:rPr>
        <w:t xml:space="preserve">Map</w:t>
      </w:r>
      <w:r>
        <w:t xml:space="preserve">,</w:t>
      </w:r>
      <w:r>
        <w:t xml:space="preserve"> </w:t>
      </w:r>
      <w:r>
        <w:rPr>
          <w:rStyle w:val="VerbatimChar"/>
        </w:rPr>
        <w:t xml:space="preserve">Migrate</w:t>
      </w:r>
      <w:r>
        <w:t xml:space="preserve">,</w:t>
      </w:r>
      <w:r>
        <w:t xml:space="preserve"> </w:t>
      </w:r>
      <w:r>
        <w:rPr>
          <w:rStyle w:val="VerbatimChar"/>
        </w:rPr>
        <w:t xml:space="preserve">Validate</w:t>
      </w:r>
      <w:r>
        <w:t xml:space="preserve">,</w:t>
      </w:r>
      <w:r>
        <w:t xml:space="preserve"> </w:t>
      </w:r>
      <w:r>
        <w:rPr>
          <w:rStyle w:val="VerbatimChar"/>
        </w:rPr>
        <w:t xml:space="preserve">Decommission</w:t>
      </w:r>
      <w:r>
        <w:t xml:space="preserve">, or</w:t>
      </w:r>
      <w:r>
        <w:t xml:space="preserve"> </w:t>
      </w:r>
      <w:r>
        <w:rPr>
          <w:rStyle w:val="VerbatimChar"/>
        </w:rPr>
        <w:t xml:space="preserve">N/A — net-new capability</w:t>
      </w:r>
      <w:r>
        <w:t xml:space="preserve">.</w:t>
      </w:r>
    </w:p>
    <w:p>
      <w:pPr>
        <w:pStyle w:val="Compact"/>
        <w:numPr>
          <w:ilvl w:val="0"/>
          <w:numId w:val="1025"/>
        </w:numPr>
      </w:pPr>
      <w:r>
        <w:t xml:space="preserve">Dependencies: which adapters must complete first.</w:t>
      </w:r>
    </w:p>
    <w:p>
      <w:pPr>
        <w:pStyle w:val="Compact"/>
        <w:numPr>
          <w:ilvl w:val="0"/>
          <w:numId w:val="1025"/>
        </w:numPr>
      </w:pPr>
      <w:r>
        <w:t xml:space="preserve">Validation criteria: machine-checkable success conditions.</w:t>
      </w:r>
    </w:p>
    <w:p>
      <w:pPr>
        <w:pStyle w:val="Compact"/>
        <w:numPr>
          <w:ilvl w:val="0"/>
          <w:numId w:val="1025"/>
        </w:numPr>
      </w:pPr>
      <w:r>
        <w:t xml:space="preserve">Canon crosswalk: links to the relevant</w:t>
      </w:r>
      <w:r>
        <w:t xml:space="preserve"> </w:t>
      </w:r>
      <w:r>
        <w:rPr>
          <w:rStyle w:val="VerbatimChar"/>
        </w:rPr>
        <w:t xml:space="preserve">FMP_</w:t>
      </w:r>
      <w:r>
        <w:t xml:space="preserve"> </w:t>
      </w:r>
      <w:r>
        <w:t xml:space="preserve">canon documents. The older</w:t>
      </w:r>
      <w:r>
        <w:t xml:space="preserve"> </w:t>
      </w:r>
      <w:r>
        <w:rPr>
          <w:rStyle w:val="VerbatimChar"/>
        </w:rPr>
        <w:t xml:space="preserve">MOD_</w:t>
      </w:r>
      <w:r>
        <w:t xml:space="preserve"> </w:t>
      </w:r>
      <w:r>
        <w:t xml:space="preserve">document namespace has been retired into</w:t>
      </w:r>
      <w:r>
        <w:t xml:space="preserve"> </w:t>
      </w:r>
      <w:r>
        <w:rPr>
          <w:rStyle w:val="VerbatimChar"/>
        </w:rPr>
        <w:t xml:space="preserve">FMP_</w:t>
      </w:r>
      <w:r>
        <w:t xml:space="preserve">.</w:t>
      </w:r>
    </w:p>
    <w:p>
      <w:pPr>
        <w:pStyle w:val="FirstParagraph"/>
      </w:pPr>
      <w:r>
        <w:t xml:space="preserve">The registry lives with the adapter specifications in the program’s source tree under</w:t>
      </w:r>
      <w:r>
        <w:t xml:space="preserve"> </w:t>
      </w:r>
      <w:r>
        <w:rPr>
          <w:rStyle w:val="VerbatimChar"/>
        </w:rPr>
        <w:t xml:space="preserve">src/fmp/modernization/directory-migration/</w:t>
      </w:r>
      <w:r>
        <w:t xml:space="preserve">, alongside the full adapter interface specifications and vendor manifests (</w:t>
      </w:r>
      <w:r>
        <w:rPr>
          <w:rStyle w:val="VerbatimChar"/>
        </w:rPr>
        <w:t xml:space="preserve">adapters/</w:t>
      </w:r>
      <w:r>
        <w:t xml:space="preserve">), the eight core concepts, and the AD dependency inventory.</w:t>
      </w:r>
    </w:p>
    <w:bookmarkEnd w:id="339"/>
    <w:bookmarkStart w:id="340" w:name="post-migration-validation"/>
    <w:p>
      <w:pPr>
        <w:pStyle w:val="Heading2"/>
      </w:pPr>
      <w:bookmarkStart w:id="1408" w:name="_Toc00001408"/>
      <w:r>
        <w:t xml:space="preserve">Post-migration validation</w:t>
      </w:r>
      <w:bookmarkEnd w:id="1408"/>
    </w:p>
    <w:p>
      <w:pPr>
        <w:pStyle w:val="FirstParagraph"/>
      </w:pPr>
      <w:r>
        <w:t xml:space="preserve">After all adapters have moved, the program’s validation checklist (DM_090) is the pass/fail gate for each service category before AD decommission is authorized. The gate restates each adapter’s own validation criteria in one place: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Service</w:t>
            </w:r>
          </w:p>
        </w:tc>
        <w:tc>
          <w:tcPr/>
          <w:p>
            <w:pPr>
              <w:pStyle w:val="Compact"/>
            </w:pPr>
            <w:r>
              <w:t xml:space="preserve">Passes when</w:t>
            </w:r>
          </w:p>
        </w:tc>
      </w:tr>
      <w:tr>
        <w:tc>
          <w:tcPr/>
          <w:p>
            <w:pPr>
              <w:pStyle w:val="Compact"/>
            </w:pPr>
            <w:r>
              <w:t xml:space="preserve">DNS and DHCP</w:t>
            </w:r>
          </w:p>
        </w:tc>
        <w:tc>
          <w:tcPr/>
          <w:p>
            <w:pPr>
              <w:pStyle w:val="Compact"/>
            </w:pPr>
            <w:r>
              <w:t xml:space="preserve">Zones resolve without AD-integrated storage; no client still depends on DC locator records; no rogue DHCP</w:t>
            </w:r>
          </w:p>
        </w:tc>
      </w:tr>
      <w:tr>
        <w:tc>
          <w:tcPr/>
          <w:p>
            <w:pPr>
              <w:pStyle w:val="Compact"/>
            </w:pPr>
            <w:r>
              <w:t xml:space="preserve">PKI</w:t>
            </w:r>
          </w:p>
        </w:tc>
        <w:tc>
          <w:tcPr/>
          <w:p>
            <w:pPr>
              <w:pStyle w:val="Compact"/>
            </w:pPr>
            <w:r>
              <w:t xml:space="preserve">Every renewal in the expiry window issued by the new CA; trust chain validated on every platform</w:t>
            </w:r>
          </w:p>
        </w:tc>
      </w:tr>
      <w:tr>
        <w:tc>
          <w:tcPr/>
          <w:p>
            <w:pPr>
              <w:pStyle w:val="Compact"/>
            </w:pPr>
            <w:r>
              <w:t xml:space="preserve">RADIUS</w:t>
            </w:r>
          </w:p>
        </w:tc>
        <w:tc>
          <w:tcPr/>
          <w:p>
            <w:pPr>
              <w:pStyle w:val="Compact"/>
            </w:pPr>
            <w:r>
              <w:t xml:space="preserve">Every RADIUS client points at the new service; 30-day parallel window closed with no failures</w:t>
            </w:r>
          </w:p>
        </w:tc>
      </w:tr>
      <w:tr>
        <w:tc>
          <w:tcPr/>
          <w:p>
            <w:pPr>
              <w:pStyle w:val="Compact"/>
            </w:pPr>
            <w:r>
              <w:t xml:space="preserve">LDAP</w:t>
            </w:r>
          </w:p>
        </w:tc>
        <w:tc>
          <w:tcPr/>
          <w:p>
            <w:pPr>
              <w:pStyle w:val="Compact"/>
            </w:pPr>
            <w:r>
              <w:t xml:space="preserve">Every application in the dependency map validated against its target; no bind traffic to domain controllers</w:t>
            </w:r>
          </w:p>
        </w:tc>
      </w:tr>
      <w:tr>
        <w:tc>
          <w:tcPr/>
          <w:p>
            <w:pPr>
              <w:pStyle w:val="Compact"/>
            </w:pPr>
            <w:r>
              <w:t xml:space="preserve">Sync engine</w:t>
            </w:r>
          </w:p>
        </w:tc>
        <w:tc>
          <w:tcPr/>
          <w:p>
            <w:pPr>
              <w:pStyle w:val="Compact"/>
            </w:pPr>
            <w:r>
              <w:t xml:space="preserve">All six retirement criteria true</w:t>
            </w:r>
          </w:p>
        </w:tc>
      </w:tr>
      <w:tr>
        <w:tc>
          <w:tcPr/>
          <w:p>
            <w:pPr>
              <w:pStyle w:val="Compact"/>
            </w:pPr>
            <w:r>
              <w:t xml:space="preserve">Devices</w:t>
            </w:r>
          </w:p>
        </w:tc>
        <w:tc>
          <w:tcPr/>
          <w:p>
            <w:pPr>
              <w:pStyle w:val="Compact"/>
            </w:pPr>
            <w:r>
              <w:t xml:space="preserve">Every workload on Intune; no GPO setting left without a decision</w:t>
            </w:r>
          </w:p>
        </w:tc>
      </w:tr>
      <w:tr>
        <w:tc>
          <w:tcPr/>
          <w:p>
            <w:pPr>
              <w:pStyle w:val="Compact"/>
            </w:pPr>
            <w:r>
              <w:t xml:space="preserve">Time</w:t>
            </w:r>
          </w:p>
        </w:tc>
        <w:tc>
          <w:tcPr/>
          <w:p>
            <w:pPr>
              <w:pStyle w:val="Compact"/>
            </w:pPr>
            <w:r>
              <w:t xml:space="preserve">Every device and server has an explicit, policy-set time source</w:t>
            </w:r>
          </w:p>
        </w:tc>
      </w:tr>
      <w:tr>
        <w:tc>
          <w:tcPr/>
          <w:p>
            <w:pPr>
              <w:pStyle w:val="Compact"/>
            </w:pPr>
            <w:r>
              <w:t xml:space="preserve">File services</w:t>
            </w:r>
          </w:p>
        </w:tc>
        <w:tc>
          <w:tcPr/>
          <w:p>
            <w:pPr>
              <w:pStyle w:val="Compact"/>
            </w:pPr>
            <w:r>
              <w:t xml:space="preserve">No domain-based namespace path in use</w:t>
            </w:r>
          </w:p>
        </w:tc>
      </w:tr>
    </w:tbl>
    <w:bookmarkEnd w:id="340"/>
    <w:bookmarkStart w:id="341" w:name="the-transformation-inventory"/>
    <w:p>
      <w:pPr>
        <w:pStyle w:val="Heading2"/>
      </w:pPr>
      <w:bookmarkStart w:id="1409" w:name="_Toc00001409"/>
      <w:r>
        <w:t xml:space="preserve">The transformation inventory</w:t>
      </w:r>
      <w:bookmarkEnd w:id="1409"/>
    </w:p>
    <w:p>
      <w:pPr>
        <w:pStyle w:val="FirstParagraph"/>
      </w:pPr>
      <w:r>
        <w:t xml:space="preserve">The adapters need data, and that data comes from the identity and directory transformation inventory: a structured assessment of the current estate that answers what exists, what depends on it, and what must be decided before anything is moved or retired.</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Category</w:t>
            </w:r>
          </w:p>
        </w:tc>
        <w:tc>
          <w:tcPr/>
          <w:p>
            <w:pPr>
              <w:pStyle w:val="Compact"/>
            </w:pPr>
            <w:r>
              <w:t xml:space="preserve">Key questions</w:t>
            </w:r>
          </w:p>
        </w:tc>
      </w:tr>
      <w:tr>
        <w:tc>
          <w:tcPr/>
          <w:p>
            <w:pPr>
              <w:pStyle w:val="Compact"/>
            </w:pPr>
            <w:r>
              <w:t xml:space="preserve">Forest and domains</w:t>
            </w:r>
          </w:p>
        </w:tc>
        <w:tc>
          <w:tcPr/>
          <w:p>
            <w:pPr>
              <w:pStyle w:val="Compact"/>
            </w:pPr>
            <w:r>
              <w:t xml:space="preserve">Functional levels, trusts, sites, domain controllers</w:t>
            </w:r>
          </w:p>
        </w:tc>
      </w:tr>
      <w:tr>
        <w:tc>
          <w:tcPr/>
          <w:p>
            <w:pPr>
              <w:pStyle w:val="Compact"/>
            </w:pPr>
            <w:r>
              <w:t xml:space="preserve">Users</w:t>
            </w:r>
          </w:p>
        </w:tc>
        <w:tc>
          <w:tcPr/>
          <w:p>
            <w:pPr>
              <w:pStyle w:val="Compact"/>
            </w:pPr>
            <w:r>
              <w:t xml:space="preserve">Count, privileged, service, stale, external</w:t>
            </w:r>
          </w:p>
        </w:tc>
      </w:tr>
      <w:tr>
        <w:tc>
          <w:tcPr/>
          <w:p>
            <w:pPr>
              <w:pStyle w:val="Compact"/>
            </w:pPr>
            <w:r>
              <w:t xml:space="preserve">Groups</w:t>
            </w:r>
          </w:p>
        </w:tc>
        <w:tc>
          <w:tcPr/>
          <w:p>
            <w:pPr>
              <w:pStyle w:val="Compact"/>
            </w:pPr>
            <w:r>
              <w:t xml:space="preserve">Count, nested, privileged, dynamic or static</w:t>
            </w:r>
          </w:p>
        </w:tc>
      </w:tr>
      <w:tr>
        <w:tc>
          <w:tcPr/>
          <w:p>
            <w:pPr>
              <w:pStyle w:val="Compact"/>
            </w:pPr>
            <w:r>
              <w:t xml:space="preserve">Computers</w:t>
            </w:r>
          </w:p>
        </w:tc>
        <w:tc>
          <w:tcPr/>
          <w:p>
            <w:pPr>
              <w:pStyle w:val="Compact"/>
            </w:pPr>
            <w:r>
              <w:t xml:space="preserve">Domain-joined, OS distribution, last logon</w:t>
            </w:r>
          </w:p>
        </w:tc>
      </w:tr>
      <w:tr>
        <w:tc>
          <w:tcPr/>
          <w:p>
            <w:pPr>
              <w:pStyle w:val="Compact"/>
            </w:pPr>
            <w:r>
              <w:t xml:space="preserve">Authentication</w:t>
            </w:r>
          </w:p>
        </w:tc>
        <w:tc>
          <w:tcPr/>
          <w:p>
            <w:pPr>
              <w:pStyle w:val="Compact"/>
            </w:pPr>
            <w:r>
              <w:t xml:space="preserve">NTLM usage, Kerberos delegation, certificate-based</w:t>
            </w:r>
          </w:p>
        </w:tc>
      </w:tr>
      <w:tr>
        <w:tc>
          <w:tcPr/>
          <w:p>
            <w:pPr>
              <w:pStyle w:val="Compact"/>
            </w:pPr>
            <w:r>
              <w:t xml:space="preserve">Applications</w:t>
            </w:r>
          </w:p>
        </w:tc>
        <w:tc>
          <w:tcPr/>
          <w:p>
            <w:pPr>
              <w:pStyle w:val="Compact"/>
            </w:pPr>
            <w:r>
              <w:t xml:space="preserve">Apps that require AD, LDAP, or Kerberos</w:t>
            </w:r>
          </w:p>
        </w:tc>
      </w:tr>
      <w:tr>
        <w:tc>
          <w:tcPr/>
          <w:p>
            <w:pPr>
              <w:pStyle w:val="Compact"/>
            </w:pPr>
            <w:r>
              <w:t xml:space="preserve">Group Policy</w:t>
            </w:r>
          </w:p>
        </w:tc>
        <w:tc>
          <w:tcPr/>
          <w:p>
            <w:pPr>
              <w:pStyle w:val="Compact"/>
            </w:pPr>
            <w:r>
              <w:t xml:space="preserve">Count, high-risk settings, link structure</w:t>
            </w:r>
          </w:p>
        </w:tc>
      </w:tr>
      <w:tr>
        <w:tc>
          <w:tcPr/>
          <w:p>
            <w:pPr>
              <w:pStyle w:val="Compact"/>
            </w:pPr>
            <w:r>
              <w:t xml:space="preserve">DNS and PKI</w:t>
            </w:r>
          </w:p>
        </w:tc>
        <w:tc>
          <w:tcPr/>
          <w:p>
            <w:pPr>
              <w:pStyle w:val="Compact"/>
            </w:pPr>
            <w:r>
              <w:t xml:space="preserve">Zones, CAs, templates, issued certificates</w:t>
            </w:r>
          </w:p>
        </w:tc>
      </w:tr>
      <w:tr>
        <w:tc>
          <w:tcPr/>
          <w:p>
            <w:pPr>
              <w:pStyle w:val="Compact"/>
            </w:pPr>
            <w:r>
              <w:t xml:space="preserve">Dependencies</w:t>
            </w:r>
          </w:p>
        </w:tc>
        <w:tc>
          <w:tcPr/>
          <w:p>
            <w:pPr>
              <w:pStyle w:val="Compact"/>
            </w:pPr>
            <w:r>
              <w:t xml:space="preserve">Systems that break if a domain controller, GPO, or trust is removed</w:t>
            </w:r>
          </w:p>
        </w:tc>
      </w:tr>
    </w:tbl>
    <w:p>
      <w:pPr>
        <w:pStyle w:val="BodyText"/>
      </w:pPr>
      <w:r>
        <w:t xml:space="preserve">The output is a decision-ready inventory that feeds identity transformation sequencing, GPO sunset planning, application remediation, and residual-risk acceptance. Chapter 07 explains how to collect it without changing the forest, and Chapter 08 turns it into an assessment.</w:t>
      </w:r>
    </w:p>
    <w:bookmarkEnd w:id="341"/>
    <w:bookmarkStart w:id="342" w:name="continue-the-book-3"/>
    <w:p>
      <w:pPr>
        <w:pStyle w:val="Heading2"/>
      </w:pPr>
      <w:bookmarkStart w:id="1410" w:name="_Toc00001410"/>
      <w:r>
        <w:t xml:space="preserve">Continue the book</w:t>
      </w:r>
      <w:bookmarkEnd w:id="1410"/>
    </w:p>
    <w:p>
      <w:pPr>
        <w:pStyle w:val="FirstParagraph"/>
      </w:pPr>
      <w:r>
        <w:t xml:space="preserve">← Previous: Chapter 03 — Active Directory and Entra ID, Side by Side · Book index · Next: Chapter 05 — Delegation Without OUs →</w:t>
      </w:r>
    </w:p>
    <w:bookmarkEnd w:id="342"/>
    <w:bookmarkEnd w:id="343"/>
    <w:bookmarkStart w:id="400" w:name="chapter-05-delegation-without-ous"/>
    <w:p>
      <w:pPr>
        <w:pStyle w:val="Heading1"/>
      </w:pPr>
      <w:bookmarkStart w:id="1411" w:name="_Toc00001411"/>
      <w:r>
        <w:t xml:space="preserve">Chapter 05 — Delegation Without OUs</w:t>
      </w:r>
      <w:bookmarkEnd w:id="1411"/>
    </w:p>
    <w:p>
      <w:pPr>
        <w:pStyle w:val="FirstParagraph"/>
      </w:pPr>
      <w:r>
        <w:rPr>
          <w:i/>
          <w:iCs/>
        </w:rPr>
        <w:t xml:space="preserve">In Active Directory the OU tree was the delegation model; in Entra ID the scope has to be declared on purpose, from governed attributes.</w:t>
      </w:r>
    </w:p>
    <w:bookmarkStart w:id="344" w:name="in-this-chapter-4"/>
    <w:p>
      <w:pPr>
        <w:pStyle w:val="Heading2"/>
      </w:pPr>
      <w:bookmarkStart w:id="1412" w:name="_Toc00001412"/>
      <w:r>
        <w:t xml:space="preserve">In this chapter</w:t>
      </w:r>
      <w:bookmarkEnd w:id="1412"/>
    </w:p>
    <w:p>
      <w:pPr>
        <w:pStyle w:val="FirstParagraph"/>
      </w:pPr>
      <w:r>
        <w:t xml:space="preserve">Why removing OUs removes the delegation model, and the two bad choices organizations fall into. What administrative units are, what they don’t do, and what dynamic and restricted management units cost and constrain. The program’s three-tier model and role assignment matrix, corrected against current Microsoft behavior, followed by the delegation principles and the drift checks that keep the matrix true.</w:t>
      </w:r>
    </w:p>
    <w:bookmarkEnd w:id="344"/>
    <w:p>
      <w:pPr>
        <w:pStyle w:val="BodyText"/>
      </w:pPr>
      <w:r>
        <w:t xml:space="preserve">In Active Directory, delegation was implicit. Place a user in an OU, grant an administrators’ group rights on that OU, and delegation was done. Every branch of the tree defined a scope of management authority, and the tree was usually drawn to match the organization.</w:t>
      </w:r>
    </w:p>
    <w:p>
      <w:pPr>
        <w:pStyle w:val="BodyText"/>
      </w:pPr>
      <w:r>
        <w:t xml:space="preserve">Microsoft Entra ID has no OUs. Its directory is flat: every user sits at the same level. Without a replacement for OU-based scope, organizations make one of two bad choices:</w:t>
      </w:r>
    </w:p>
    <w:p>
      <w:pPr>
        <w:pStyle w:val="Compact"/>
        <w:numPr>
          <w:ilvl w:val="0"/>
          <w:numId w:val="1026"/>
        </w:numPr>
      </w:pPr>
      <w:r>
        <w:rPr>
          <w:b/>
          <w:bCs/>
        </w:rPr>
        <w:t xml:space="preserve">Over-delegate.</w:t>
      </w:r>
      <w:r>
        <w:t xml:space="preserve"> </w:t>
      </w:r>
      <w:r>
        <w:t xml:space="preserve">Give administrators tenant-wide roles such as User Administrator, or worse Global Administrator, because nothing narrower exists. This breaks least privilege and produces audit findings.</w:t>
      </w:r>
    </w:p>
    <w:p>
      <w:pPr>
        <w:pStyle w:val="Compact"/>
        <w:numPr>
          <w:ilvl w:val="0"/>
          <w:numId w:val="1026"/>
        </w:numPr>
      </w:pPr>
      <w:r>
        <w:rPr>
          <w:b/>
          <w:bCs/>
        </w:rPr>
        <w:t xml:space="preserve">Under-delegate.</w:t>
      </w:r>
      <w:r>
        <w:t xml:space="preserve"> </w:t>
      </w:r>
      <w:r>
        <w:t xml:space="preserve">Keep all administration with a small central team, so every password reset, group change, and profile update becomes a ticket and a queue.</w:t>
      </w:r>
    </w:p>
    <w:p>
      <w:pPr>
        <w:pStyle w:val="FirstParagraph"/>
      </w:pPr>
      <w:r>
        <w:t xml:space="preserve">Administrative units (AUs) are the replacement. They create scope boundaries inside the flat directory. The program’s Delegation Matrix (</w:t>
      </w:r>
      <w:r>
        <w:rPr>
          <w:rStyle w:val="VerbatimChar"/>
        </w:rPr>
        <w:t xml:space="preserve">FMP_154</w:t>
      </w:r>
      <w:r>
        <w:t xml:space="preserve">) names the canonical AUs and the role assignments they carry. This chapter presents that matrix with the corrections that current Microsoft behavior requires.</w:t>
      </w:r>
    </w:p>
    <w:bookmarkStart w:id="348" w:name="fig-ch05-three-tier-delegation"/>
    <w:p>
      <w:pPr>
        <w:pStyle w:val="CaptionedFigure"/>
      </w:pPr>
      <w:r>
        <w:drawing>
          <wp:inline>
            <wp:extent cx="5334000" cy="2857500"/>
            <wp:effectExtent b="0" l="0" r="0" t="0"/>
            <wp:docPr descr="The three-tier delegation model: tenant-scoped readers above department and division administrative units." title="" id="346" name="Picture"/>
            <a:graphic>
              <a:graphicData uri="http://schemas.openxmlformats.org/drawingml/2006/picture">
                <pic:pic>
                  <pic:nvPicPr>
                    <pic:cNvPr descr="/home/runner/work/modernization-workbook/modernization-workbook/docs/images/diagrams/b02-identity/png/ch05-three-tier-delegation.png" id="347" name="Picture"/>
                    <pic:cNvPicPr>
                      <a:picLocks noChangeArrowheads="1" noChangeAspect="1"/>
                    </pic:cNvPicPr>
                  </pic:nvPicPr>
                  <pic:blipFill>
                    <a:blip r:embed="rId345"/>
                    <a:stretch>
                      <a:fillRect/>
                    </a:stretch>
                  </pic:blipFill>
                  <pic:spPr bwMode="auto">
                    <a:xfrm>
                      <a:off x="0" y="0"/>
                      <a:ext cx="5334000" cy="2857500"/>
                    </a:xfrm>
                    <a:prstGeom prst="rect">
                      <a:avLst/>
                    </a:prstGeom>
                    <a:noFill/>
                    <a:ln w="9525">
                      <a:noFill/>
                      <a:headEnd/>
                      <a:tailEnd/>
                    </a:ln>
                  </pic:spPr>
                </pic:pic>
              </a:graphicData>
            </a:graphic>
          </wp:inline>
        </w:drawing>
      </w:r>
    </w:p>
    <w:p>
      <w:pPr>
        <w:pStyle w:val="ImageCaption"/>
      </w:pPr>
      <w:r>
        <w:t xml:space="preserve">The three-tier delegation model: tenant-scoped readers above department and division administrative units.</w:t>
      </w:r>
    </w:p>
    <w:bookmarkEnd w:id="348"/>
    <w:bookmarkStart w:id="368" w:name="what-administrative-units-are"/>
    <w:p>
      <w:pPr>
        <w:pStyle w:val="Heading2"/>
      </w:pPr>
      <w:bookmarkStart w:id="1413" w:name="_Toc00001413"/>
      <w:r>
        <w:t xml:space="preserve">What administrative units are</w:t>
      </w:r>
      <w:bookmarkEnd w:id="1413"/>
    </w:p>
    <w:p>
      <w:pPr>
        <w:pStyle w:val="FirstParagraph"/>
      </w:pPr>
      <w:r>
        <w:t xml:space="preserve">An administrative unit is a Microsoft Entra resource that contains users, groups, or devices, and nothing else. Assigning a role at the scope of an AU limits that role’s permissions to the AU’s members. A user can belong to several AUs, for example one for geography and one for division.</w:t>
      </w:r>
      <w:r>
        <w:rPr>
          <w:rStyle w:val="FootnoteReference"/>
        </w:rPr>
        <w:footnoteReference w:id="349"/>
      </w:r>
      <w:r>
        <w:t xml:space="preserve"> </w:t>
      </w:r>
      <w:r>
        <w:t xml:space="preserve">The constraints matter more than the definition:</w:t>
      </w:r>
    </w:p>
    <w:p>
      <w:pPr>
        <w:pStyle w:val="Compact"/>
        <w:numPr>
          <w:ilvl w:val="0"/>
          <w:numId w:val="1027"/>
        </w:numPr>
      </w:pPr>
      <w:r>
        <w:rPr>
          <w:b/>
          <w:bCs/>
        </w:rPr>
        <w:t xml:space="preserve">AUs can’t be nested.</w:t>
      </w:r>
      <w:r>
        <w:rPr>
          <w:rStyle w:val="FootnoteReference"/>
        </w:rPr>
        <w:footnoteReference w:id="351"/>
      </w:r>
      <w:r>
        <w:t xml:space="preserve"> </w:t>
      </w:r>
      <w:r>
        <w:t xml:space="preserve">There’s no tree. A department AU and its division AUs are siblings;</w:t>
      </w:r>
      <w:r>
        <w:t xml:space="preserve"> </w:t>
      </w:r>
      <w:r>
        <w:t xml:space="preserve">“division inside department”</w:t>
      </w:r>
      <w:r>
        <w:t xml:space="preserve"> </w:t>
      </w:r>
      <w:r>
        <w:t xml:space="preserve">is a naming convention and a design intent, not containment.</w:t>
      </w:r>
    </w:p>
    <w:p>
      <w:pPr>
        <w:pStyle w:val="Compact"/>
        <w:numPr>
          <w:ilvl w:val="0"/>
          <w:numId w:val="1027"/>
        </w:numPr>
      </w:pPr>
      <w:r>
        <w:rPr>
          <w:b/>
          <w:bCs/>
        </w:rPr>
        <w:t xml:space="preserve">A group in an AU brings the group, not its members.</w:t>
      </w:r>
      <w:r>
        <w:t xml:space="preserve"> </w:t>
      </w:r>
      <w:r>
        <w:t xml:space="preserve">An administrator scoped to the AU can rename the group and change its membership, but can’t manage the users in it or reset their passwords unless those users are themselves members of the AU.</w:t>
      </w:r>
      <w:r>
        <w:rPr>
          <w:rStyle w:val="FootnoteReference"/>
        </w:rPr>
        <w:footnoteReference w:id="352"/>
      </w:r>
    </w:p>
    <w:p>
      <w:pPr>
        <w:pStyle w:val="Compact"/>
        <w:numPr>
          <w:ilvl w:val="0"/>
          <w:numId w:val="1027"/>
        </w:numPr>
      </w:pPr>
      <w:r>
        <w:rPr>
          <w:b/>
          <w:bCs/>
        </w:rPr>
        <w:t xml:space="preserve">AUs scope management, not visibility.</w:t>
      </w:r>
      <w:r>
        <w:t xml:space="preserve"> </w:t>
      </w:r>
      <w:r>
        <w:t xml:space="preserve">They don’t stop administrators or users from browsing users and groups outside the AU with their default permissions in the Entra admin center or PowerShell. Only the Microsoft 365 admin center filters out users outside a scoped administrator’s AUs.</w:t>
      </w:r>
      <w:r>
        <w:rPr>
          <w:rStyle w:val="FootnoteReference"/>
        </w:rPr>
        <w:footnoteReference w:id="353"/>
      </w:r>
      <w:r>
        <w:t xml:space="preserve"> </w:t>
      </w:r>
      <w:r>
        <w:t xml:space="preserve">Treat AUs as a write boundary, not a confidentiality boundary.</w:t>
      </w:r>
    </w:p>
    <w:p>
      <w:pPr>
        <w:pStyle w:val="Compact"/>
        <w:numPr>
          <w:ilvl w:val="0"/>
          <w:numId w:val="1027"/>
        </w:numPr>
      </w:pPr>
      <w:r>
        <w:rPr>
          <w:b/>
          <w:bCs/>
        </w:rPr>
        <w:t xml:space="preserve">Only some roles can be scoped to an AU.</w:t>
      </w:r>
      <w:r>
        <w:t xml:space="preserve"> </w:t>
      </w:r>
      <w:r>
        <w:t xml:space="preserve">The list includes User Administrator, Groups Administrator, Helpdesk Administrator, Password Administrator, Authentication Administrator, Privileged Authentication Administrator, License Administrator, Cloud Device Administrator, and a few others, plus custom roles with permissions over users, groups, or devices. AU-scoped Helpdesk and Password Administrators can reset passwords only for users who don’t hold administrator roles.</w:t>
      </w:r>
      <w:r>
        <w:rPr>
          <w:rStyle w:val="FootnoteReference"/>
        </w:rPr>
        <w:footnoteReference w:id="354"/>
      </w:r>
    </w:p>
    <w:p>
      <w:pPr>
        <w:pStyle w:val="Compact"/>
        <w:numPr>
          <w:ilvl w:val="0"/>
          <w:numId w:val="1027"/>
        </w:numPr>
      </w:pPr>
      <w:r>
        <w:rPr>
          <w:b/>
          <w:bCs/>
        </w:rPr>
        <w:t xml:space="preserve">Licensing.</w:t>
      </w:r>
      <w:r>
        <w:t xml:space="preserve"> </w:t>
      </w:r>
      <w:r>
        <w:t xml:space="preserve">Each administrator assigned a role over an AU needs Microsoft Entra ID P1; members need only Entra ID Free.</w:t>
      </w:r>
      <w:r>
        <w:rPr>
          <w:rStyle w:val="FootnoteReference"/>
        </w:rPr>
        <w:footnoteReference w:id="356"/>
      </w:r>
    </w:p>
    <w:bookmarkStart w:id="362" w:name="dynamic-administrative-units"/>
    <w:p>
      <w:pPr>
        <w:pStyle w:val="Heading3"/>
      </w:pPr>
      <w:r>
        <w:t xml:space="preserve">Dynamic administrative units</w:t>
      </w:r>
    </w:p>
    <w:p>
      <w:pPr>
        <w:pStyle w:val="FirstParagraph"/>
      </w:pPr>
      <w:r>
        <w:t xml:space="preserve">An AU’s membership can be maintained by a rule, using the same attributes as dynamic membership groups. That’s what lets the program derive scope from HR-sourced attributes instead of hand-maintained lists. A dynamic AU has limits of its own:</w:t>
      </w:r>
      <w:r>
        <w:rPr>
          <w:rStyle w:val="FootnoteReference"/>
        </w:rPr>
        <w:footnoteReference w:id="357"/>
      </w:r>
    </w:p>
    <w:p>
      <w:pPr>
        <w:pStyle w:val="Compact"/>
        <w:numPr>
          <w:ilvl w:val="0"/>
          <w:numId w:val="1028"/>
        </w:numPr>
      </w:pPr>
      <w:r>
        <w:t xml:space="preserve">One object type per AU: users or devices, not both. Dynamic rules for groups aren’t supported.</w:t>
      </w:r>
    </w:p>
    <w:p>
      <w:pPr>
        <w:pStyle w:val="Compact"/>
        <w:numPr>
          <w:ilvl w:val="0"/>
          <w:numId w:val="1028"/>
        </w:numPr>
      </w:pPr>
      <w:r>
        <w:t xml:space="preserve">Every unique user who is a member of one or more dynamic AUs must be covered by an Entra ID P1 license count; devices need no license.</w:t>
      </w:r>
    </w:p>
    <w:p>
      <w:pPr>
        <w:pStyle w:val="Compact"/>
        <w:numPr>
          <w:ilvl w:val="0"/>
          <w:numId w:val="1028"/>
        </w:numPr>
      </w:pPr>
      <w:r>
        <w:t xml:space="preserve">Dynamic AUs are available in the global Azure cloud, not in specialized clouds such as Azure Government. A tenant in a Microsoft government cloud may have to maintain membership another way.</w:t>
      </w:r>
    </w:p>
    <w:p>
      <w:pPr>
        <w:pStyle w:val="Compact"/>
        <w:numPr>
          <w:ilvl w:val="0"/>
          <w:numId w:val="1028"/>
        </w:numPr>
      </w:pPr>
      <w:r>
        <w:t xml:space="preserve">Dynamic groups and dynamic AUs together can’t exceed 15,000 per tenant, and a rule can’t exceed 3,072 characters.</w:t>
      </w:r>
      <w:r>
        <w:rPr>
          <w:rStyle w:val="FootnoteReference"/>
        </w:rPr>
        <w:footnoteReference w:id="359"/>
      </w:r>
    </w:p>
    <w:p>
      <w:pPr>
        <w:pStyle w:val="Compact"/>
        <w:numPr>
          <w:ilvl w:val="0"/>
          <w:numId w:val="1028"/>
        </w:numPr>
      </w:pPr>
      <w:r>
        <w:t xml:space="preserve">Membership can’t be edited by hand; to add a single exception, extend the rule with an</w:t>
      </w:r>
      <w:r>
        <w:t xml:space="preserve"> </w:t>
      </w:r>
      <w:r>
        <w:rPr>
          <w:rStyle w:val="VerbatimChar"/>
        </w:rPr>
        <w:t xml:space="preserve">-or</w:t>
      </w:r>
      <w:r>
        <w:t xml:space="preserve"> </w:t>
      </w:r>
      <w:r>
        <w:t xml:space="preserve">clause.</w:t>
      </w:r>
      <w:r>
        <w:rPr>
          <w:rStyle w:val="FootnoteReference"/>
        </w:rPr>
        <w:footnoteReference w:id="361"/>
      </w:r>
    </w:p>
    <w:bookmarkEnd w:id="362"/>
    <w:bookmarkStart w:id="367" w:name="Xba54fa728a3b3f716ec3a41be205c3b5f89b0c0"/>
    <w:p>
      <w:pPr>
        <w:pStyle w:val="Heading3"/>
      </w:pPr>
      <w:r>
        <w:t xml:space="preserve">Restricted management administrative units</w:t>
      </w:r>
    </w:p>
    <w:p>
      <w:pPr>
        <w:pStyle w:val="FirstParagraph"/>
      </w:pPr>
      <w:r>
        <w:t xml:space="preserve">A restricted management AU protects its members from tenant-level administrators. Only administrators with a role assigned at the scope of that AU (or of another restricted management AU the object belongs to) can change the Entra properties of its users, groups, and devices.</w:t>
      </w:r>
      <w:r>
        <w:rPr>
          <w:rStyle w:val="FootnoteReference"/>
        </w:rPr>
        <w:footnoteReference w:id="363"/>
      </w:r>
      <w:r>
        <w:t xml:space="preserve"> </w:t>
      </w:r>
      <w:r>
        <w:t xml:space="preserve">Tenant-scoped Global Administrators and Privileged Role Administrators can’t modify the objects, but they</w:t>
      </w:r>
      <w:r>
        <w:t xml:space="preserve"> </w:t>
      </w:r>
      <w:r>
        <w:rPr>
          <w:b/>
          <w:bCs/>
        </w:rPr>
        <w:t xml:space="preserve">can</w:t>
      </w:r>
      <w:r>
        <w:t xml:space="preserve"> </w:t>
      </w:r>
      <w:r>
        <w:t xml:space="preserve">manage the AU itself: create or delete it, add and remove members, and assign roles over it, including to themselves. Those actions are written to the audit log.</w:t>
      </w:r>
      <w:r>
        <w:rPr>
          <w:rStyle w:val="FootnoteReference"/>
        </w:rPr>
        <w:footnoteReference w:id="365"/>
      </w:r>
    </w:p>
    <w:p>
      <w:pPr>
        <w:pStyle w:val="BodyText"/>
      </w:pPr>
      <w:r>
        <w:t xml:space="preserve">Restricted management has limits that shape any design that uses it:</w:t>
      </w:r>
      <w:r>
        <w:rPr>
          <w:rStyle w:val="FootnoteReference"/>
        </w:rPr>
        <w:footnoteReference w:id="366"/>
      </w:r>
    </w:p>
    <w:p>
      <w:pPr>
        <w:pStyle w:val="Compact"/>
        <w:numPr>
          <w:ilvl w:val="0"/>
          <w:numId w:val="1029"/>
        </w:numPr>
      </w:pPr>
      <w:r>
        <w:t xml:space="preserve">The setting is chosen when the AU is created and can’t be changed afterward.</w:t>
      </w:r>
    </w:p>
    <w:p>
      <w:pPr>
        <w:pStyle w:val="Compact"/>
        <w:numPr>
          <w:ilvl w:val="0"/>
          <w:numId w:val="1029"/>
        </w:numPr>
      </w:pPr>
      <w:r>
        <w:t xml:space="preserve">A tenant can have at most 100 restricted management AUs.</w:t>
      </w:r>
    </w:p>
    <w:p>
      <w:pPr>
        <w:pStyle w:val="Compact"/>
        <w:numPr>
          <w:ilvl w:val="0"/>
          <w:numId w:val="1029"/>
        </w:numPr>
      </w:pPr>
      <w:r>
        <w:t xml:space="preserve">Users and groups in a restricted management AU can’t be managed by Microsoft Entra ID Governance features: Privileged Identity Management, entitlement management, lifecycle workflows, and access reviews.</w:t>
      </w:r>
    </w:p>
    <w:p>
      <w:pPr>
        <w:pStyle w:val="Compact"/>
        <w:numPr>
          <w:ilvl w:val="0"/>
          <w:numId w:val="1029"/>
        </w:numPr>
      </w:pPr>
      <w:r>
        <w:t xml:space="preserve">Role-assignable groups added to one can’t have their membership modified, except by Global Administrators and Privileged Role Administrators.</w:t>
      </w:r>
    </w:p>
    <w:p>
      <w:pPr>
        <w:pStyle w:val="Compact"/>
        <w:numPr>
          <w:ilvl w:val="0"/>
          <w:numId w:val="1029"/>
        </w:numPr>
      </w:pPr>
      <w:r>
        <w:t xml:space="preserve">Operations whose role can’t be AU-scoped become impossible inside it. For example, nobody can reset the password of a Global Administrator who sits in a restricted management AU until that user is removed from it.</w:t>
      </w:r>
    </w:p>
    <w:p>
      <w:pPr>
        <w:pStyle w:val="Compact"/>
        <w:numPr>
          <w:ilvl w:val="0"/>
          <w:numId w:val="1029"/>
        </w:numPr>
      </w:pPr>
      <w:r>
        <w:t xml:space="preserve">Only users, devices, and security groups can be members; Microsoft 365, mail-enabled, and distribution groups can’t.</w:t>
      </w:r>
    </w:p>
    <w:p>
      <w:pPr>
        <w:pStyle w:val="Compact"/>
        <w:numPr>
          <w:ilvl w:val="0"/>
          <w:numId w:val="1029"/>
        </w:numPr>
      </w:pPr>
      <w:r>
        <w:t xml:space="preserve">Applications can’t modify members through Microsoft Graph application permissions; they need an Entra role assigned at the AU’s scope.</w:t>
      </w:r>
    </w:p>
    <w:bookmarkEnd w:id="367"/>
    <w:bookmarkEnd w:id="368"/>
    <w:bookmarkStart w:id="372" w:name="the-three-tier-model"/>
    <w:p>
      <w:pPr>
        <w:pStyle w:val="Heading2"/>
      </w:pPr>
      <w:bookmarkStart w:id="1414" w:name="_Toc00001414"/>
      <w:r>
        <w:t xml:space="preserve">The three-tier model</w:t>
      </w:r>
      <w:bookmarkEnd w:id="1414"/>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Tier</w:t>
            </w:r>
          </w:p>
        </w:tc>
        <w:tc>
          <w:tcPr/>
          <w:p>
            <w:pPr>
              <w:pStyle w:val="Compact"/>
            </w:pPr>
            <w:r>
              <w:t xml:space="preserve">Scope</w:t>
            </w:r>
          </w:p>
        </w:tc>
        <w:tc>
          <w:tcPr/>
          <w:p>
            <w:pPr>
              <w:pStyle w:val="Compact"/>
            </w:pPr>
            <w:r>
              <w:t xml:space="preserve">Who</w:t>
            </w:r>
          </w:p>
        </w:tc>
        <w:tc>
          <w:tcPr/>
          <w:p>
            <w:pPr>
              <w:pStyle w:val="Compact"/>
            </w:pPr>
            <w:r>
              <w:t xml:space="preserve">What they can do</w:t>
            </w:r>
          </w:p>
        </w:tc>
      </w:tr>
      <w:tr>
        <w:tc>
          <w:tcPr/>
          <w:p>
            <w:pPr>
              <w:pStyle w:val="Compact"/>
            </w:pPr>
            <w:r>
              <w:t xml:space="preserve">Tier 1</w:t>
            </w:r>
          </w:p>
        </w:tc>
        <w:tc>
          <w:tcPr/>
          <w:p>
            <w:pPr>
              <w:pStyle w:val="Compact"/>
            </w:pPr>
            <w:r>
              <w:t xml:space="preserve">Enterprise</w:t>
            </w:r>
          </w:p>
        </w:tc>
        <w:tc>
          <w:tcPr/>
          <w:p>
            <w:pPr>
              <w:pStyle w:val="Compact"/>
            </w:pPr>
            <w:r>
              <w:t xml:space="preserve">Security, compliance, executives</w:t>
            </w:r>
          </w:p>
        </w:tc>
        <w:tc>
          <w:tcPr/>
          <w:p>
            <w:pPr>
              <w:pStyle w:val="Compact"/>
            </w:pPr>
            <w:r>
              <w:t xml:space="preserve">Read-only visibility across all governed principals</w:t>
            </w:r>
          </w:p>
        </w:tc>
      </w:tr>
      <w:tr>
        <w:tc>
          <w:tcPr/>
          <w:p>
            <w:pPr>
              <w:pStyle w:val="Compact"/>
            </w:pPr>
            <w:r>
              <w:t xml:space="preserve">Tier 2</w:t>
            </w:r>
          </w:p>
        </w:tc>
        <w:tc>
          <w:tcPr/>
          <w:p>
            <w:pPr>
              <w:pStyle w:val="Compact"/>
            </w:pPr>
            <w:r>
              <w:t xml:space="preserve">Department or division</w:t>
            </w:r>
          </w:p>
        </w:tc>
        <w:tc>
          <w:tcPr/>
          <w:p>
            <w:pPr>
              <w:pStyle w:val="Compact"/>
            </w:pPr>
            <w:r>
              <w:t xml:space="preserve">Department administrators</w:t>
            </w:r>
          </w:p>
        </w:tc>
        <w:tc>
          <w:tcPr/>
          <w:p>
            <w:pPr>
              <w:pStyle w:val="Compact"/>
            </w:pPr>
            <w:r>
              <w:t xml:space="preserve">Full user lifecycle management within their AU</w:t>
            </w:r>
          </w:p>
        </w:tc>
      </w:tr>
      <w:tr>
        <w:tc>
          <w:tcPr/>
          <w:p>
            <w:pPr>
              <w:pStyle w:val="Compact"/>
            </w:pPr>
            <w:r>
              <w:t xml:space="preserve">Tier 3</w:t>
            </w:r>
          </w:p>
        </w:tc>
        <w:tc>
          <w:tcPr/>
          <w:p>
            <w:pPr>
              <w:pStyle w:val="Compact"/>
            </w:pPr>
            <w:r>
              <w:t xml:space="preserve">Sub-team (department, division, and role tier)</w:t>
            </w:r>
          </w:p>
        </w:tc>
        <w:tc>
          <w:tcPr/>
          <w:p>
            <w:pPr>
              <w:pStyle w:val="Compact"/>
            </w:pPr>
            <w:r>
              <w:t xml:space="preserve">Help desk and per-team administrators</w:t>
            </w:r>
          </w:p>
        </w:tc>
        <w:tc>
          <w:tcPr/>
          <w:p>
            <w:pPr>
              <w:pStyle w:val="Compact"/>
            </w:pPr>
            <w:r>
              <w:t xml:space="preserve">Password resets and basic user support within a narrow AU</w:t>
            </w:r>
          </w:p>
        </w:tc>
      </w:tr>
    </w:tbl>
    <w:p>
      <w:pPr>
        <w:pStyle w:val="BodyText"/>
      </w:pPr>
      <w:r>
        <w:t xml:space="preserve">The program’s matrix mapped each tier to an AU:</w:t>
      </w:r>
      <w:r>
        <w:t xml:space="preserve"> </w:t>
      </w:r>
      <w:r>
        <w:rPr>
          <w:rStyle w:val="VerbatimChar"/>
        </w:rPr>
        <w:t xml:space="preserve">AU-Enterprise</w:t>
      </w:r>
      <w:r>
        <w:t xml:space="preserve"> </w:t>
      </w:r>
      <w:r>
        <w:t xml:space="preserve">for Tier 1, department AUs such as</w:t>
      </w:r>
      <w:r>
        <w:t xml:space="preserve"> </w:t>
      </w:r>
      <w:r>
        <w:rPr>
          <w:rStyle w:val="VerbatimChar"/>
        </w:rPr>
        <w:t xml:space="preserve">AU-Department-IT</w:t>
      </w:r>
      <w:r>
        <w:t xml:space="preserve"> </w:t>
      </w:r>
      <w:r>
        <w:t xml:space="preserve">for Tier 2, and division AUs such as</w:t>
      </w:r>
      <w:r>
        <w:t xml:space="preserve"> </w:t>
      </w:r>
      <w:r>
        <w:rPr>
          <w:rStyle w:val="VerbatimChar"/>
        </w:rPr>
        <w:t xml:space="preserve">AU-IT-CyberOps</w:t>
      </w:r>
      <w:r>
        <w:t xml:space="preserve"> </w:t>
      </w:r>
      <w:r>
        <w:t xml:space="preserve">for Tier 3. Tier 1 needs a correction. Its roles (Global Reader, Security Reader, Reports Reader) aren’t on the list of roles that can be assigned at AU scope,</w:t>
      </w:r>
      <w:r>
        <w:rPr>
          <w:rStyle w:val="FootnoteReference"/>
        </w:rPr>
        <w:footnoteReference w:id="369"/>
      </w:r>
      <w:r>
        <w:t xml:space="preserve"> </w:t>
      </w:r>
      <w:r>
        <w:t xml:space="preserve">so they’re assigned at tenant scope. Because AUs don’t restrict reading anyway, a tenant-scoped reader role delivers exactly the</w:t>
      </w:r>
      <w:r>
        <w:t xml:space="preserve"> </w:t>
      </w:r>
      <w:r>
        <w:t xml:space="preserve">“read-only visibility across everything”</w:t>
      </w:r>
      <w:r>
        <w:t xml:space="preserve"> </w:t>
      </w:r>
      <w:r>
        <w:t xml:space="preserve">that Tier 1 calls for.</w:t>
      </w:r>
    </w:p>
    <w:p>
      <w:pPr>
        <w:pStyle w:val="BodyText"/>
      </w:pPr>
      <w:r>
        <w:rPr>
          <w:rStyle w:val="VerbatimChar"/>
        </w:rPr>
        <w:t xml:space="preserve">AU-Enterprise</w:t>
      </w:r>
      <w:r>
        <w:t xml:space="preserve"> </w:t>
      </w:r>
      <w:r>
        <w:t xml:space="preserve">keeps a narrower job: it defines the governed population. Its rule treats a populated Department attribute as the</w:t>
      </w:r>
      <w:r>
        <w:t xml:space="preserve"> </w:t>
      </w:r>
      <w:r>
        <w:t xml:space="preserve">“this principal has been HR-provisioned”</w:t>
      </w:r>
      <w:r>
        <w:t xml:space="preserve"> </w:t>
      </w:r>
      <w:r>
        <w:t xml:space="preserve">predicate,</w:t>
      </w:r>
      <w:r>
        <w:t xml:space="preserve"> </w:t>
      </w:r>
      <w:r>
        <w:rPr>
          <w:rStyle w:val="VerbatimChar"/>
        </w:rPr>
        <w:t xml:space="preserve">(user.department -ne null)</w:t>
      </w:r>
      <w:r>
        <w:t xml:space="preserve">. That population is useful for reporting and for scoping services that accept AUs, such as Microsoft Purview,</w:t>
      </w:r>
      <w:r>
        <w:rPr>
          <w:rStyle w:val="FootnoteReference"/>
        </w:rPr>
        <w:footnoteReference w:id="370"/>
      </w:r>
      <w:r>
        <w:t xml:space="preserve"> </w:t>
      </w:r>
      <w:r>
        <w:t xml:space="preserve">but it isn’t the scope of the Tier 1 role assignments.</w:t>
      </w:r>
    </w:p>
    <w:bookmarkEnd w:id="372"/>
    <w:bookmarkStart w:id="376" w:name="administrative-unit-registry"/>
    <w:p>
      <w:pPr>
        <w:pStyle w:val="Heading2"/>
      </w:pPr>
      <w:bookmarkStart w:id="1415" w:name="_Toc00001415"/>
      <w:r>
        <w:t xml:space="preserve">Administrative unit registry</w:t>
      </w:r>
      <w:bookmarkEnd w:id="1415"/>
    </w:p>
    <w:bookmarkStart w:id="373" w:name="enterprise-au-tier-1-population"/>
    <w:p>
      <w:pPr>
        <w:pStyle w:val="Heading3"/>
      </w:pPr>
      <w:r>
        <w:t xml:space="preserve">Enterprise AU (Tier 1 population)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AU</w:t>
            </w:r>
          </w:p>
        </w:tc>
        <w:tc>
          <w:tcPr/>
          <w:p>
            <w:pPr>
              <w:pStyle w:val="Compact"/>
            </w:pPr>
            <w:r>
              <w:t xml:space="preserve">Membership</w:t>
            </w:r>
          </w:p>
        </w:tc>
        <w:tc>
          <w:tcPr/>
          <w:p>
            <w:pPr>
              <w:pStyle w:val="Compact"/>
            </w:pPr>
            <w:r>
              <w:t xml:space="preserve">Restricted management</w:t>
            </w:r>
          </w:p>
        </w:tc>
      </w:tr>
      <w:tr>
        <w:tc>
          <w:tcPr/>
          <w:p>
            <w:pPr>
              <w:pStyle w:val="Compact"/>
            </w:pPr>
            <w:r>
              <w:rPr>
                <w:rStyle w:val="VerbatimChar"/>
              </w:rPr>
              <w:t xml:space="preserve">AU-Enterprise</w:t>
            </w:r>
          </w:p>
        </w:tc>
        <w:tc>
          <w:tcPr/>
          <w:p>
            <w:pPr>
              <w:pStyle w:val="Compact"/>
            </w:pPr>
            <w:r>
              <w:t xml:space="preserve">Dynamic:</w:t>
            </w:r>
            <w:r>
              <w:t xml:space="preserve"> </w:t>
            </w:r>
            <w:r>
              <w:rPr>
                <w:rStyle w:val="VerbatimChar"/>
              </w:rPr>
              <w:t xml:space="preserve">(user.department -ne null)</w:t>
            </w:r>
          </w:p>
        </w:tc>
        <w:tc>
          <w:tcPr/>
          <w:p>
            <w:pPr>
              <w:pStyle w:val="Compact"/>
            </w:pPr>
            <w:r>
              <w:t xml:space="preserve">No (see below)</w:t>
            </w:r>
          </w:p>
        </w:tc>
      </w:tr>
    </w:tbl>
    <w:bookmarkEnd w:id="373"/>
    <w:bookmarkStart w:id="374" w:name="department-aus-tier-2"/>
    <w:p>
      <w:pPr>
        <w:pStyle w:val="Heading3"/>
      </w:pPr>
      <w:r>
        <w:t xml:space="preserve">Department AUs (Tier 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AU</w:t>
            </w:r>
          </w:p>
        </w:tc>
        <w:tc>
          <w:tcPr/>
          <w:p>
            <w:pPr>
              <w:pStyle w:val="Compact"/>
            </w:pPr>
            <w:r>
              <w:t xml:space="preserve">Department</w:t>
            </w:r>
          </w:p>
        </w:tc>
        <w:tc>
          <w:tcPr/>
          <w:p>
            <w:pPr>
              <w:pStyle w:val="Compact"/>
            </w:pPr>
            <w:r>
              <w:t xml:space="preserve">Membership</w:t>
            </w:r>
          </w:p>
        </w:tc>
      </w:tr>
      <w:tr>
        <w:tc>
          <w:tcPr/>
          <w:p>
            <w:pPr>
              <w:pStyle w:val="Compact"/>
            </w:pPr>
            <w:r>
              <w:rPr>
                <w:rStyle w:val="VerbatimChar"/>
              </w:rPr>
              <w:t xml:space="preserve">AU-Department-IT</w:t>
            </w:r>
          </w:p>
        </w:tc>
        <w:tc>
          <w:tcPr/>
          <w:p>
            <w:pPr>
              <w:pStyle w:val="Compact"/>
            </w:pPr>
            <w:r>
              <w:t xml:space="preserve">IT</w:t>
            </w:r>
          </w:p>
        </w:tc>
        <w:tc>
          <w:tcPr/>
          <w:p>
            <w:pPr>
              <w:pStyle w:val="Compact"/>
            </w:pPr>
            <w:r>
              <w:t xml:space="preserve">Dynamic:</w:t>
            </w:r>
            <w:r>
              <w:t xml:space="preserve"> </w:t>
            </w:r>
            <w:r>
              <w:rPr>
                <w:rStyle w:val="VerbatimChar"/>
              </w:rPr>
              <w:t xml:space="preserve">(user.department -eq "IT")</w:t>
            </w:r>
          </w:p>
        </w:tc>
      </w:tr>
      <w:tr>
        <w:tc>
          <w:tcPr/>
          <w:p>
            <w:pPr>
              <w:pStyle w:val="Compact"/>
            </w:pPr>
            <w:r>
              <w:rPr>
                <w:rStyle w:val="VerbatimChar"/>
              </w:rPr>
              <w:t xml:space="preserve">AU-Department-HR</w:t>
            </w:r>
          </w:p>
        </w:tc>
        <w:tc>
          <w:tcPr/>
          <w:p>
            <w:pPr>
              <w:pStyle w:val="Compact"/>
            </w:pPr>
            <w:r>
              <w:t xml:space="preserve">HR</w:t>
            </w:r>
          </w:p>
        </w:tc>
        <w:tc>
          <w:tcPr/>
          <w:p>
            <w:pPr>
              <w:pStyle w:val="Compact"/>
            </w:pPr>
            <w:r>
              <w:t xml:space="preserve">Dynamic:</w:t>
            </w:r>
            <w:r>
              <w:t xml:space="preserve"> </w:t>
            </w:r>
            <w:r>
              <w:rPr>
                <w:rStyle w:val="VerbatimChar"/>
              </w:rPr>
              <w:t xml:space="preserve">(user.department -eq "HR")</w:t>
            </w:r>
          </w:p>
        </w:tc>
      </w:tr>
      <w:tr>
        <w:tc>
          <w:tcPr/>
          <w:p>
            <w:pPr>
              <w:pStyle w:val="Compact"/>
            </w:pPr>
            <w:r>
              <w:rPr>
                <w:rStyle w:val="VerbatimChar"/>
              </w:rPr>
              <w:t xml:space="preserve">AU-Department-Finance</w:t>
            </w:r>
          </w:p>
        </w:tc>
        <w:tc>
          <w:tcPr/>
          <w:p>
            <w:pPr>
              <w:pStyle w:val="Compact"/>
            </w:pPr>
            <w:r>
              <w:t xml:space="preserve">Finance</w:t>
            </w:r>
          </w:p>
        </w:tc>
        <w:tc>
          <w:tcPr/>
          <w:p>
            <w:pPr>
              <w:pStyle w:val="Compact"/>
            </w:pPr>
            <w:r>
              <w:t xml:space="preserve">Dynamic:</w:t>
            </w:r>
            <w:r>
              <w:t xml:space="preserve"> </w:t>
            </w:r>
            <w:r>
              <w:rPr>
                <w:rStyle w:val="VerbatimChar"/>
              </w:rPr>
              <w:t xml:space="preserve">(user.department -eq "Finance")</w:t>
            </w:r>
          </w:p>
        </w:tc>
      </w:tr>
      <w:tr>
        <w:tc>
          <w:tcPr/>
          <w:p>
            <w:pPr>
              <w:pStyle w:val="Compact"/>
            </w:pPr>
            <w:r>
              <w:rPr>
                <w:rStyle w:val="VerbatimChar"/>
              </w:rPr>
              <w:t xml:space="preserve">AU-Department-Legal</w:t>
            </w:r>
          </w:p>
        </w:tc>
        <w:tc>
          <w:tcPr/>
          <w:p>
            <w:pPr>
              <w:pStyle w:val="Compact"/>
            </w:pPr>
            <w:r>
              <w:t xml:space="preserve">Legal</w:t>
            </w:r>
          </w:p>
        </w:tc>
        <w:tc>
          <w:tcPr/>
          <w:p>
            <w:pPr>
              <w:pStyle w:val="Compact"/>
            </w:pPr>
            <w:r>
              <w:t xml:space="preserve">Dynamic:</w:t>
            </w:r>
            <w:r>
              <w:t xml:space="preserve"> </w:t>
            </w:r>
            <w:r>
              <w:rPr>
                <w:rStyle w:val="VerbatimChar"/>
              </w:rPr>
              <w:t xml:space="preserve">(user.department -eq "Legal")</w:t>
            </w:r>
          </w:p>
        </w:tc>
      </w:tr>
      <w:tr>
        <w:tc>
          <w:tcPr/>
          <w:p>
            <w:pPr>
              <w:pStyle w:val="Compact"/>
            </w:pPr>
            <w:r>
              <w:rPr>
                <w:rStyle w:val="VerbatimChar"/>
              </w:rPr>
              <w:t xml:space="preserve">AU-Department-Engineering</w:t>
            </w:r>
          </w:p>
        </w:tc>
        <w:tc>
          <w:tcPr/>
          <w:p>
            <w:pPr>
              <w:pStyle w:val="Compact"/>
            </w:pPr>
            <w:r>
              <w:t xml:space="preserve">Engineering</w:t>
            </w:r>
          </w:p>
        </w:tc>
        <w:tc>
          <w:tcPr/>
          <w:p>
            <w:pPr>
              <w:pStyle w:val="Compact"/>
            </w:pPr>
            <w:r>
              <w:t xml:space="preserve">Dynamic:</w:t>
            </w:r>
            <w:r>
              <w:t xml:space="preserve"> </w:t>
            </w:r>
            <w:r>
              <w:rPr>
                <w:rStyle w:val="VerbatimChar"/>
              </w:rPr>
              <w:t xml:space="preserve">(user.department -eq "Engineering")</w:t>
            </w:r>
          </w:p>
        </w:tc>
      </w:tr>
      <w:tr>
        <w:tc>
          <w:tcPr/>
          <w:p>
            <w:pPr>
              <w:pStyle w:val="Compact"/>
            </w:pPr>
            <w:r>
              <w:rPr>
                <w:rStyle w:val="VerbatimChar"/>
              </w:rPr>
              <w:t xml:space="preserve">AU-Department-Operations</w:t>
            </w:r>
          </w:p>
        </w:tc>
        <w:tc>
          <w:tcPr/>
          <w:p>
            <w:pPr>
              <w:pStyle w:val="Compact"/>
            </w:pPr>
            <w:r>
              <w:t xml:space="preserve">Operations</w:t>
            </w:r>
          </w:p>
        </w:tc>
        <w:tc>
          <w:tcPr/>
          <w:p>
            <w:pPr>
              <w:pStyle w:val="Compact"/>
            </w:pPr>
            <w:r>
              <w:t xml:space="preserve">Dynamic:</w:t>
            </w:r>
            <w:r>
              <w:t xml:space="preserve"> </w:t>
            </w:r>
            <w:r>
              <w:rPr>
                <w:rStyle w:val="VerbatimChar"/>
              </w:rPr>
              <w:t xml:space="preserve">(user.department -eq "Operations")</w:t>
            </w:r>
          </w:p>
        </w:tc>
      </w:tr>
      <w:tr>
        <w:tc>
          <w:tcPr/>
          <w:p>
            <w:pPr>
              <w:pStyle w:val="Compact"/>
            </w:pPr>
            <w:r>
              <w:rPr>
                <w:rStyle w:val="VerbatimChar"/>
              </w:rPr>
              <w:t xml:space="preserve">AU-Department-Sales</w:t>
            </w:r>
          </w:p>
        </w:tc>
        <w:tc>
          <w:tcPr/>
          <w:p>
            <w:pPr>
              <w:pStyle w:val="Compact"/>
            </w:pPr>
            <w:r>
              <w:t xml:space="preserve">Sales</w:t>
            </w:r>
          </w:p>
        </w:tc>
        <w:tc>
          <w:tcPr/>
          <w:p>
            <w:pPr>
              <w:pStyle w:val="Compact"/>
            </w:pPr>
            <w:r>
              <w:t xml:space="preserve">Dynamic:</w:t>
            </w:r>
            <w:r>
              <w:t xml:space="preserve"> </w:t>
            </w:r>
            <w:r>
              <w:rPr>
                <w:rStyle w:val="VerbatimChar"/>
              </w:rPr>
              <w:t xml:space="preserve">(user.department -eq "Sales")</w:t>
            </w:r>
          </w:p>
        </w:tc>
      </w:tr>
      <w:tr>
        <w:tc>
          <w:tcPr/>
          <w:p>
            <w:pPr>
              <w:pStyle w:val="Compact"/>
            </w:pPr>
            <w:r>
              <w:rPr>
                <w:rStyle w:val="VerbatimChar"/>
              </w:rPr>
              <w:t xml:space="preserve">AU-Department-Executive</w:t>
            </w:r>
          </w:p>
        </w:tc>
        <w:tc>
          <w:tcPr/>
          <w:p>
            <w:pPr>
              <w:pStyle w:val="Compact"/>
            </w:pPr>
            <w:r>
              <w:t xml:space="preserve">Executive</w:t>
            </w:r>
          </w:p>
        </w:tc>
        <w:tc>
          <w:tcPr/>
          <w:p>
            <w:pPr>
              <w:pStyle w:val="Compact"/>
            </w:pPr>
            <w:r>
              <w:t xml:space="preserve">Dynamic:</w:t>
            </w:r>
            <w:r>
              <w:t xml:space="preserve"> </w:t>
            </w:r>
            <w:r>
              <w:rPr>
                <w:rStyle w:val="VerbatimChar"/>
              </w:rPr>
              <w:t xml:space="preserve">(user.department -eq "Executive")</w:t>
            </w:r>
          </w:p>
        </w:tc>
      </w:tr>
    </w:tbl>
    <w:bookmarkEnd w:id="374"/>
    <w:bookmarkStart w:id="375" w:name="division-aus-tier-3-created-on-demand"/>
    <w:p>
      <w:pPr>
        <w:pStyle w:val="Heading3"/>
      </w:pPr>
      <w:r>
        <w:t xml:space="preserve">Division AUs (Tier 3, created on demand)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AU</w:t>
            </w:r>
          </w:p>
        </w:tc>
        <w:tc>
          <w:tcPr/>
          <w:p>
            <w:pPr>
              <w:pStyle w:val="Compact"/>
            </w:pPr>
            <w:r>
              <w:t xml:space="preserve">Scope</w:t>
            </w:r>
          </w:p>
        </w:tc>
      </w:tr>
      <w:tr>
        <w:tc>
          <w:tcPr/>
          <w:p>
            <w:pPr>
              <w:pStyle w:val="Compact"/>
            </w:pPr>
            <w:r>
              <w:rPr>
                <w:rStyle w:val="VerbatimChar"/>
              </w:rPr>
              <w:t xml:space="preserve">AU-IT-CyberOps</w:t>
            </w:r>
          </w:p>
        </w:tc>
        <w:tc>
          <w:tcPr/>
          <w:p>
            <w:pPr>
              <w:pStyle w:val="Compact"/>
            </w:pPr>
            <w:r>
              <w:t xml:space="preserve">IT / CyberOps</w:t>
            </w:r>
          </w:p>
        </w:tc>
      </w:tr>
      <w:tr>
        <w:tc>
          <w:tcPr/>
          <w:p>
            <w:pPr>
              <w:pStyle w:val="Compact"/>
            </w:pPr>
            <w:r>
              <w:rPr>
                <w:rStyle w:val="VerbatimChar"/>
              </w:rPr>
              <w:t xml:space="preserve">AU-IT-InfraOps</w:t>
            </w:r>
          </w:p>
        </w:tc>
        <w:tc>
          <w:tcPr/>
          <w:p>
            <w:pPr>
              <w:pStyle w:val="Compact"/>
            </w:pPr>
            <w:r>
              <w:t xml:space="preserve">IT / Infrastructure</w:t>
            </w:r>
          </w:p>
        </w:tc>
      </w:tr>
      <w:tr>
        <w:tc>
          <w:tcPr/>
          <w:p>
            <w:pPr>
              <w:pStyle w:val="Compact"/>
            </w:pPr>
            <w:r>
              <w:rPr>
                <w:rStyle w:val="VerbatimChar"/>
              </w:rPr>
              <w:t xml:space="preserve">AU-IT-AppDev</w:t>
            </w:r>
          </w:p>
        </w:tc>
        <w:tc>
          <w:tcPr/>
          <w:p>
            <w:pPr>
              <w:pStyle w:val="Compact"/>
            </w:pPr>
            <w:r>
              <w:t xml:space="preserve">IT / AppDev</w:t>
            </w:r>
          </w:p>
        </w:tc>
      </w:tr>
      <w:tr>
        <w:tc>
          <w:tcPr/>
          <w:p>
            <w:pPr>
              <w:pStyle w:val="Compact"/>
            </w:pPr>
            <w:r>
              <w:rPr>
                <w:rStyle w:val="VerbatimChar"/>
              </w:rPr>
              <w:t xml:space="preserve">AU-Legal-GRC</w:t>
            </w:r>
          </w:p>
        </w:tc>
        <w:tc>
          <w:tcPr/>
          <w:p>
            <w:pPr>
              <w:pStyle w:val="Compact"/>
            </w:pPr>
            <w:r>
              <w:t xml:space="preserve">Legal / GRC</w:t>
            </w:r>
          </w:p>
        </w:tc>
      </w:tr>
    </w:tbl>
    <w:p>
      <w:pPr>
        <w:pStyle w:val="BodyText"/>
      </w:pPr>
      <w:r>
        <w:t xml:space="preserve">Division AUs use a rule that combines the department with the division attribute the HR feed supplies. Which attribute carries the division is a schema decision; the program’s canonical attribute schema is described in the HR-driven IAM series.</w:t>
      </w:r>
    </w:p>
    <w:bookmarkEnd w:id="375"/>
    <w:bookmarkEnd w:id="376"/>
    <w:bookmarkStart w:id="385" w:name="role-assignment-matrix"/>
    <w:p>
      <w:pPr>
        <w:pStyle w:val="Heading2"/>
      </w:pPr>
      <w:bookmarkStart w:id="1416" w:name="_Toc00001416"/>
      <w:r>
        <w:t xml:space="preserve">Role assignment matrix</w:t>
      </w:r>
      <w:bookmarkEnd w:id="1416"/>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Role</w:t>
            </w:r>
          </w:p>
        </w:tc>
        <w:tc>
          <w:tcPr/>
          <w:p>
            <w:pPr>
              <w:pStyle w:val="Compact"/>
            </w:pPr>
            <w:r>
              <w:t xml:space="preserve">Assigned to</w:t>
            </w:r>
          </w:p>
        </w:tc>
        <w:tc>
          <w:tcPr/>
          <w:p>
            <w:pPr>
              <w:pStyle w:val="Compact"/>
            </w:pPr>
            <w:r>
              <w:t xml:space="preserve">Scope</w:t>
            </w:r>
          </w:p>
        </w:tc>
        <w:tc>
          <w:tcPr/>
          <w:p>
            <w:pPr>
              <w:pStyle w:val="Compact"/>
            </w:pPr>
            <w:r>
              <w:t xml:space="preserve">Tier</w:t>
            </w:r>
          </w:p>
        </w:tc>
      </w:tr>
      <w:tr>
        <w:tc>
          <w:tcPr/>
          <w:p>
            <w:pPr>
              <w:pStyle w:val="Compact"/>
            </w:pPr>
            <w:r>
              <w:t xml:space="preserve">Global Reader</w:t>
            </w:r>
          </w:p>
        </w:tc>
        <w:tc>
          <w:tcPr/>
          <w:p>
            <w:pPr>
              <w:pStyle w:val="Compact"/>
            </w:pPr>
            <w:r>
              <w:rPr>
                <w:rStyle w:val="VerbatimChar"/>
              </w:rPr>
              <w:t xml:space="preserve">IT-CyberOps-Users</w:t>
            </w:r>
          </w:p>
        </w:tc>
        <w:tc>
          <w:tcPr/>
          <w:p>
            <w:pPr>
              <w:pStyle w:val="Compact"/>
            </w:pPr>
            <w:r>
              <w:t xml:space="preserve">Tenant</w:t>
            </w:r>
          </w:p>
        </w:tc>
        <w:tc>
          <w:tcPr/>
          <w:p>
            <w:pPr>
              <w:pStyle w:val="Compact"/>
            </w:pPr>
            <w:r>
              <w:t xml:space="preserve">1</w:t>
            </w:r>
          </w:p>
        </w:tc>
      </w:tr>
      <w:tr>
        <w:tc>
          <w:tcPr/>
          <w:p>
            <w:pPr>
              <w:pStyle w:val="Compact"/>
            </w:pPr>
            <w:r>
              <w:t xml:space="preserve">Security Reader</w:t>
            </w:r>
          </w:p>
        </w:tc>
        <w:tc>
          <w:tcPr/>
          <w:p>
            <w:pPr>
              <w:pStyle w:val="Compact"/>
            </w:pPr>
            <w:r>
              <w:rPr>
                <w:rStyle w:val="VerbatimChar"/>
              </w:rPr>
              <w:t xml:space="preserve">Legal-GRC-Users</w:t>
            </w:r>
          </w:p>
        </w:tc>
        <w:tc>
          <w:tcPr/>
          <w:p>
            <w:pPr>
              <w:pStyle w:val="Compact"/>
            </w:pPr>
            <w:r>
              <w:t xml:space="preserve">Tenant</w:t>
            </w:r>
          </w:p>
        </w:tc>
        <w:tc>
          <w:tcPr/>
          <w:p>
            <w:pPr>
              <w:pStyle w:val="Compact"/>
            </w:pPr>
            <w:r>
              <w:t xml:space="preserve">1</w:t>
            </w:r>
          </w:p>
        </w:tc>
      </w:tr>
      <w:tr>
        <w:tc>
          <w:tcPr/>
          <w:p>
            <w:pPr>
              <w:pStyle w:val="Compact"/>
            </w:pPr>
            <w:r>
              <w:t xml:space="preserve">Reports Reader</w:t>
            </w:r>
          </w:p>
        </w:tc>
        <w:tc>
          <w:tcPr/>
          <w:p>
            <w:pPr>
              <w:pStyle w:val="Compact"/>
            </w:pPr>
            <w:r>
              <w:rPr>
                <w:rStyle w:val="VerbatimChar"/>
              </w:rPr>
              <w:t xml:space="preserve">Department-Executive-Users</w:t>
            </w:r>
          </w:p>
        </w:tc>
        <w:tc>
          <w:tcPr/>
          <w:p>
            <w:pPr>
              <w:pStyle w:val="Compact"/>
            </w:pPr>
            <w:r>
              <w:t xml:space="preserve">Tenant</w:t>
            </w:r>
          </w:p>
        </w:tc>
        <w:tc>
          <w:tcPr/>
          <w:p>
            <w:pPr>
              <w:pStyle w:val="Compact"/>
            </w:pPr>
            <w:r>
              <w:t xml:space="preserve">1</w:t>
            </w:r>
          </w:p>
        </w:tc>
      </w:tr>
      <w:tr>
        <w:tc>
          <w:tcPr/>
          <w:p>
            <w:pPr>
              <w:pStyle w:val="Compact"/>
            </w:pPr>
            <w:r>
              <w:t xml:space="preserve">User Administrator</w:t>
            </w:r>
          </w:p>
        </w:tc>
        <w:tc>
          <w:tcPr/>
          <w:p>
            <w:pPr>
              <w:pStyle w:val="Compact"/>
            </w:pPr>
            <w:r>
              <w:rPr>
                <w:rStyle w:val="VerbatimChar"/>
              </w:rPr>
              <w:t xml:space="preserve">Finance-Admins</w:t>
            </w:r>
          </w:p>
        </w:tc>
        <w:tc>
          <w:tcPr/>
          <w:p>
            <w:pPr>
              <w:pStyle w:val="Compact"/>
            </w:pPr>
            <w:r>
              <w:rPr>
                <w:rStyle w:val="VerbatimChar"/>
              </w:rPr>
              <w:t xml:space="preserve">AU-Department-Finance</w:t>
            </w:r>
          </w:p>
        </w:tc>
        <w:tc>
          <w:tcPr/>
          <w:p>
            <w:pPr>
              <w:pStyle w:val="Compact"/>
            </w:pPr>
            <w:r>
              <w:t xml:space="preserve">2</w:t>
            </w:r>
          </w:p>
        </w:tc>
      </w:tr>
      <w:tr>
        <w:tc>
          <w:tcPr/>
          <w:p>
            <w:pPr>
              <w:pStyle w:val="Compact"/>
            </w:pPr>
            <w:r>
              <w:t xml:space="preserve">Groups Administrator</w:t>
            </w:r>
          </w:p>
        </w:tc>
        <w:tc>
          <w:tcPr/>
          <w:p>
            <w:pPr>
              <w:pStyle w:val="Compact"/>
            </w:pPr>
            <w:r>
              <w:rPr>
                <w:rStyle w:val="VerbatimChar"/>
              </w:rPr>
              <w:t xml:space="preserve">Finance-Admins</w:t>
            </w:r>
          </w:p>
        </w:tc>
        <w:tc>
          <w:tcPr/>
          <w:p>
            <w:pPr>
              <w:pStyle w:val="Compact"/>
            </w:pPr>
            <w:r>
              <w:rPr>
                <w:rStyle w:val="VerbatimChar"/>
              </w:rPr>
              <w:t xml:space="preserve">AU-Department-Finance</w:t>
            </w:r>
          </w:p>
        </w:tc>
        <w:tc>
          <w:tcPr/>
          <w:p>
            <w:pPr>
              <w:pStyle w:val="Compact"/>
            </w:pPr>
            <w:r>
              <w:t xml:space="preserve">2</w:t>
            </w:r>
          </w:p>
        </w:tc>
      </w:tr>
      <w:tr>
        <w:tc>
          <w:tcPr/>
          <w:p>
            <w:pPr>
              <w:pStyle w:val="Compact"/>
            </w:pPr>
            <w:r>
              <w:t xml:space="preserve">User Administrator</w:t>
            </w:r>
          </w:p>
        </w:tc>
        <w:tc>
          <w:tcPr/>
          <w:p>
            <w:pPr>
              <w:pStyle w:val="Compact"/>
            </w:pPr>
            <w:r>
              <w:rPr>
                <w:rStyle w:val="VerbatimChar"/>
              </w:rPr>
              <w:t xml:space="preserve">HR-Admins</w:t>
            </w:r>
          </w:p>
        </w:tc>
        <w:tc>
          <w:tcPr/>
          <w:p>
            <w:pPr>
              <w:pStyle w:val="Compact"/>
            </w:pPr>
            <w:r>
              <w:rPr>
                <w:rStyle w:val="VerbatimChar"/>
              </w:rPr>
              <w:t xml:space="preserve">AU-Department-HR</w:t>
            </w:r>
          </w:p>
        </w:tc>
        <w:tc>
          <w:tcPr/>
          <w:p>
            <w:pPr>
              <w:pStyle w:val="Compact"/>
            </w:pPr>
            <w:r>
              <w:t xml:space="preserve">2</w:t>
            </w:r>
          </w:p>
        </w:tc>
      </w:tr>
      <w:tr>
        <w:tc>
          <w:tcPr/>
          <w:p>
            <w:pPr>
              <w:pStyle w:val="Compact"/>
            </w:pPr>
            <w:r>
              <w:t xml:space="preserve">User Administrator</w:t>
            </w:r>
          </w:p>
        </w:tc>
        <w:tc>
          <w:tcPr/>
          <w:p>
            <w:pPr>
              <w:pStyle w:val="Compact"/>
            </w:pPr>
            <w:r>
              <w:rPr>
                <w:rStyle w:val="VerbatimChar"/>
              </w:rPr>
              <w:t xml:space="preserve">IT-Admins</w:t>
            </w:r>
          </w:p>
        </w:tc>
        <w:tc>
          <w:tcPr/>
          <w:p>
            <w:pPr>
              <w:pStyle w:val="Compact"/>
            </w:pPr>
            <w:r>
              <w:rPr>
                <w:rStyle w:val="VerbatimChar"/>
              </w:rPr>
              <w:t xml:space="preserve">AU-Department-IT</w:t>
            </w:r>
          </w:p>
        </w:tc>
        <w:tc>
          <w:tcPr/>
          <w:p>
            <w:pPr>
              <w:pStyle w:val="Compact"/>
            </w:pPr>
            <w:r>
              <w:t xml:space="preserve">2</w:t>
            </w:r>
          </w:p>
        </w:tc>
      </w:tr>
      <w:tr>
        <w:tc>
          <w:tcPr/>
          <w:p>
            <w:pPr>
              <w:pStyle w:val="Compact"/>
            </w:pPr>
            <w:r>
              <w:t xml:space="preserve">Helpdesk Administrator</w:t>
            </w:r>
          </w:p>
        </w:tc>
        <w:tc>
          <w:tcPr/>
          <w:p>
            <w:pPr>
              <w:pStyle w:val="Compact"/>
            </w:pPr>
            <w:r>
              <w:rPr>
                <w:rStyle w:val="VerbatimChar"/>
              </w:rPr>
              <w:t xml:space="preserve">IT-CyberOps-Admins</w:t>
            </w:r>
          </w:p>
        </w:tc>
        <w:tc>
          <w:tcPr/>
          <w:p>
            <w:pPr>
              <w:pStyle w:val="Compact"/>
            </w:pPr>
            <w:r>
              <w:rPr>
                <w:rStyle w:val="VerbatimChar"/>
              </w:rPr>
              <w:t xml:space="preserve">AU-IT-CyberOps</w:t>
            </w:r>
          </w:p>
        </w:tc>
        <w:tc>
          <w:tcPr/>
          <w:p>
            <w:pPr>
              <w:pStyle w:val="Compact"/>
            </w:pPr>
            <w:r>
              <w:t xml:space="preserve">3</w:t>
            </w:r>
          </w:p>
        </w:tc>
      </w:tr>
      <w:tr>
        <w:tc>
          <w:tcPr/>
          <w:p>
            <w:pPr>
              <w:pStyle w:val="Compact"/>
            </w:pPr>
            <w:r>
              <w:t xml:space="preserve">Password Administrator</w:t>
            </w:r>
          </w:p>
        </w:tc>
        <w:tc>
          <w:tcPr/>
          <w:p>
            <w:pPr>
              <w:pStyle w:val="Compact"/>
            </w:pPr>
            <w:r>
              <w:rPr>
                <w:rStyle w:val="VerbatimChar"/>
              </w:rPr>
              <w:t xml:space="preserve">IT-CyberOps-Admins</w:t>
            </w:r>
          </w:p>
        </w:tc>
        <w:tc>
          <w:tcPr/>
          <w:p>
            <w:pPr>
              <w:pStyle w:val="Compact"/>
            </w:pPr>
            <w:r>
              <w:rPr>
                <w:rStyle w:val="VerbatimChar"/>
              </w:rPr>
              <w:t xml:space="preserve">AU-IT-CyberOps</w:t>
            </w:r>
          </w:p>
        </w:tc>
        <w:tc>
          <w:tcPr/>
          <w:p>
            <w:pPr>
              <w:pStyle w:val="Compact"/>
            </w:pPr>
            <w:r>
              <w:t xml:space="preserve">3</w:t>
            </w:r>
          </w:p>
        </w:tc>
      </w:tr>
      <w:tr>
        <w:tc>
          <w:tcPr/>
          <w:p>
            <w:pPr>
              <w:pStyle w:val="Compact"/>
            </w:pPr>
            <w:r>
              <w:t xml:space="preserve">Authentication Administrator</w:t>
            </w:r>
          </w:p>
        </w:tc>
        <w:tc>
          <w:tcPr/>
          <w:p>
            <w:pPr>
              <w:pStyle w:val="Compact"/>
            </w:pPr>
            <w:r>
              <w:rPr>
                <w:rStyle w:val="VerbatimChar"/>
              </w:rPr>
              <w:t xml:space="preserve">IT-InfraOps-Admins</w:t>
            </w:r>
          </w:p>
        </w:tc>
        <w:tc>
          <w:tcPr/>
          <w:p>
            <w:pPr>
              <w:pStyle w:val="Compact"/>
            </w:pPr>
            <w:r>
              <w:rPr>
                <w:rStyle w:val="VerbatimChar"/>
              </w:rPr>
              <w:t xml:space="preserve">AU-IT-InfraOps</w:t>
            </w:r>
          </w:p>
        </w:tc>
        <w:tc>
          <w:tcPr/>
          <w:p>
            <w:pPr>
              <w:pStyle w:val="Compact"/>
            </w:pPr>
            <w:r>
              <w:t xml:space="preserve">3</w:t>
            </w:r>
          </w:p>
        </w:tc>
      </w:tr>
    </w:tbl>
    <w:p>
      <w:pPr>
        <w:pStyle w:val="BodyText"/>
      </w:pPr>
      <w:r>
        <w:t xml:space="preserve">Two corrections to the principals in this table:</w:t>
      </w:r>
    </w:p>
    <w:p>
      <w:pPr>
        <w:pStyle w:val="Compact"/>
        <w:numPr>
          <w:ilvl w:val="0"/>
          <w:numId w:val="1030"/>
        </w:numPr>
      </w:pPr>
      <w:r>
        <w:rPr>
          <w:b/>
          <w:bCs/>
        </w:rPr>
        <w:t xml:space="preserve">The groups that hold roles must be role-assignable, and role-assignable groups can’t be dynamic.</w:t>
      </w:r>
      <w:r>
        <w:t xml:space="preserve"> </w:t>
      </w:r>
      <w:r>
        <w:t xml:space="preserve">The earlier design derived the</w:t>
      </w:r>
      <w:r>
        <w:t xml:space="preserve"> </w:t>
      </w:r>
      <w:r>
        <w:rPr>
          <w:rStyle w:val="VerbatimChar"/>
        </w:rPr>
        <w:t xml:space="preserve">*-Admins</w:t>
      </w:r>
      <w:r>
        <w:t xml:space="preserve"> </w:t>
      </w:r>
      <w:r>
        <w:t xml:space="preserve">groups from the</w:t>
      </w:r>
      <w:r>
        <w:t xml:space="preserve"> </w:t>
      </w:r>
      <w:r>
        <w:rPr>
          <w:rStyle w:val="VerbatimChar"/>
        </w:rPr>
        <w:t xml:space="preserve">*-Users</w:t>
      </w:r>
      <w:r>
        <w:t xml:space="preserve"> </w:t>
      </w:r>
      <w:r>
        <w:t xml:space="preserve">groups by a dynamic rule. Entra ID doesn’t allow that: a role-assignable group’s membership type must be Assigned, the</w:t>
      </w:r>
      <w:r>
        <w:t xml:space="preserve"> </w:t>
      </w:r>
      <w:r>
        <w:rPr>
          <w:rStyle w:val="VerbatimChar"/>
        </w:rPr>
        <w:t xml:space="preserve">isAssignableToRole</w:t>
      </w:r>
      <w:r>
        <w:t xml:space="preserve"> </w:t>
      </w:r>
      <w:r>
        <w:t xml:space="preserve">property can only be set at creation, nested groups aren’t allowed, and a tenant can have at most 500 role-assignable groups.</w:t>
      </w:r>
      <w:r>
        <w:rPr>
          <w:rStyle w:val="FootnoteReference"/>
        </w:rPr>
        <w:footnoteReference w:id="377"/>
      </w:r>
      <w:r>
        <w:t xml:space="preserve"> </w:t>
      </w:r>
      <w:r>
        <w:t xml:space="preserve">The program’s position is to keep the</w:t>
      </w:r>
      <w:r>
        <w:t xml:space="preserve"> </w:t>
      </w:r>
      <w:r>
        <w:rPr>
          <w:rStyle w:val="VerbatimChar"/>
        </w:rPr>
        <w:t xml:space="preserve">*-Admins</w:t>
      </w:r>
      <w:r>
        <w:t xml:space="preserve"> </w:t>
      </w:r>
      <w:r>
        <w:t xml:space="preserve">groups assigned, populate them through an approval workflow, and make members eligible rather than permanently active through Privileged Identity Management, which supports eligible assignments scoped to an AU.</w:t>
      </w:r>
      <w:r>
        <w:rPr>
          <w:rStyle w:val="FootnoteReference"/>
        </w:rPr>
        <w:footnoteReference w:id="379"/>
      </w:r>
    </w:p>
    <w:p>
      <w:pPr>
        <w:pStyle w:val="Compact"/>
        <w:numPr>
          <w:ilvl w:val="0"/>
          <w:numId w:val="1030"/>
        </w:numPr>
      </w:pPr>
      <w:r>
        <w:rPr>
          <w:b/>
          <w:bCs/>
        </w:rPr>
        <w:t xml:space="preserve">Tier 1 assignees need the same treatment.</w:t>
      </w:r>
      <w:r>
        <w:t xml:space="preserve"> </w:t>
      </w:r>
      <w:r>
        <w:t xml:space="preserve">The</w:t>
      </w:r>
      <w:r>
        <w:t xml:space="preserve"> </w:t>
      </w:r>
      <w:r>
        <w:rPr>
          <w:rStyle w:val="VerbatimChar"/>
        </w:rPr>
        <w:t xml:space="preserve">*-Users</w:t>
      </w:r>
      <w:r>
        <w:t xml:space="preserve"> </w:t>
      </w:r>
      <w:r>
        <w:t xml:space="preserve">groups in the Tier 1 rows are department populations. If they’re dynamic, they can’t hold a role. Assign Tier 1 roles to a separate assigned, role-assignable group for each reader population.</w:t>
      </w:r>
    </w:p>
    <w:bookmarkStart w:id="384" w:name="fig-ch05-au-assignment"/>
    <w:p>
      <w:pPr>
        <w:pStyle w:val="CaptionedFigure"/>
      </w:pPr>
      <w:r>
        <w:drawing>
          <wp:inline>
            <wp:extent cx="5334000" cy="2109611"/>
            <wp:effectExtent b="0" l="0" r="0" t="0"/>
            <wp:docPr descr="How one scoped delegation is built from an HR attribute, an administrative unit, a role-assignable group, and a scoped role assignment." title="" id="382" name="Picture"/>
            <a:graphic>
              <a:graphicData uri="http://schemas.openxmlformats.org/drawingml/2006/picture">
                <pic:pic>
                  <pic:nvPicPr>
                    <pic:cNvPr descr="/home/runner/work/modernization-workbook/modernization-workbook/docs/images/diagrams/b02-identity/png/ch05-au-assignment.png" id="383" name="Picture"/>
                    <pic:cNvPicPr>
                      <a:picLocks noChangeArrowheads="1" noChangeAspect="1"/>
                    </pic:cNvPicPr>
                  </pic:nvPicPr>
                  <pic:blipFill>
                    <a:blip r:embed="rId381"/>
                    <a:stretch>
                      <a:fillRect/>
                    </a:stretch>
                  </pic:blipFill>
                  <pic:spPr bwMode="auto">
                    <a:xfrm>
                      <a:off x="0" y="0"/>
                      <a:ext cx="5334000" cy="2109611"/>
                    </a:xfrm>
                    <a:prstGeom prst="rect">
                      <a:avLst/>
                    </a:prstGeom>
                    <a:noFill/>
                    <a:ln w="9525">
                      <a:noFill/>
                      <a:headEnd/>
                      <a:tailEnd/>
                    </a:ln>
                  </pic:spPr>
                </pic:pic>
              </a:graphicData>
            </a:graphic>
          </wp:inline>
        </w:drawing>
      </w:r>
    </w:p>
    <w:p>
      <w:pPr>
        <w:pStyle w:val="ImageCaption"/>
      </w:pPr>
      <w:r>
        <w:t xml:space="preserve">How one scoped delegation is built from an HR attribute, an administrative unit, a role-assignable group, and a scoped role assignment.</w:t>
      </w:r>
    </w:p>
    <w:bookmarkEnd w:id="384"/>
    <w:bookmarkEnd w:id="385"/>
    <w:bookmarkStart w:id="387" w:name="illustrative-code-2"/>
    <w:p>
      <w:pPr>
        <w:pStyle w:val="Heading2"/>
      </w:pPr>
      <w:bookmarkStart w:id="1417" w:name="_Toc00001417"/>
      <w:r>
        <w:t xml:space="preserve">Illustrative code</w:t>
      </w:r>
      <w:bookmarkEnd w:id="1417"/>
    </w:p>
    <w:p>
      <w:pPr>
        <w:pStyle w:val="FirstParagraph"/>
      </w:pPr>
      <w:r>
        <w:t xml:space="preserve">The PowerShell in this chapter is illustrative and hasn’t been tested against a production tenant. Review it and run it first in a test tenant. The scope string</w:t>
      </w:r>
      <w:r>
        <w:t xml:space="preserve"> </w:t>
      </w:r>
      <w:r>
        <w:rPr>
          <w:rStyle w:val="VerbatimChar"/>
        </w:rPr>
        <w:t xml:space="preserve">/administrativeUnits/&lt;id&gt;</w:t>
      </w:r>
      <w:r>
        <w:t xml:space="preserve"> </w:t>
      </w:r>
      <w:r>
        <w:t xml:space="preserve">grants management of the AU’s members, not of the AU itself.</w:t>
      </w:r>
      <w:r>
        <w:rPr>
          <w:rStyle w:val="FootnoteReference"/>
        </w:rPr>
        <w:footnoteReference w:id="386"/>
      </w:r>
    </w:p>
    <w:bookmarkEnd w:id="387"/>
    <w:p>
      <w:pPr>
        <w:pStyle w:val="SourceCode"/>
      </w:pPr>
      <w:r>
        <w:rPr>
          <w:rStyle w:val="CommentTok"/>
        </w:rPr>
        <w:t xml:space="preserve"># Illustrative: assign User Administrator to Finance-Admins over AU-Department-Finance</w:t>
      </w:r>
      <w:r>
        <w:br/>
      </w:r>
      <w:r>
        <w:rPr>
          <w:rStyle w:val="NormalTok"/>
        </w:rPr>
        <w:t xml:space="preserve">Connect-MgGraph </w:t>
      </w:r>
      <w:r>
        <w:rPr>
          <w:rStyle w:val="OperatorTok"/>
        </w:rPr>
        <w:t xml:space="preserve">-</w:t>
      </w:r>
      <w:r>
        <w:rPr>
          <w:rStyle w:val="NormalTok"/>
        </w:rPr>
        <w:t xml:space="preserve">Scopes </w:t>
      </w:r>
      <w:r>
        <w:rPr>
          <w:rStyle w:val="StringTok"/>
        </w:rPr>
        <w:t xml:space="preserve">'RoleManagement.ReadWrite.Directory'</w:t>
      </w:r>
      <w:r>
        <w:rPr>
          <w:rStyle w:val="OperatorTok"/>
        </w:rPr>
        <w:t xml:space="preserve">,</w:t>
      </w:r>
      <w:r>
        <w:rPr>
          <w:rStyle w:val="NormalTok"/>
        </w:rPr>
        <w:t xml:space="preserve"> </w:t>
      </w:r>
      <w:r>
        <w:rPr>
          <w:rStyle w:val="StringTok"/>
        </w:rPr>
        <w:t xml:space="preserve">'AdministrativeUnit.Read.All'</w:t>
      </w:r>
      <w:r>
        <w:rPr>
          <w:rStyle w:val="OperatorTok"/>
        </w:rPr>
        <w:t xml:space="preserve">,</w:t>
      </w:r>
      <w:r>
        <w:rPr>
          <w:rStyle w:val="NormalTok"/>
        </w:rPr>
        <w:t xml:space="preserve"> </w:t>
      </w:r>
      <w:r>
        <w:rPr>
          <w:rStyle w:val="StringTok"/>
        </w:rPr>
        <w:t xml:space="preserve">'Group.Read.All'</w:t>
      </w:r>
      <w:r>
        <w:br/>
      </w:r>
      <w:r>
        <w:br/>
      </w:r>
      <w:r>
        <w:rPr>
          <w:rStyle w:val="VariableTok"/>
        </w:rPr>
        <w:t xml:space="preserve">$au</w:t>
      </w:r>
      <w:r>
        <w:rPr>
          <w:rStyle w:val="NormalTok"/>
        </w:rPr>
        <w:t xml:space="preserve">    </w:t>
      </w:r>
      <w:r>
        <w:rPr>
          <w:rStyle w:val="OperatorTok"/>
        </w:rPr>
        <w:t xml:space="preserve">=</w:t>
      </w:r>
      <w:r>
        <w:rPr>
          <w:rStyle w:val="NormalTok"/>
        </w:rPr>
        <w:t xml:space="preserve"> Get-MgDirectoryAdministrativeUnit </w:t>
      </w:r>
      <w:r>
        <w:rPr>
          <w:rStyle w:val="OperatorTok"/>
        </w:rPr>
        <w:t xml:space="preserve">-</w:t>
      </w:r>
      <w:r>
        <w:rPr>
          <w:rStyle w:val="NormalTok"/>
        </w:rPr>
        <w:t xml:space="preserve">Filter </w:t>
      </w:r>
      <w:r>
        <w:rPr>
          <w:rStyle w:val="StringTok"/>
        </w:rPr>
        <w:t xml:space="preserve">"displayName eq 'AU-Department-Finance'"</w:t>
      </w:r>
      <w:r>
        <w:br/>
      </w:r>
      <w:r>
        <w:rPr>
          <w:rStyle w:val="VariableTok"/>
        </w:rPr>
        <w:t xml:space="preserve">$group</w:t>
      </w:r>
      <w:r>
        <w:rPr>
          <w:rStyle w:val="NormalTok"/>
        </w:rPr>
        <w:t xml:space="preserve"> </w:t>
      </w:r>
      <w:r>
        <w:rPr>
          <w:rStyle w:val="OperatorTok"/>
        </w:rPr>
        <w:t xml:space="preserve">=</w:t>
      </w:r>
      <w:r>
        <w:rPr>
          <w:rStyle w:val="NormalTok"/>
        </w:rPr>
        <w:t xml:space="preserve"> Get-MgGroup </w:t>
      </w:r>
      <w:r>
        <w:rPr>
          <w:rStyle w:val="OperatorTok"/>
        </w:rPr>
        <w:t xml:space="preserve">-</w:t>
      </w:r>
      <w:r>
        <w:rPr>
          <w:rStyle w:val="NormalTok"/>
        </w:rPr>
        <w:t xml:space="preserve">Filter </w:t>
      </w:r>
      <w:r>
        <w:rPr>
          <w:rStyle w:val="StringTok"/>
        </w:rPr>
        <w:t xml:space="preserve">"displayName eq 'Finance-Admins'"</w:t>
      </w:r>
      <w:r>
        <w:br/>
      </w:r>
      <w:r>
        <w:rPr>
          <w:rStyle w:val="VariableTok"/>
        </w:rPr>
        <w:t xml:space="preserve">$role</w:t>
      </w:r>
      <w:r>
        <w:rPr>
          <w:rStyle w:val="NormalTok"/>
        </w:rPr>
        <w:t xml:space="preserve">  </w:t>
      </w:r>
      <w:r>
        <w:rPr>
          <w:rStyle w:val="OperatorTok"/>
        </w:rPr>
        <w:t xml:space="preserve">=</w:t>
      </w:r>
      <w:r>
        <w:rPr>
          <w:rStyle w:val="NormalTok"/>
        </w:rPr>
        <w:t xml:space="preserve"> Get-MgRoleManagementDirectoryRoleDefinition </w:t>
      </w:r>
      <w:r>
        <w:rPr>
          <w:rStyle w:val="OperatorTok"/>
        </w:rPr>
        <w:t xml:space="preserve">-</w:t>
      </w:r>
      <w:r>
        <w:rPr>
          <w:rStyle w:val="NormalTok"/>
        </w:rPr>
        <w:t xml:space="preserve">Filter </w:t>
      </w:r>
      <w:r>
        <w:rPr>
          <w:rStyle w:val="StringTok"/>
        </w:rPr>
        <w:t xml:space="preserve">"displayName eq 'User Administrator'"</w:t>
      </w:r>
      <w:r>
        <w:br/>
      </w:r>
      <w:r>
        <w:br/>
      </w:r>
      <w:r>
        <w:rPr>
          <w:rStyle w:val="NormalTok"/>
        </w:rPr>
        <w:t xml:space="preserve">New-MgRoleManagementDirectoryRoleAssignment `</w:t>
      </w:r>
      <w:r>
        <w:br/>
      </w:r>
      <w:r>
        <w:rPr>
          <w:rStyle w:val="NormalTok"/>
        </w:rPr>
        <w:t xml:space="preserve">    </w:t>
      </w:r>
      <w:r>
        <w:rPr>
          <w:rStyle w:val="OperatorTok"/>
        </w:rPr>
        <w:t xml:space="preserve">-</w:t>
      </w:r>
      <w:r>
        <w:rPr>
          <w:rStyle w:val="NormalTok"/>
        </w:rPr>
        <w:t xml:space="preserve">DirectoryScopeId </w:t>
      </w:r>
      <w:r>
        <w:rPr>
          <w:rStyle w:val="OperatorTok"/>
        </w:rPr>
        <w:t xml:space="preserve">(</w:t>
      </w:r>
      <w:r>
        <w:rPr>
          <w:rStyle w:val="StringTok"/>
        </w:rPr>
        <w:t xml:space="preserve">'/administrativeUnits/'</w:t>
      </w:r>
      <w:r>
        <w:rPr>
          <w:rStyle w:val="NormalTok"/>
        </w:rPr>
        <w:t xml:space="preserve"> </w:t>
      </w:r>
      <w:r>
        <w:rPr>
          <w:rStyle w:val="OperatorTok"/>
        </w:rPr>
        <w:t xml:space="preserve">+</w:t>
      </w:r>
      <w:r>
        <w:rPr>
          <w:rStyle w:val="NormalTok"/>
        </w:rPr>
        <w:t xml:space="preserve"> </w:t>
      </w:r>
      <w:r>
        <w:rPr>
          <w:rStyle w:val="VariableTok"/>
        </w:rPr>
        <w:t xml:space="preserve">$au</w:t>
      </w:r>
      <w:r>
        <w:rPr>
          <w:rStyle w:val="OperatorTok"/>
        </w:rPr>
        <w:t xml:space="preserve">.</w:t>
      </w:r>
      <w:r>
        <w:rPr>
          <w:rStyle w:val="FunctionTok"/>
        </w:rPr>
        <w:t xml:space="preserve">Id</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PrincipalId </w:t>
      </w:r>
      <w:r>
        <w:rPr>
          <w:rStyle w:val="VariableTok"/>
        </w:rPr>
        <w:t xml:space="preserve">$group</w:t>
      </w:r>
      <w:r>
        <w:rPr>
          <w:rStyle w:val="OperatorTok"/>
        </w:rPr>
        <w:t xml:space="preserve">.</w:t>
      </w:r>
      <w:r>
        <w:rPr>
          <w:rStyle w:val="FunctionTok"/>
        </w:rPr>
        <w:t xml:space="preserve">Id</w:t>
      </w:r>
      <w:r>
        <w:rPr>
          <w:rStyle w:val="NormalTok"/>
        </w:rPr>
        <w:t xml:space="preserve"> `</w:t>
      </w:r>
      <w:r>
        <w:br/>
      </w:r>
      <w:r>
        <w:rPr>
          <w:rStyle w:val="NormalTok"/>
        </w:rPr>
        <w:t xml:space="preserve">    </w:t>
      </w:r>
      <w:r>
        <w:rPr>
          <w:rStyle w:val="OperatorTok"/>
        </w:rPr>
        <w:t xml:space="preserve">-</w:t>
      </w:r>
      <w:r>
        <w:rPr>
          <w:rStyle w:val="NormalTok"/>
        </w:rPr>
        <w:t xml:space="preserve">RoleDefinitionId </w:t>
      </w:r>
      <w:r>
        <w:rPr>
          <w:rStyle w:val="VariableTok"/>
        </w:rPr>
        <w:t xml:space="preserve">$role</w:t>
      </w:r>
      <w:r>
        <w:rPr>
          <w:rStyle w:val="OperatorTok"/>
        </w:rPr>
        <w:t xml:space="preserve">.</w:t>
      </w:r>
      <w:r>
        <w:rPr>
          <w:rStyle w:val="FunctionTok"/>
        </w:rPr>
        <w:t xml:space="preserve">Id</w:t>
      </w:r>
    </w:p>
    <w:bookmarkStart w:id="390" w:name="restricted-management-a-per-au-decision"/>
    <w:p>
      <w:pPr>
        <w:pStyle w:val="Heading2"/>
      </w:pPr>
      <w:bookmarkStart w:id="1418" w:name="_Toc00001418"/>
      <w:r>
        <w:t xml:space="preserve">Restricted management: a per-AU decision</w:t>
      </w:r>
      <w:bookmarkEnd w:id="1418"/>
    </w:p>
    <w:p>
      <w:pPr>
        <w:pStyle w:val="FirstParagraph"/>
      </w:pPr>
      <w:r>
        <w:t xml:space="preserve">The program’s matrix marked every AU as restricted management and called that non-negotiable, on the reasoning that restriction prevents privilege escalation because even a Global Administrator can’t bypass AU-scoped delegation. The documented behavior is narrower. A Global Administrator can’t edit a protected object directly, but can add or remove the AU’s members and assign themselves a role over it; restriction makes that bypass deliberate and audited, not impossible.</w:t>
      </w:r>
      <w:r>
        <w:rPr>
          <w:rStyle w:val="FootnoteReference"/>
        </w:rPr>
        <w:footnoteReference w:id="388"/>
      </w:r>
    </w:p>
    <w:p>
      <w:pPr>
        <w:pStyle w:val="BodyText"/>
      </w:pPr>
      <w:r>
        <w:t xml:space="preserve">Applied to every AU, restriction also collides with the rest of this book. HR-driven provisioning relies on lifecycle workflows, access packages, access reviews, and PIM, and none of those can manage users or groups inside a restricted management AU.</w:t>
      </w:r>
      <w:r>
        <w:rPr>
          <w:rStyle w:val="FootnoteReference"/>
        </w:rPr>
        <w:footnoteReference w:id="389"/>
      </w:r>
      <w:r>
        <w:t xml:space="preserve"> </w:t>
      </w:r>
      <w:r>
        <w:t xml:space="preserve">An</w:t>
      </w:r>
      <w:r>
        <w:t xml:space="preserve"> </w:t>
      </w:r>
      <w:r>
        <w:rPr>
          <w:rStyle w:val="VerbatimChar"/>
        </w:rPr>
        <w:t xml:space="preserve">AU-Enterprise</w:t>
      </w:r>
      <w:r>
        <w:t xml:space="preserve"> </w:t>
      </w:r>
      <w:r>
        <w:t xml:space="preserve">that is both restricted and dynamic over every HR-provisioned user would take the whole governed workforce out of Entra ID Governance and out of reach of every tenant-scoped administrator.</w:t>
      </w:r>
    </w:p>
    <w:p>
      <w:pPr>
        <w:pStyle w:val="BodyText"/>
      </w:pPr>
      <w:r>
        <w:t xml:space="preserve">So this chapter treats restriction as a per-AU decision with a default of</w:t>
      </w:r>
      <w:r>
        <w:t xml:space="preserve"> </w:t>
      </w:r>
      <w:r>
        <w:rPr>
          <w:b/>
          <w:bCs/>
        </w:rPr>
        <w:t xml:space="preserve">no</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Use restricted management for</w:t>
            </w:r>
          </w:p>
        </w:tc>
        <w:tc>
          <w:tcPr/>
          <w:p>
            <w:pPr>
              <w:pStyle w:val="Compact"/>
            </w:pPr>
            <w:r>
              <w:t xml:space="preserve">Don’t use it for</w:t>
            </w:r>
          </w:p>
        </w:tc>
      </w:tr>
      <w:tr>
        <w:tc>
          <w:tcPr/>
          <w:p>
            <w:pPr>
              <w:pStyle w:val="Compact"/>
            </w:pPr>
            <w:r>
              <w:t xml:space="preserve">Executive accounts and their devices</w:t>
            </w:r>
          </w:p>
        </w:tc>
        <w:tc>
          <w:tcPr/>
          <w:p>
            <w:pPr>
              <w:pStyle w:val="Compact"/>
            </w:pPr>
            <w:r>
              <w:t xml:space="preserve">Broad department populations under HR-driven lifecycle</w:t>
            </w:r>
          </w:p>
        </w:tc>
      </w:tr>
      <w:tr>
        <w:tc>
          <w:tcPr/>
          <w:p>
            <w:pPr>
              <w:pStyle w:val="Compact"/>
            </w:pPr>
            <w:r>
              <w:t xml:space="preserve">Break-glass and other high-value accounts that must not be reset by the help desk</w:t>
            </w:r>
          </w:p>
        </w:tc>
        <w:tc>
          <w:tcPr/>
          <w:p>
            <w:pPr>
              <w:pStyle w:val="Compact"/>
            </w:pPr>
            <w:r>
              <w:rPr>
                <w:rStyle w:val="VerbatimChar"/>
              </w:rPr>
              <w:t xml:space="preserve">AU-Enterprise</w:t>
            </w:r>
          </w:p>
        </w:tc>
      </w:tr>
      <w:tr>
        <w:tc>
          <w:tcPr/>
          <w:p>
            <w:pPr>
              <w:pStyle w:val="Compact"/>
            </w:pPr>
            <w:r>
              <w:t xml:space="preserve">Security groups that gate sensitive applications</w:t>
            </w:r>
          </w:p>
        </w:tc>
        <w:tc>
          <w:tcPr/>
          <w:p>
            <w:pPr>
              <w:pStyle w:val="Compact"/>
            </w:pPr>
            <w:r>
              <w:t xml:space="preserve">Groups governed by access packages, access reviews, or PIM for Groups</w:t>
            </w:r>
          </w:p>
        </w:tc>
      </w:tr>
      <w:tr>
        <w:tc>
          <w:tcPr/>
          <w:p>
            <w:pPr>
              <w:pStyle w:val="Compact"/>
            </w:pPr>
            <w:r>
              <w:t xml:space="preserve">Populations with a legal or regional rule on who may administer them</w:t>
            </w:r>
          </w:p>
        </w:tc>
        <w:tc>
          <w:tcPr/>
          <w:p>
            <w:pPr>
              <w:pStyle w:val="Compact"/>
            </w:pPr>
            <w:r>
              <w:t xml:space="preserve">Anything that needs Microsoft 365 or distribution groups as members</w:t>
            </w:r>
          </w:p>
        </w:tc>
      </w:tr>
    </w:tbl>
    <w:p>
      <w:pPr>
        <w:pStyle w:val="BodyText"/>
      </w:pPr>
      <w:r>
        <w:t xml:space="preserve">Because the setting can’t be changed after creation, decide it before the AU exists, and record the decision in the registry entry. The program default is unrestricted; restriction is chosen per AU where the table above calls for it.</w:t>
      </w:r>
    </w:p>
    <w:bookmarkEnd w:id="390"/>
    <w:bookmarkStart w:id="393" w:name="delegation-principles"/>
    <w:p>
      <w:pPr>
        <w:pStyle w:val="Heading2"/>
      </w:pPr>
      <w:bookmarkStart w:id="1419" w:name="_Toc00001419"/>
      <w:r>
        <w:t xml:space="preserve">Delegation principles</w:t>
      </w:r>
      <w:bookmarkEnd w:id="1419"/>
    </w:p>
    <w:p>
      <w:pPr>
        <w:pStyle w:val="FirstParagraph"/>
      </w:pPr>
      <w:r>
        <w:t xml:space="preserve">Delegation defines who may perform which actions on which objects. In a modernized environment the scope comes from governed attributes, not from OUs. Five principles govern every row of the matrix:</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Principle</w:t>
            </w:r>
          </w:p>
        </w:tc>
        <w:tc>
          <w:tcPr/>
          <w:p>
            <w:pPr>
              <w:pStyle w:val="Compact"/>
            </w:pPr>
            <w:r>
              <w:t xml:space="preserve">Implication</w:t>
            </w:r>
          </w:p>
        </w:tc>
      </w:tr>
      <w:tr>
        <w:tc>
          <w:tcPr/>
          <w:p>
            <w:pPr>
              <w:pStyle w:val="Compact"/>
            </w:pPr>
            <w:r>
              <w:t xml:space="preserve">Least privilege</w:t>
            </w:r>
          </w:p>
        </w:tc>
        <w:tc>
          <w:tcPr/>
          <w:p>
            <w:pPr>
              <w:pStyle w:val="Compact"/>
            </w:pPr>
            <w:r>
              <w:t xml:space="preserve">Each role is limited to the minimum actions required</w:t>
            </w:r>
          </w:p>
        </w:tc>
      </w:tr>
      <w:tr>
        <w:tc>
          <w:tcPr/>
          <w:p>
            <w:pPr>
              <w:pStyle w:val="Compact"/>
            </w:pPr>
            <w:r>
              <w:t xml:space="preserve">Scoped by attribute</w:t>
            </w:r>
          </w:p>
        </w:tc>
        <w:tc>
          <w:tcPr/>
          <w:p>
            <w:pPr>
              <w:pStyle w:val="Compact"/>
            </w:pPr>
            <w:r>
              <w:t xml:space="preserve">Scope is an attribute value or combination, not a manually maintained group</w:t>
            </w:r>
          </w:p>
        </w:tc>
      </w:tr>
      <w:tr>
        <w:tc>
          <w:tcPr/>
          <w:p>
            <w:pPr>
              <w:pStyle w:val="Compact"/>
            </w:pPr>
            <w:r>
              <w:t xml:space="preserve">Time-bound where possible</w:t>
            </w:r>
          </w:p>
        </w:tc>
        <w:tc>
          <w:tcPr/>
          <w:p>
            <w:pPr>
              <w:pStyle w:val="Compact"/>
            </w:pPr>
            <w:r>
              <w:t xml:space="preserve">Standing access is the exception; eligible assignments are the default</w:t>
            </w:r>
          </w:p>
        </w:tc>
      </w:tr>
      <w:tr>
        <w:tc>
          <w:tcPr/>
          <w:p>
            <w:pPr>
              <w:pStyle w:val="Compact"/>
            </w:pPr>
            <w:r>
              <w:t xml:space="preserve">Recorded</w:t>
            </w:r>
          </w:p>
        </w:tc>
        <w:tc>
          <w:tcPr/>
          <w:p>
            <w:pPr>
              <w:pStyle w:val="Compact"/>
            </w:pPr>
            <w:r>
              <w:t xml:space="preserve">Every delegation has an owner, a scope, and a review date</w:t>
            </w:r>
          </w:p>
        </w:tc>
      </w:tr>
      <w:tr>
        <w:tc>
          <w:tcPr/>
          <w:p>
            <w:pPr>
              <w:pStyle w:val="Compact"/>
            </w:pPr>
            <w:r>
              <w:t xml:space="preserve">Separated</w:t>
            </w:r>
          </w:p>
        </w:tc>
        <w:tc>
          <w:tcPr/>
          <w:p>
            <w:pPr>
              <w:pStyle w:val="Compact"/>
            </w:pPr>
            <w:r>
              <w:t xml:space="preserve">Requestor and approver are different people for high-privilege actions</w:t>
            </w:r>
          </w:p>
        </w:tc>
      </w:tr>
    </w:tbl>
    <w:p>
      <w:pPr>
        <w:pStyle w:val="BodyText"/>
      </w:pPr>
      <w:r>
        <w:t xml:space="preserve">These map to the access control family of NIST SP 800-53 Revision 5, which federal systems are assessed against.</w:t>
      </w:r>
      <w:r>
        <w:rPr>
          <w:rStyle w:val="FootnoteReference"/>
        </w:rPr>
        <w:footnoteReference w:id="391"/>
      </w:r>
      <w:r>
        <w:t xml:space="preserve"> </w:t>
      </w:r>
      <w:r>
        <w:t xml:space="preserve">Review cadence follows the risk of the scope: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Scope</w:t>
            </w:r>
          </w:p>
        </w:tc>
        <w:tc>
          <w:tcPr/>
          <w:p>
            <w:pPr>
              <w:pStyle w:val="Compact"/>
            </w:pPr>
            <w:r>
              <w:t xml:space="preserve">Typical roles</w:t>
            </w:r>
          </w:p>
        </w:tc>
        <w:tc>
          <w:tcPr/>
          <w:p>
            <w:pPr>
              <w:pStyle w:val="Compact"/>
            </w:pPr>
            <w:r>
              <w:t xml:space="preserve">Review cadence</w:t>
            </w:r>
          </w:p>
        </w:tc>
      </w:tr>
      <w:tr>
        <w:tc>
          <w:tcPr/>
          <w:p>
            <w:pPr>
              <w:pStyle w:val="Compact"/>
            </w:pPr>
            <w:r>
              <w:t xml:space="preserve">Single department</w:t>
            </w:r>
          </w:p>
        </w:tc>
        <w:tc>
          <w:tcPr/>
          <w:p>
            <w:pPr>
              <w:pStyle w:val="Compact"/>
            </w:pPr>
            <w:r>
              <w:t xml:space="preserve">Help desk, local administration</w:t>
            </w:r>
          </w:p>
        </w:tc>
        <w:tc>
          <w:tcPr/>
          <w:p>
            <w:pPr>
              <w:pStyle w:val="Compact"/>
            </w:pPr>
            <w:r>
              <w:t xml:space="preserve">Quarterly</w:t>
            </w:r>
          </w:p>
        </w:tc>
      </w:tr>
      <w:tr>
        <w:tc>
          <w:tcPr/>
          <w:p>
            <w:pPr>
              <w:pStyle w:val="Compact"/>
            </w:pPr>
            <w:r>
              <w:t xml:space="preserve">Division or region</w:t>
            </w:r>
          </w:p>
        </w:tc>
        <w:tc>
          <w:tcPr/>
          <w:p>
            <w:pPr>
              <w:pStyle w:val="Compact"/>
            </w:pPr>
            <w:r>
              <w:t xml:space="preserve">Tier 2 operations</w:t>
            </w:r>
          </w:p>
        </w:tc>
        <w:tc>
          <w:tcPr/>
          <w:p>
            <w:pPr>
              <w:pStyle w:val="Compact"/>
            </w:pPr>
            <w:r>
              <w:t xml:space="preserve">Quarterly</w:t>
            </w:r>
          </w:p>
        </w:tc>
      </w:tr>
      <w:tr>
        <w:tc>
          <w:tcPr/>
          <w:p>
            <w:pPr>
              <w:pStyle w:val="Compact"/>
            </w:pPr>
            <w:r>
              <w:t xml:space="preserve">Privileged roles</w:t>
            </w:r>
          </w:p>
        </w:tc>
        <w:tc>
          <w:tcPr/>
          <w:p>
            <w:pPr>
              <w:pStyle w:val="Compact"/>
            </w:pPr>
            <w:r>
              <w:t xml:space="preserve">Identity administrators</w:t>
            </w:r>
          </w:p>
        </w:tc>
        <w:tc>
          <w:tcPr/>
          <w:p>
            <w:pPr>
              <w:pStyle w:val="Compact"/>
            </w:pPr>
            <w:r>
              <w:t xml:space="preserve">Monthly or on change</w:t>
            </w:r>
          </w:p>
        </w:tc>
      </w:tr>
      <w:tr>
        <w:tc>
          <w:tcPr/>
          <w:p>
            <w:pPr>
              <w:pStyle w:val="Compact"/>
            </w:pPr>
            <w:r>
              <w:t xml:space="preserve">Break-glass</w:t>
            </w:r>
          </w:p>
        </w:tc>
        <w:tc>
          <w:tcPr/>
          <w:p>
            <w:pPr>
              <w:pStyle w:val="Compact"/>
            </w:pPr>
            <w:r>
              <w:t xml:space="preserve">Emergency only</w:t>
            </w:r>
          </w:p>
        </w:tc>
        <w:tc>
          <w:tcPr/>
          <w:p>
            <w:pPr>
              <w:pStyle w:val="Compact"/>
            </w:pPr>
            <w:r>
              <w:t xml:space="preserve">Continuous monitoring</w:t>
            </w:r>
          </w:p>
        </w:tc>
      </w:tr>
    </w:tbl>
    <w:p>
      <w:pPr>
        <w:pStyle w:val="BodyText"/>
      </w:pPr>
      <w:r>
        <w:t xml:space="preserve">Delegation stays auditable when the scope is a governed attribute and the assignment is recorded. Manual group membership as the only scope mechanism loses that.</w:t>
      </w:r>
    </w:p>
    <w:bookmarkEnd w:id="393"/>
    <w:bookmarkStart w:id="398" w:name="drift-detection"/>
    <w:p>
      <w:pPr>
        <w:pStyle w:val="Heading2"/>
      </w:pPr>
      <w:bookmarkStart w:id="1420" w:name="_Toc00001420"/>
      <w:r>
        <w:t xml:space="preserve">Drift detection</w:t>
      </w:r>
      <w:bookmarkEnd w:id="1420"/>
    </w:p>
    <w:p>
      <w:pPr>
        <w:pStyle w:val="FirstParagraph"/>
      </w:pPr>
      <w:r>
        <w:t xml:space="preserve">The registry and matrix are the desired state; the tenant is the actual state. Drift detection compares them on a schedule and classifies every difference.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Drift type</w:t>
            </w:r>
          </w:p>
        </w:tc>
        <w:tc>
          <w:tcPr/>
          <w:p>
            <w:pPr>
              <w:pStyle w:val="Compact"/>
            </w:pPr>
            <w:r>
              <w:t xml:space="preserve">Severity</w:t>
            </w:r>
          </w:p>
        </w:tc>
        <w:tc>
          <w:tcPr/>
          <w:p>
            <w:pPr>
              <w:pStyle w:val="Compact"/>
            </w:pPr>
            <w:r>
              <w:t xml:space="preserve">Auto-fix</w:t>
            </w:r>
          </w:p>
        </w:tc>
      </w:tr>
      <w:tr>
        <w:tc>
          <w:tcPr/>
          <w:p>
            <w:pPr>
              <w:pStyle w:val="Compact"/>
            </w:pPr>
            <w:r>
              <w:t xml:space="preserve">AU membership drift: rule in the tenant differs from the registry</w:t>
            </w:r>
          </w:p>
        </w:tc>
        <w:tc>
          <w:tcPr/>
          <w:p>
            <w:pPr>
              <w:pStyle w:val="Compact"/>
            </w:pPr>
            <w:r>
              <w:t xml:space="preserve">High</w:t>
            </w:r>
          </w:p>
        </w:tc>
        <w:tc>
          <w:tcPr/>
          <w:p>
            <w:pPr>
              <w:pStyle w:val="Compact"/>
            </w:pPr>
            <w:r>
              <w:t xml:space="preserve">Yes: reapply the registry rule</w:t>
            </w:r>
          </w:p>
        </w:tc>
      </w:tr>
      <w:tr>
        <w:tc>
          <w:tcPr/>
          <w:p>
            <w:pPr>
              <w:pStyle w:val="Compact"/>
            </w:pPr>
            <w:r>
              <w:t xml:space="preserve">AU rule processing paused</w:t>
            </w:r>
          </w:p>
        </w:tc>
        <w:tc>
          <w:tcPr/>
          <w:p>
            <w:pPr>
              <w:pStyle w:val="Compact"/>
            </w:pPr>
            <w:r>
              <w:t xml:space="preserve">High</w:t>
            </w:r>
          </w:p>
        </w:tc>
        <w:tc>
          <w:tcPr/>
          <w:p>
            <w:pPr>
              <w:pStyle w:val="Compact"/>
            </w:pPr>
            <w:r>
              <w:t xml:space="preserve">Yes: set processing back to</w:t>
            </w:r>
            <w:r>
              <w:t xml:space="preserve"> </w:t>
            </w:r>
            <w:r>
              <w:rPr>
                <w:rStyle w:val="VerbatimChar"/>
              </w:rPr>
              <w:t xml:space="preserve">On</w:t>
            </w:r>
          </w:p>
        </w:tc>
      </w:tr>
      <w:tr>
        <w:tc>
          <w:tcPr/>
          <w:p>
            <w:pPr>
              <w:pStyle w:val="Compact"/>
            </w:pPr>
            <w:r>
              <w:t xml:space="preserve">Role assignment drift: an assignment not in the matrix</w:t>
            </w:r>
          </w:p>
        </w:tc>
        <w:tc>
          <w:tcPr/>
          <w:p>
            <w:pPr>
              <w:pStyle w:val="Compact"/>
            </w:pPr>
            <w:r>
              <w:t xml:space="preserve">Critical</w:t>
            </w:r>
          </w:p>
        </w:tc>
        <w:tc>
          <w:tcPr/>
          <w:p>
            <w:pPr>
              <w:pStyle w:val="Compact"/>
            </w:pPr>
            <w:r>
              <w:t xml:space="preserve">No: investigate</w:t>
            </w:r>
          </w:p>
        </w:tc>
      </w:tr>
      <w:tr>
        <w:tc>
          <w:tcPr/>
          <w:p>
            <w:pPr>
              <w:pStyle w:val="Compact"/>
            </w:pPr>
            <w:r>
              <w:t xml:space="preserve">Restriction mismatch: the AU’s restricted setting differs from its registry decision</w:t>
            </w:r>
          </w:p>
        </w:tc>
        <w:tc>
          <w:tcPr/>
          <w:p>
            <w:pPr>
              <w:pStyle w:val="Compact"/>
            </w:pPr>
            <w:r>
              <w:t xml:space="preserve">Critical</w:t>
            </w:r>
          </w:p>
        </w:tc>
        <w:tc>
          <w:tcPr/>
          <w:p>
            <w:pPr>
              <w:pStyle w:val="Compact"/>
            </w:pPr>
            <w:r>
              <w:t xml:space="preserve">No: the setting is immutable; create a correctly configured AU, move role assignments and members, then delete the old one</w:t>
            </w:r>
          </w:p>
        </w:tc>
      </w:tr>
      <w:tr>
        <w:tc>
          <w:tcPr/>
          <w:p>
            <w:pPr>
              <w:pStyle w:val="Compact"/>
            </w:pPr>
            <w:r>
              <w:t xml:space="preserve">Orphaned AU: no role assignments</w:t>
            </w:r>
          </w:p>
        </w:tc>
        <w:tc>
          <w:tcPr/>
          <w:p>
            <w:pPr>
              <w:pStyle w:val="Compact"/>
            </w:pPr>
            <w:r>
              <w:t xml:space="preserve">Low</w:t>
            </w:r>
          </w:p>
        </w:tc>
        <w:tc>
          <w:tcPr/>
          <w:p>
            <w:pPr>
              <w:pStyle w:val="Compact"/>
            </w:pPr>
            <w:r>
              <w:t xml:space="preserve">No: flag</w:t>
            </w:r>
          </w:p>
        </w:tc>
      </w:tr>
      <w:tr>
        <w:tc>
          <w:tcPr/>
          <w:p>
            <w:pPr>
              <w:pStyle w:val="Compact"/>
            </w:pPr>
            <w:r>
              <w:t xml:space="preserve">Missing AU: registry entry with no tenant AU</w:t>
            </w:r>
          </w:p>
        </w:tc>
        <w:tc>
          <w:tcPr/>
          <w:p>
            <w:pPr>
              <w:pStyle w:val="Compact"/>
            </w:pPr>
            <w:r>
              <w:t xml:space="preserve">High</w:t>
            </w:r>
          </w:p>
        </w:tc>
        <w:tc>
          <w:tcPr/>
          <w:p>
            <w:pPr>
              <w:pStyle w:val="Compact"/>
            </w:pPr>
            <w:r>
              <w:t xml:space="preserve">Yes: create it with the registry’s restriction setting</w:t>
            </w:r>
          </w:p>
        </w:tc>
      </w:tr>
      <w:tr>
        <w:tc>
          <w:tcPr/>
          <w:p>
            <w:pPr>
              <w:pStyle w:val="Compact"/>
            </w:pPr>
            <w:r>
              <w:t xml:space="preserve">Dynamic group used as a role principal</w:t>
            </w:r>
          </w:p>
        </w:tc>
        <w:tc>
          <w:tcPr/>
          <w:p>
            <w:pPr>
              <w:pStyle w:val="Compact"/>
            </w:pPr>
            <w:r>
              <w:t xml:space="preserve">Critical</w:t>
            </w:r>
          </w:p>
        </w:tc>
        <w:tc>
          <w:tcPr/>
          <w:p>
            <w:pPr>
              <w:pStyle w:val="Compact"/>
            </w:pPr>
            <w:r>
              <w:t xml:space="preserve">Not possible in Entra ID; flag any registry entry that assumes it</w:t>
            </w:r>
          </w:p>
        </w:tc>
      </w:tr>
    </w:tbl>
    <w:p>
      <w:pPr>
        <w:pStyle w:val="BodyText"/>
      </w:pPr>
      <w:r>
        <w:t xml:space="preserve">Two of these rows differ from the source design.</w:t>
      </w:r>
      <w:r>
        <w:t xml:space="preserve"> </w:t>
      </w:r>
      <w:r>
        <w:t xml:space="preserve">“Unrestricted AU”</w:t>
      </w:r>
      <w:r>
        <w:t xml:space="preserve"> </w:t>
      </w:r>
      <w:r>
        <w:t xml:space="preserve">was marked auto-fixable; it can’t be, because the restricted setting can only be set at creation.</w:t>
      </w:r>
      <w:r>
        <w:rPr>
          <w:rStyle w:val="FootnoteReference"/>
        </w:rPr>
        <w:footnoteReference w:id="394"/>
      </w:r>
      <w:r>
        <w:t xml:space="preserve"> </w:t>
      </w:r>
      <w:r>
        <w:t xml:space="preserve">“Rule processing paused”</w:t>
      </w:r>
      <w:r>
        <w:t xml:space="preserve"> </w:t>
      </w:r>
      <w:r>
        <w:t xml:space="preserve">is new: an AU’s dynamic rule can be paused, and a paused rule leaves membership frozen while every other check passes.</w:t>
      </w:r>
      <w:r>
        <w:rPr>
          <w:rStyle w:val="FootnoteReference"/>
        </w:rPr>
        <w:footnoteReference w:id="395"/>
      </w:r>
      <w:r>
        <w:t xml:space="preserve"> </w:t>
      </w:r>
      <w:r>
        <w:t xml:space="preserve">Restricted management changes are recorded in the Entra audit log (adding a restricted AU, adding or removing members, and adding or removing role members scoped over it), which gives the drift engine an event stream to watch between scheduled comparisons.</w:t>
      </w:r>
      <w:r>
        <w:rPr>
          <w:rStyle w:val="FootnoteReference"/>
        </w:rPr>
        <w:footnoteReference w:id="397"/>
      </w:r>
    </w:p>
    <w:p>
      <w:pPr>
        <w:pStyle w:val="BodyText"/>
      </w:pPr>
      <w:r>
        <w:t xml:space="preserve">The scheduled comparison starts from a read of the tenant’s actual state:</w:t>
      </w:r>
    </w:p>
    <w:p>
      <w:pPr>
        <w:pStyle w:val="SourceCode"/>
      </w:pPr>
      <w:r>
        <w:rPr>
          <w:rStyle w:val="CommentTok"/>
        </w:rPr>
        <w:t xml:space="preserve"># Illustrative, read-only: export AU state and AU-scoped role assignments for comparison</w:t>
      </w:r>
      <w:r>
        <w:br/>
      </w:r>
      <w:r>
        <w:rPr>
          <w:rStyle w:val="NormalTok"/>
        </w:rPr>
        <w:t xml:space="preserve">Connect-MgGraph </w:t>
      </w:r>
      <w:r>
        <w:rPr>
          <w:rStyle w:val="OperatorTok"/>
        </w:rPr>
        <w:t xml:space="preserve">-</w:t>
      </w:r>
      <w:r>
        <w:rPr>
          <w:rStyle w:val="NormalTok"/>
        </w:rPr>
        <w:t xml:space="preserve">Scopes </w:t>
      </w:r>
      <w:r>
        <w:rPr>
          <w:rStyle w:val="StringTok"/>
        </w:rPr>
        <w:t xml:space="preserve">'AdministrativeUnit.Read.All'</w:t>
      </w:r>
      <w:r>
        <w:rPr>
          <w:rStyle w:val="OperatorTok"/>
        </w:rPr>
        <w:t xml:space="preserve">,</w:t>
      </w:r>
      <w:r>
        <w:rPr>
          <w:rStyle w:val="NormalTok"/>
        </w:rPr>
        <w:t xml:space="preserve"> </w:t>
      </w:r>
      <w:r>
        <w:rPr>
          <w:rStyle w:val="StringTok"/>
        </w:rPr>
        <w:t xml:space="preserve">'RoleManagement.Read.Directory'</w:t>
      </w:r>
      <w:r>
        <w:br/>
      </w:r>
      <w:r>
        <w:br/>
      </w:r>
      <w:r>
        <w:rPr>
          <w:rStyle w:val="VariableTok"/>
        </w:rPr>
        <w:t xml:space="preserve">$aus</w:t>
      </w:r>
      <w:r>
        <w:rPr>
          <w:rStyle w:val="NormalTok"/>
        </w:rPr>
        <w:t xml:space="preserve"> </w:t>
      </w:r>
      <w:r>
        <w:rPr>
          <w:rStyle w:val="OperatorTok"/>
        </w:rPr>
        <w:t xml:space="preserve">=</w:t>
      </w:r>
      <w:r>
        <w:rPr>
          <w:rStyle w:val="NormalTok"/>
        </w:rPr>
        <w:t xml:space="preserve"> Get-MgDirectoryAdministrativeUnit </w:t>
      </w:r>
      <w:r>
        <w:rPr>
          <w:rStyle w:val="OperatorTok"/>
        </w:rPr>
        <w:t xml:space="preserve">-</w:t>
      </w:r>
      <w:r>
        <w:rPr>
          <w:rStyle w:val="NormalTok"/>
        </w:rPr>
        <w:t xml:space="preserve">All </w:t>
      </w:r>
      <w:r>
        <w:rPr>
          <w:rStyle w:val="OperatorTok"/>
        </w:rPr>
        <w:t xml:space="preserve">-</w:t>
      </w:r>
      <w:r>
        <w:rPr>
          <w:rStyle w:val="NormalTok"/>
        </w:rPr>
        <w:t xml:space="preserve">Property Id</w:t>
      </w:r>
      <w:r>
        <w:rPr>
          <w:rStyle w:val="OperatorTok"/>
        </w:rPr>
        <w:t xml:space="preserve">,</w:t>
      </w:r>
      <w:r>
        <w:rPr>
          <w:rStyle w:val="NormalTok"/>
        </w:rPr>
        <w:t xml:space="preserve"> DisplayName</w:t>
      </w:r>
      <w:r>
        <w:rPr>
          <w:rStyle w:val="OperatorTok"/>
        </w:rPr>
        <w:t xml:space="preserve">,</w:t>
      </w:r>
      <w:r>
        <w:rPr>
          <w:rStyle w:val="NormalTok"/>
        </w:rPr>
        <w:t xml:space="preserve"> IsMemberManagementRestricted</w:t>
      </w:r>
      <w:r>
        <w:rPr>
          <w:rStyle w:val="OperatorTok"/>
        </w:rPr>
        <w:t xml:space="preserve">,</w:t>
      </w:r>
      <w:r>
        <w:rPr>
          <w:rStyle w:val="NormalTok"/>
        </w:rPr>
        <w:t xml:space="preserve"> MembershipType</w:t>
      </w:r>
      <w:r>
        <w:rPr>
          <w:rStyle w:val="OperatorTok"/>
        </w:rPr>
        <w:t xml:space="preserve">,</w:t>
      </w:r>
      <w:r>
        <w:rPr>
          <w:rStyle w:val="NormalTok"/>
        </w:rPr>
        <w:t xml:space="preserve"> MembershipRule</w:t>
      </w:r>
      <w:r>
        <w:rPr>
          <w:rStyle w:val="OperatorTok"/>
        </w:rPr>
        <w:t xml:space="preserve">,</w:t>
      </w:r>
      <w:r>
        <w:rPr>
          <w:rStyle w:val="NormalTok"/>
        </w:rPr>
        <w:t xml:space="preserve"> MembershipRuleProcessingState</w:t>
      </w:r>
      <w:r>
        <w:br/>
      </w:r>
      <w:r>
        <w:br/>
      </w:r>
      <w:r>
        <w:rPr>
          <w:rStyle w:val="VariableTok"/>
        </w:rPr>
        <w:t xml:space="preserve">$state</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$au</w:t>
      </w:r>
      <w:r>
        <w:rPr>
          <w:rStyle w:val="NormalTok"/>
        </w:rPr>
        <w:t xml:space="preserve"> </w:t>
      </w:r>
      <w:r>
        <w:rPr>
          <w:rStyle w:val="KeywordTok"/>
        </w:rPr>
        <w:t xml:space="preserve">in</w:t>
      </w:r>
      <w:r>
        <w:rPr>
          <w:rStyle w:val="NormalTok"/>
        </w:rPr>
        <w:t xml:space="preserve"> </w:t>
      </w:r>
      <w:r>
        <w:rPr>
          <w:rStyle w:val="VariableTok"/>
        </w:rPr>
        <w:t xml:space="preserve">$aus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$scoped</w:t>
      </w:r>
      <w:r>
        <w:rPr>
          <w:rStyle w:val="NormalTok"/>
        </w:rPr>
        <w:t xml:space="preserve"> </w:t>
      </w:r>
      <w:r>
        <w:rPr>
          <w:rStyle w:val="OperatorTok"/>
        </w:rPr>
        <w:t xml:space="preserve">=</w:t>
      </w:r>
      <w:r>
        <w:rPr>
          <w:rStyle w:val="NormalTok"/>
        </w:rPr>
        <w:t xml:space="preserve"> Get-MgDirectoryAdministrativeUnitScopedRoleMember </w:t>
      </w:r>
      <w:r>
        <w:rPr>
          <w:rStyle w:val="OperatorTok"/>
        </w:rPr>
        <w:t xml:space="preserve">-</w:t>
      </w:r>
      <w:r>
        <w:rPr>
          <w:rStyle w:val="NormalTok"/>
        </w:rPr>
        <w:t xml:space="preserve">AdministrativeUnitId </w:t>
      </w:r>
      <w:r>
        <w:rPr>
          <w:rStyle w:val="VariableTok"/>
        </w:rPr>
        <w:t xml:space="preserve">$au</w:t>
      </w:r>
      <w:r>
        <w:rPr>
          <w:rStyle w:val="OperatorTok"/>
        </w:rPr>
        <w:t xml:space="preserve">.</w:t>
      </w:r>
      <w:r>
        <w:rPr>
          <w:rStyle w:val="FunctionTok"/>
        </w:rPr>
        <w:t xml:space="preserve">Id</w:t>
      </w:r>
      <w:r>
        <w:rPr>
          <w:rStyle w:val="NormalTok"/>
        </w:rPr>
        <w:t xml:space="preserve"> </w:t>
      </w:r>
      <w:r>
        <w:rPr>
          <w:rStyle w:val="OperatorTok"/>
        </w:rPr>
        <w:t xml:space="preserve">-</w:t>
      </w:r>
      <w:r>
        <w:rPr>
          <w:rStyle w:val="NormalTok"/>
        </w:rPr>
        <w:t xml:space="preserve">All</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VariableTok"/>
        </w:rPr>
        <w:t xml:space="preserve">$au</w:t>
      </w:r>
      <w:r>
        <w:rPr>
          <w:rStyle w:val="OperatorTok"/>
        </w:rPr>
        <w:t xml:space="preserve">.</w:t>
      </w:r>
      <w:r>
        <w:rPr>
          <w:rStyle w:val="FunctionTok"/>
        </w:rPr>
        <w:t xml:space="preserve">DisplayName</w:t>
      </w:r>
      <w:r>
        <w:br/>
      </w:r>
      <w:r>
        <w:rPr>
          <w:rStyle w:val="NormalTok"/>
        </w:rPr>
        <w:t xml:space="preserve">        Restricted      </w:t>
      </w:r>
      <w:r>
        <w:rPr>
          <w:rStyle w:val="OperatorTok"/>
        </w:rPr>
        <w:t xml:space="preserve">=</w:t>
      </w:r>
      <w:r>
        <w:rPr>
          <w:rStyle w:val="NormalTok"/>
        </w:rPr>
        <w:t xml:space="preserve"> </w:t>
      </w:r>
      <w:r>
        <w:rPr>
          <w:rStyle w:val="OperatorTok"/>
        </w:rPr>
        <w:t xml:space="preserve">[</w:t>
      </w:r>
      <w:r>
        <w:rPr>
          <w:rStyle w:val="DataTypeTok"/>
        </w:rPr>
        <w:t xml:space="preserve">bool</w:t>
      </w:r>
      <w:r>
        <w:rPr>
          <w:rStyle w:val="OperatorTok"/>
        </w:rPr>
        <w:t xml:space="preserve">]</w:t>
      </w:r>
      <w:r>
        <w:rPr>
          <w:rStyle w:val="VariableTok"/>
        </w:rPr>
        <w:t xml:space="preserve">$au</w:t>
      </w:r>
      <w:r>
        <w:rPr>
          <w:rStyle w:val="OperatorTok"/>
        </w:rPr>
        <w:t xml:space="preserve">.</w:t>
      </w:r>
      <w:r>
        <w:rPr>
          <w:rStyle w:val="FunctionTok"/>
        </w:rPr>
        <w:t xml:space="preserve">IsMemberManagementRestricted</w:t>
      </w:r>
      <w:r>
        <w:br/>
      </w:r>
      <w:r>
        <w:rPr>
          <w:rStyle w:val="NormalTok"/>
        </w:rPr>
        <w:t xml:space="preserve">        MembershipType  </w:t>
      </w:r>
      <w:r>
        <w:rPr>
          <w:rStyle w:val="OperatorTok"/>
        </w:rPr>
        <w:t xml:space="preserve">=</w:t>
      </w:r>
      <w:r>
        <w:rPr>
          <w:rStyle w:val="NormalTok"/>
        </w:rPr>
        <w:t xml:space="preserve"> </w:t>
      </w:r>
      <w:r>
        <w:rPr>
          <w:rStyle w:val="VariableTok"/>
        </w:rPr>
        <w:t xml:space="preserve">$au</w:t>
      </w:r>
      <w:r>
        <w:rPr>
          <w:rStyle w:val="OperatorTok"/>
        </w:rPr>
        <w:t xml:space="preserve">.</w:t>
      </w:r>
      <w:r>
        <w:rPr>
          <w:rStyle w:val="FunctionTok"/>
        </w:rPr>
        <w:t xml:space="preserve">MembershipType</w:t>
      </w:r>
      <w:r>
        <w:br/>
      </w:r>
      <w:r>
        <w:rPr>
          <w:rStyle w:val="NormalTok"/>
        </w:rPr>
        <w:t xml:space="preserve">        MembershipRule  </w:t>
      </w:r>
      <w:r>
        <w:rPr>
          <w:rStyle w:val="OperatorTok"/>
        </w:rPr>
        <w:t xml:space="preserve">=</w:t>
      </w:r>
      <w:r>
        <w:rPr>
          <w:rStyle w:val="NormalTok"/>
        </w:rPr>
        <w:t xml:space="preserve"> </w:t>
      </w:r>
      <w:r>
        <w:rPr>
          <w:rStyle w:val="VariableTok"/>
        </w:rPr>
        <w:t xml:space="preserve">$au</w:t>
      </w:r>
      <w:r>
        <w:rPr>
          <w:rStyle w:val="OperatorTok"/>
        </w:rPr>
        <w:t xml:space="preserve">.</w:t>
      </w:r>
      <w:r>
        <w:rPr>
          <w:rStyle w:val="FunctionTok"/>
        </w:rPr>
        <w:t xml:space="preserve">MembershipRule</w:t>
      </w:r>
      <w:r>
        <w:br/>
      </w:r>
      <w:r>
        <w:rPr>
          <w:rStyle w:val="NormalTok"/>
        </w:rPr>
        <w:t xml:space="preserve">        RuleProcessing  </w:t>
      </w:r>
      <w:r>
        <w:rPr>
          <w:rStyle w:val="OperatorTok"/>
        </w:rPr>
        <w:t xml:space="preserve">=</w:t>
      </w:r>
      <w:r>
        <w:rPr>
          <w:rStyle w:val="NormalTok"/>
        </w:rPr>
        <w:t xml:space="preserve"> </w:t>
      </w:r>
      <w:r>
        <w:rPr>
          <w:rStyle w:val="VariableTok"/>
        </w:rPr>
        <w:t xml:space="preserve">$au</w:t>
      </w:r>
      <w:r>
        <w:rPr>
          <w:rStyle w:val="OperatorTok"/>
        </w:rPr>
        <w:t xml:space="preserve">.</w:t>
      </w:r>
      <w:r>
        <w:rPr>
          <w:rStyle w:val="FunctionTok"/>
        </w:rPr>
        <w:t xml:space="preserve">MembershipRuleProcessingState</w:t>
      </w:r>
      <w:r>
        <w:br/>
      </w:r>
      <w:r>
        <w:rPr>
          <w:rStyle w:val="NormalTok"/>
        </w:rPr>
        <w:t xml:space="preserve">        RoleAssignments </w:t>
      </w:r>
      <w:r>
        <w:rPr>
          <w:rStyle w:val="OperatorTok"/>
        </w:rPr>
        <w:t xml:space="preserve">=</w:t>
      </w:r>
      <w:r>
        <w:rPr>
          <w:rStyle w:val="NormalTok"/>
        </w:rPr>
        <w:t xml:space="preserve"> </w:t>
      </w:r>
      <w:r>
        <w:rPr>
          <w:rStyle w:val="VariableTok"/>
        </w:rPr>
        <w:t xml:space="preserve">$scoped</w:t>
      </w:r>
      <w:r>
        <w:rPr>
          <w:rStyle w:val="OperatorTok"/>
        </w:rPr>
        <w:t xml:space="preserve">.</w:t>
      </w:r>
      <w:r>
        <w:rPr>
          <w:rStyle w:val="FunctionTok"/>
        </w:rPr>
        <w:t xml:space="preserve">Count</w:t>
      </w:r>
      <w:r>
        <w:br/>
      </w:r>
      <w:r>
        <w:rPr>
          <w:rStyle w:val="NormalTok"/>
        </w:rPr>
        <w:t xml:space="preserve">    </w:t>
      </w:r>
      <w:r>
        <w:rPr>
          <w:rStyle w:val="OperatorTok"/>
        </w:rPr>
        <w:t xml:space="preserve">}</w:t>
      </w:r>
      <w:r>
        <w:br/>
      </w:r>
      <w:r>
        <w:rPr>
          <w:rStyle w:val="OperatorTok"/>
        </w:rPr>
        <w:t xml:space="preserve">}</w:t>
      </w:r>
      <w:r>
        <w:br/>
      </w:r>
      <w:r>
        <w:br/>
      </w:r>
      <w:r>
        <w:rPr>
          <w:rStyle w:val="VariableTok"/>
        </w:rPr>
        <w:t xml:space="preserve">$state</w:t>
      </w:r>
      <w:r>
        <w:rPr>
          <w:rStyle w:val="NormalTok"/>
        </w:rPr>
        <w:t xml:space="preserve"> </w:t>
      </w:r>
      <w:r>
        <w:rPr>
          <w:rStyle w:val="OperatorTok"/>
        </w:rPr>
        <w:t xml:space="preserve">|</w:t>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OperatorTok"/>
        </w:rPr>
        <w:t xml:space="preserve">.</w:t>
      </w:r>
      <w:r>
        <w:rPr>
          <w:rStyle w:val="NormalTok"/>
        </w:rPr>
        <w:t xml:space="preserve">\au-actual-state</w:t>
      </w:r>
      <w:r>
        <w:rPr>
          <w:rStyle w:val="OperatorTok"/>
        </w:rPr>
        <w:t xml:space="preserve">.</w:t>
      </w:r>
      <w:r>
        <w:rPr>
          <w:rStyle w:val="FunctionTok"/>
        </w:rPr>
        <w:t xml:space="preserve">csv</w:t>
      </w:r>
      <w:r>
        <w:rPr>
          <w:rStyle w:val="NormalTok"/>
        </w:rPr>
        <w:t xml:space="preserve"> </w:t>
      </w:r>
      <w:r>
        <w:rPr>
          <w:rStyle w:val="OperatorTok"/>
        </w:rPr>
        <w:t xml:space="preserve">-</w:t>
      </w:r>
      <w:r>
        <w:rPr>
          <w:rStyle w:val="NormalTok"/>
        </w:rPr>
        <w:t xml:space="preserve">NoTypeInformation</w:t>
      </w:r>
    </w:p>
    <w:p>
      <w:pPr>
        <w:pStyle w:val="FirstParagraph"/>
      </w:pPr>
      <w:r>
        <w:t xml:space="preserve">Chapter 10 covers how drift findings feed remediation and evidence.</w:t>
      </w:r>
    </w:p>
    <w:bookmarkEnd w:id="398"/>
    <w:bookmarkStart w:id="399" w:name="continue-the-book-4"/>
    <w:p>
      <w:pPr>
        <w:pStyle w:val="Heading2"/>
      </w:pPr>
      <w:bookmarkStart w:id="1421" w:name="_Toc00001421"/>
      <w:r>
        <w:t xml:space="preserve">Continue the book</w:t>
      </w:r>
      <w:bookmarkEnd w:id="1421"/>
    </w:p>
    <w:p>
      <w:pPr>
        <w:pStyle w:val="FirstParagraph"/>
      </w:pPr>
      <w:r>
        <w:t xml:space="preserve">← Previous: Chapter 04 — The Hidden Migration Surface · Book index · Next: Chapter 06 — Who Owns the Migration →</w:t>
      </w:r>
    </w:p>
    <w:bookmarkEnd w:id="399"/>
    <w:bookmarkEnd w:id="400"/>
    <w:bookmarkStart w:id="539" w:name="chapter-06-who-owns-the-migration"/>
    <w:p>
      <w:pPr>
        <w:pStyle w:val="Heading1"/>
      </w:pPr>
      <w:bookmarkStart w:id="1422" w:name="_Toc00001422"/>
      <w:r>
        <w:t xml:space="preserve">Chapter 06 — Who Owns the Migration</w:t>
      </w:r>
      <w:bookmarkEnd w:id="1422"/>
    </w:p>
    <w:p>
      <w:pPr>
        <w:pStyle w:val="FirstParagraph"/>
      </w:pPr>
      <w:r>
        <w:rPr>
          <w:i/>
          <w:iCs/>
        </w:rPr>
        <w:t xml:space="preserve">Active Directory let a handful of domain administrators own identity by default; Entra ID spreads that ownership across people and tools, so the migration has to assign it on purpose.</w:t>
      </w:r>
    </w:p>
    <w:bookmarkStart w:id="401" w:name="in-this-chapter-5"/>
    <w:p>
      <w:pPr>
        <w:pStyle w:val="Heading2"/>
      </w:pPr>
      <w:bookmarkStart w:id="1423" w:name="_Toc00001423"/>
      <w:r>
        <w:t xml:space="preserve">In this chapter</w:t>
      </w:r>
      <w:bookmarkEnd w:id="1423"/>
    </w:p>
    <w:p>
      <w:pPr>
        <w:pStyle w:val="FirstParagraph"/>
      </w:pPr>
      <w:r>
        <w:t xml:space="preserve">The first half names the people: who decides, who does the work and who is consulted, from the executive sponsor and authorizing official down to the help desk and end users, with a responsibility matrix and the Entra roles each team should hold. The second half names the tools: what each Microsoft-native tool does and doesn’t do for this migration, a compressed capability matrix and gap analysis, and the line between what the program consumes and what it builds.</w:t>
      </w:r>
    </w:p>
    <w:bookmarkEnd w:id="401"/>
    <w:p>
      <w:pPr>
        <w:pStyle w:val="BodyText"/>
      </w:pPr>
      <w:r>
        <w:t xml:space="preserve">In an Active Directory estate, ownership of identity was rarely written down because it didn’t need to be. Domain Admins could change anything, the OU tree encoded who managed whom, and most decisions about accounts, groups and Group Policy were made by the same small team that ran the domain controllers. Chapter 05 explains why that delegation model doesn’t survive the move to a flat directory. This chapter deals with the human version of the same problem. Once identity becomes a cloud control plane that Conditional Access, device compliance, application access and audit evidence all depend on, the decisions about it belong to more people than the directory team, and some of them carry legal accountability.</w:t>
      </w:r>
    </w:p>
    <w:p>
      <w:pPr>
        <w:pStyle w:val="BodyText"/>
      </w:pPr>
      <w:r>
        <w:t xml:space="preserve">Federal policy already says so. OMB M-19-17 directs each agency to designate an integrated, agency-wide ICAM office, team or other governance structure, and says it should include personnel from the offices of the CIO, the CFO, Human Resources, General Counsel, the CISO, the Senior Agency Official for Privacy, the Chief Acquisition Officer and physical security, along with the components that run ICAM capabilities.</w:t>
      </w:r>
      <w:r>
        <w:rPr>
          <w:rStyle w:val="FootnoteReference"/>
        </w:rPr>
        <w:footnoteReference w:id="402"/>
      </w:r>
      <w:r>
        <w:t xml:space="preserve"> </w:t>
      </w:r>
      <w:r>
        <w:t xml:space="preserve">NIST’s Risk Management Framework defines the accountable roles, such as the authorizing official, the senior agency information security officer, the system owner and the system security officer, and says what each one is responsible for.</w:t>
      </w:r>
      <w:r>
        <w:rPr>
          <w:rStyle w:val="FootnoteReference"/>
        </w:rPr>
        <w:footnoteReference w:id="404"/>
      </w:r>
      <w:r>
        <w:t xml:space="preserve"> </w:t>
      </w:r>
      <w:r>
        <w:t xml:space="preserve">Neither document tells an agency who decides how to replace an OU-based delegation model, or who signs off on moving a wave of users to cloud authentication. That part is the program’s recommended model, set out below.</w:t>
      </w:r>
    </w:p>
    <w:bookmarkStart w:id="409" w:name="fig-ch06-decide-and-do"/>
    <w:p>
      <w:pPr>
        <w:pStyle w:val="CaptionedFigure"/>
      </w:pPr>
      <w:r>
        <w:drawing>
          <wp:inline>
            <wp:extent cx="5334000" cy="2529525"/>
            <wp:effectExtent b="0" l="0" r="0" t="0"/>
            <wp:docPr descr="Who decides, who supplies authority and design, and who does and supports the work in an Active Directory to Entra ID migration." title="" id="407" name="Picture"/>
            <a:graphic>
              <a:graphicData uri="http://schemas.openxmlformats.org/drawingml/2006/picture">
                <pic:pic>
                  <pic:nvPicPr>
                    <pic:cNvPr descr="/home/runner/work/modernization-workbook/modernization-workbook/docs/images/diagrams/b02-identity/png/ch06-decide-and-do.png" id="408" name="Picture"/>
                    <pic:cNvPicPr>
                      <a:picLocks noChangeArrowheads="1" noChangeAspect="1"/>
                    </pic:cNvPicPr>
                  </pic:nvPicPr>
                  <pic:blipFill>
                    <a:blip r:embed="rId406"/>
                    <a:stretch>
                      <a:fillRect/>
                    </a:stretch>
                  </pic:blipFill>
                  <pic:spPr bwMode="auto">
                    <a:xfrm>
                      <a:off x="0" y="0"/>
                      <a:ext cx="5334000" cy="2529525"/>
                    </a:xfrm>
                    <a:prstGeom prst="rect">
                      <a:avLst/>
                    </a:prstGeom>
                    <a:noFill/>
                    <a:ln w="9525">
                      <a:noFill/>
                      <a:headEnd/>
                      <a:tailEnd/>
                    </a:ln>
                  </pic:spPr>
                </pic:pic>
              </a:graphicData>
            </a:graphic>
          </wp:inline>
        </w:drawing>
      </w:r>
    </w:p>
    <w:p>
      <w:pPr>
        <w:pStyle w:val="ImageCaption"/>
      </w:pPr>
      <w:r>
        <w:t xml:space="preserve">Who decides, who supplies authority and design, and who does and supports the work in an Active Directory to Entra ID migration.</w:t>
      </w:r>
    </w:p>
    <w:bookmarkEnd w:id="409"/>
    <w:bookmarkStart w:id="435" w:name="the-people"/>
    <w:p>
      <w:pPr>
        <w:pStyle w:val="Heading2"/>
      </w:pPr>
      <w:bookmarkStart w:id="1424" w:name="_Toc00001424"/>
      <w:r>
        <w:t xml:space="preserve">The people</w:t>
      </w:r>
      <w:bookmarkEnd w:id="1424"/>
    </w:p>
    <w:bookmarkStart w:id="411" w:name="Xfa9ed56c1c9737786807b6269637f7da913930c"/>
    <w:p>
      <w:pPr>
        <w:pStyle w:val="Heading3"/>
      </w:pPr>
      <w:r>
        <w:t xml:space="preserve">Decision rights and work are different things</w:t>
      </w:r>
    </w:p>
    <w:p>
      <w:pPr>
        <w:pStyle w:val="FirstParagraph"/>
      </w:pPr>
      <w:r>
        <w:t xml:space="preserve">The program separates three kinds of involvement. A role</w:t>
      </w:r>
      <w:r>
        <w:t xml:space="preserve"> </w:t>
      </w:r>
      <w:r>
        <w:rPr>
          <w:i/>
          <w:iCs/>
        </w:rPr>
        <w:t xml:space="preserve">decides</w:t>
      </w:r>
      <w:r>
        <w:t xml:space="preserve"> </w:t>
      </w:r>
      <w:r>
        <w:t xml:space="preserve">when it is accountable for the outcome and can say no. A role</w:t>
      </w:r>
      <w:r>
        <w:t xml:space="preserve"> </w:t>
      </w:r>
      <w:r>
        <w:rPr>
          <w:i/>
          <w:iCs/>
        </w:rPr>
        <w:t xml:space="preserve">does</w:t>
      </w:r>
      <w:r>
        <w:t xml:space="preserve"> </w:t>
      </w:r>
      <w:r>
        <w:t xml:space="preserve">the work when it builds, configures or runs the thing. A role is</w:t>
      </w:r>
      <w:r>
        <w:t xml:space="preserve"> </w:t>
      </w:r>
      <w:r>
        <w:rPr>
          <w:i/>
          <w:iCs/>
        </w:rPr>
        <w:t xml:space="preserve">consulted</w:t>
      </w:r>
      <w:r>
        <w:t xml:space="preserve"> </w:t>
      </w:r>
      <w:r>
        <w:t xml:space="preserve">when the decision can’t be made well without its input, but the decision isn’t its to make. Every decision in the matrix below has exactly one decider. Many have several doers.</w:t>
      </w:r>
    </w:p>
    <w:p>
      <w:pPr>
        <w:pStyle w:val="BodyText"/>
      </w:pPr>
      <w:r>
        <w:t xml:space="preserve">The split matters because the AD habit is to let the people who can make a change also decide whether to make it. In Entra ID that habit is how an identity engineer ends up choosing the agency’s risk posture by default, for example by leaving legacy authentication open because nobody told them to close it. The authorizing official is the only organizational official who can accept security and privacy risk on the organization’s behalf, so decisions that amount to accepting risk have to reach that person, not stop at the console.</w:t>
      </w:r>
      <w:r>
        <w:rPr>
          <w:rStyle w:val="FootnoteReference"/>
        </w:rPr>
        <w:footnoteReference w:id="410"/>
      </w:r>
    </w:p>
    <w:bookmarkEnd w:id="411"/>
    <w:bookmarkStart w:id="425" w:name="the-roles"/>
    <w:p>
      <w:pPr>
        <w:pStyle w:val="Heading3"/>
      </w:pPr>
      <w:r>
        <w:t xml:space="preserve">The roles</w:t>
      </w:r>
    </w:p>
    <w:p>
      <w:pPr>
        <w:pStyle w:val="FirstParagraph"/>
      </w:pPr>
      <w:r>
        <w:t xml:space="preserve">The following descriptions combine NIST’s role definitions, where NIST defines the role, with the program’s recommended assignments for this migration, where it doesn’t.</w:t>
      </w:r>
    </w:p>
    <w:p>
      <w:pPr>
        <w:pStyle w:val="BodyText"/>
      </w:pPr>
      <w:r>
        <w:t xml:space="preserve">The executive sponsor and the CIO set scope, funding and sequence. Under the RMF, the CIO designates the senior agency information security officer, maintains security policy and oversees personnel with significant security responsibilities.</w:t>
      </w:r>
      <w:r>
        <w:rPr>
          <w:rStyle w:val="FootnoteReference"/>
        </w:rPr>
        <w:footnoteReference w:id="412"/>
      </w:r>
      <w:r>
        <w:t xml:space="preserve"> </w:t>
      </w:r>
      <w:r>
        <w:t xml:space="preserve">In this migration the CIO’s organization also usually holds the system owner role for the identity platform, which NIST describes as the official responsible for a system’s procurement, development, integration, operation, maintenance and disposal.</w:t>
      </w:r>
      <w:r>
        <w:rPr>
          <w:rStyle w:val="FootnoteReference"/>
        </w:rPr>
        <w:footnoteReference w:id="413"/>
      </w:r>
      <w:r>
        <w:t xml:space="preserve"> </w:t>
      </w:r>
      <w:r>
        <w:t xml:space="preserve">The program recommends that the sponsor own the migration schedule, decide when Active Directory components are retired, and break ties between teams.</w:t>
      </w:r>
    </w:p>
    <w:p>
      <w:pPr>
        <w:pStyle w:val="BodyText"/>
      </w:pPr>
      <w:r>
        <w:t xml:space="preserve">The CISO, acting as the senior agency information security officer, carries out the CIO’s security responsibilities and is the primary liaison to authorizing officials, system owners and system security officers.</w:t>
      </w:r>
      <w:r>
        <w:rPr>
          <w:rStyle w:val="FootnoteReference"/>
        </w:rPr>
        <w:footnoteReference w:id="414"/>
      </w:r>
      <w:r>
        <w:t xml:space="preserve"> </w:t>
      </w:r>
      <w:r>
        <w:t xml:space="preserve">In the program’s model the CISO decides the control requirements that the target has to meet: phishing-resistant authentication, the Conditional Access baseline, the privileged-access model and logging. The security operations team inside that organization receives the identity detections and privileged-activation alerts that the target produces.</w:t>
      </w:r>
    </w:p>
    <w:p>
      <w:pPr>
        <w:pStyle w:val="BodyText"/>
      </w:pPr>
      <w:r>
        <w:t xml:space="preserve">The authorizing official accepts residual risk and authorizes the system.</w:t>
      </w:r>
      <w:r>
        <w:rPr>
          <w:rStyle w:val="FootnoteReference"/>
        </w:rPr>
        <w:footnoteReference w:id="415"/>
      </w:r>
      <w:r>
        <w:t xml:space="preserve"> </w:t>
      </w:r>
      <w:r>
        <w:t xml:space="preserve">For this migration that means the Entra ID tenant and its interconnections, plus every point where the program proposes to carry risk instead of removing it: a deferred legacy-authentication cutoff, a service account that can’t be converted yet, a deviation from a mandatory baseline. CISA’s BOD 25-01 states this explicitly for cloud configuration baselines. Agencies must explain any deviation from a mandatory SCuBA policy, and authorizing officials may accept the risk under agency policy.</w:t>
      </w:r>
      <w:r>
        <w:rPr>
          <w:rStyle w:val="FootnoteReference"/>
        </w:rPr>
        <w:footnoteReference w:id="416"/>
      </w:r>
    </w:p>
    <w:p>
      <w:pPr>
        <w:pStyle w:val="BodyText"/>
      </w:pPr>
      <w:r>
        <w:t xml:space="preserve">The information system security officer is responsible for keeping the system’s security posture in place day to day and advises on its controls, working closely with the system owner.</w:t>
      </w:r>
      <w:r>
        <w:rPr>
          <w:rStyle w:val="FootnoteReference"/>
        </w:rPr>
        <w:footnoteReference w:id="418"/>
      </w:r>
      <w:r>
        <w:t xml:space="preserve"> </w:t>
      </w:r>
      <w:r>
        <w:t xml:space="preserve">In the program’s model the ISSO assembles the evidence an assessor will read, tracks findings to closure, and is consulted on every design decision that changes a control.</w:t>
      </w:r>
    </w:p>
    <w:p>
      <w:pPr>
        <w:pStyle w:val="BodyText"/>
      </w:pPr>
      <w:r>
        <w:t xml:space="preserve">Identity engineering designs and builds the target. NIST’s systems security engineer and system administrator roles describe the two halves of that work.</w:t>
      </w:r>
      <w:r>
        <w:rPr>
          <w:rStyle w:val="FootnoteReference"/>
        </w:rPr>
        <w:footnoteReference w:id="419"/>
      </w:r>
      <w:r>
        <w:t xml:space="preserve"> </w:t>
      </w:r>
      <w:r>
        <w:t xml:space="preserve">In this migration identity engineering owns the sync design, authentication methods, Conditional Access policies, the administrative-unit delegation model, Privileged Identity Management settings and the governance features. It is the team most likely to be over-trusted, because it holds the most powerful Entra roles. The program’s answer is to give it the roles it needs and route its risk-bearing decisions upward, not to slow it down.</w:t>
      </w:r>
    </w:p>
    <w:p>
      <w:pPr>
        <w:pStyle w:val="BodyText"/>
      </w:pPr>
      <w:r>
        <w:t xml:space="preserve">Active Directory administrators run the source estate until it is retired. They clean up stale objects and UPN suffixes before sync, run the hosts that sync depends on, and eventually decommission domain controllers, AD FS and the AD-dependent pieces that Chapter 04 catalogs. Microsoft classifies the Cloud Sync provisioning agent server as a tier 0 server, and creating the agent’s group managed service account requires Domain Administrator or Enterprise Administrator credentials.</w:t>
      </w:r>
      <w:r>
        <w:rPr>
          <w:rStyle w:val="FootnoteReference"/>
        </w:rPr>
        <w:footnoteReference w:id="420"/>
      </w:r>
      <w:r>
        <w:t xml:space="preserve"> </w:t>
      </w:r>
      <w:r>
        <w:t xml:space="preserve">Those tasks stay with the AD administrators. The same team often knows more than anyone else about why a group or a delegation exists, so the program consults them on every mapping decision.</w:t>
      </w:r>
    </w:p>
    <w:p>
      <w:pPr>
        <w:pStyle w:val="BodyText"/>
      </w:pPr>
      <w:r>
        <w:t xml:space="preserve">Application owners decide for their own applications. They know which service accounts, Kerberos dependencies, LDAP binds and hard-coded groups their application needs, and they’re the only people who can accept a test result or a cutover window for it. The identity modernization guidance the program follows already treats them as reviewers of application assignments and requires at least two human owners for every app registration. The program extends that to the migration itself: no application moves without its owner’s sign-off.</w:t>
      </w:r>
    </w:p>
    <w:p>
      <w:pPr>
        <w:pStyle w:val="BodyText"/>
      </w:pPr>
      <w:r>
        <w:t xml:space="preserve">The help desk supports users through the change and becomes a high-value target while it does. Help desk staff reset passwords, re-register authentication methods and issue Temporary Access Passes for onboarding and recovery. In Entra ID, an Authentication Administrator can create a Temporary Access Pass for members but not for administrators. Only a Privileged Authentication Administrator can do that for admins.</w:t>
      </w:r>
      <w:r>
        <w:rPr>
          <w:rStyle w:val="FootnoteReference"/>
        </w:rPr>
        <w:footnoteReference w:id="422"/>
      </w:r>
      <w:r>
        <w:t xml:space="preserve"> </w:t>
      </w:r>
      <w:r>
        <w:t xml:space="preserve">The program scopes help desk roles to administrative units, as Chapter 05 describes, and makes the help desk’s identity-verification procedure a CISO decision, not a help desk one.</w:t>
      </w:r>
    </w:p>
    <w:p>
      <w:pPr>
        <w:pStyle w:val="BodyText"/>
      </w:pPr>
      <w:r>
        <w:t xml:space="preserve">HR supplies the facts the directory can’t verify on its own: who is a worker, what kind of worker, where they sit and who they report to. In an AD estate those facts were typed in by administrators, if anyone recorded them at all. In the target, they should arrive from the HR system of record and drive account creation, changes and removal. The HR-driven identity series covers that source-of-authority model in full, including why contractors need a separate authoritative source. For this book’s purposes, HR decides what the authoritative attributes mean, and identity engineering decides how they flow.</w:t>
      </w:r>
    </w:p>
    <w:p>
      <w:pPr>
        <w:pStyle w:val="BodyText"/>
      </w:pPr>
      <w:r>
        <w:t xml:space="preserve">End users are participants, not bystanders. NIST’s definition of the system user includes following acceptable-use policy and reporting anomalous or suspicious behavior.</w:t>
      </w:r>
      <w:r>
        <w:rPr>
          <w:rStyle w:val="FootnoteReference"/>
        </w:rPr>
        <w:footnoteReference w:id="424"/>
      </w:r>
      <w:r>
        <w:t xml:space="preserve"> </w:t>
      </w:r>
      <w:r>
        <w:t xml:space="preserve">In this migration users register phishing-resistant methods, join pilot waves and report what breaks. The program treats registration rates and help desk ticket volume as go/no-go inputs for each wave.</w:t>
      </w:r>
    </w:p>
    <w:bookmarkEnd w:id="425"/>
    <w:bookmarkStart w:id="426" w:name="the-responsibility-matrix"/>
    <w:p>
      <w:pPr>
        <w:pStyle w:val="Heading3"/>
      </w:pPr>
      <w:r>
        <w:t xml:space="preserve">The responsibility matrix</w:t>
      </w:r>
    </w:p>
    <w:p>
      <w:pPr>
        <w:pStyle w:val="FirstParagraph"/>
      </w:pPr>
      <w:r>
        <w:t xml:space="preserve">The matrix is the program’s recommended model. Adapt it to the agency’s governance structure, but keep the rule of one decider per row.</w:t>
      </w:r>
    </w:p>
    <w:p>
      <w:pPr>
        <w:pStyle w:val="BodyText"/>
      </w:pPr>
      <w:r>
        <w:t xml:space="preserve">D = decides (accountable) · R = does the work · C = consulted · blank = informed at most.</w:t>
      </w:r>
    </w:p>
    <w:tbl>
      <w:tblPr>
        <w:tblStyle w:val="Table"/>
        <w:tblW w:type="pct" w:w="5000"/>
        <w:tblLayout w:type="fixed"/>
        <w:tblLook w:firstRow="1" w:lastRow="0" w:firstColumn="0" w:lastColumn="0" w:noHBand="0" w:noVBand="0" w:val="0020"/>
      </w:tblPr>
      <w:tblGrid>
        <w:gridCol w:w="719"/>
        <w:gridCol w:w="719"/>
        <w:gridCol w:w="719"/>
        <w:gridCol w:w="719"/>
        <w:gridCol w:w="719"/>
        <w:gridCol w:w="719"/>
        <w:gridCol w:w="719"/>
        <w:gridCol w:w="719"/>
        <w:gridCol w:w="719"/>
        <w:gridCol w:w="719"/>
        <w:gridCol w:w="719"/>
      </w:tblGrid>
      <w:tr>
        <w:trPr>
          <w:tblHeader w:val="on"/>
        </w:trPr>
        <w:tc>
          <w:tcPr/>
          <w:p>
            <w:pPr>
              <w:pStyle w:val="Compact"/>
            </w:pPr>
            <w:r>
              <w:t xml:space="preserve">Decision or work item</w:t>
            </w:r>
          </w:p>
        </w:tc>
        <w:tc>
          <w:tcPr/>
          <w:p>
            <w:pPr>
              <w:pStyle w:val="Compact"/>
            </w:pPr>
            <w:r>
              <w:t xml:space="preserve">Sponsor / CIO</w:t>
            </w:r>
          </w:p>
        </w:tc>
        <w:tc>
          <w:tcPr/>
          <w:p>
            <w:pPr>
              <w:pStyle w:val="Compact"/>
            </w:pPr>
            <w:r>
              <w:t xml:space="preserve">CISO</w:t>
            </w:r>
          </w:p>
        </w:tc>
        <w:tc>
          <w:tcPr/>
          <w:p>
            <w:pPr>
              <w:pStyle w:val="Compact"/>
            </w:pPr>
            <w:r>
              <w:t xml:space="preserve">AO</w:t>
            </w:r>
          </w:p>
        </w:tc>
        <w:tc>
          <w:tcPr/>
          <w:p>
            <w:pPr>
              <w:pStyle w:val="Compact"/>
            </w:pPr>
            <w:r>
              <w:t xml:space="preserve">ISSO</w:t>
            </w:r>
          </w:p>
        </w:tc>
        <w:tc>
          <w:tcPr/>
          <w:p>
            <w:pPr>
              <w:pStyle w:val="Compact"/>
            </w:pPr>
            <w:r>
              <w:t xml:space="preserve">Identity eng.</w:t>
            </w:r>
          </w:p>
        </w:tc>
        <w:tc>
          <w:tcPr/>
          <w:p>
            <w:pPr>
              <w:pStyle w:val="Compact"/>
            </w:pPr>
            <w:r>
              <w:t xml:space="preserve">AD admins</w:t>
            </w:r>
          </w:p>
        </w:tc>
        <w:tc>
          <w:tcPr/>
          <w:p>
            <w:pPr>
              <w:pStyle w:val="Compact"/>
            </w:pPr>
            <w:r>
              <w:t xml:space="preserve">App owners</w:t>
            </w:r>
          </w:p>
        </w:tc>
        <w:tc>
          <w:tcPr/>
          <w:p>
            <w:pPr>
              <w:pStyle w:val="Compact"/>
            </w:pPr>
            <w:r>
              <w:t xml:space="preserve">Help desk</w:t>
            </w:r>
          </w:p>
        </w:tc>
        <w:tc>
          <w:tcPr/>
          <w:p>
            <w:pPr>
              <w:pStyle w:val="Compact"/>
            </w:pPr>
            <w:r>
              <w:t xml:space="preserve">HR</w:t>
            </w:r>
          </w:p>
        </w:tc>
        <w:tc>
          <w:tcPr/>
          <w:p>
            <w:pPr>
              <w:pStyle w:val="Compact"/>
            </w:pPr>
            <w:r>
              <w:t xml:space="preserve">Users</w:t>
            </w:r>
          </w:p>
        </w:tc>
      </w:tr>
      <w:tr>
        <w:tc>
          <w:tcPr/>
          <w:p>
            <w:pPr>
              <w:pStyle w:val="Compact"/>
            </w:pPr>
            <w:r>
              <w:t xml:space="preserve">Migration scope, funding and sequence</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C</w:t>
            </w:r>
          </w:p>
        </w:tc>
        <w:tc>
          <w:tcPr/>
          <w:p>
            <w:pPr>
              <w:pStyle w:val="Compact"/>
            </w:pPr>
          </w:p>
        </w:tc>
      </w:tr>
      <w:tr>
        <w:tc>
          <w:tcPr/>
          <w:p>
            <w:pPr>
              <w:pStyle w:val="Compact"/>
            </w:pPr>
            <w:r>
              <w:t xml:space="preserve">Sync tool and authentication method (Chapter 09)</w:t>
            </w: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D, R</w:t>
            </w: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Authorize the tenant; accept residual risk</w:t>
            </w:r>
          </w:p>
        </w:tc>
        <w:tc>
          <w:tcPr/>
          <w:p>
            <w:pPr>
              <w:pStyle w:val="Compact"/>
            </w:pPr>
            <w:r>
              <w:t xml:space="preserve">C</w:t>
            </w:r>
          </w:p>
        </w:tc>
        <w:tc>
          <w:tcPr/>
          <w:p>
            <w:pPr>
              <w:pStyle w:val="Compact"/>
            </w:pPr>
            <w:r>
              <w:t xml:space="preserve">C</w:t>
            </w:r>
          </w:p>
        </w:tc>
        <w:tc>
          <w:tcPr/>
          <w:p>
            <w:pPr>
              <w:pStyle w:val="Compact"/>
            </w:pPr>
            <w:r>
              <w:t xml:space="preserve">D</w:t>
            </w:r>
          </w:p>
        </w:tc>
        <w:tc>
          <w:tcPr/>
          <w:p>
            <w:pPr>
              <w:pStyle w:val="Compact"/>
            </w:pPr>
            <w:r>
              <w:t xml:space="preserve">R</w:t>
            </w:r>
          </w:p>
        </w:tc>
        <w:tc>
          <w:tcPr/>
          <w:p>
            <w:pPr>
              <w:pStyle w:val="Compact"/>
            </w:pPr>
            <w:r>
              <w:t xml:space="preserve">C</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Control requirements (MFA strength, Conditional Access baseline, logging)</w:t>
            </w:r>
          </w:p>
        </w:tc>
        <w:tc>
          <w:tcPr/>
          <w:p>
            <w:pPr>
              <w:pStyle w:val="Compact"/>
            </w:pP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Privileged role mapping and PIM settings</w:t>
            </w:r>
          </w:p>
        </w:tc>
        <w:tc>
          <w:tcPr/>
          <w:p>
            <w:pPr>
              <w:pStyle w:val="Compact"/>
            </w:pPr>
          </w:p>
        </w:tc>
        <w:tc>
          <w:tcPr/>
          <w:p>
            <w:pPr>
              <w:pStyle w:val="Compact"/>
            </w:pPr>
            <w:r>
              <w:t xml:space="preserve">D</w:t>
            </w:r>
          </w:p>
        </w:tc>
        <w:tc>
          <w:tcPr/>
          <w:p>
            <w:pPr>
              <w:pStyle w:val="Compact"/>
            </w:pPr>
          </w:p>
        </w:tc>
        <w:tc>
          <w:tcPr/>
          <w:p>
            <w:pPr>
              <w:pStyle w:val="Compact"/>
            </w:pPr>
            <w:r>
              <w:t xml:space="preserve">C</w:t>
            </w:r>
          </w:p>
        </w:tc>
        <w:tc>
          <w:tcPr/>
          <w:p>
            <w:pPr>
              <w:pStyle w:val="Compact"/>
            </w:pPr>
            <w:r>
              <w:t xml:space="preserve">R</w:t>
            </w:r>
          </w:p>
        </w:tc>
        <w:tc>
          <w:tcPr/>
          <w:p>
            <w:pPr>
              <w:pStyle w:val="Compact"/>
            </w:pPr>
            <w:r>
              <w:t xml:space="preserve">C</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Delegation model: OUs to administrative units (Chapter 05)</w:t>
            </w: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D, R</w:t>
            </w:r>
          </w:p>
        </w:tc>
        <w:tc>
          <w:tcPr/>
          <w:p>
            <w:pPr>
              <w:pStyle w:val="Compact"/>
            </w:pPr>
            <w:r>
              <w:t xml:space="preserve">C</w:t>
            </w:r>
          </w:p>
        </w:tc>
        <w:tc>
          <w:tcPr/>
          <w:p>
            <w:pPr>
              <w:pStyle w:val="Compact"/>
            </w:pPr>
          </w:p>
        </w:tc>
        <w:tc>
          <w:tcPr/>
          <w:p>
            <w:pPr>
              <w:pStyle w:val="Compact"/>
            </w:pPr>
            <w:r>
              <w:t xml:space="preserve">C</w:t>
            </w:r>
          </w:p>
        </w:tc>
        <w:tc>
          <w:tcPr/>
          <w:p>
            <w:pPr>
              <w:pStyle w:val="Compact"/>
            </w:pPr>
          </w:p>
        </w:tc>
        <w:tc>
          <w:tcPr/>
          <w:p>
            <w:pPr>
              <w:pStyle w:val="Compact"/>
            </w:pPr>
          </w:p>
        </w:tc>
      </w:tr>
      <w:tr>
        <w:tc>
          <w:tcPr/>
          <w:p>
            <w:pPr>
              <w:pStyle w:val="Compact"/>
            </w:pPr>
            <w:r>
              <w:t xml:space="preserve">Directory hygiene before sync (stale objects, UPN suffixes, filtering)</w:t>
            </w:r>
          </w:p>
        </w:tc>
        <w:tc>
          <w:tcPr/>
          <w:p>
            <w:pPr>
              <w:pStyle w:val="Compact"/>
            </w:pPr>
          </w:p>
        </w:tc>
        <w:tc>
          <w:tcPr/>
          <w:p>
            <w:pPr>
              <w:pStyle w:val="Compact"/>
            </w:pPr>
          </w:p>
        </w:tc>
        <w:tc>
          <w:tcPr/>
          <w:p>
            <w:pPr>
              <w:pStyle w:val="Compact"/>
            </w:pPr>
          </w:p>
        </w:tc>
        <w:tc>
          <w:tcPr/>
          <w:p>
            <w:pPr>
              <w:pStyle w:val="Compact"/>
            </w:pPr>
          </w:p>
        </w:tc>
        <w:tc>
          <w:tcPr/>
          <w:p>
            <w:pPr>
              <w:pStyle w:val="Compact"/>
            </w:pPr>
            <w:r>
              <w:t xml:space="preserve">D</w:t>
            </w:r>
          </w:p>
        </w:tc>
        <w:tc>
          <w:tcPr/>
          <w:p>
            <w:pPr>
              <w:pStyle w:val="Compact"/>
            </w:pPr>
            <w:r>
              <w:t xml:space="preserve">R</w:t>
            </w: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Authoritative worker attributes and their meaning</w:t>
            </w: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r>
              <w:t xml:space="preserve">D</w:t>
            </w:r>
          </w:p>
        </w:tc>
        <w:tc>
          <w:tcPr/>
          <w:p>
            <w:pPr>
              <w:pStyle w:val="Compact"/>
            </w:pPr>
          </w:p>
        </w:tc>
      </w:tr>
      <w:tr>
        <w:tc>
          <w:tcPr/>
          <w:p>
            <w:pPr>
              <w:pStyle w:val="Compact"/>
            </w:pPr>
            <w:r>
              <w:t xml:space="preserve">Service account conversion, per application</w:t>
            </w: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r>
              <w:t xml:space="preserve">R</w:t>
            </w:r>
          </w:p>
        </w:tc>
        <w:tc>
          <w:tcPr/>
          <w:p>
            <w:pPr>
              <w:pStyle w:val="Compact"/>
            </w:pPr>
            <w:r>
              <w:t xml:space="preserve">R</w:t>
            </w:r>
          </w:p>
        </w:tc>
        <w:tc>
          <w:tcPr/>
          <w:p>
            <w:pPr>
              <w:pStyle w:val="Compact"/>
            </w:pPr>
            <w:r>
              <w:t xml:space="preserve">D</w:t>
            </w:r>
          </w:p>
        </w:tc>
        <w:tc>
          <w:tcPr/>
          <w:p>
            <w:pPr>
              <w:pStyle w:val="Compact"/>
            </w:pPr>
          </w:p>
        </w:tc>
        <w:tc>
          <w:tcPr/>
          <w:p>
            <w:pPr>
              <w:pStyle w:val="Compact"/>
            </w:pPr>
          </w:p>
        </w:tc>
        <w:tc>
          <w:tcPr/>
          <w:p>
            <w:pPr>
              <w:pStyle w:val="Compact"/>
            </w:pPr>
          </w:p>
        </w:tc>
      </w:tr>
      <w:tr>
        <w:tc>
          <w:tcPr/>
          <w:p>
            <w:pPr>
              <w:pStyle w:val="Compact"/>
            </w:pPr>
            <w:r>
              <w:t xml:space="preserve">Application sign-in migration and testing</w:t>
            </w:r>
          </w:p>
        </w:tc>
        <w:tc>
          <w:tcPr/>
          <w:p>
            <w:pPr>
              <w:pStyle w:val="Compact"/>
            </w:pPr>
          </w:p>
        </w:tc>
        <w:tc>
          <w:tcPr/>
          <w:p>
            <w:pPr>
              <w:pStyle w:val="Compact"/>
            </w:pPr>
          </w:p>
        </w:tc>
        <w:tc>
          <w:tcPr/>
          <w:p>
            <w:pPr>
              <w:pStyle w:val="Compact"/>
            </w:pPr>
          </w:p>
        </w:tc>
        <w:tc>
          <w:tcPr/>
          <w:p>
            <w:pPr>
              <w:pStyle w:val="Compact"/>
            </w:pPr>
          </w:p>
        </w:tc>
        <w:tc>
          <w:tcPr/>
          <w:p>
            <w:pPr>
              <w:pStyle w:val="Compact"/>
            </w:pPr>
            <w:r>
              <w:t xml:space="preserve">R</w:t>
            </w:r>
          </w:p>
        </w:tc>
        <w:tc>
          <w:tcPr/>
          <w:p>
            <w:pPr>
              <w:pStyle w:val="Compact"/>
            </w:pPr>
          </w:p>
        </w:tc>
        <w:tc>
          <w:tcPr/>
          <w:p>
            <w:pPr>
              <w:pStyle w:val="Compact"/>
            </w:pPr>
            <w:r>
              <w:t xml:space="preserve">D, R</w:t>
            </w:r>
          </w:p>
        </w:tc>
        <w:tc>
          <w:tcPr/>
          <w:p>
            <w:pPr>
              <w:pStyle w:val="Compact"/>
            </w:pPr>
          </w:p>
        </w:tc>
        <w:tc>
          <w:tcPr/>
          <w:p>
            <w:pPr>
              <w:pStyle w:val="Compact"/>
            </w:pPr>
          </w:p>
        </w:tc>
        <w:tc>
          <w:tcPr/>
          <w:p>
            <w:pPr>
              <w:pStyle w:val="Compact"/>
            </w:pPr>
            <w:r>
              <w:t xml:space="preserve">C</w:t>
            </w:r>
          </w:p>
        </w:tc>
      </w:tr>
      <w:tr>
        <w:tc>
          <w:tcPr/>
          <w:p>
            <w:pPr>
              <w:pStyle w:val="Compact"/>
            </w:pPr>
            <w:r>
              <w:t xml:space="preserve">Pilot and wave go/no-go (Chapter 10)</w:t>
            </w: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C</w:t>
            </w:r>
          </w:p>
        </w:tc>
      </w:tr>
      <w:tr>
        <w:tc>
          <w:tcPr/>
          <w:p>
            <w:pPr>
              <w:pStyle w:val="Compact"/>
            </w:pPr>
            <w:r>
              <w:t xml:space="preserve">Help desk identity verification and Temporary Access Pass procedure</w:t>
            </w:r>
          </w:p>
        </w:tc>
        <w:tc>
          <w:tcPr/>
          <w:p>
            <w:pPr>
              <w:pStyle w:val="Compact"/>
            </w:pPr>
          </w:p>
        </w:tc>
        <w:tc>
          <w:tcPr/>
          <w:p>
            <w:pPr>
              <w:pStyle w:val="Compact"/>
            </w:pPr>
            <w:r>
              <w:t xml:space="preserve">D</w:t>
            </w:r>
          </w:p>
        </w:tc>
        <w:tc>
          <w:tcPr/>
          <w:p>
            <w:pPr>
              <w:pStyle w:val="Compact"/>
            </w:pP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r>
              <w:t xml:space="preserve">R</w:t>
            </w:r>
          </w:p>
        </w:tc>
        <w:tc>
          <w:tcPr/>
          <w:p>
            <w:pPr>
              <w:pStyle w:val="Compact"/>
            </w:pPr>
          </w:p>
        </w:tc>
        <w:tc>
          <w:tcPr/>
          <w:p>
            <w:pPr>
              <w:pStyle w:val="Compact"/>
            </w:pPr>
          </w:p>
        </w:tc>
      </w:tr>
      <w:tr>
        <w:tc>
          <w:tcPr/>
          <w:p>
            <w:pPr>
              <w:pStyle w:val="Compact"/>
            </w:pPr>
            <w:r>
              <w:t xml:space="preserve">Access review cadence and reviewers</w:t>
            </w:r>
          </w:p>
        </w:tc>
        <w:tc>
          <w:tcPr/>
          <w:p>
            <w:pPr>
              <w:pStyle w:val="Compact"/>
            </w:pPr>
          </w:p>
        </w:tc>
        <w:tc>
          <w:tcPr/>
          <w:p>
            <w:pPr>
              <w:pStyle w:val="Compact"/>
            </w:pPr>
            <w:r>
              <w:t xml:space="preserve">D</w:t>
            </w:r>
          </w:p>
        </w:tc>
        <w:tc>
          <w:tcPr/>
          <w:p>
            <w:pPr>
              <w:pStyle w:val="Compact"/>
            </w:pPr>
          </w:p>
        </w:tc>
        <w:tc>
          <w:tcPr/>
          <w:p>
            <w:pPr>
              <w:pStyle w:val="Compact"/>
            </w:pPr>
            <w:r>
              <w:t xml:space="preserve">C</w:t>
            </w:r>
          </w:p>
        </w:tc>
        <w:tc>
          <w:tcPr/>
          <w:p>
            <w:pPr>
              <w:pStyle w:val="Compact"/>
            </w:pPr>
            <w:r>
              <w:t xml:space="preserve">R</w:t>
            </w:r>
          </w:p>
        </w:tc>
        <w:tc>
          <w:tcPr/>
          <w:p>
            <w:pPr>
              <w:pStyle w:val="Compact"/>
            </w:pPr>
          </w:p>
        </w:tc>
        <w:tc>
          <w:tcPr/>
          <w:p>
            <w:pPr>
              <w:pStyle w:val="Compact"/>
            </w:pPr>
            <w:r>
              <w:t xml:space="preserve">R</w:t>
            </w:r>
          </w:p>
        </w:tc>
        <w:tc>
          <w:tcPr/>
          <w:p>
            <w:pPr>
              <w:pStyle w:val="Compact"/>
            </w:pPr>
          </w:p>
        </w:tc>
        <w:tc>
          <w:tcPr/>
          <w:p>
            <w:pPr>
              <w:pStyle w:val="Compact"/>
            </w:pPr>
            <w:r>
              <w:t xml:space="preserve">C</w:t>
            </w:r>
          </w:p>
        </w:tc>
        <w:tc>
          <w:tcPr/>
          <w:p>
            <w:pPr>
              <w:pStyle w:val="Compact"/>
            </w:pPr>
          </w:p>
        </w:tc>
      </w:tr>
      <w:tr>
        <w:tc>
          <w:tcPr/>
          <w:p>
            <w:pPr>
              <w:pStyle w:val="Compact"/>
            </w:pPr>
            <w:r>
              <w:t xml:space="preserve">Legacy authentication cutoff</w:t>
            </w:r>
          </w:p>
        </w:tc>
        <w:tc>
          <w:tcPr/>
          <w:p>
            <w:pPr>
              <w:pStyle w:val="Compact"/>
            </w:pPr>
            <w:r>
              <w:t xml:space="preserve">C</w:t>
            </w:r>
          </w:p>
        </w:tc>
        <w:tc>
          <w:tcPr/>
          <w:p>
            <w:pPr>
              <w:pStyle w:val="Compact"/>
            </w:pPr>
            <w:r>
              <w:t xml:space="preserve">C</w:t>
            </w: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p>
        </w:tc>
        <w:tc>
          <w:tcPr/>
          <w:p>
            <w:pPr>
              <w:pStyle w:val="Compact"/>
            </w:pPr>
          </w:p>
        </w:tc>
      </w:tr>
      <w:tr>
        <w:tc>
          <w:tcPr/>
          <w:p>
            <w:pPr>
              <w:pStyle w:val="Compact"/>
            </w:pPr>
            <w:r>
              <w:t xml:space="preserve">Retire AD FS, domain controllers and AD-dependent services</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Continuous monitoring evidence and drift findings</w:t>
            </w:r>
          </w:p>
        </w:tc>
        <w:tc>
          <w:tcPr/>
          <w:p>
            <w:pPr>
              <w:pStyle w:val="Compact"/>
            </w:pP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User readiness: method registration and communications</w:t>
            </w:r>
          </w:p>
        </w:tc>
        <w:tc>
          <w:tcPr/>
          <w:p>
            <w:pPr>
              <w:pStyle w:val="Compact"/>
            </w:pPr>
            <w:r>
              <w:t xml:space="preserve">D</w:t>
            </w: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r>
              <w:t xml:space="preserve">R</w:t>
            </w:r>
          </w:p>
        </w:tc>
        <w:tc>
          <w:tcPr/>
          <w:p>
            <w:pPr>
              <w:pStyle w:val="Compact"/>
            </w:pPr>
          </w:p>
        </w:tc>
        <w:tc>
          <w:tcPr/>
          <w:p>
            <w:pPr>
              <w:pStyle w:val="Compact"/>
            </w:pPr>
            <w:r>
              <w:t xml:space="preserve">R</w:t>
            </w:r>
          </w:p>
        </w:tc>
      </w:tr>
    </w:tbl>
    <w:p>
      <w:pPr>
        <w:pStyle w:val="BodyText"/>
      </w:pPr>
      <w:r>
        <w:t xml:space="preserve">Two rows need comment. The legacy-authentication cutoff sits with the authorizing official because the alternative, keeping it open, is a risk acceptance. Retiring AD components sits with the sponsor because it’s a system-ownership decision that ends a fallback the rest of the program relies on. The ISSO and the authorizing official are consulted on it because it changes the authorization boundary.</w:t>
      </w:r>
    </w:p>
    <w:bookmarkEnd w:id="426"/>
    <w:bookmarkStart w:id="434" w:name="entra-roles-for-each-team"/>
    <w:p>
      <w:pPr>
        <w:pStyle w:val="Heading3"/>
      </w:pPr>
      <w:r>
        <w:t xml:space="preserve">Entra roles for each team</w:t>
      </w:r>
    </w:p>
    <w:p>
      <w:pPr>
        <w:pStyle w:val="FirstParagraph"/>
      </w:pPr>
      <w:r>
        <w:t xml:space="preserve">Decision rights don’t change what a console lets someone do. Roles do. The program maps each team to the least-privileged Microsoft Entra built-in roles for its work, assigns privileged ones as eligible through PIM, and scopes help desk roles to administrative units. Chapter 10 covers the PIM rollout itself.</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Team</w:t>
            </w:r>
          </w:p>
        </w:tc>
        <w:tc>
          <w:tcPr/>
          <w:p>
            <w:pPr>
              <w:pStyle w:val="Compact"/>
            </w:pPr>
            <w:r>
              <w:t xml:space="preserve">Work</w:t>
            </w:r>
          </w:p>
        </w:tc>
        <w:tc>
          <w:tcPr/>
          <w:p>
            <w:pPr>
              <w:pStyle w:val="Compact"/>
            </w:pPr>
            <w:r>
              <w:t xml:space="preserve">Least-privileged Entra role(s)</w:t>
            </w:r>
          </w:p>
        </w:tc>
      </w:tr>
      <w:tr>
        <w:tc>
          <w:tcPr/>
          <w:p>
            <w:pPr>
              <w:pStyle w:val="Compact"/>
            </w:pPr>
            <w:r>
              <w:t xml:space="preserve">Identity engineering (sync)</w:t>
            </w:r>
          </w:p>
        </w:tc>
        <w:tc>
          <w:tcPr/>
          <w:p>
            <w:pPr>
              <w:pStyle w:val="Compact"/>
            </w:pPr>
            <w:r>
              <w:t xml:space="preserve">Configure Cloud Sync or Connect Sync, password hash sync, pass-through authentication, federation settings</w:t>
            </w:r>
          </w:p>
        </w:tc>
        <w:tc>
          <w:tcPr/>
          <w:p>
            <w:pPr>
              <w:pStyle w:val="Compact"/>
            </w:pPr>
            <w:r>
              <w:t xml:space="preserve">Hybrid Identity Administrator</w:t>
            </w:r>
            <w:r>
              <w:rPr>
                <w:rStyle w:val="FootnoteReference"/>
              </w:rPr>
              <w:footnoteReference w:id="427"/>
            </w:r>
          </w:p>
        </w:tc>
      </w:tr>
      <w:tr>
        <w:tc>
          <w:tcPr/>
          <w:p>
            <w:pPr>
              <w:pStyle w:val="Compact"/>
            </w:pPr>
            <w:r>
              <w:t xml:space="preserve">Identity engineering (governance)</w:t>
            </w:r>
          </w:p>
        </w:tc>
        <w:tc>
          <w:tcPr/>
          <w:p>
            <w:pPr>
              <w:pStyle w:val="Compact"/>
            </w:pPr>
            <w:r>
              <w:t xml:space="preserve">Lifecycle Workflows; access reviews and access packages</w:t>
            </w:r>
          </w:p>
        </w:tc>
        <w:tc>
          <w:tcPr/>
          <w:p>
            <w:pPr>
              <w:pStyle w:val="Compact"/>
            </w:pPr>
            <w:r>
              <w:t xml:space="preserve">Lifecycle Workflows Administrator; Identity Governance Administrator</w:t>
            </w:r>
            <w:r>
              <w:rPr>
                <w:rStyle w:val="FootnoteReference"/>
              </w:rPr>
              <w:footnoteReference w:id="429"/>
            </w:r>
          </w:p>
        </w:tc>
      </w:tr>
      <w:tr>
        <w:tc>
          <w:tcPr/>
          <w:p>
            <w:pPr>
              <w:pStyle w:val="Compact"/>
            </w:pPr>
            <w:r>
              <w:t xml:space="preserve">Help desk</w:t>
            </w:r>
          </w:p>
        </w:tc>
        <w:tc>
          <w:tcPr/>
          <w:p>
            <w:pPr>
              <w:pStyle w:val="Compact"/>
            </w:pPr>
            <w:r>
              <w:t xml:space="preserve">Password resets and basic support in scope; Temporary Access Pass for members</w:t>
            </w:r>
          </w:p>
        </w:tc>
        <w:tc>
          <w:tcPr/>
          <w:p>
            <w:pPr>
              <w:pStyle w:val="Compact"/>
            </w:pPr>
            <w:r>
              <w:t xml:space="preserve">Helpdesk Administrator or Authentication Administrator, scoped to an administrative unit</w:t>
            </w:r>
            <w:r>
              <w:rPr>
                <w:rStyle w:val="FootnoteReference"/>
              </w:rPr>
              <w:footnoteReference w:id="430"/>
            </w:r>
          </w:p>
        </w:tc>
      </w:tr>
      <w:tr>
        <w:tc>
          <w:tcPr/>
          <w:p>
            <w:pPr>
              <w:pStyle w:val="Compact"/>
            </w:pPr>
            <w:r>
              <w:t xml:space="preserve">CISO, ISSO, assessors</w:t>
            </w:r>
          </w:p>
        </w:tc>
        <w:tc>
          <w:tcPr/>
          <w:p>
            <w:pPr>
              <w:pStyle w:val="Compact"/>
            </w:pPr>
            <w:r>
              <w:t xml:space="preserve">Read configuration and risk without changing it</w:t>
            </w:r>
          </w:p>
        </w:tc>
        <w:tc>
          <w:tcPr/>
          <w:p>
            <w:pPr>
              <w:pStyle w:val="Compact"/>
            </w:pPr>
            <w:r>
              <w:t xml:space="preserve">Global Reader; Security Reader</w:t>
            </w:r>
            <w:r>
              <w:rPr>
                <w:rStyle w:val="FootnoteReference"/>
              </w:rPr>
              <w:footnoteReference w:id="431"/>
            </w:r>
          </w:p>
        </w:tc>
      </w:tr>
      <w:tr>
        <w:tc>
          <w:tcPr/>
          <w:p>
            <w:pPr>
              <w:pStyle w:val="Compact"/>
            </w:pPr>
            <w:r>
              <w:t xml:space="preserve">Small, named group</w:t>
            </w:r>
          </w:p>
        </w:tc>
        <w:tc>
          <w:tcPr/>
          <w:p>
            <w:pPr>
              <w:pStyle w:val="Compact"/>
            </w:pPr>
            <w:r>
              <w:t xml:space="preserve">Assign roles and manage PIM</w:t>
            </w:r>
          </w:p>
        </w:tc>
        <w:tc>
          <w:tcPr/>
          <w:p>
            <w:pPr>
              <w:pStyle w:val="Compact"/>
            </w:pPr>
            <w:r>
              <w:t xml:space="preserve">Privileged Role Administrator, eligible only, with approval</w:t>
            </w:r>
          </w:p>
        </w:tc>
      </w:tr>
    </w:tbl>
    <w:p>
      <w:pPr>
        <w:pStyle w:val="BodyText"/>
      </w:pPr>
      <w:r>
        <w:t xml:space="preserve">Restricted management administrative units add a further check. Tenant-level administrators, Global Administrators included, can’t modify objects in them unless they assign themselves a role scoped to the unit, and that assignment is written to the audit log.</w:t>
      </w:r>
      <w:r>
        <w:rPr>
          <w:rStyle w:val="FootnoteReference"/>
        </w:rPr>
        <w:footnoteReference w:id="433"/>
      </w:r>
      <w:r>
        <w:t xml:space="preserve"> </w:t>
      </w:r>
      <w:r>
        <w:t xml:space="preserve">That makes the self-assignment visible, which is the property the program wants, but it doesn’t make Global Administrator a low-risk role.</w:t>
      </w:r>
    </w:p>
    <w:bookmarkEnd w:id="434"/>
    <w:bookmarkEnd w:id="435"/>
    <w:bookmarkStart w:id="536" w:name="the-tools"/>
    <w:p>
      <w:pPr>
        <w:pStyle w:val="Heading2"/>
      </w:pPr>
      <w:bookmarkStart w:id="1425" w:name="_Toc00001425"/>
      <w:r>
        <w:t xml:space="preserve">The tools</w:t>
      </w:r>
      <w:bookmarkEnd w:id="1425"/>
    </w:p>
    <w:bookmarkStart w:id="439" w:name="fig-ch06-instruments-and-orchestra"/>
    <w:p>
      <w:pPr>
        <w:pStyle w:val="CaptionedFigure"/>
      </w:pPr>
      <w:r>
        <w:drawing>
          <wp:inline>
            <wp:extent cx="5334000" cy="3277358"/>
            <wp:effectExtent b="0" l="0" r="0" t="0"/>
            <wp:docPr descr="Microsoft provides the instruments; the program provides the orchestra." title="" id="437" name="Picture"/>
            <a:graphic>
              <a:graphicData uri="http://schemas.openxmlformats.org/drawingml/2006/picture">
                <pic:pic>
                  <pic:nvPicPr>
                    <pic:cNvPr descr="/home/runner/work/modernization-workbook/modernization-workbook/docs/images/diagrams/b02-identity/png/ch06-instruments-and-orchestra.png" id="438" name="Picture"/>
                    <pic:cNvPicPr>
                      <a:picLocks noChangeArrowheads="1" noChangeAspect="1"/>
                    </pic:cNvPicPr>
                  </pic:nvPicPr>
                  <pic:blipFill>
                    <a:blip r:embed="rId436"/>
                    <a:stretch>
                      <a:fillRect/>
                    </a:stretch>
                  </pic:blipFill>
                  <pic:spPr bwMode="auto">
                    <a:xfrm>
                      <a:off x="0" y="0"/>
                      <a:ext cx="5334000" cy="3277358"/>
                    </a:xfrm>
                    <a:prstGeom prst="rect">
                      <a:avLst/>
                    </a:prstGeom>
                    <a:noFill/>
                    <a:ln w="9525">
                      <a:noFill/>
                      <a:headEnd/>
                      <a:tailEnd/>
                    </a:ln>
                  </pic:spPr>
                </pic:pic>
              </a:graphicData>
            </a:graphic>
          </wp:inline>
        </w:drawing>
      </w:r>
    </w:p>
    <w:p>
      <w:pPr>
        <w:pStyle w:val="ImageCaption"/>
      </w:pPr>
      <w:r>
        <w:t xml:space="preserve">Microsoft provides the instruments; the program provides the orchestra.</w:t>
      </w:r>
    </w:p>
    <w:bookmarkEnd w:id="439"/>
    <w:p>
      <w:pPr>
        <w:pStyle w:val="BodyText"/>
      </w:pPr>
      <w:r>
        <w:t xml:space="preserve">“Doesn’t Microsoft already do this?”</w:t>
      </w:r>
      <w:r>
        <w:t xml:space="preserve"> </w:t>
      </w:r>
      <w:r>
        <w:t xml:space="preserve">is the first question a sponsor asks, and the honest answer is that Microsoft does most of the individual pieces well and none of the connecting. Each Microsoft tool solves one part of the migration and keeps its results in its own portal, report or log. None of them produces one correlated record of the source estate, the target and the drift between them. The program’s position is the same one it takes toward CISA’s ScubaGear. It doesn’t compete with the native tools. It consumes their output and supplies the governance layer above it. Microsoft provides the instruments. The program provides the orchestra.</w:t>
      </w:r>
    </w:p>
    <w:bookmarkStart w:id="520" w:name="what-each-tool-does-and-doesnt-do"/>
    <w:p>
      <w:pPr>
        <w:pStyle w:val="Heading3"/>
      </w:pPr>
      <w:r>
        <w:t xml:space="preserve">What each tool does and doesn’t do</w:t>
      </w:r>
    </w:p>
    <w:p>
      <w:pPr>
        <w:pStyle w:val="FirstParagraph"/>
      </w:pPr>
      <w:r>
        <w:t xml:space="preserve">Names, capabilities and license tiers below were checked on October 20, 2026. Licensing changes often. Confirm against the agency’s own agreements before planning purchases.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Tool</w:t>
            </w:r>
          </w:p>
        </w:tc>
        <w:tc>
          <w:tcPr/>
          <w:p>
            <w:pPr>
              <w:pStyle w:val="Compact"/>
            </w:pPr>
            <w:r>
              <w:t xml:space="preserve">What it does for this migration</w:t>
            </w:r>
          </w:p>
        </w:tc>
        <w:tc>
          <w:tcPr/>
          <w:p>
            <w:pPr>
              <w:pStyle w:val="Compact"/>
            </w:pPr>
            <w:r>
              <w:t xml:space="preserve">What it doesn’t do</w:t>
            </w:r>
          </w:p>
        </w:tc>
        <w:tc>
          <w:tcPr/>
          <w:p>
            <w:pPr>
              <w:pStyle w:val="Compact"/>
            </w:pPr>
            <w:r>
              <w:t xml:space="preserve">License tier</w:t>
            </w:r>
          </w:p>
        </w:tc>
      </w:tr>
      <w:tr>
        <w:tc>
          <w:tcPr/>
          <w:p>
            <w:pPr>
              <w:pStyle w:val="Compact"/>
            </w:pPr>
            <w:r>
              <w:t xml:space="preserve">Microsoft Entra Cloud Sync</w:t>
            </w:r>
          </w:p>
        </w:tc>
        <w:tc>
          <w:tcPr/>
          <w:p>
            <w:pPr>
              <w:pStyle w:val="Compact"/>
            </w:pPr>
            <w:r>
              <w:t xml:space="preserve">Synchronizes users, groups, contacts and, with device sync, computer objects from AD to Entra ID through lightweight agents configured in the cloud. Supports disconnected forests and multiple active agents, and is the platform for new features such as group provisioning to AD and source-of-authority changes.</w:t>
            </w:r>
            <w:r>
              <w:rPr>
                <w:rStyle w:val="FootnoteReference"/>
              </w:rPr>
              <w:footnoteReference w:id="440"/>
            </w:r>
          </w:p>
        </w:tc>
        <w:tc>
          <w:tcPr/>
          <w:p>
            <w:pPr>
              <w:pStyle w:val="Compact"/>
            </w:pPr>
            <w:r>
              <w:t xml:space="preserve">Has lower documented limits than Connect Sync (150,000 objects per domain, 50,000-member groups) and doesn’t configure pass-through authentication.</w:t>
            </w:r>
            <w:r>
              <w:rPr>
                <w:rStyle w:val="FootnoteReference"/>
              </w:rPr>
              <w:footnoteReference w:id="441"/>
            </w:r>
            <w:r>
              <w:t xml:space="preserve"> </w:t>
            </w:r>
            <w:r>
              <w:t xml:space="preserve">Not an assessment tool.</w:t>
            </w:r>
          </w:p>
        </w:tc>
        <w:tc>
          <w:tcPr/>
          <w:p>
            <w:pPr>
              <w:pStyle w:val="Compact"/>
            </w:pPr>
            <w:r>
              <w:t xml:space="preserve">Provisioning groups back to AD requires Entra ID P1.</w:t>
            </w:r>
            <w:r>
              <w:rPr>
                <w:rStyle w:val="FootnoteReference"/>
              </w:rPr>
              <w:footnoteReference w:id="442"/>
            </w:r>
          </w:p>
        </w:tc>
      </w:tr>
      <w:tr>
        <w:tc>
          <w:tcPr/>
          <w:p>
            <w:pPr>
              <w:pStyle w:val="Compact"/>
            </w:pPr>
            <w:r>
              <w:t xml:space="preserve">Microsoft Entra Connect Sync</w:t>
            </w:r>
          </w:p>
        </w:tc>
        <w:tc>
          <w:tcPr/>
          <w:p>
            <w:pPr>
              <w:pStyle w:val="Compact"/>
            </w:pPr>
            <w:r>
              <w:t xml:space="preserve">The on-premises sync engine, with richer sync-rule customization. Microsoft says Cloud Sync is replacing it, and that it will be retired once Cloud Sync reaches full functional parity.</w:t>
            </w:r>
            <w:r>
              <w:rPr>
                <w:rStyle w:val="FootnoteReference"/>
              </w:rPr>
              <w:footnoteReference w:id="443"/>
            </w:r>
          </w:p>
        </w:tc>
        <w:tc>
          <w:tcPr/>
          <w:p>
            <w:pPr>
              <w:pStyle w:val="Compact"/>
            </w:pPr>
            <w:r>
              <w:t xml:space="preserve">Not an assessment tool: no OU, GPO, DNS or PKI analysis. Connect Sync must be upgraded to version 2.6.84.0 or later and configured for application-based authentication by April 7, 2027, or synchronization stops.</w:t>
            </w:r>
            <w:r>
              <w:rPr>
                <w:rStyle w:val="FootnoteReference"/>
              </w:rPr>
              <w:footnoteReference w:id="445"/>
            </w:r>
          </w:p>
        </w:tc>
        <w:tc>
          <w:tcPr/>
          <w:p>
            <w:pPr>
              <w:pStyle w:val="Compact"/>
            </w:pPr>
            <w:r>
              <w:t xml:space="preserve">Free with the Azure subscription.</w:t>
            </w:r>
            <w:r>
              <w:rPr>
                <w:rStyle w:val="FootnoteReference"/>
              </w:rPr>
              <w:footnoteReference w:id="447"/>
            </w:r>
          </w:p>
        </w:tc>
      </w:tr>
      <w:tr>
        <w:tc>
          <w:tcPr/>
          <w:p>
            <w:pPr>
              <w:pStyle w:val="Compact"/>
            </w:pPr>
            <w:r>
              <w:t xml:space="preserve">Microsoft Entra Connect Health</w:t>
            </w:r>
          </w:p>
        </w:tc>
        <w:tc>
          <w:tcPr/>
          <w:p>
            <w:pPr>
              <w:pStyle w:val="Compact"/>
            </w:pPr>
            <w:r>
              <w:t xml:space="preserve">Monitors sync, AD FS and AD DS health through agents on each server.</w:t>
            </w:r>
            <w:r>
              <w:rPr>
                <w:rStyle w:val="FootnoteReference"/>
              </w:rPr>
              <w:footnoteReference w:id="449"/>
            </w:r>
          </w:p>
        </w:tc>
        <w:tc>
          <w:tcPr/>
          <w:p>
            <w:pPr>
              <w:pStyle w:val="Compact"/>
            </w:pPr>
            <w:r>
              <w:t xml:space="preserve">Monitors health, not readiness or governance.</w:t>
            </w:r>
          </w:p>
        </w:tc>
        <w:tc>
          <w:tcPr/>
          <w:p>
            <w:pPr>
              <w:pStyle w:val="Compact"/>
            </w:pPr>
            <w:r>
              <w:t xml:space="preserve">Entra ID P1 or P2. The first agent needs one license, and each additional agent needs 25 more.</w:t>
            </w:r>
            <w:r>
              <w:rPr>
                <w:rStyle w:val="FootnoteReference"/>
              </w:rPr>
              <w:footnoteReference w:id="450"/>
            </w:r>
          </w:p>
        </w:tc>
      </w:tr>
      <w:tr>
        <w:tc>
          <w:tcPr/>
          <w:p>
            <w:pPr>
              <w:pStyle w:val="Compact"/>
            </w:pPr>
            <w:r>
              <w:t xml:space="preserve">Microsoft Entra ID Governance</w:t>
            </w:r>
          </w:p>
        </w:tc>
        <w:tc>
          <w:tcPr/>
          <w:p>
            <w:pPr>
              <w:pStyle w:val="Compact"/>
            </w:pPr>
            <w:r>
              <w:t xml:space="preserve">Lifecycle Workflows, entitlement management, access reviews and PIM, all reachable through Microsoft Graph.</w:t>
            </w:r>
            <w:r>
              <w:rPr>
                <w:rStyle w:val="FootnoteReference"/>
              </w:rPr>
              <w:footnoteReference w:id="452"/>
            </w:r>
            <w:r>
              <w:t xml:space="preserve"> </w:t>
            </w:r>
            <w:r>
              <w:t xml:space="preserve">Available in GCC, GCC High and DoD.</w:t>
            </w:r>
            <w:r>
              <w:rPr>
                <w:rStyle w:val="FootnoteReference"/>
              </w:rPr>
              <w:footnoteReference w:id="454"/>
            </w:r>
          </w:p>
        </w:tc>
        <w:tc>
          <w:tcPr/>
          <w:p>
            <w:pPr>
              <w:pStyle w:val="Compact"/>
            </w:pPr>
            <w:r>
              <w:t xml:space="preserve">Doesn’t decide who should have access, or supply the HR facts it acts on.</w:t>
            </w:r>
          </w:p>
        </w:tc>
        <w:tc>
          <w:tcPr/>
          <w:p>
            <w:pPr>
              <w:pStyle w:val="Compact"/>
            </w:pPr>
            <w:r>
              <w:t xml:space="preserve">Lifecycle Workflows, and access reviews for member users, require Entra ID Governance or Entra Suite. Some entitlement-management and review capabilities work with P2.</w:t>
            </w:r>
            <w:r>
              <w:rPr>
                <w:rStyle w:val="FootnoteReference"/>
              </w:rPr>
              <w:footnoteReference w:id="456"/>
            </w:r>
          </w:p>
        </w:tc>
      </w:tr>
      <w:tr>
        <w:tc>
          <w:tcPr/>
          <w:p>
            <w:pPr>
              <w:pStyle w:val="Compact"/>
            </w:pPr>
            <w:r>
              <w:t xml:space="preserve">Microsoft Entra ID Protection</w:t>
            </w:r>
          </w:p>
        </w:tc>
        <w:tc>
          <w:tcPr/>
          <w:p>
            <w:pPr>
              <w:pStyle w:val="Compact"/>
            </w:pPr>
            <w:r>
              <w:t xml:space="preserve">Sign-in and user risk detection, risk-based Conditional Access, risk reports through Graph.</w:t>
            </w:r>
            <w:r>
              <w:rPr>
                <w:rStyle w:val="FootnoteReference"/>
              </w:rPr>
              <w:footnoteReference w:id="457"/>
            </w:r>
          </w:p>
        </w:tc>
        <w:tc>
          <w:tcPr/>
          <w:p>
            <w:pPr>
              <w:pStyle w:val="Compact"/>
            </w:pPr>
            <w:r>
              <w:t xml:space="preserve">Doesn’t assess the AD source. Some detections depend on Defender licensing.</w:t>
            </w:r>
          </w:p>
        </w:tc>
        <w:tc>
          <w:tcPr/>
          <w:p>
            <w:pPr>
              <w:pStyle w:val="Compact"/>
            </w:pPr>
            <w:r>
              <w:t xml:space="preserve">Full capability requires Entra ID P2 or Entra Suite.</w:t>
            </w:r>
            <w:r>
              <w:rPr>
                <w:rStyle w:val="FootnoteReference"/>
              </w:rPr>
              <w:footnoteReference w:id="459"/>
            </w:r>
          </w:p>
        </w:tc>
      </w:tr>
      <w:tr>
        <w:tc>
          <w:tcPr/>
          <w:p>
            <w:pPr>
              <w:pStyle w:val="Compact"/>
            </w:pPr>
            <w:r>
              <w:t xml:space="preserve">Microsoft Defender for Identity</w:t>
            </w:r>
          </w:p>
        </w:tc>
        <w:tc>
          <w:tcPr/>
          <w:p>
            <w:pPr>
              <w:pStyle w:val="Compact"/>
            </w:pPr>
            <w:r>
              <w:t xml:space="preserve">Sensors on domain controllers, AD CS, AD FS and Entra Connect servers. Detects identity attacks and publishes security posture assessments in Secure Score across hybrid security, identity infrastructure, certificates, Group Policy, accounts and cloud identities.</w:t>
            </w:r>
            <w:r>
              <w:rPr>
                <w:rStyle w:val="FootnoteReference"/>
              </w:rPr>
              <w:footnoteReference w:id="460"/>
            </w:r>
            <w:r>
              <w:t xml:space="preserve"> </w:t>
            </w:r>
            <w:r>
              <w:t xml:space="preserve">Its data is queryable in advanced hunting and through the Defender XDR APIs, and can be streamed to Sentinel.</w:t>
            </w:r>
            <w:r>
              <w:rPr>
                <w:rStyle w:val="FootnoteReference"/>
              </w:rPr>
              <w:footnoteReference w:id="462"/>
            </w:r>
          </w:p>
        </w:tc>
        <w:tc>
          <w:tcPr/>
          <w:p>
            <w:pPr>
              <w:pStyle w:val="Compact"/>
            </w:pPr>
            <w:r>
              <w:t xml:space="preserve">Not an inventory tool: no forest topology export, OU tree, full GPO inventory, DNS assessment or trust inventory. Certificate-authority assessments need a sensor on the AD CS server.</w:t>
            </w:r>
            <w:r>
              <w:rPr>
                <w:rStyle w:val="FootnoteReference"/>
              </w:rPr>
              <w:footnoteReference w:id="464"/>
            </w:r>
            <w:r>
              <w:t xml:space="preserve"> </w:t>
            </w:r>
            <w:r>
              <w:t xml:space="preserve">Advanced hunting keeps data for 30 days.</w:t>
            </w:r>
            <w:r>
              <w:rPr>
                <w:rStyle w:val="FootnoteReference"/>
              </w:rPr>
              <w:footnoteReference w:id="465"/>
            </w:r>
          </w:p>
        </w:tc>
        <w:tc>
          <w:tcPr/>
          <w:p>
            <w:pPr>
              <w:pStyle w:val="Compact"/>
            </w:pPr>
            <w:r>
              <w:t xml:space="preserve">EMS E5, Microsoft 365 E5 or E5 Security, or standalone. In GCC: Microsoft 365 GCC G5, G5 Security GCC or standalone.</w:t>
            </w:r>
            <w:r>
              <w:rPr>
                <w:rStyle w:val="FootnoteReference"/>
              </w:rPr>
              <w:footnoteReference w:id="466"/>
            </w:r>
          </w:p>
        </w:tc>
      </w:tr>
      <w:tr>
        <w:tc>
          <w:tcPr/>
          <w:p>
            <w:pPr>
              <w:pStyle w:val="Compact"/>
            </w:pPr>
            <w:r>
              <w:t xml:space="preserve">Microsoft Graph</w:t>
            </w:r>
          </w:p>
        </w:tc>
        <w:tc>
          <w:tcPr/>
          <w:p>
            <w:pPr>
              <w:pStyle w:val="Compact"/>
            </w:pPr>
            <w:r>
              <w:t xml:space="preserve">The single API endpoint for users, groups, applications, devices, roles and governance in Entra ID.</w:t>
            </w:r>
            <w:r>
              <w:rPr>
                <w:rStyle w:val="FootnoteReference"/>
              </w:rPr>
              <w:footnoteReference w:id="469"/>
            </w:r>
          </w:p>
        </w:tc>
        <w:tc>
          <w:tcPr/>
          <w:p>
            <w:pPr>
              <w:pStyle w:val="Compact"/>
            </w:pPr>
            <w:r>
              <w:t xml:space="preserve">Raw building blocks with no orchestration or reporting.</w:t>
            </w:r>
          </w:p>
        </w:tc>
        <w:tc>
          <w:tcPr/>
          <w:p>
            <w:pPr>
              <w:pStyle w:val="Compact"/>
            </w:pPr>
            <w:r>
              <w:t xml:space="preserve">Calling a feature through an API still needs that feature’s license; Intune’s licensing terms say so explicitly.</w:t>
            </w:r>
            <w:r>
              <w:rPr>
                <w:rStyle w:val="FootnoteReference"/>
              </w:rPr>
              <w:footnoteReference w:id="471"/>
            </w:r>
          </w:p>
        </w:tc>
      </w:tr>
      <w:tr>
        <w:tc>
          <w:tcPr/>
          <w:p>
            <w:pPr>
              <w:pStyle w:val="Compact"/>
            </w:pPr>
            <w:r>
              <w:t xml:space="preserve">Microsoft Intune with Group Policy analytics</w:t>
            </w:r>
          </w:p>
        </w:tc>
        <w:tc>
          <w:tcPr/>
          <w:p>
            <w:pPr>
              <w:pStyle w:val="Compact"/>
            </w:pPr>
            <w:r>
              <w:t xml:space="preserve">Imports GPO XML exports, reports MDM support per setting, shows whether each GPO is linked to an OU, exports the view to CSV, and migrates supported settings to a settings catalog policy. Flags conflicting settings across imported GPOs during migration.</w:t>
            </w:r>
            <w:r>
              <w:rPr>
                <w:rStyle w:val="FootnoteReference"/>
              </w:rPr>
              <w:footnoteReference w:id="473"/>
            </w:r>
            <w:r>
              <w:rPr>
                <w:rStyle w:val="FootnoteReference"/>
              </w:rPr>
              <w:footnoteReference w:id="474"/>
            </w:r>
          </w:p>
        </w:tc>
        <w:tc>
          <w:tcPr/>
          <w:p>
            <w:pPr>
              <w:pStyle w:val="Compact"/>
            </w:pPr>
            <w:r>
              <w:t xml:space="preserve">Analyzes Windows settings only. Each GPO export must be under 4 MB, and non-English, non-ADMX settings skew the MDM support percentage.</w:t>
            </w:r>
            <w:r>
              <w:rPr>
                <w:rStyle w:val="FootnoteReference"/>
              </w:rPr>
              <w:footnoteReference w:id="476"/>
            </w:r>
            <w:r>
              <w:t xml:space="preserve"> </w:t>
            </w:r>
            <w:r>
              <w:t xml:space="preserve">No WMI-filter analysis or tracking of migration status over time.</w:t>
            </w:r>
          </w:p>
        </w:tc>
        <w:tc>
          <w:tcPr/>
          <w:p>
            <w:pPr>
              <w:pStyle w:val="Compact"/>
            </w:pPr>
            <w:r>
              <w:t xml:space="preserve">Intune is licensed through Plan 1 and higher plans, usually inside a Microsoft 365 bundle.</w:t>
            </w:r>
            <w:r>
              <w:rPr>
                <w:rStyle w:val="FootnoteReference"/>
              </w:rPr>
              <w:footnoteReference w:id="477"/>
            </w:r>
          </w:p>
        </w:tc>
      </w:tr>
      <w:tr>
        <w:tc>
          <w:tcPr/>
          <w:p>
            <w:pPr>
              <w:pStyle w:val="Compact"/>
            </w:pPr>
            <w:r>
              <w:t xml:space="preserve">Security Compliance Toolkit</w:t>
            </w:r>
          </w:p>
        </w:tc>
        <w:tc>
          <w:tcPr/>
          <w:p>
            <w:pPr>
              <w:pStyle w:val="Compact"/>
            </w:pPr>
            <w:r>
              <w:t xml:space="preserve">Policy Analyzer compares sets of GPOs against Microsoft baselines and local policy, and highlights redundant settings and internal inconsistencies across a set. LGPO manages local policy. Baselines include Windows Server 2025.</w:t>
            </w:r>
            <w:r>
              <w:rPr>
                <w:rStyle w:val="FootnoteReference"/>
              </w:rPr>
              <w:footnoteReference w:id="478"/>
            </w:r>
          </w:p>
        </w:tc>
        <w:tc>
          <w:tcPr/>
          <w:p>
            <w:pPr>
              <w:pStyle w:val="Compact"/>
            </w:pPr>
            <w:r>
              <w:t xml:space="preserve">Desktop tools with Excel output, no automation pipeline, and no OU, DNS, PKI or trust analysis.</w:t>
            </w:r>
          </w:p>
        </w:tc>
        <w:tc>
          <w:tcPr/>
          <w:p>
            <w:pPr>
              <w:pStyle w:val="Compact"/>
            </w:pPr>
            <w:r>
              <w:t xml:space="preserve">Downloaded from the Microsoft Download Center with the baselines.</w:t>
            </w:r>
            <w:r>
              <w:rPr>
                <w:rStyle w:val="FootnoteReference"/>
              </w:rPr>
              <w:footnoteReference w:id="480"/>
            </w:r>
          </w:p>
        </w:tc>
      </w:tr>
      <w:tr>
        <w:tc>
          <w:tcPr/>
          <w:p>
            <w:pPr>
              <w:pStyle w:val="Compact"/>
            </w:pPr>
            <w:r>
              <w:t xml:space="preserve">Azure Arc with Azure Machine Configuration</w:t>
            </w:r>
          </w:p>
        </w:tc>
        <w:tc>
          <w:tcPr/>
          <w:p>
            <w:pPr>
              <w:pStyle w:val="Compact"/>
            </w:pPr>
            <w:r>
              <w:t xml:space="preserve">Audits and enforces OS and application settings on Arc-enabled servers with Azure Policy. Machine Configuration was formerly called Azure Policy Guest Configuration.</w:t>
            </w:r>
            <w:r>
              <w:rPr>
                <w:rStyle w:val="FootnoteReference"/>
              </w:rPr>
              <w:footnoteReference w:id="481"/>
            </w:r>
          </w:p>
        </w:tc>
        <w:tc>
          <w:tcPr/>
          <w:p>
            <w:pPr>
              <w:pStyle w:val="Compact"/>
            </w:pPr>
            <w:r>
              <w:t xml:space="preserve">Requires Arc enrollment, so it can’t assess before onboarding. No AD-specific analysis.</w:t>
            </w:r>
          </w:p>
        </w:tc>
        <w:tc>
          <w:tcPr/>
          <w:p>
            <w:pPr>
              <w:pStyle w:val="Compact"/>
            </w:pPr>
            <w:r>
              <w:t xml:space="preserve">Included at no extra charge for Windows Server with Software Assurance or pay-as-you-go licensing. Otherwise billed per server.</w:t>
            </w:r>
            <w:r>
              <w:rPr>
                <w:rStyle w:val="FootnoteReference"/>
              </w:rPr>
              <w:footnoteReference w:id="484"/>
            </w:r>
          </w:p>
        </w:tc>
      </w:tr>
      <w:tr>
        <w:tc>
          <w:tcPr/>
          <w:p>
            <w:pPr>
              <w:pStyle w:val="Compact"/>
            </w:pPr>
            <w:r>
              <w:t xml:space="preserve">Microsoft Purview Audit</w:t>
            </w:r>
          </w:p>
        </w:tc>
        <w:tc>
          <w:tcPr/>
          <w:p>
            <w:pPr>
              <w:pStyle w:val="Compact"/>
            </w:pPr>
            <w:r>
              <w:t xml:space="preserve">Searchable audit log covering Entra ID and Microsoft 365 activity, with export to CSV and access through the Office 365 Management Activity API. Standard keeps records for 180 days. Premium keeps Entra ID, Exchange and SharePoint records for one year, or up to 10 years with an add-on.</w:t>
            </w:r>
            <w:r>
              <w:rPr>
                <w:rStyle w:val="FootnoteReference"/>
              </w:rPr>
              <w:footnoteReference w:id="485"/>
            </w:r>
          </w:p>
        </w:tc>
        <w:tc>
          <w:tcPr/>
          <w:p>
            <w:pPr>
              <w:pStyle w:val="Compact"/>
            </w:pPr>
            <w:r>
              <w:t xml:space="preserve">Audit, not configuration assessment.</w:t>
            </w:r>
          </w:p>
        </w:tc>
        <w:tc>
          <w:tcPr/>
          <w:p>
            <w:pPr>
              <w:pStyle w:val="Compact"/>
            </w:pPr>
            <w:r>
              <w:t xml:space="preserve">Standard is enabled by default. Premium requires E5-level licensing or an add-on.</w:t>
            </w:r>
            <w:r>
              <w:rPr>
                <w:rStyle w:val="FootnoteReference"/>
              </w:rPr>
              <w:footnoteReference w:id="487"/>
            </w:r>
          </w:p>
        </w:tc>
      </w:tr>
      <w:tr>
        <w:tc>
          <w:tcPr/>
          <w:p>
            <w:pPr>
              <w:pStyle w:val="Compact"/>
            </w:pPr>
            <w:r>
              <w:t xml:space="preserve">Microsoft Sentinel</w:t>
            </w:r>
          </w:p>
        </w:tc>
        <w:tc>
          <w:tcPr/>
          <w:p>
            <w:pPr>
              <w:pStyle w:val="Compact"/>
            </w:pPr>
            <w:r>
              <w:t xml:space="preserve">SIEM for long-term retention and correlation of Entra, Defender for Identity and AD security events.</w:t>
            </w:r>
          </w:p>
        </w:tc>
        <w:tc>
          <w:tcPr/>
          <w:p>
            <w:pPr>
              <w:pStyle w:val="Compact"/>
            </w:pPr>
            <w:r>
              <w:t xml:space="preserve">Detects threats. Doesn’t compare configuration against a desired state. Sentinel won’t be supported in the Azure portal after March 31, 2027, only in the Defender portal.</w:t>
            </w:r>
            <w:r>
              <w:rPr>
                <w:rStyle w:val="FootnoteReference"/>
              </w:rPr>
              <w:footnoteReference w:id="488"/>
            </w:r>
          </w:p>
        </w:tc>
        <w:tc>
          <w:tcPr/>
          <w:p>
            <w:pPr>
              <w:pStyle w:val="Compact"/>
            </w:pPr>
            <w:r>
              <w:t xml:space="preserve">Billed as part of the agency’s Azure bill.</w:t>
            </w:r>
            <w:r>
              <w:rPr>
                <w:rStyle w:val="FootnoteReference"/>
              </w:rPr>
              <w:footnoteReference w:id="490"/>
            </w:r>
          </w:p>
        </w:tc>
      </w:tr>
      <w:tr>
        <w:tc>
          <w:tcPr/>
          <w:p>
            <w:pPr>
              <w:pStyle w:val="Compact"/>
            </w:pPr>
            <w:r>
              <w:t xml:space="preserve">Microsoft Secure Score and the Zero Trust Assessment</w:t>
            </w:r>
          </w:p>
        </w:tc>
        <w:tc>
          <w:tcPr/>
          <w:p>
            <w:pPr>
              <w:pStyle w:val="Compact"/>
            </w:pPr>
            <w:r>
              <w:t xml:space="preserve">Secure Score ranks recommended actions across identity, devices and apps.</w:t>
            </w:r>
            <w:r>
              <w:rPr>
                <w:rStyle w:val="FootnoteReference"/>
              </w:rPr>
              <w:footnoteReference w:id="492"/>
            </w:r>
            <w:r>
              <w:t xml:space="preserve"> </w:t>
            </w:r>
            <w:r>
              <w:t xml:space="preserve">The Zero Trust Assessment is an open-source, read-only PowerShell module that tests hundreds of tenant configuration items across Entra, Intune and other services and produces a local report.</w:t>
            </w:r>
            <w:r>
              <w:rPr>
                <w:rStyle w:val="FootnoteReference"/>
              </w:rPr>
              <w:footnoteReference w:id="494"/>
            </w:r>
          </w:p>
        </w:tc>
        <w:tc>
          <w:tcPr/>
          <w:p>
            <w:pPr>
              <w:pStyle w:val="Compact"/>
            </w:pPr>
            <w:r>
              <w:t xml:space="preserve">Both describe the cloud tenant, not the AD source. The assessment’s first run needs Global Administrator consent. Later runs need Global Reader and the other reader-level roles listed in its prerequisites.</w:t>
            </w:r>
            <w:r>
              <w:rPr>
                <w:rStyle w:val="FootnoteReference"/>
              </w:rPr>
              <w:footnoteReference w:id="497"/>
            </w:r>
          </w:p>
        </w:tc>
        <w:tc>
          <w:tcPr/>
          <w:p>
            <w:pPr>
              <w:pStyle w:val="Compact"/>
            </w:pPr>
            <w:r>
              <w:t xml:space="preserve">Defender for Identity assessments in Secure Score need a Defender for Identity license.</w:t>
            </w:r>
            <w:r>
              <w:rPr>
                <w:rStyle w:val="FootnoteReference"/>
              </w:rPr>
              <w:footnoteReference w:id="498"/>
            </w:r>
            <w:r>
              <w:t xml:space="preserve"> </w:t>
            </w:r>
            <w:r>
              <w:t xml:space="preserve">The Zero Trust Assessment is open source.</w:t>
            </w:r>
            <w:r>
              <w:rPr>
                <w:rStyle w:val="FootnoteReference"/>
              </w:rPr>
              <w:footnoteReference w:id="499"/>
            </w:r>
          </w:p>
        </w:tc>
      </w:tr>
      <w:tr>
        <w:tc>
          <w:tcPr/>
          <w:p>
            <w:pPr>
              <w:pStyle w:val="Compact"/>
            </w:pPr>
            <w:r>
              <w:t xml:space="preserve">CISA ScubaGear</w:t>
            </w:r>
          </w:p>
        </w:tc>
        <w:tc>
          <w:tcPr/>
          <w:p>
            <w:pPr>
              <w:pStyle w:val="Compact"/>
            </w:pPr>
            <w:r>
              <w:t xml:space="preserve">Assesses a Microsoft 365 tenant, including Entra ID, against CISA’s SCuBA baselines and writes HTML, JSON and CSV results.</w:t>
            </w:r>
            <w:r>
              <w:rPr>
                <w:rStyle w:val="FootnoteReference"/>
              </w:rPr>
              <w:footnoteReference w:id="500"/>
            </w:r>
            <w:r>
              <w:t xml:space="preserve"> </w:t>
            </w:r>
            <w:r>
              <w:t xml:space="preserve">BOD 25-01 requires agencies to deploy CISA’s SCuBA assessment tools and report results.</w:t>
            </w:r>
            <w:r>
              <w:rPr>
                <w:rStyle w:val="FootnoteReference"/>
              </w:rPr>
              <w:footnoteReference w:id="502"/>
            </w:r>
          </w:p>
        </w:tc>
        <w:tc>
          <w:tcPr/>
          <w:p>
            <w:pPr>
              <w:pStyle w:val="Compact"/>
            </w:pPr>
            <w:r>
              <w:t xml:space="preserve">Tenant configuration only.</w:t>
            </w:r>
          </w:p>
        </w:tc>
        <w:tc>
          <w:tcPr/>
          <w:p>
            <w:pPr>
              <w:pStyle w:val="Compact"/>
            </w:pPr>
            <w:r>
              <w:t xml:space="preserve">Open source, published by CISA.</w:t>
            </w:r>
            <w:r>
              <w:rPr>
                <w:rStyle w:val="FootnoteReference"/>
              </w:rPr>
              <w:footnoteReference w:id="503"/>
            </w:r>
          </w:p>
        </w:tc>
      </w:tr>
      <w:tr>
        <w:tc>
          <w:tcPr/>
          <w:p>
            <w:pPr>
              <w:pStyle w:val="Compact"/>
            </w:pPr>
            <w:r>
              <w:t xml:space="preserve">Azure Migrate</w:t>
            </w:r>
          </w:p>
        </w:tc>
        <w:tc>
          <w:tcPr/>
          <w:p>
            <w:pPr>
              <w:pStyle w:val="Compact"/>
            </w:pPr>
            <w:r>
              <w:t xml:space="preserve">Discovers and assesses servers, databases and web apps for migration to Azure.</w:t>
            </w:r>
            <w:r>
              <w:rPr>
                <w:rStyle w:val="FootnoteReference"/>
              </w:rPr>
              <w:footnoteReference w:id="504"/>
            </w:r>
          </w:p>
        </w:tc>
        <w:tc>
          <w:tcPr/>
          <w:p>
            <w:pPr>
              <w:pStyle w:val="Compact"/>
            </w:pPr>
            <w:r>
              <w:t xml:space="preserve">No AD forest, GPO, OU, DNS, PKI or trust analysis. Microsoft still points to the MAP Toolkit for Windows OS migration planning and software usage tracking.</w:t>
            </w:r>
            <w:r>
              <w:rPr>
                <w:rStyle w:val="FootnoteReference"/>
              </w:rPr>
              <w:footnoteReference w:id="506"/>
            </w:r>
          </w:p>
        </w:tc>
        <w:tc>
          <w:tcPr/>
          <w:p>
            <w:pPr>
              <w:pStyle w:val="Compact"/>
            </w:pPr>
            <w:r>
              <w:t xml:space="preserve">Part of Azure. Microsoft charges no tool fee for migration during the first 180 days of a VM’s replication.</w:t>
            </w:r>
            <w:r>
              <w:rPr>
                <w:rStyle w:val="FootnoteReference"/>
              </w:rPr>
              <w:footnoteReference w:id="507"/>
            </w:r>
          </w:p>
        </w:tc>
      </w:tr>
      <w:tr>
        <w:tc>
          <w:tcPr/>
          <w:p>
            <w:pPr>
              <w:pStyle w:val="Compact"/>
            </w:pPr>
            <w:r>
              <w:t xml:space="preserve">Active Directory Migration Tool (ADMT)</w:t>
            </w:r>
          </w:p>
        </w:tc>
        <w:tc>
          <w:tcPr/>
          <w:p>
            <w:pPr>
              <w:pStyle w:val="Compact"/>
            </w:pPr>
            <w:r>
              <w:t xml:space="preserve">Moves users, groups and computers between AD domains and forests, with SID history and password migration.</w:t>
            </w:r>
          </w:p>
        </w:tc>
        <w:tc>
          <w:tcPr/>
          <w:p>
            <w:pPr>
              <w:pStyle w:val="Compact"/>
            </w:pPr>
            <w:r>
              <w:t xml:space="preserve">Doesn’t move anything to Entra ID. Microsoft has deprecated the ADMT 3.2 code base, stopped development, and provides no security or bug fixes. It hasn’t been updated for Windows Server 2012 R2 or later, and Microsoft says to use it at your own risk.</w:t>
            </w:r>
            <w:r>
              <w:rPr>
                <w:rStyle w:val="FootnoteReference"/>
              </w:rPr>
              <w:footnoteReference w:id="508"/>
            </w:r>
          </w:p>
        </w:tc>
        <w:tc>
          <w:tcPr/>
          <w:p>
            <w:pPr>
              <w:pStyle w:val="Compact"/>
            </w:pPr>
            <w:r>
              <w:t xml:space="preserve">Free download.</w:t>
            </w:r>
            <w:r>
              <w:rPr>
                <w:rStyle w:val="FootnoteReference"/>
              </w:rPr>
              <w:footnoteReference w:id="510"/>
            </w:r>
          </w:p>
        </w:tc>
      </w:tr>
      <w:tr>
        <w:tc>
          <w:tcPr/>
          <w:p>
            <w:pPr>
              <w:pStyle w:val="Compact"/>
            </w:pPr>
            <w:r>
              <w:t xml:space="preserve">Microsoft Entra Health monitoring</w:t>
            </w:r>
          </w:p>
        </w:tc>
        <w:tc>
          <w:tcPr/>
          <w:p>
            <w:pPr>
              <w:pStyle w:val="Compact"/>
            </w:pPr>
            <w:r>
              <w:t xml:space="preserve">Tenant-level signals and anomaly alerts for MFA, Conditional Access and device-compliance sign-ins, plus monthly SLA attainment.</w:t>
            </w:r>
            <w:r>
              <w:rPr>
                <w:rStyle w:val="FootnoteReference"/>
              </w:rPr>
              <w:footnoteReference w:id="511"/>
            </w:r>
          </w:p>
        </w:tc>
        <w:tc>
          <w:tcPr/>
          <w:p>
            <w:pPr>
              <w:pStyle w:val="Compact"/>
            </w:pPr>
            <w:r>
              <w:t xml:space="preserve">Cloud-side only, and scenario monitoring and alerts are still in preview.</w:t>
            </w:r>
            <w:r>
              <w:rPr>
                <w:rStyle w:val="FootnoteReference"/>
              </w:rPr>
              <w:footnoteReference w:id="513"/>
            </w:r>
          </w:p>
        </w:tc>
        <w:tc>
          <w:tcPr/>
          <w:p>
            <w:pPr>
              <w:pStyle w:val="Compact"/>
            </w:pPr>
            <w:r>
              <w:t xml:space="preserve">Viewing the signals requires Entra ID P1 or P2.</w:t>
            </w:r>
            <w:r>
              <w:rPr>
                <w:rStyle w:val="FootnoteReference"/>
              </w:rPr>
              <w:footnoteReference w:id="514"/>
            </w:r>
          </w:p>
        </w:tc>
      </w:tr>
      <w:tr>
        <w:tc>
          <w:tcPr/>
          <w:p>
            <w:pPr>
              <w:pStyle w:val="Compact"/>
            </w:pPr>
            <w:r>
              <w:t xml:space="preserve">FastTrack</w:t>
            </w:r>
          </w:p>
        </w:tc>
        <w:tc>
          <w:tcPr/>
          <w:p>
            <w:pPr>
              <w:pStyle w:val="Compact"/>
            </w:pPr>
            <w:r>
              <w:t xml:space="preserve">Remote deployment guidance from Microsoft, including Entra Connect, Cloud Sync, authentication methods and hybrid identity.</w:t>
            </w:r>
            <w:r>
              <w:rPr>
                <w:rStyle w:val="FootnoteReference"/>
              </w:rPr>
              <w:footnoteReference w:id="516"/>
            </w:r>
          </w:p>
        </w:tc>
        <w:tc>
          <w:tcPr/>
          <w:p>
            <w:pPr>
              <w:pStyle w:val="Compact"/>
            </w:pPr>
            <w:r>
              <w:t xml:space="preserve">Guidance only. No discovery, inventory or artifacts.</w:t>
            </w:r>
          </w:p>
        </w:tc>
        <w:tc>
          <w:tcPr/>
          <w:p>
            <w:pPr>
              <w:pStyle w:val="Compact"/>
            </w:pPr>
            <w:r>
              <w:t xml:space="preserve">Tenants with 150 or more licenses from eligible plans.</w:t>
            </w:r>
            <w:r>
              <w:rPr>
                <w:rStyle w:val="FootnoteReference"/>
              </w:rPr>
              <w:footnoteReference w:id="519"/>
            </w:r>
          </w:p>
        </w:tc>
      </w:tr>
    </w:tbl>
    <w:bookmarkEnd w:id="520"/>
    <w:bookmarkStart w:id="523" w:name="the-capability-matrix"/>
    <w:p>
      <w:pPr>
        <w:pStyle w:val="Heading3"/>
      </w:pPr>
      <w:r>
        <w:t xml:space="preserve">The capability matrix</w:t>
      </w:r>
    </w:p>
    <w:p>
      <w:pPr>
        <w:pStyle w:val="FirstParagraph"/>
      </w:pPr>
      <w:r>
        <w:t xml:space="preserve">The matrix maps each assessment domain the program covers to the native tools that touch it. It replaces the source’s tool-by-tool grid with one row per domain.</w:t>
      </w:r>
      <w:r>
        <w:t xml:space="preserve"> </w:t>
      </w:r>
      <w:r>
        <w:t xml:space="preserve">“Partial”</w:t>
      </w:r>
      <w:r>
        <w:t xml:space="preserve"> </w:t>
      </w:r>
      <w:r>
        <w:t xml:space="preserve">means a native tool covers part of the domain but doesn’t produce a complete, versioned inventory that a governance process can track.</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Domain</w:t>
            </w:r>
          </w:p>
        </w:tc>
        <w:tc>
          <w:tcPr/>
          <w:p>
            <w:pPr>
              <w:pStyle w:val="Compact"/>
            </w:pPr>
            <w:r>
              <w:t xml:space="preserve">Native coverage</w:t>
            </w:r>
          </w:p>
        </w:tc>
        <w:tc>
          <w:tcPr/>
          <w:p>
            <w:pPr>
              <w:pStyle w:val="Compact"/>
            </w:pPr>
            <w:r>
              <w:t xml:space="preserve">Native tools that touch it</w:t>
            </w:r>
          </w:p>
        </w:tc>
        <w:tc>
          <w:tcPr/>
          <w:p>
            <w:pPr>
              <w:pStyle w:val="Compact"/>
            </w:pPr>
            <w:r>
              <w:t xml:space="preserve">What’s missing</w:t>
            </w:r>
          </w:p>
        </w:tc>
      </w:tr>
      <w:tr>
        <w:tc>
          <w:tcPr/>
          <w:p>
            <w:pPr>
              <w:pStyle w:val="Compact"/>
            </w:pPr>
            <w:r>
              <w:t xml:space="preserve">Forest topology (domains, DCs, functional levels, FSMO, sites)</w:t>
            </w:r>
          </w:p>
        </w:tc>
        <w:tc>
          <w:tcPr/>
          <w:p>
            <w:pPr>
              <w:pStyle w:val="Compact"/>
            </w:pPr>
            <w:r>
              <w:t xml:space="preserve">Partial</w:t>
            </w:r>
          </w:p>
        </w:tc>
        <w:tc>
          <w:tcPr/>
          <w:p>
            <w:pPr>
              <w:pStyle w:val="Compact"/>
            </w:pPr>
            <w:r>
              <w:t xml:space="preserve">AD PowerShell module (raw cmdlets); Defender for Identity (monitors DCs)</w:t>
            </w:r>
          </w:p>
        </w:tc>
        <w:tc>
          <w:tcPr/>
          <w:p>
            <w:pPr>
              <w:pStyle w:val="Compact"/>
            </w:pPr>
            <w:r>
              <w:t xml:space="preserve">A structured, versioned topology artifact</w:t>
            </w:r>
          </w:p>
        </w:tc>
      </w:tr>
      <w:tr>
        <w:tc>
          <w:tcPr/>
          <w:p>
            <w:pPr>
              <w:pStyle w:val="Compact"/>
            </w:pPr>
            <w:r>
              <w:t xml:space="preserve">OU hierarchy and delegation ACLs</w:t>
            </w:r>
          </w:p>
        </w:tc>
        <w:tc>
          <w:tcPr/>
          <w:p>
            <w:pPr>
              <w:pStyle w:val="Compact"/>
            </w:pPr>
            <w:r>
              <w:t xml:space="preserve">None</w:t>
            </w:r>
          </w:p>
        </w:tc>
        <w:tc>
          <w:tcPr/>
          <w:p>
            <w:pPr>
              <w:pStyle w:val="Compact"/>
            </w:pPr>
            <w:r>
              <w:t xml:space="preserve">AD PowerShell (raw)</w:t>
            </w:r>
          </w:p>
        </w:tc>
        <w:tc>
          <w:tcPr/>
          <w:p>
            <w:pPr>
              <w:pStyle w:val="Compact"/>
            </w:pPr>
            <w:r>
              <w:t xml:space="preserve">Recursive tree with GPO links, object counts and delegation; see Chapter 05</w:t>
            </w:r>
          </w:p>
        </w:tc>
      </w:tr>
      <w:tr>
        <w:tc>
          <w:tcPr/>
          <w:p>
            <w:pPr>
              <w:pStyle w:val="Compact"/>
            </w:pPr>
            <w:r>
              <w:t xml:space="preserve">GPO inventory and settings</w:t>
            </w:r>
          </w:p>
        </w:tc>
        <w:tc>
          <w:tcPr/>
          <w:p>
            <w:pPr>
              <w:pStyle w:val="Compact"/>
            </w:pPr>
            <w:r>
              <w:t xml:space="preserve">Partial</w:t>
            </w:r>
          </w:p>
        </w:tc>
        <w:tc>
          <w:tcPr/>
          <w:p>
            <w:pPr>
              <w:pStyle w:val="Compact"/>
            </w:pPr>
            <w:r>
              <w:t xml:space="preserve">Group Policy analytics (Windows MDM subset, OU-linked flag, conflict check at migration); Policy Analyzer (baseline comparison, redundancy and inconsistency across a set); Defender for Identity (Group Policy posture)</w:t>
            </w:r>
          </w:p>
        </w:tc>
        <w:tc>
          <w:tcPr/>
          <w:p>
            <w:pPr>
              <w:pStyle w:val="Compact"/>
            </w:pPr>
            <w:r>
              <w:t xml:space="preserve">Full inventory including server GPOs, link scope, WMI filters and migration status over time</w:t>
            </w:r>
          </w:p>
        </w:tc>
      </w:tr>
      <w:tr>
        <w:tc>
          <w:tcPr/>
          <w:p>
            <w:pPr>
              <w:pStyle w:val="Compact"/>
            </w:pPr>
            <w:r>
              <w:t xml:space="preserve">DNS zones and records</w:t>
            </w:r>
          </w:p>
        </w:tc>
        <w:tc>
          <w:tcPr/>
          <w:p>
            <w:pPr>
              <w:pStyle w:val="Compact"/>
            </w:pPr>
            <w:r>
              <w:t xml:space="preserve">None</w:t>
            </w:r>
          </w:p>
        </w:tc>
        <w:tc>
          <w:tcPr/>
          <w:p>
            <w:pPr>
              <w:pStyle w:val="Compact"/>
            </w:pPr>
            <w:r>
              <w:t xml:space="preserve">AD and DNS PowerShell modules (raw)</w:t>
            </w:r>
          </w:p>
        </w:tc>
        <w:tc>
          <w:tcPr/>
          <w:p>
            <w:pPr>
              <w:pStyle w:val="Compact"/>
            </w:pPr>
            <w:r>
              <w:t xml:space="preserve">Zone, record, scavenging and SRV assessment</w:t>
            </w:r>
          </w:p>
        </w:tc>
      </w:tr>
      <w:tr>
        <w:tc>
          <w:tcPr/>
          <w:p>
            <w:pPr>
              <w:pStyle w:val="Compact"/>
            </w:pPr>
            <w:r>
              <w:t xml:space="preserve">PKI and AD CS</w:t>
            </w:r>
          </w:p>
        </w:tc>
        <w:tc>
          <w:tcPr/>
          <w:p>
            <w:pPr>
              <w:pStyle w:val="Compact"/>
            </w:pPr>
            <w:r>
              <w:t xml:space="preserve">Partial</w:t>
            </w:r>
          </w:p>
        </w:tc>
        <w:tc>
          <w:tcPr/>
          <w:p>
            <w:pPr>
              <w:pStyle w:val="Compact"/>
            </w:pPr>
            <w:r>
              <w:t xml:space="preserve">Defender for Identity certificate assessments (template misconfigurations such as ESC1 through ESC4 and ESC15; CA assessments with an AD CS sensor)</w:t>
            </w:r>
            <w:r>
              <w:rPr>
                <w:rStyle w:val="FootnoteReference"/>
              </w:rPr>
              <w:footnoteReference w:id="521"/>
            </w:r>
          </w:p>
        </w:tc>
        <w:tc>
          <w:tcPr/>
          <w:p>
            <w:pPr>
              <w:pStyle w:val="Compact"/>
            </w:pPr>
            <w:r>
              <w:t xml:space="preserve">Operational PKI health (CRL, AIA, OCSP) and migration readiness</w:t>
            </w:r>
          </w:p>
        </w:tc>
      </w:tr>
      <w:tr>
        <w:tc>
          <w:tcPr/>
          <w:p>
            <w:pPr>
              <w:pStyle w:val="Compact"/>
            </w:pPr>
            <w:r>
              <w:t xml:space="preserve">Computer objects</w:t>
            </w:r>
          </w:p>
        </w:tc>
        <w:tc>
          <w:tcPr/>
          <w:p>
            <w:pPr>
              <w:pStyle w:val="Compact"/>
            </w:pPr>
            <w:r>
              <w:t xml:space="preserve">Partial</w:t>
            </w:r>
          </w:p>
        </w:tc>
        <w:tc>
          <w:tcPr/>
          <w:p>
            <w:pPr>
              <w:pStyle w:val="Compact"/>
            </w:pPr>
            <w:r>
              <w:t xml:space="preserve">Azure Migrate (server discovery); Defender for Identity (stale entities)</w:t>
            </w:r>
          </w:p>
        </w:tc>
        <w:tc>
          <w:tcPr/>
          <w:p>
            <w:pPr>
              <w:pStyle w:val="Compact"/>
            </w:pPr>
            <w:r>
              <w:t xml:space="preserve">AD-specific attributes: delegation, SPNs, group membership, LAPS</w:t>
            </w:r>
          </w:p>
        </w:tc>
      </w:tr>
      <w:tr>
        <w:tc>
          <w:tcPr/>
          <w:p>
            <w:pPr>
              <w:pStyle w:val="Compact"/>
            </w:pPr>
            <w:r>
              <w:t xml:space="preserve">Users and groups</w:t>
            </w:r>
          </w:p>
        </w:tc>
        <w:tc>
          <w:tcPr/>
          <w:p>
            <w:pPr>
              <w:pStyle w:val="Compact"/>
            </w:pPr>
            <w:r>
              <w:t xml:space="preserve">Partial</w:t>
            </w:r>
          </w:p>
        </w:tc>
        <w:tc>
          <w:tcPr/>
          <w:p>
            <w:pPr>
              <w:pStyle w:val="Compact"/>
            </w:pPr>
            <w:r>
              <w:t xml:space="preserve">Defender for Identity (accounts posture); Entra Connect or Cloud Sync (sync state)</w:t>
            </w:r>
          </w:p>
        </w:tc>
        <w:tc>
          <w:tcPr/>
          <w:p>
            <w:pPr>
              <w:pStyle w:val="Compact"/>
            </w:pPr>
            <w:r>
              <w:t xml:space="preserve">Complete governance inventory: nesting, service-account classification, ownership</w:t>
            </w:r>
          </w:p>
        </w:tc>
      </w:tr>
      <w:tr>
        <w:tc>
          <w:tcPr/>
          <w:p>
            <w:pPr>
              <w:pStyle w:val="Compact"/>
            </w:pPr>
            <w:r>
              <w:t xml:space="preserve">Trusts</w:t>
            </w:r>
          </w:p>
        </w:tc>
        <w:tc>
          <w:tcPr/>
          <w:p>
            <w:pPr>
              <w:pStyle w:val="Compact"/>
            </w:pPr>
            <w:r>
              <w:t xml:space="preserve">None</w:t>
            </w:r>
          </w:p>
        </w:tc>
        <w:tc>
          <w:tcPr/>
          <w:p>
            <w:pPr>
              <w:pStyle w:val="Compact"/>
            </w:pPr>
            <w:r>
              <w:t xml:space="preserve">AD PowerShell (raw)</w:t>
            </w:r>
          </w:p>
        </w:tc>
        <w:tc>
          <w:tcPr/>
          <w:p>
            <w:pPr>
              <w:pStyle w:val="Compact"/>
            </w:pPr>
            <w:r>
              <w:t xml:space="preserve">Direction, type, SID filtering, selective authentication</w:t>
            </w:r>
          </w:p>
        </w:tc>
      </w:tr>
      <w:tr>
        <w:tc>
          <w:tcPr/>
          <w:p>
            <w:pPr>
              <w:pStyle w:val="Compact"/>
            </w:pPr>
            <w:r>
              <w:t xml:space="preserve">ACLs and dangerous delegation</w:t>
            </w:r>
          </w:p>
        </w:tc>
        <w:tc>
          <w:tcPr/>
          <w:p>
            <w:pPr>
              <w:pStyle w:val="Compact"/>
            </w:pPr>
            <w:r>
              <w:t xml:space="preserve">Partial</w:t>
            </w:r>
          </w:p>
        </w:tc>
        <w:tc>
          <w:tcPr/>
          <w:p>
            <w:pPr>
              <w:pStyle w:val="Compact"/>
            </w:pPr>
            <w:r>
              <w:t xml:space="preserve">Defender for Identity (selected dangerous permissions)</w:t>
            </w:r>
          </w:p>
        </w:tc>
        <w:tc>
          <w:tcPr/>
          <w:p>
            <w:pPr>
              <w:pStyle w:val="Compact"/>
            </w:pPr>
            <w:r>
              <w:t xml:space="preserve">A complete delegation audit</w:t>
            </w:r>
          </w:p>
        </w:tc>
      </w:tr>
      <w:tr>
        <w:tc>
          <w:tcPr/>
          <w:p>
            <w:pPr>
              <w:pStyle w:val="Compact"/>
            </w:pPr>
            <w:r>
              <w:t xml:space="preserve">Cloud tenant configuration</w:t>
            </w:r>
          </w:p>
        </w:tc>
        <w:tc>
          <w:tcPr/>
          <w:p>
            <w:pPr>
              <w:pStyle w:val="Compact"/>
            </w:pPr>
            <w:r>
              <w:t xml:space="preserve">Strong</w:t>
            </w:r>
          </w:p>
        </w:tc>
        <w:tc>
          <w:tcPr/>
          <w:p>
            <w:pPr>
              <w:pStyle w:val="Compact"/>
            </w:pPr>
            <w:r>
              <w:t xml:space="preserve">ScubaGear; Zero Trust Assessment; Secure Score</w:t>
            </w:r>
          </w:p>
        </w:tc>
        <w:tc>
          <w:tcPr/>
          <w:p>
            <w:pPr>
              <w:pStyle w:val="Compact"/>
            </w:pPr>
            <w:r>
              <w:t xml:space="preserve">Correlation back to the AD source and to remediation owners</w:t>
            </w:r>
          </w:p>
        </w:tc>
      </w:tr>
      <w:tr>
        <w:tc>
          <w:tcPr/>
          <w:p>
            <w:pPr>
              <w:pStyle w:val="Compact"/>
            </w:pPr>
            <w:r>
              <w:t xml:space="preserve">Cross-domain correlation</w:t>
            </w:r>
          </w:p>
        </w:tc>
        <w:tc>
          <w:tcPr/>
          <w:p>
            <w:pPr>
              <w:pStyle w:val="Compact"/>
            </w:pPr>
            <w:r>
              <w:t xml:space="preserve">None</w:t>
            </w:r>
          </w:p>
        </w:tc>
        <w:tc>
          <w:tcPr/>
          <w:p>
            <w:pPr>
              <w:pStyle w:val="Compact"/>
            </w:pPr>
            <w:r>
              <w:t xml:space="preserve">—</w:t>
            </w:r>
          </w:p>
        </w:tc>
        <w:tc>
          <w:tcPr/>
          <w:p>
            <w:pPr>
              <w:pStyle w:val="Compact"/>
            </w:pPr>
            <w:r>
              <w:t xml:space="preserve">One assessment record joining all of the above</w:t>
            </w:r>
          </w:p>
        </w:tc>
      </w:tr>
      <w:tr>
        <w:tc>
          <w:tcPr/>
          <w:p>
            <w:pPr>
              <w:pStyle w:val="Compact"/>
            </w:pPr>
            <w:r>
              <w:t xml:space="preserve">Drift against desired state</w:t>
            </w:r>
          </w:p>
        </w:tc>
        <w:tc>
          <w:tcPr/>
          <w:p>
            <w:pPr>
              <w:pStyle w:val="Compact"/>
            </w:pPr>
            <w:r>
              <w:t xml:space="preserve">Partial</w:t>
            </w:r>
          </w:p>
        </w:tc>
        <w:tc>
          <w:tcPr/>
          <w:p>
            <w:pPr>
              <w:pStyle w:val="Compact"/>
            </w:pPr>
            <w:r>
              <w:t xml:space="preserve">Machine Configuration (Arc servers); Secure Score and ScubaGear (tenant); Defender for Identity (security drift)</w:t>
            </w:r>
          </w:p>
        </w:tc>
        <w:tc>
          <w:tcPr/>
          <w:p>
            <w:pPr>
              <w:pStyle w:val="Compact"/>
            </w:pPr>
            <w:r>
              <w:t xml:space="preserve">Governance drift against a canonical desired state, with an owner and a deadline</w:t>
            </w:r>
          </w:p>
        </w:tc>
      </w:tr>
    </w:tbl>
    <w:p>
      <w:pPr>
        <w:pStyle w:val="BodyText"/>
      </w:pPr>
      <w:r>
        <w:t xml:space="preserve">The source analysis gave headline coverage figures for the native tools (about 30 percent of the discovery surface, 22 percent once governance was included). It labeled those figures illustrative, derived from its own matrix and not from any assessment run. This chapter doesn’t repeat them. The program’s position is that an agency gets its own numbers by running the read-only assessment in Chapter 07 and Chapter 08 against a representative forest, then counting which findings each tool surfaced.</w:t>
      </w:r>
    </w:p>
    <w:bookmarkEnd w:id="523"/>
    <w:bookmarkStart w:id="524" w:name="the-gap-analysis"/>
    <w:p>
      <w:pPr>
        <w:pStyle w:val="Heading3"/>
      </w:pPr>
      <w:r>
        <w:t xml:space="preserve">The gap analysis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Category</w:t>
            </w:r>
          </w:p>
        </w:tc>
        <w:tc>
          <w:tcPr/>
          <w:p>
            <w:pPr>
              <w:pStyle w:val="Compact"/>
            </w:pPr>
            <w:r>
              <w:t xml:space="preserve">Native strength</w:t>
            </w:r>
          </w:p>
        </w:tc>
        <w:tc>
          <w:tcPr/>
          <w:p>
            <w:pPr>
              <w:pStyle w:val="Compact"/>
            </w:pPr>
            <w:r>
              <w:t xml:space="preserve">Who owns the gap</w:t>
            </w:r>
          </w:p>
        </w:tc>
      </w:tr>
      <w:tr>
        <w:tc>
          <w:tcPr/>
          <w:p>
            <w:pPr>
              <w:pStyle w:val="Compact"/>
            </w:pPr>
            <w:r>
              <w:t xml:space="preserve">Server discovery</w:t>
            </w:r>
          </w:p>
        </w:tc>
        <w:tc>
          <w:tcPr/>
          <w:p>
            <w:pPr>
              <w:pStyle w:val="Compact"/>
            </w:pPr>
            <w:r>
              <w:t xml:space="preserve">Strong for hardware and VM inventory</w:t>
            </w:r>
          </w:p>
        </w:tc>
        <w:tc>
          <w:tcPr/>
          <w:p>
            <w:pPr>
              <w:pStyle w:val="Compact"/>
            </w:pPr>
            <w:r>
              <w:t xml:space="preserve">Consume Azure Migrate. The program adds AD attributes.</w:t>
            </w:r>
          </w:p>
        </w:tc>
      </w:tr>
      <w:tr>
        <w:tc>
          <w:tcPr/>
          <w:p>
            <w:pPr>
              <w:pStyle w:val="Compact"/>
            </w:pPr>
            <w:r>
              <w:t xml:space="preserve">Group Policy</w:t>
            </w:r>
          </w:p>
        </w:tc>
        <w:tc>
          <w:tcPr/>
          <w:p>
            <w:pPr>
              <w:pStyle w:val="Compact"/>
            </w:pPr>
            <w:r>
              <w:t xml:space="preserve">Partial: client MDM subset and baseline comparison</w:t>
            </w:r>
          </w:p>
        </w:tc>
        <w:tc>
          <w:tcPr/>
          <w:p>
            <w:pPr>
              <w:pStyle w:val="Compact"/>
            </w:pPr>
            <w:r>
              <w:t xml:space="preserve">The program builds the full inventory, including server GPOs and link scope</w:t>
            </w:r>
          </w:p>
        </w:tc>
      </w:tr>
      <w:tr>
        <w:tc>
          <w:tcPr/>
          <w:p>
            <w:pPr>
              <w:pStyle w:val="Compact"/>
            </w:pPr>
            <w:r>
              <w:t xml:space="preserve">Security posture</w:t>
            </w:r>
          </w:p>
        </w:tc>
        <w:tc>
          <w:tcPr/>
          <w:p>
            <w:pPr>
              <w:pStyle w:val="Compact"/>
            </w:pPr>
            <w:r>
              <w:t xml:space="preserve">Strong for detection and posture recommendations</w:t>
            </w:r>
          </w:p>
        </w:tc>
        <w:tc>
          <w:tcPr/>
          <w:p>
            <w:pPr>
              <w:pStyle w:val="Compact"/>
            </w:pPr>
            <w:r>
              <w:t xml:space="preserve">Consume Defender for Identity. The program adds correlation.</w:t>
            </w:r>
          </w:p>
        </w:tc>
      </w:tr>
      <w:tr>
        <w:tc>
          <w:tcPr/>
          <w:p>
            <w:pPr>
              <w:pStyle w:val="Compact"/>
            </w:pPr>
            <w:r>
              <w:t xml:space="preserve">Cloud tenant configuration</w:t>
            </w:r>
          </w:p>
        </w:tc>
        <w:tc>
          <w:tcPr/>
          <w:p>
            <w:pPr>
              <w:pStyle w:val="Compact"/>
            </w:pPr>
            <w:r>
              <w:t xml:space="preserve">Strong</w:t>
            </w:r>
          </w:p>
        </w:tc>
        <w:tc>
          <w:tcPr/>
          <w:p>
            <w:pPr>
              <w:pStyle w:val="Compact"/>
            </w:pPr>
            <w:r>
              <w:t xml:space="preserve">Consume ScubaGear and the Zero Trust Assessment</w:t>
            </w:r>
          </w:p>
        </w:tc>
      </w:tr>
      <w:tr>
        <w:tc>
          <w:tcPr/>
          <w:p>
            <w:pPr>
              <w:pStyle w:val="Compact"/>
            </w:pPr>
            <w:r>
              <w:t xml:space="preserve">DNS</w:t>
            </w:r>
          </w:p>
        </w:tc>
        <w:tc>
          <w:tcPr/>
          <w:p>
            <w:pPr>
              <w:pStyle w:val="Compact"/>
            </w:pPr>
            <w:r>
              <w:t xml:space="preserve">None</w:t>
            </w:r>
          </w:p>
        </w:tc>
        <w:tc>
          <w:tcPr/>
          <w:p>
            <w:pPr>
              <w:pStyle w:val="Compact"/>
            </w:pPr>
            <w:r>
              <w:t xml:space="preserve">Program-built</w:t>
            </w:r>
          </w:p>
        </w:tc>
      </w:tr>
      <w:tr>
        <w:tc>
          <w:tcPr/>
          <w:p>
            <w:pPr>
              <w:pStyle w:val="Compact"/>
            </w:pPr>
            <w:r>
              <w:t xml:space="preserve">PKI and AD CS</w:t>
            </w:r>
          </w:p>
        </w:tc>
        <w:tc>
          <w:tcPr/>
          <w:p>
            <w:pPr>
              <w:pStyle w:val="Compact"/>
            </w:pPr>
            <w:r>
              <w:t xml:space="preserve">Partial, security findings only</w:t>
            </w:r>
          </w:p>
        </w:tc>
        <w:tc>
          <w:tcPr/>
          <w:p>
            <w:pPr>
              <w:pStyle w:val="Compact"/>
            </w:pPr>
            <w:r>
              <w:t xml:space="preserve">Program-built health and readiness</w:t>
            </w:r>
          </w:p>
        </w:tc>
      </w:tr>
      <w:tr>
        <w:tc>
          <w:tcPr/>
          <w:p>
            <w:pPr>
              <w:pStyle w:val="Compact"/>
            </w:pPr>
            <w:r>
              <w:t xml:space="preserve">Trusts</w:t>
            </w:r>
          </w:p>
        </w:tc>
        <w:tc>
          <w:tcPr/>
          <w:p>
            <w:pPr>
              <w:pStyle w:val="Compact"/>
            </w:pPr>
            <w:r>
              <w:t xml:space="preserve">None</w:t>
            </w:r>
          </w:p>
        </w:tc>
        <w:tc>
          <w:tcPr/>
          <w:p>
            <w:pPr>
              <w:pStyle w:val="Compact"/>
            </w:pPr>
            <w:r>
              <w:t xml:space="preserve">Program-built</w:t>
            </w:r>
          </w:p>
        </w:tc>
      </w:tr>
      <w:tr>
        <w:tc>
          <w:tcPr/>
          <w:p>
            <w:pPr>
              <w:pStyle w:val="Compact"/>
            </w:pPr>
            <w:r>
              <w:t xml:space="preserve">OU and delegation</w:t>
            </w:r>
          </w:p>
        </w:tc>
        <w:tc>
          <w:tcPr/>
          <w:p>
            <w:pPr>
              <w:pStyle w:val="Compact"/>
            </w:pPr>
            <w:r>
              <w:t xml:space="preserve">None</w:t>
            </w:r>
          </w:p>
        </w:tc>
        <w:tc>
          <w:tcPr/>
          <w:p>
            <w:pPr>
              <w:pStyle w:val="Compact"/>
            </w:pPr>
            <w:r>
              <w:t xml:space="preserve">Program-built (Chapter 05)</w:t>
            </w:r>
          </w:p>
        </w:tc>
      </w:tr>
      <w:tr>
        <w:tc>
          <w:tcPr/>
          <w:p>
            <w:pPr>
              <w:pStyle w:val="Compact"/>
            </w:pPr>
            <w:r>
              <w:t xml:space="preserve">Cross-domain correlation</w:t>
            </w:r>
          </w:p>
        </w:tc>
        <w:tc>
          <w:tcPr/>
          <w:p>
            <w:pPr>
              <w:pStyle w:val="Compact"/>
            </w:pPr>
            <w:r>
              <w:t xml:space="preserve">None</w:t>
            </w:r>
          </w:p>
        </w:tc>
        <w:tc>
          <w:tcPr/>
          <w:p>
            <w:pPr>
              <w:pStyle w:val="Compact"/>
            </w:pPr>
            <w:r>
              <w:t xml:space="preserve">Program-built, the core of the pipeline</w:t>
            </w:r>
          </w:p>
        </w:tc>
      </w:tr>
      <w:tr>
        <w:tc>
          <w:tcPr/>
          <w:p>
            <w:pPr>
              <w:pStyle w:val="Compact"/>
            </w:pPr>
            <w:r>
              <w:t xml:space="preserve">Governance pipeline and drift</w:t>
            </w:r>
          </w:p>
        </w:tc>
        <w:tc>
          <w:tcPr/>
          <w:p>
            <w:pPr>
              <w:pStyle w:val="Compact"/>
            </w:pPr>
            <w:r>
              <w:t xml:space="preserve">Security drift only</w:t>
            </w:r>
          </w:p>
        </w:tc>
        <w:tc>
          <w:tcPr/>
          <w:p>
            <w:pPr>
              <w:pStyle w:val="Compact"/>
            </w:pPr>
            <w:r>
              <w:t xml:space="preserve">Program-built</w:t>
            </w:r>
          </w:p>
        </w:tc>
      </w:tr>
    </w:tbl>
    <w:bookmarkEnd w:id="524"/>
    <w:bookmarkStart w:id="525" w:name="Xcb3135564988569d335738e487ad54d65e473b9"/>
    <w:p>
      <w:pPr>
        <w:pStyle w:val="Heading3"/>
      </w:pPr>
      <w:r>
        <w:t xml:space="preserve">What the program consumes and what it builds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Domain</w:t>
            </w:r>
          </w:p>
        </w:tc>
        <w:tc>
          <w:tcPr/>
          <w:p>
            <w:pPr>
              <w:pStyle w:val="Compact"/>
            </w:pPr>
            <w:r>
              <w:t xml:space="preserve">Decision</w:t>
            </w:r>
          </w:p>
        </w:tc>
        <w:tc>
          <w:tcPr/>
          <w:p>
            <w:pPr>
              <w:pStyle w:val="Compact"/>
            </w:pPr>
            <w:r>
              <w:t xml:space="preserve">Why</w:t>
            </w:r>
          </w:p>
        </w:tc>
      </w:tr>
      <w:tr>
        <w:tc>
          <w:tcPr/>
          <w:p>
            <w:pPr>
              <w:pStyle w:val="Compact"/>
            </w:pPr>
            <w:r>
              <w:t xml:space="preserve">Server inventory</w:t>
            </w:r>
          </w:p>
        </w:tc>
        <w:tc>
          <w:tcPr/>
          <w:p>
            <w:pPr>
              <w:pStyle w:val="Compact"/>
            </w:pPr>
            <w:r>
              <w:t xml:space="preserve">Consume Azure Migrate exports</w:t>
            </w:r>
          </w:p>
        </w:tc>
        <w:tc>
          <w:tcPr/>
          <w:p>
            <w:pPr>
              <w:pStyle w:val="Compact"/>
            </w:pPr>
            <w:r>
              <w:t xml:space="preserve">Better at hardware and VM discovery than anything the program would write</w:t>
            </w:r>
          </w:p>
        </w:tc>
      </w:tr>
      <w:tr>
        <w:tc>
          <w:tcPr/>
          <w:p>
            <w:pPr>
              <w:pStyle w:val="Compact"/>
            </w:pPr>
            <w:r>
              <w:t xml:space="preserve">GPO MDM readiness</w:t>
            </w:r>
          </w:p>
        </w:tc>
        <w:tc>
          <w:tcPr/>
          <w:p>
            <w:pPr>
              <w:pStyle w:val="Compact"/>
            </w:pPr>
            <w:r>
              <w:t xml:space="preserve">Consume Group Policy analytics exports</w:t>
            </w:r>
          </w:p>
        </w:tc>
        <w:tc>
          <w:tcPr/>
          <w:p>
            <w:pPr>
              <w:pStyle w:val="Compact"/>
            </w:pPr>
            <w:r>
              <w:t xml:space="preserve">Microsoft maintains the setting-to-CSP mapping and updates it automatically</w:t>
            </w:r>
          </w:p>
        </w:tc>
      </w:tr>
      <w:tr>
        <w:tc>
          <w:tcPr/>
          <w:p>
            <w:pPr>
              <w:pStyle w:val="Compact"/>
            </w:pPr>
            <w:r>
              <w:t xml:space="preserve">Identity security posture</w:t>
            </w:r>
          </w:p>
        </w:tc>
        <w:tc>
          <w:tcPr/>
          <w:p>
            <w:pPr>
              <w:pStyle w:val="Compact"/>
            </w:pPr>
            <w:r>
              <w:t xml:space="preserve">Consume Defender for Identity findings</w:t>
            </w:r>
          </w:p>
        </w:tc>
        <w:tc>
          <w:tcPr/>
          <w:p>
            <w:pPr>
              <w:pStyle w:val="Compact"/>
            </w:pPr>
            <w:r>
              <w:t xml:space="preserve">Agencies with E5 or G5 licensing already have it, and it covers AD CS and Group Policy posture</w:t>
            </w:r>
          </w:p>
        </w:tc>
      </w:tr>
      <w:tr>
        <w:tc>
          <w:tcPr/>
          <w:p>
            <w:pPr>
              <w:pStyle w:val="Compact"/>
            </w:pPr>
            <w:r>
              <w:t xml:space="preserve">Security baselines</w:t>
            </w:r>
          </w:p>
        </w:tc>
        <w:tc>
          <w:tcPr/>
          <w:p>
            <w:pPr>
              <w:pStyle w:val="Compact"/>
            </w:pPr>
            <w:r>
              <w:t xml:space="preserve">Consume Policy Analyzer output</w:t>
            </w:r>
          </w:p>
        </w:tc>
        <w:tc>
          <w:tcPr/>
          <w:p>
            <w:pPr>
              <w:pStyle w:val="Compact"/>
            </w:pPr>
            <w:r>
              <w:t xml:space="preserve">Free, maintained, authoritative</w:t>
            </w:r>
          </w:p>
        </w:tc>
      </w:tr>
      <w:tr>
        <w:tc>
          <w:tcPr/>
          <w:p>
            <w:pPr>
              <w:pStyle w:val="Compact"/>
            </w:pPr>
            <w:r>
              <w:t xml:space="preserve">Tenant configuration</w:t>
            </w:r>
          </w:p>
        </w:tc>
        <w:tc>
          <w:tcPr/>
          <w:p>
            <w:pPr>
              <w:pStyle w:val="Compact"/>
            </w:pPr>
            <w:r>
              <w:t xml:space="preserve">Consume ScubaGear output</w:t>
            </w:r>
          </w:p>
        </w:tc>
        <w:tc>
          <w:tcPr/>
          <w:p>
            <w:pPr>
              <w:pStyle w:val="Compact"/>
            </w:pPr>
            <w:r>
              <w:t xml:space="preserve">Required reporting under BOD 25-01, and the same baselines the assessors use</w:t>
            </w:r>
          </w:p>
        </w:tc>
      </w:tr>
      <w:tr>
        <w:tc>
          <w:tcPr/>
          <w:p>
            <w:pPr>
              <w:pStyle w:val="Compact"/>
            </w:pPr>
            <w:r>
              <w:t xml:space="preserve">Lifecycle, access reviews, PIM</w:t>
            </w:r>
          </w:p>
        </w:tc>
        <w:tc>
          <w:tcPr/>
          <w:p>
            <w:pPr>
              <w:pStyle w:val="Compact"/>
            </w:pPr>
            <w:r>
              <w:t xml:space="preserve">Consume Entra ID Governance through Graph</w:t>
            </w:r>
          </w:p>
        </w:tc>
        <w:tc>
          <w:tcPr/>
          <w:p>
            <w:pPr>
              <w:pStyle w:val="Compact"/>
            </w:pPr>
            <w:r>
              <w:t xml:space="preserve">The target’s own controls; the program reads their state and results</w:t>
            </w:r>
          </w:p>
        </w:tc>
      </w:tr>
      <w:tr>
        <w:tc>
          <w:tcPr/>
          <w:p>
            <w:pPr>
              <w:pStyle w:val="Compact"/>
            </w:pPr>
            <w:r>
              <w:t xml:space="preserve">Forest topology, OU tree, trusts, DNS</w:t>
            </w:r>
          </w:p>
        </w:tc>
        <w:tc>
          <w:tcPr/>
          <w:p>
            <w:pPr>
              <w:pStyle w:val="Compact"/>
            </w:pPr>
            <w:r>
              <w:t xml:space="preserve">Build</w:t>
            </w:r>
          </w:p>
        </w:tc>
        <w:tc>
          <w:tcPr/>
          <w:p>
            <w:pPr>
              <w:pStyle w:val="Compact"/>
            </w:pPr>
            <w:r>
              <w:t xml:space="preserve">No native tool inventories them</w:t>
            </w:r>
          </w:p>
        </w:tc>
      </w:tr>
      <w:tr>
        <w:tc>
          <w:tcPr/>
          <w:p>
            <w:pPr>
              <w:pStyle w:val="Compact"/>
            </w:pPr>
            <w:r>
              <w:t xml:space="preserve">Full GPO inventory</w:t>
            </w:r>
          </w:p>
        </w:tc>
        <w:tc>
          <w:tcPr/>
          <w:p>
            <w:pPr>
              <w:pStyle w:val="Compact"/>
            </w:pPr>
            <w:r>
              <w:t xml:space="preserve">Build</w:t>
            </w:r>
          </w:p>
        </w:tc>
        <w:tc>
          <w:tcPr/>
          <w:p>
            <w:pPr>
              <w:pStyle w:val="Compact"/>
            </w:pPr>
            <w:r>
              <w:t xml:space="preserve">Group Policy analytics covers the Windows MDM subset only</w:t>
            </w:r>
          </w:p>
        </w:tc>
      </w:tr>
      <w:tr>
        <w:tc>
          <w:tcPr/>
          <w:p>
            <w:pPr>
              <w:pStyle w:val="Compact"/>
            </w:pPr>
            <w:r>
              <w:t xml:space="preserve">PKI and AD CS health</w:t>
            </w:r>
          </w:p>
        </w:tc>
        <w:tc>
          <w:tcPr/>
          <w:p>
            <w:pPr>
              <w:pStyle w:val="Compact"/>
            </w:pPr>
            <w:r>
              <w:t xml:space="preserve">Build</w:t>
            </w:r>
          </w:p>
        </w:tc>
        <w:tc>
          <w:tcPr/>
          <w:p>
            <w:pPr>
              <w:pStyle w:val="Compact"/>
            </w:pPr>
            <w:r>
              <w:t xml:space="preserve">Defender for Identity covers the security subset only</w:t>
            </w:r>
          </w:p>
        </w:tc>
      </w:tr>
      <w:tr>
        <w:tc>
          <w:tcPr/>
          <w:p>
            <w:pPr>
              <w:pStyle w:val="Compact"/>
            </w:pPr>
            <w:r>
              <w:t xml:space="preserve">Cross-domain correlation and governance drift</w:t>
            </w:r>
          </w:p>
        </w:tc>
        <w:tc>
          <w:tcPr/>
          <w:p>
            <w:pPr>
              <w:pStyle w:val="Compact"/>
            </w:pPr>
            <w:r>
              <w:t xml:space="preserve">Build</w:t>
            </w:r>
          </w:p>
        </w:tc>
        <w:tc>
          <w:tcPr/>
          <w:p>
            <w:pPr>
              <w:pStyle w:val="Compact"/>
            </w:pPr>
            <w:r>
              <w:t xml:space="preserve">The program’s reason to exist</w:t>
            </w:r>
          </w:p>
        </w:tc>
      </w:tr>
    </w:tbl>
    <w:p>
      <w:pPr>
        <w:pStyle w:val="BodyText"/>
      </w:pPr>
      <w:r>
        <w:t xml:space="preserve">The program-built discovery is read-only and PowerShell-first, using the same Active Directory cmdlets an AD administrator already knows. Appendix B and Appendix C document the modules; Chapter 07 covers the read-only stage.</w:t>
      </w:r>
    </w:p>
    <w:bookmarkEnd w:id="525"/>
    <w:bookmarkStart w:id="526" w:name="how-the-program-consumes-native-output"/>
    <w:p>
      <w:pPr>
        <w:pStyle w:val="Heading3"/>
      </w:pPr>
      <w:r>
        <w:t xml:space="preserve">How the program consumes native output</w:t>
      </w:r>
    </w:p>
    <w:p>
      <w:pPr>
        <w:pStyle w:val="FirstParagraph"/>
      </w:pPr>
      <w:r>
        <w:t xml:space="preserve">The program’s import adapters (the</w:t>
      </w:r>
      <w:r>
        <w:t xml:space="preserve"> </w:t>
      </w:r>
      <w:r>
        <w:rPr>
          <w:rStyle w:val="VerbatimChar"/>
        </w:rPr>
        <w:t xml:space="preserve">FMPImportAdapters</w:t>
      </w:r>
      <w:r>
        <w:t xml:space="preserve"> </w:t>
      </w:r>
      <w:r>
        <w:t xml:space="preserve">PowerShell module, specified in FMP_182) take a report that an operator or another tool has already exported and normalize it into the program’s assessment schema. The design is deliberately file-based. Each importer reads a report from</w:t>
      </w:r>
      <w:r>
        <w:t xml:space="preserve"> </w:t>
      </w:r>
      <w:r>
        <w:rPr>
          <w:rStyle w:val="VerbatimChar"/>
        </w:rPr>
        <w:t xml:space="preserve">-ReportPath</w:t>
      </w:r>
      <w:r>
        <w:t xml:space="preserve"> </w:t>
      </w:r>
      <w:r>
        <w:t xml:space="preserve">and writes normalized JSON to</w:t>
      </w:r>
      <w:r>
        <w:t xml:space="preserve"> </w:t>
      </w:r>
      <w:r>
        <w:rPr>
          <w:rStyle w:val="VerbatimChar"/>
        </w:rPr>
        <w:t xml:space="preserve">-OutputPath</w:t>
      </w:r>
      <w:r>
        <w:t xml:space="preserve">, and the module never calls a live API. That keeps ingestion read-only, credential-free and auditable inside the agency’s boundary.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Function</w:t>
            </w:r>
          </w:p>
        </w:tc>
        <w:tc>
          <w:tcPr/>
          <w:p>
            <w:pPr>
              <w:pStyle w:val="Compact"/>
            </w:pPr>
            <w:r>
              <w:t xml:space="preserve">Consumes</w:t>
            </w:r>
          </w:p>
        </w:tc>
        <w:tc>
          <w:tcPr/>
          <w:p>
            <w:pPr>
              <w:pStyle w:val="Compact"/>
            </w:pPr>
            <w:r>
              <w:t xml:space="preserve">Produces</w:t>
            </w:r>
          </w:p>
        </w:tc>
      </w:tr>
      <w:tr>
        <w:tc>
          <w:tcPr/>
          <w:p>
            <w:pPr>
              <w:pStyle w:val="Compact"/>
            </w:pPr>
            <w:r>
              <w:rPr>
                <w:rStyle w:val="VerbatimChar"/>
              </w:rPr>
              <w:t xml:space="preserve">Import-FMPAzureMigrateReport</w:t>
            </w:r>
          </w:p>
        </w:tc>
        <w:tc>
          <w:tcPr/>
          <w:p>
            <w:pPr>
              <w:pStyle w:val="Compact"/>
            </w:pPr>
            <w:r>
              <w:t xml:space="preserve">Azure Migrate assessment export</w:t>
            </w:r>
          </w:p>
        </w:tc>
        <w:tc>
          <w:tcPr/>
          <w:p>
            <w:pPr>
              <w:pStyle w:val="Compact"/>
            </w:pPr>
            <w:r>
              <w:t xml:space="preserve">Computer inventory</w:t>
            </w:r>
          </w:p>
        </w:tc>
      </w:tr>
      <w:tr>
        <w:tc>
          <w:tcPr/>
          <w:p>
            <w:pPr>
              <w:pStyle w:val="Compact"/>
            </w:pPr>
            <w:r>
              <w:rPr>
                <w:rStyle w:val="VerbatimChar"/>
              </w:rPr>
              <w:t xml:space="preserve">Import-FMPGPOAnalyticsReport</w:t>
            </w:r>
          </w:p>
        </w:tc>
        <w:tc>
          <w:tcPr/>
          <w:p>
            <w:pPr>
              <w:pStyle w:val="Compact"/>
            </w:pPr>
            <w:r>
              <w:t xml:space="preserve">Intune Group Policy analytics export</w:t>
            </w:r>
          </w:p>
        </w:tc>
        <w:tc>
          <w:tcPr/>
          <w:p>
            <w:pPr>
              <w:pStyle w:val="Compact"/>
            </w:pPr>
            <w:r>
              <w:t xml:space="preserve">GPO migration tracker</w:t>
            </w:r>
          </w:p>
        </w:tc>
      </w:tr>
      <w:tr>
        <w:tc>
          <w:tcPr/>
          <w:p>
            <w:pPr>
              <w:pStyle w:val="Compact"/>
            </w:pPr>
            <w:r>
              <w:rPr>
                <w:rStyle w:val="VerbatimChar"/>
              </w:rPr>
              <w:t xml:space="preserve">Import-FMPDefenderFindings</w:t>
            </w:r>
          </w:p>
        </w:tc>
        <w:tc>
          <w:tcPr/>
          <w:p>
            <w:pPr>
              <w:pStyle w:val="Compact"/>
            </w:pPr>
            <w:r>
              <w:t xml:space="preserve">Defender for Identity Secure Score export</w:t>
            </w:r>
          </w:p>
        </w:tc>
        <w:tc>
          <w:tcPr/>
          <w:p>
            <w:pPr>
              <w:pStyle w:val="Compact"/>
            </w:pPr>
            <w:r>
              <w:t xml:space="preserve">Security assessment overlay</w:t>
            </w:r>
          </w:p>
        </w:tc>
      </w:tr>
      <w:tr>
        <w:tc>
          <w:tcPr/>
          <w:p>
            <w:pPr>
              <w:pStyle w:val="Compact"/>
            </w:pPr>
            <w:r>
              <w:rPr>
                <w:rStyle w:val="VerbatimChar"/>
              </w:rPr>
              <w:t xml:space="preserve">Import-FMPSCuBAReport</w:t>
            </w:r>
          </w:p>
        </w:tc>
        <w:tc>
          <w:tcPr/>
          <w:p>
            <w:pPr>
              <w:pStyle w:val="Compact"/>
            </w:pPr>
            <w:r>
              <w:t xml:space="preserve">ScubaGear output</w:t>
            </w:r>
          </w:p>
        </w:tc>
        <w:tc>
          <w:tcPr/>
          <w:p>
            <w:pPr>
              <w:pStyle w:val="Compact"/>
            </w:pPr>
            <w:r>
              <w:t xml:space="preserve">Conformance evidence</w:t>
            </w:r>
          </w:p>
        </w:tc>
      </w:tr>
      <w:tr>
        <w:tc>
          <w:tcPr/>
          <w:p>
            <w:pPr>
              <w:pStyle w:val="Compact"/>
            </w:pPr>
            <w:r>
              <w:rPr>
                <w:rStyle w:val="VerbatimChar"/>
              </w:rPr>
              <w:t xml:space="preserve">Import-FMPADReconReport</w:t>
            </w:r>
          </w:p>
        </w:tc>
        <w:tc>
          <w:tcPr/>
          <w:p>
            <w:pPr>
              <w:pStyle w:val="Compact"/>
            </w:pPr>
            <w:r>
              <w:t xml:space="preserve">ADRecon output</w:t>
            </w:r>
          </w:p>
        </w:tc>
        <w:tc>
          <w:tcPr/>
          <w:p>
            <w:pPr>
              <w:pStyle w:val="Compact"/>
            </w:pPr>
            <w:r>
              <w:t xml:space="preserve">Computer and identity inventory</w:t>
            </w:r>
          </w:p>
        </w:tc>
      </w:tr>
      <w:tr>
        <w:tc>
          <w:tcPr/>
          <w:p>
            <w:pPr>
              <w:pStyle w:val="Compact"/>
            </w:pPr>
            <w:r>
              <w:rPr>
                <w:rStyle w:val="VerbatimChar"/>
              </w:rPr>
              <w:t xml:space="preserve">Merge-FMPAssessmentSources</w:t>
            </w:r>
          </w:p>
        </w:tc>
        <w:tc>
          <w:tcPr/>
          <w:p>
            <w:pPr>
              <w:pStyle w:val="Compact"/>
            </w:pPr>
            <w:r>
              <w:t xml:space="preserve">Several normalized sources</w:t>
            </w:r>
          </w:p>
        </w:tc>
        <w:tc>
          <w:tcPr/>
          <w:p>
            <w:pPr>
              <w:pStyle w:val="Compact"/>
            </w:pPr>
            <w:r>
              <w:t xml:space="preserve">One correlated assessment bundle</w:t>
            </w:r>
          </w:p>
        </w:tc>
      </w:tr>
    </w:tbl>
    <w:p>
      <w:pPr>
        <w:pStyle w:val="BodyText"/>
      </w:pPr>
      <w:r>
        <w:t xml:space="preserve">Each importer wraps its records in a provenance envelope (</w:t>
      </w:r>
      <w:r>
        <w:rPr>
          <w:rStyle w:val="VerbatimChar"/>
        </w:rPr>
        <w:t xml:space="preserve">schema: fmp.import.v1</w:t>
      </w:r>
      <w:r>
        <w:t xml:space="preserve">) that records the source tool, its export version, the import time in UTC, a content hash over the normalized data, the source file, and the adapter’s identity and version.</w:t>
      </w:r>
      <w:r>
        <w:t xml:space="preserve"> </w:t>
      </w:r>
      <w:r>
        <w:rPr>
          <w:rStyle w:val="VerbatimChar"/>
        </w:rPr>
        <w:t xml:space="preserve">Merge-FMPAssessmentSources</w:t>
      </w:r>
      <w:r>
        <w:t xml:space="preserve"> </w:t>
      </w:r>
      <w:r>
        <w:t xml:space="preserve">checks every envelope’s completeness and hash before it correlates them. An envelope that is incomplete, or whose hash no longer matches its data, is a provenance drift finding by definition. Policy Analyzer, Entra Connect Health and Azure Policy compliance exports are candidates for future adapters.</w:t>
      </w:r>
    </w:p>
    <w:bookmarkEnd w:id="526"/>
    <w:bookmarkStart w:id="535" w:name="third-party-tools"/>
    <w:p>
      <w:pPr>
        <w:pStyle w:val="Heading3"/>
      </w:pPr>
      <w:r>
        <w:t xml:space="preserve">Third-party tools</w:t>
      </w:r>
    </w:p>
    <w:p>
      <w:pPr>
        <w:pStyle w:val="FirstParagraph"/>
      </w:pPr>
      <w:r>
        <w:t xml:space="preserve">A few non-Microsoft tools overlap parts of the assessment. The program treats them as inputs or cross-checks, not competitors.</w:t>
      </w:r>
    </w:p>
    <w:p>
      <w:pPr>
        <w:pStyle w:val="Compact"/>
        <w:numPr>
          <w:ilvl w:val="0"/>
          <w:numId w:val="1031"/>
        </w:numPr>
      </w:pPr>
      <w:r>
        <w:t xml:space="preserve">ADRecon is an open-source PowerShell tool, licensed AGPL-3.0, that collects forest, domain, trust, site, OU, GPO, DNS, user, group, computer and SPN data. It writes CSV, XML, JSON, HTML and Excel output.</w:t>
      </w:r>
      <w:r>
        <w:rPr>
          <w:rStyle w:val="FootnoteReference"/>
        </w:rPr>
        <w:footnoteReference w:id="527"/>
      </w:r>
      <w:r>
        <w:t xml:space="preserve"> </w:t>
      </w:r>
      <w:r>
        <w:t xml:space="preserve">The program uses it as a validation reference: the program’s own collection should capture at least what ADRecon captures.</w:t>
      </w:r>
    </w:p>
    <w:p>
      <w:pPr>
        <w:pStyle w:val="Compact"/>
        <w:numPr>
          <w:ilvl w:val="0"/>
          <w:numId w:val="1031"/>
        </w:numPr>
      </w:pPr>
      <w:r>
        <w:t xml:space="preserve">PingCastle is an Active Directory security assessment tool, now part of Netwrix.</w:t>
      </w:r>
      <w:r>
        <w:rPr>
          <w:rStyle w:val="FootnoteReference"/>
        </w:rPr>
        <w:footnoteReference w:id="529"/>
      </w:r>
    </w:p>
    <w:p>
      <w:pPr>
        <w:pStyle w:val="Compact"/>
        <w:numPr>
          <w:ilvl w:val="0"/>
          <w:numId w:val="1031"/>
        </w:numPr>
      </w:pPr>
      <w:r>
        <w:t xml:space="preserve">BloodHound Community Edition, from SpecterOps, maps attack paths through AD and Azure identity relationships using graph analysis. It’s licensed Apache 2.0.</w:t>
      </w:r>
      <w:r>
        <w:rPr>
          <w:rStyle w:val="FootnoteReference"/>
        </w:rPr>
        <w:footnoteReference w:id="531"/>
      </w:r>
    </w:p>
    <w:p>
      <w:pPr>
        <w:pStyle w:val="Compact"/>
        <w:numPr>
          <w:ilvl w:val="0"/>
          <w:numId w:val="1031"/>
        </w:numPr>
      </w:pPr>
      <w:r>
        <w:t xml:space="preserve">Purple Knight, from Semperis, is a free assessment of AD, Entra ID and Okta against more than 200 indicators of exposure and compromise.</w:t>
      </w:r>
      <w:r>
        <w:rPr>
          <w:rStyle w:val="FootnoteReference"/>
        </w:rPr>
        <w:footnoteReference w:id="533"/>
      </w:r>
    </w:p>
    <w:bookmarkEnd w:id="535"/>
    <w:bookmarkEnd w:id="536"/>
    <w:bookmarkStart w:id="537" w:name="ownership-in-practice"/>
    <w:p>
      <w:pPr>
        <w:pStyle w:val="Heading2"/>
      </w:pPr>
      <w:bookmarkStart w:id="1426" w:name="_Toc00001426"/>
      <w:r>
        <w:t xml:space="preserve">Ownership in practice</w:t>
      </w:r>
      <w:bookmarkEnd w:id="1426"/>
    </w:p>
    <w:p>
      <w:pPr>
        <w:pStyle w:val="FirstParagraph"/>
      </w:pPr>
      <w:r>
        <w:t xml:space="preserve">Put the two halves together and a pattern appears. Every native tool in this chapter has an owner in the matrix. Defender for Identity findings go to the CISO’s organization. Group Policy analytics belongs to identity engineering working with endpoint management. ScubaGear results go to the ISSO’s evidence. Entra ID Governance runs under identity engineering, with application owners and managers as reviewers. What no tool has, unless the program assigns it, is an owner for the gaps between them: the OU tree that nobody inventories, the trust nobody documented, and the drift that no single portal can see. That’s the work the program builds and keeps, and it’s why the governance pipeline needs a named owner as much as any Entra role does. Chapter 07 starts that work with read-only discovery.</w:t>
      </w:r>
    </w:p>
    <w:bookmarkEnd w:id="537"/>
    <w:bookmarkStart w:id="538" w:name="continue-the-book-5"/>
    <w:p>
      <w:pPr>
        <w:pStyle w:val="Heading2"/>
      </w:pPr>
      <w:bookmarkStart w:id="1427" w:name="_Toc00001427"/>
      <w:r>
        <w:t xml:space="preserve">Continue the book</w:t>
      </w:r>
      <w:bookmarkEnd w:id="1427"/>
    </w:p>
    <w:p>
      <w:pPr>
        <w:pStyle w:val="FirstParagraph"/>
      </w:pPr>
      <w:r>
        <w:t xml:space="preserve">← Previous: Chapter 05 — Delegation Without OUs · Book index · Next: Chapter 07 — Read-Only Discovery →</w:t>
      </w:r>
    </w:p>
    <w:bookmarkEnd w:id="538"/>
    <w:bookmarkEnd w:id="539"/>
    <w:bookmarkStart w:id="593" w:name="chapter-07-read-only-discovery"/>
    <w:p>
      <w:pPr>
        <w:pStyle w:val="Heading1"/>
      </w:pPr>
      <w:bookmarkStart w:id="1428" w:name="_Toc00001428"/>
      <w:r>
        <w:t xml:space="preserve">Chapter 07 — Read-Only Discovery</w:t>
      </w:r>
      <w:bookmarkEnd w:id="1428"/>
    </w:p>
    <w:p>
      <w:pPr>
        <w:pStyle w:val="FirstParagraph"/>
      </w:pPr>
      <w:r>
        <w:rPr>
          <w:i/>
          <w:iCs/>
        </w:rPr>
        <w:t xml:space="preserve">The first weeks of an engagement are spent waiting for access; spend them learning what the directory already tells everyone.</w:t>
      </w:r>
    </w:p>
    <w:bookmarkStart w:id="540" w:name="in-this-chapter-6"/>
    <w:p>
      <w:pPr>
        <w:pStyle w:val="Heading2"/>
      </w:pPr>
      <w:bookmarkStart w:id="1429" w:name="_Toc00001429"/>
      <w:r>
        <w:t xml:space="preserve">In this chapter</w:t>
      </w:r>
      <w:bookmarkEnd w:id="1429"/>
    </w:p>
    <w:p>
      <w:pPr>
        <w:pStyle w:val="FirstParagraph"/>
      </w:pPr>
      <w:r>
        <w:t xml:space="preserve">Why the assessment starts with read-only access, and what that access actually covers in a default forest. Where the default read boundary sits: protected groups, confidential attributes, secrets, and restricted containers. How to turn what read-only discovery couldn’t see into a narrow, time-bound delegation request. And how to run the assessment so that it is visible to the security team and its output is protected.</w:t>
      </w:r>
    </w:p>
    <w:bookmarkEnd w:id="540"/>
    <w:p>
      <w:pPr>
        <w:pStyle w:val="BodyText"/>
      </w:pPr>
      <w:r>
        <w:t xml:space="preserve">An assessment team rarely gets privileged access on the first day. Authorization paperwork, security review and trust between the agency’s directory team and an outside team all take time. The program uses that window. A standard domain account, with no rights beyond what every employee already has, can read most of what the migration plan needs: the topology, the OU tree, group structure, Group Policy links, sites and subnets, and certificate templates. Read-only discovery captures that baseline first. Only then does the team ask for the specific, limited access needed to see the rest (Chapter 08).</w:t>
      </w:r>
    </w:p>
    <w:p>
      <w:pPr>
        <w:pStyle w:val="BodyText"/>
      </w:pPr>
      <w:r>
        <w:t xml:space="preserve">Starting this way has three benefits. It changes nothing in the directory. It applies least privilege, NIST SP 800-53 control AC-6, to the assessment team itself.</w:t>
      </w:r>
      <w:r>
        <w:rPr>
          <w:rStyle w:val="FootnoteReference"/>
        </w:rPr>
        <w:footnoteReference w:id="541"/>
      </w:r>
      <w:r>
        <w:t xml:space="preserve"> </w:t>
      </w:r>
      <w:r>
        <w:t xml:space="preserve">And the request for elevated access is built from evidence of what is missing, not from a general request for Domain Admin.</w:t>
      </w:r>
    </w:p>
    <w:bookmarkStart w:id="545" w:name="fig-ch07-permission-layers"/>
    <w:p>
      <w:pPr>
        <w:pStyle w:val="CaptionedFigure"/>
      </w:pPr>
      <w:r>
        <w:drawing>
          <wp:inline>
            <wp:extent cx="5334000" cy="3096827"/>
            <wp:effectExtent b="0" l="0" r="0" t="0"/>
            <wp:docPr descr="What a standard authenticated account can read in Active Directory, what depends on how the forest was configured, and what it can’t read without delegation." title="" id="543" name="Picture"/>
            <a:graphic>
              <a:graphicData uri="http://schemas.openxmlformats.org/drawingml/2006/picture">
                <pic:pic>
                  <pic:nvPicPr>
                    <pic:cNvPr descr="/home/runner/work/modernization-workbook/modernization-workbook/docs/images/diagrams/b02-identity/png/ch07-permission-layers.png" id="544" name="Picture"/>
                    <pic:cNvPicPr>
                      <a:picLocks noChangeArrowheads="1" noChangeAspect="1"/>
                    </pic:cNvPicPr>
                  </pic:nvPicPr>
                  <pic:blipFill>
                    <a:blip r:embed="rId542"/>
                    <a:stretch>
                      <a:fillRect/>
                    </a:stretch>
                  </pic:blipFill>
                  <pic:spPr bwMode="auto">
                    <a:xfrm>
                      <a:off x="0" y="0"/>
                      <a:ext cx="5334000" cy="3096827"/>
                    </a:xfrm>
                    <a:prstGeom prst="rect">
                      <a:avLst/>
                    </a:prstGeom>
                    <a:noFill/>
                    <a:ln w="9525">
                      <a:noFill/>
                      <a:headEnd/>
                      <a:tailEnd/>
                    </a:ln>
                  </pic:spPr>
                </pic:pic>
              </a:graphicData>
            </a:graphic>
          </wp:inline>
        </w:drawing>
      </w:r>
    </w:p>
    <w:p>
      <w:pPr>
        <w:pStyle w:val="ImageCaption"/>
      </w:pPr>
      <w:r>
        <w:t xml:space="preserve">What a standard authenticated account can read in Active Directory, what depends on how the forest was configured, and what it can’t read without delegation.</w:t>
      </w:r>
    </w:p>
    <w:bookmarkEnd w:id="545"/>
    <w:bookmarkStart w:id="551" w:name="what-a-standard-account-can-read"/>
    <w:p>
      <w:pPr>
        <w:pStyle w:val="Heading2"/>
      </w:pPr>
      <w:bookmarkStart w:id="1430" w:name="_Toc00001430"/>
      <w:r>
        <w:t xml:space="preserve">What a standard account can read</w:t>
      </w:r>
      <w:bookmarkEnd w:id="1430"/>
    </w:p>
    <w:p>
      <w:pPr>
        <w:pStyle w:val="FirstParagraph"/>
      </w:pPr>
      <w:r>
        <w:t xml:space="preserve">Read access in Active Directory doesn’t come from one setting. It is the sum of several default grants, and a careful assessment knows which grant it is relying on.</w:t>
      </w:r>
    </w:p>
    <w:p>
      <w:pPr>
        <w:pStyle w:val="Compact"/>
        <w:numPr>
          <w:ilvl w:val="0"/>
          <w:numId w:val="1032"/>
        </w:numPr>
      </w:pPr>
      <w:r>
        <w:rPr>
          <w:b/>
          <w:bCs/>
        </w:rPr>
        <w:t xml:space="preserve">Authenticated Users</w:t>
      </w:r>
      <w:r>
        <w:t xml:space="preserve"> </w:t>
      </w:r>
      <w:r>
        <w:t xml:space="preserve">receives a limited set of property sets on user objects by default: general, public, personal and web information, plus the right to read permissions.</w:t>
      </w:r>
      <w:r>
        <w:rPr>
          <w:rStyle w:val="FootnoteReference"/>
        </w:rPr>
        <w:footnoteReference w:id="546"/>
      </w:r>
    </w:p>
    <w:p>
      <w:pPr>
        <w:pStyle w:val="Compact"/>
        <w:numPr>
          <w:ilvl w:val="0"/>
          <w:numId w:val="1032"/>
        </w:numPr>
      </w:pPr>
      <w:r>
        <w:rPr>
          <w:b/>
          <w:bCs/>
        </w:rPr>
        <w:t xml:space="preserve">Pre–Windows 2000 Compatible Access</w:t>
      </w:r>
      <w:r>
        <w:t xml:space="preserve"> </w:t>
      </w:r>
      <w:r>
        <w:t xml:space="preserve">receives list, read-all-properties and read-permissions rights on users, groups and InetOrgPerson objects.</w:t>
      </w:r>
      <w:r>
        <w:rPr>
          <w:rStyle w:val="FootnoteReference"/>
        </w:rPr>
        <w:footnoteReference w:id="548"/>
      </w:r>
      <w:r>
        <w:t xml:space="preserve"> </w:t>
      </w:r>
      <w:r>
        <w:t xml:space="preserve">Its default membership depends on a choice made when the domain was created. In the Windows 2000-and-later permissions mode it contains Authenticated Users; in the pre-Windows 2000 compatible mode it contains Everyone and Anonymous.</w:t>
      </w:r>
      <w:r>
        <w:rPr>
          <w:rStyle w:val="FootnoteReference"/>
        </w:rPr>
        <w:footnoteReference w:id="549"/>
      </w:r>
    </w:p>
    <w:p>
      <w:pPr>
        <w:pStyle w:val="FirstParagraph"/>
      </w:pPr>
      <w:r>
        <w:t xml:space="preserve">Taken together, these mean that in most domains a standard account can read most attributes of users and groups. That is broader than many teams expect. The exact result depends on the domain’s history: whether that group’s membership was ever trimmed, and whether OUs were hardened. So the assessment’s first step is a pre-flight that tests what this account can actually read in this forest, rather than assuming the defaults. Every later export records which access it relied 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Area</w:t>
            </w:r>
          </w:p>
        </w:tc>
        <w:tc>
          <w:tcPr/>
          <w:p>
            <w:pPr>
              <w:pStyle w:val="Compact"/>
            </w:pPr>
            <w:r>
              <w:t xml:space="preserve">Typical read-only result</w:t>
            </w:r>
          </w:p>
        </w:tc>
        <w:tc>
          <w:tcPr/>
          <w:p>
            <w:pPr>
              <w:pStyle w:val="Compact"/>
            </w:pPr>
            <w:r>
              <w:t xml:space="preserve">What it contributes to the plan</w:t>
            </w:r>
          </w:p>
        </w:tc>
      </w:tr>
      <w:tr>
        <w:tc>
          <w:tcPr/>
          <w:p>
            <w:pPr>
              <w:pStyle w:val="Compact"/>
            </w:pPr>
            <w:r>
              <w:t xml:space="preserve">Forest and domain topology, domain controllers, sites, subnets, site links</w:t>
            </w:r>
          </w:p>
        </w:tc>
        <w:tc>
          <w:tcPr/>
          <w:p>
            <w:pPr>
              <w:pStyle w:val="Compact"/>
            </w:pPr>
            <w:r>
              <w:t xml:space="preserve">Readable</w:t>
            </w:r>
          </w:p>
        </w:tc>
        <w:tc>
          <w:tcPr/>
          <w:p>
            <w:pPr>
              <w:pStyle w:val="Compact"/>
            </w:pPr>
            <w:r>
              <w:t xml:space="preserve">Scope, functional levels, and the shape of replication</w:t>
            </w:r>
          </w:p>
        </w:tc>
      </w:tr>
      <w:tr>
        <w:tc>
          <w:tcPr/>
          <w:p>
            <w:pPr>
              <w:pStyle w:val="Compact"/>
            </w:pPr>
            <w:r>
              <w:t xml:space="preserve">OU hierarchy and Group Policy links</w:t>
            </w:r>
          </w:p>
        </w:tc>
        <w:tc>
          <w:tcPr/>
          <w:p>
            <w:pPr>
              <w:pStyle w:val="Compact"/>
            </w:pPr>
            <w:r>
              <w:t xml:space="preserve">Readable</w:t>
            </w:r>
          </w:p>
        </w:tc>
        <w:tc>
          <w:tcPr/>
          <w:p>
            <w:pPr>
              <w:pStyle w:val="Compact"/>
            </w:pPr>
            <w:r>
              <w:t xml:space="preserve">The structure that attribute-driven targeting replaces (Chapters 03 and 05)</w:t>
            </w:r>
          </w:p>
        </w:tc>
      </w:tr>
      <w:tr>
        <w:tc>
          <w:tcPr/>
          <w:p>
            <w:pPr>
              <w:pStyle w:val="Compact"/>
            </w:pPr>
            <w:r>
              <w:t xml:space="preserve">Group Policy objects and settings reports</w:t>
            </w:r>
          </w:p>
        </w:tc>
        <w:tc>
          <w:tcPr/>
          <w:p>
            <w:pPr>
              <w:pStyle w:val="Compact"/>
            </w:pPr>
            <w:r>
              <w:t xml:space="preserve">Usually readable, unless security filtering restricts a GPO</w:t>
            </w:r>
          </w:p>
        </w:tc>
        <w:tc>
          <w:tcPr/>
          <w:p>
            <w:pPr>
              <w:pStyle w:val="Compact"/>
            </w:pPr>
            <w:r>
              <w:t xml:space="preserve">The GPO-to-Intune inventory</w:t>
            </w:r>
          </w:p>
        </w:tc>
      </w:tr>
      <w:tr>
        <w:tc>
          <w:tcPr/>
          <w:p>
            <w:pPr>
              <w:pStyle w:val="Compact"/>
            </w:pPr>
            <w:r>
              <w:t xml:space="preserve">Users, groups, computers and service principal names</w:t>
            </w:r>
          </w:p>
        </w:tc>
        <w:tc>
          <w:tcPr/>
          <w:p>
            <w:pPr>
              <w:pStyle w:val="Compact"/>
            </w:pPr>
            <w:r>
              <w:t xml:space="preserve">Readable</w:t>
            </w:r>
          </w:p>
        </w:tc>
        <w:tc>
          <w:tcPr/>
          <w:p>
            <w:pPr>
              <w:pStyle w:val="Compact"/>
            </w:pPr>
            <w:r>
              <w:t xml:space="preserve">The identity inventory and service account discovery (Chapter 09)</w:t>
            </w:r>
          </w:p>
        </w:tc>
      </w:tr>
      <w:tr>
        <w:tc>
          <w:tcPr/>
          <w:p>
            <w:pPr>
              <w:pStyle w:val="Compact"/>
            </w:pPr>
            <w:r>
              <w:t xml:space="preserve">Certificate templates and enrollment services, in the configuration partition</w:t>
            </w:r>
          </w:p>
        </w:tc>
        <w:tc>
          <w:tcPr/>
          <w:p>
            <w:pPr>
              <w:pStyle w:val="Compact"/>
            </w:pPr>
            <w:r>
              <w:t xml:space="preserve">Readable</w:t>
            </w:r>
          </w:p>
        </w:tc>
        <w:tc>
          <w:tcPr/>
          <w:p>
            <w:pPr>
              <w:pStyle w:val="Compact"/>
            </w:pPr>
            <w:r>
              <w:t xml:space="preserve">The AD CS dependency surface (Chapter 04)</w:t>
            </w:r>
          </w:p>
        </w:tc>
      </w:tr>
      <w:tr>
        <w:tc>
          <w:tcPr/>
          <w:p>
            <w:pPr>
              <w:pStyle w:val="Compact"/>
            </w:pPr>
            <w:r>
              <w:t xml:space="preserve">AD-integrated DNS zones</w:t>
            </w:r>
          </w:p>
        </w:tc>
        <w:tc>
          <w:tcPr/>
          <w:p>
            <w:pPr>
              <w:pStyle w:val="Compact"/>
            </w:pPr>
            <w:r>
              <w:t xml:space="preserve">Often readable; test it</w:t>
            </w:r>
          </w:p>
        </w:tc>
        <w:tc>
          <w:tcPr/>
          <w:p>
            <w:pPr>
              <w:pStyle w:val="Compact"/>
            </w:pPr>
            <w:r>
              <w:t xml:space="preserve">The DNS dependency surface (Chapter 04)</w:t>
            </w:r>
          </w:p>
        </w:tc>
      </w:tr>
      <w:tr>
        <w:tc>
          <w:tcPr/>
          <w:p>
            <w:pPr>
              <w:pStyle w:val="Compact"/>
            </w:pPr>
            <w:r>
              <w:t xml:space="preserve">Replication health and DNS server settings such as scavenging</w:t>
            </w:r>
          </w:p>
        </w:tc>
        <w:tc>
          <w:tcPr/>
          <w:p>
            <w:pPr>
              <w:pStyle w:val="Compact"/>
            </w:pPr>
            <w:r>
              <w:t xml:space="preserve">Needs a right or server access</w:t>
            </w:r>
          </w:p>
        </w:tc>
        <w:tc>
          <w:tcPr/>
          <w:p>
            <w:pPr>
              <w:pStyle w:val="Compact"/>
            </w:pPr>
            <w:r>
              <w:t xml:space="preserve">A delegation item or an administrator-provided export</w:t>
            </w:r>
          </w:p>
        </w:tc>
      </w:tr>
    </w:tbl>
    <w:bookmarkEnd w:id="551"/>
    <w:bookmarkStart w:id="581" w:name="where-the-default-read-boundary-sits"/>
    <w:p>
      <w:pPr>
        <w:pStyle w:val="Heading2"/>
      </w:pPr>
      <w:bookmarkStart w:id="1431" w:name="_Toc00001431"/>
      <w:r>
        <w:t xml:space="preserve">Where the default read boundary sits</w:t>
      </w:r>
      <w:bookmarkEnd w:id="1431"/>
    </w:p>
    <w:p>
      <w:pPr>
        <w:pStyle w:val="FirstParagraph"/>
      </w:pPr>
      <w:r>
        <w:t xml:space="preserve">The assessment report should never claim coverage it doesn’t have. Four mechanisms set the default boundary. Each needs to be described accurately, because several are commonly misstated.</w:t>
      </w:r>
    </w:p>
    <w:bookmarkStart w:id="556" w:name="protected-accounts-and-groups"/>
    <w:p>
      <w:pPr>
        <w:pStyle w:val="Heading3"/>
      </w:pPr>
      <w:r>
        <w:t xml:space="preserve">Protected accounts and groups</w:t>
      </w:r>
    </w:p>
    <w:p>
      <w:pPr>
        <w:pStyle w:val="FirstParagraph"/>
      </w:pPr>
      <w:r>
        <w:t xml:space="preserve">The AdminSDHolder object in each domain’s System container holds template permissions for the protected accounts and groups: Domain Admins, Enterprise Admins, Schema Admins, Administrators, the operator groups, krbtgt and others. A process called SDProp runs every 60 minutes by default on the domain controller that holds the PDC emulator role. It resets the permissions on those protected accounts and groups to match the template, and inheritance is disabled on them.</w:t>
      </w:r>
      <w:r>
        <w:rPr>
          <w:rStyle w:val="FootnoteReference"/>
        </w:rPr>
        <w:footnoteReference w:id="552"/>
      </w:r>
    </w:p>
    <w:p>
      <w:pPr>
        <w:pStyle w:val="BodyText"/>
      </w:pPr>
      <w:r>
        <w:t xml:space="preserve">SDProp acts on</w:t>
      </w:r>
      <w:r>
        <w:t xml:space="preserve"> </w:t>
      </w:r>
      <w:r>
        <w:rPr>
          <w:i/>
          <w:iCs/>
        </w:rPr>
        <w:t xml:space="preserve">current</w:t>
      </w:r>
      <w:r>
        <w:t xml:space="preserve"> </w:t>
      </w:r>
      <w:r>
        <w:t xml:space="preserve">members of protected groups. An account removed from a protected group keeps</w:t>
      </w:r>
      <w:r>
        <w:t xml:space="preserve"> </w:t>
      </w:r>
      <w:r>
        <w:rPr>
          <w:rStyle w:val="VerbatimChar"/>
        </w:rPr>
        <w:t xml:space="preserve">adminCount</w:t>
      </w:r>
      <w:r>
        <w:t xml:space="preserve"> </w:t>
      </w:r>
      <w:r>
        <w:t xml:space="preserve">set to 1 unless someone clears it. SDProp no longer updates its permissions, but it still doesn’t inherit permissions from its OU.</w:t>
      </w:r>
      <w:r>
        <w:rPr>
          <w:rStyle w:val="FootnoteReference"/>
        </w:rPr>
        <w:footnoteReference w:id="554"/>
      </w:r>
      <w:r>
        <w:t xml:space="preserve"> </w:t>
      </w:r>
      <w:r>
        <w:t xml:space="preserve">For discovery, this means</w:t>
      </w:r>
      <w:r>
        <w:t xml:space="preserve"> </w:t>
      </w:r>
      <w:r>
        <w:rPr>
          <w:rStyle w:val="VerbatimChar"/>
        </w:rPr>
        <w:t xml:space="preserve">adminCount=1</w:t>
      </w:r>
      <w:r>
        <w:t xml:space="preserve"> </w:t>
      </w:r>
      <w:r>
        <w:t xml:space="preserve">lists accounts that are</w:t>
      </w:r>
      <w:r>
        <w:t xml:space="preserve"> </w:t>
      </w:r>
      <w:r>
        <w:rPr>
          <w:i/>
          <w:iCs/>
        </w:rPr>
        <w:t xml:space="preserve">or were</w:t>
      </w:r>
      <w:r>
        <w:t xml:space="preserve"> </w:t>
      </w:r>
      <w:r>
        <w:t xml:space="preserve">privileged. That makes it a useful clean-up list, but it is not the current privileged population. Membership of the protected groups is.</w:t>
      </w:r>
    </w:p>
    <w:bookmarkEnd w:id="556"/>
    <w:bookmarkStart w:id="567" w:name="confidential-attributes"/>
    <w:p>
      <w:pPr>
        <w:pStyle w:val="Heading3"/>
      </w:pPr>
      <w:r>
        <w:t xml:space="preserve">Confidential attributes</w:t>
      </w:r>
    </w:p>
    <w:p>
      <w:pPr>
        <w:pStyle w:val="FirstParagraph"/>
      </w:pPr>
      <w:r>
        <w:t xml:space="preserve">Since Windows Server 2003 SP1, setting bit 7 (value 128) of an attribute’s</w:t>
      </w:r>
      <w:r>
        <w:t xml:space="preserve"> </w:t>
      </w:r>
      <w:r>
        <w:rPr>
          <w:rStyle w:val="VerbatimChar"/>
        </w:rPr>
        <w:t xml:space="preserve">searchFlags</w:t>
      </w:r>
      <w:r>
        <w:t xml:space="preserve"> </w:t>
      </w:r>
      <w:r>
        <w:t xml:space="preserve">marks the attribute as confidential. Reading it then needs the CONTROL_ACCESS right in addition to read-property, and by default only administrators hold that right on all objects.</w:t>
      </w:r>
      <w:r>
        <w:rPr>
          <w:rStyle w:val="FootnoteReference"/>
        </w:rPr>
        <w:footnoteReference w:id="557"/>
      </w:r>
      <w:r>
        <w:t xml:space="preserve"> </w:t>
      </w:r>
      <w:r>
        <w:t xml:space="preserve">Base-schema attributes can’t be marked confidential.</w:t>
      </w:r>
      <w:r>
        <w:rPr>
          <w:rStyle w:val="FootnoteReference"/>
        </w:rPr>
        <w:footnoteReference w:id="559"/>
      </w:r>
      <w:r>
        <w:t xml:space="preserve"> </w:t>
      </w:r>
      <w:r>
        <w:t xml:space="preserve">Local administrator passwords that LAPS stores in Active Directory are an example: they sit in protected attributes that only delegated readers can see.</w:t>
      </w:r>
      <w:r>
        <w:rPr>
          <w:rStyle w:val="FootnoteReference"/>
        </w:rPr>
        <w:footnoteReference w:id="561"/>
      </w:r>
    </w:p>
    <w:p>
      <w:pPr>
        <w:pStyle w:val="BodyText"/>
      </w:pPr>
      <w:r>
        <w:t xml:space="preserve">Read-only discovery can therefore show</w:t>
      </w:r>
      <w:r>
        <w:t xml:space="preserve"> </w:t>
      </w:r>
      <w:r>
        <w:rPr>
          <w:i/>
          <w:iCs/>
        </w:rPr>
        <w:t xml:space="preserve">where</w:t>
      </w:r>
      <w:r>
        <w:t xml:space="preserve"> </w:t>
      </w:r>
      <w:r>
        <w:t xml:space="preserve">a capability is deployed without seeing the secret. With Windows LAPS, for example, the presence and age of the expiration attribute (</w:t>
      </w:r>
      <w:r>
        <w:rPr>
          <w:rStyle w:val="VerbatimChar"/>
        </w:rPr>
        <w:t xml:space="preserve">msLAPS-PasswordExpirationTime</w:t>
      </w:r>
      <w:r>
        <w:t xml:space="preserve">) shows coverage without anyone reading the password.</w:t>
      </w:r>
      <w:r>
        <w:rPr>
          <w:rStyle w:val="FootnoteReference"/>
        </w:rPr>
        <w:footnoteReference w:id="563"/>
      </w:r>
      <w:r>
        <w:t xml:space="preserve"> </w:t>
      </w:r>
      <w:r>
        <w:t xml:space="preserve">The legacy Microsoft LAPS product, which uses the</w:t>
      </w:r>
      <w:r>
        <w:t xml:space="preserve"> </w:t>
      </w:r>
      <w:r>
        <w:rPr>
          <w:rStyle w:val="VerbatimChar"/>
        </w:rPr>
        <w:t xml:space="preserve">ms-Mcs-AdmPwd*</w:t>
      </w:r>
      <w:r>
        <w:t xml:space="preserve"> </w:t>
      </w:r>
      <w:r>
        <w:t xml:space="preserve">attributes, is deprecated as of Windows 11 23H2. Newer Windows versions block its installer, and Windows LAPS is its replacement.</w:t>
      </w:r>
      <w:r>
        <w:rPr>
          <w:rStyle w:val="FootnoteReference"/>
        </w:rPr>
        <w:footnoteReference w:id="565"/>
      </w:r>
      <w:r>
        <w:t xml:space="preserve"> </w:t>
      </w:r>
      <w:r>
        <w:t xml:space="preserve">A forest still on legacy LAPS has a finding before the assessment even reaches identity.</w:t>
      </w:r>
    </w:p>
    <w:bookmarkEnd w:id="567"/>
    <w:bookmarkStart w:id="571" w:name="secrets"/>
    <w:p>
      <w:pPr>
        <w:pStyle w:val="Heading3"/>
      </w:pPr>
      <w:r>
        <w:t xml:space="preserve">Secrets</w:t>
      </w:r>
    </w:p>
    <w:p>
      <w:pPr>
        <w:pStyle w:val="FirstParagraph"/>
      </w:pPr>
      <w:r>
        <w:t xml:space="preserve">Password hashes are never returned to a directory read. They leave a domain controller only through directory replication, and pulling them that way needs the</w:t>
      </w:r>
      <w:r>
        <w:t xml:space="preserve"> </w:t>
      </w:r>
      <w:r>
        <w:t xml:space="preserve">“Replicating Directory Changes”</w:t>
      </w:r>
      <w:r>
        <w:t xml:space="preserve"> </w:t>
      </w:r>
      <w:r>
        <w:t xml:space="preserve">and</w:t>
      </w:r>
      <w:r>
        <w:t xml:space="preserve"> </w:t>
      </w:r>
      <w:r>
        <w:t xml:space="preserve">“Replicating Directory Changes All”</w:t>
      </w:r>
      <w:r>
        <w:t xml:space="preserve"> </w:t>
      </w:r>
      <w:r>
        <w:t xml:space="preserve">rights.</w:t>
      </w:r>
      <w:r>
        <w:t xml:space="preserve"> </w:t>
      </w:r>
      <w:r>
        <w:t xml:space="preserve">“Replicating Directory Changes All”</w:t>
      </w:r>
      <w:r>
        <w:t xml:space="preserve"> </w:t>
      </w:r>
      <w:r>
        <w:t xml:space="preserve">is the control access right that allows replication of secret domain data.</w:t>
      </w:r>
      <w:r>
        <w:rPr>
          <w:rStyle w:val="FootnoteReference"/>
        </w:rPr>
        <w:footnoteReference w:id="568"/>
      </w:r>
      <w:r>
        <w:t xml:space="preserve"> </w:t>
      </w:r>
      <w:r>
        <w:t xml:space="preserve">Microsoft Entra Connect’s password hash sync account holds both rights for exactly this reason.</w:t>
      </w:r>
      <w:r>
        <w:rPr>
          <w:rStyle w:val="FootnoteReference"/>
        </w:rPr>
        <w:footnoteReference w:id="570"/>
      </w:r>
    </w:p>
    <w:p>
      <w:pPr>
        <w:pStyle w:val="BodyText"/>
      </w:pPr>
      <w:r>
        <w:t xml:space="preserve">For discovery this boundary cuts both ways. The assessment never needs these rights, and the program never requests them for an assessment account. But</w:t>
      </w:r>
      <w:r>
        <w:t xml:space="preserve"> </w:t>
      </w:r>
      <w:r>
        <w:rPr>
          <w:i/>
          <w:iCs/>
        </w:rPr>
        <w:t xml:space="preserve">which accounts already hold them</w:t>
      </w:r>
      <w:r>
        <w:t xml:space="preserve"> </w:t>
      </w:r>
      <w:r>
        <w:t xml:space="preserve">is one of the most important things a later, privileged assessment checks. Any holder that is not a domain controller or the sync service account is a finding (Chapter 08).</w:t>
      </w:r>
    </w:p>
    <w:bookmarkEnd w:id="571"/>
    <w:bookmarkStart w:id="580" w:name="restricted-containers-and-policy-objects"/>
    <w:p>
      <w:pPr>
        <w:pStyle w:val="Heading3"/>
      </w:pPr>
      <w:r>
        <w:t xml:space="preserve">Restricted containers and policy objects</w:t>
      </w:r>
    </w:p>
    <w:p>
      <w:pPr>
        <w:pStyle w:val="FirstParagraph"/>
      </w:pPr>
      <w:r>
        <w:t xml:space="preserve">By default, only the System account and members of the Administrators group can view the hidden Deleted Objects container. Microsoft documents granting read (list children and read property) to a named non-administrator if needed; the procedure starts with a Domain Admin taking ownership of the container.</w:t>
      </w:r>
      <w:r>
        <w:rPr>
          <w:rStyle w:val="FootnoteReference"/>
        </w:rPr>
        <w:footnoteReference w:id="572"/>
      </w:r>
      <w:r>
        <w:t xml:space="preserve"> </w:t>
      </w:r>
      <w:r>
        <w:t xml:space="preserve">Restoring a deleted object is a separate and more sensitive right (</w:t>
      </w:r>
      <w:r>
        <w:t xml:space="preserve">“Reanimate Tombstone”</w:t>
      </w:r>
      <w:r>
        <w:t xml:space="preserve">), which an assessment never needs.</w:t>
      </w:r>
      <w:r>
        <w:rPr>
          <w:rStyle w:val="FootnoteReference"/>
        </w:rPr>
        <w:footnoteReference w:id="574"/>
      </w:r>
      <w:r>
        <w:t xml:space="preserve"> </w:t>
      </w:r>
      <w:r>
        <w:t xml:space="preserve">In forests created with Windows Server 2003 SP1 or later, the default tombstone lifetime is 180 days.</w:t>
      </w:r>
      <w:r>
        <w:rPr>
          <w:rStyle w:val="FootnoteReference"/>
        </w:rPr>
        <w:footnoteReference w:id="576"/>
      </w:r>
    </w:p>
    <w:p>
      <w:pPr>
        <w:pStyle w:val="BodyText"/>
      </w:pPr>
      <w:r>
        <w:t xml:space="preserve">Fine-grained password policies are managed by Domain Admins by default.</w:t>
      </w:r>
      <w:r>
        <w:rPr>
          <w:rStyle w:val="FootnoteReference"/>
        </w:rPr>
        <w:footnoteReference w:id="578"/>
      </w:r>
      <w:r>
        <w:t xml:space="preserve"> </w:t>
      </w:r>
      <w:r>
        <w:t xml:space="preserve">Treat their settings and the groups they apply to as a delegation or administrator-export item. Record them as</w:t>
      </w:r>
      <w:r>
        <w:t xml:space="preserve"> </w:t>
      </w:r>
      <w:r>
        <w:t xml:space="preserve">“not seen”</w:t>
      </w:r>
      <w:r>
        <w:t xml:space="preserve"> </w:t>
      </w:r>
      <w:r>
        <w:t xml:space="preserve">rather than inferring them from the default domain policy.</w:t>
      </w:r>
    </w:p>
    <w:bookmarkEnd w:id="580"/>
    <w:bookmarkEnd w:id="581"/>
    <w:bookmarkStart w:id="582" w:name="X12ee5eabec2ce17d84f9d4bc656892dadc64eff"/>
    <w:p>
      <w:pPr>
        <w:pStyle w:val="Heading2"/>
      </w:pPr>
      <w:bookmarkStart w:id="1432" w:name="_Toc00001432"/>
      <w:r>
        <w:t xml:space="preserve">Recording what read-only discovery couldn’t see</w:t>
      </w:r>
      <w:bookmarkEnd w:id="1432"/>
    </w:p>
    <w:p>
      <w:pPr>
        <w:pStyle w:val="FirstParagraph"/>
      </w:pPr>
      <w:r>
        <w:t xml:space="preserve">Each gap is recorded with four facts: what is missing, the narrowest right or export that would close it, why the migration plan needs it, and whether there’s a read-only substitute. A program-standard gap list starts with the rows below and is then edited to match the pre-flight’s actual results.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Gap</w:t>
            </w:r>
          </w:p>
        </w:tc>
        <w:tc>
          <w:tcPr/>
          <w:p>
            <w:pPr>
              <w:pStyle w:val="Compact"/>
            </w:pPr>
            <w:r>
              <w:t xml:space="preserve">Narrowest way to close it</w:t>
            </w:r>
          </w:p>
        </w:tc>
        <w:tc>
          <w:tcPr/>
          <w:p>
            <w:pPr>
              <w:pStyle w:val="Compact"/>
            </w:pPr>
            <w:r>
              <w:t xml:space="preserve">Why the plan needs it</w:t>
            </w:r>
          </w:p>
        </w:tc>
        <w:tc>
          <w:tcPr/>
          <w:p>
            <w:pPr>
              <w:pStyle w:val="Compact"/>
            </w:pPr>
            <w:r>
              <w:t xml:space="preserve">Read-only substitute</w:t>
            </w:r>
          </w:p>
        </w:tc>
      </w:tr>
      <w:tr>
        <w:tc>
          <w:tcPr/>
          <w:p>
            <w:pPr>
              <w:pStyle w:val="Compact"/>
            </w:pPr>
            <w:r>
              <w:t xml:space="preserve">Replication health and convergence</w:t>
            </w:r>
          </w:p>
        </w:tc>
        <w:tc>
          <w:tcPr/>
          <w:p>
            <w:pPr>
              <w:pStyle w:val="Compact"/>
            </w:pPr>
            <w:r>
              <w:t xml:space="preserve">An administrator-run replication summary, or SIEM data</w:t>
            </w:r>
          </w:p>
        </w:tc>
        <w:tc>
          <w:tcPr/>
          <w:p>
            <w:pPr>
              <w:pStyle w:val="Compact"/>
            </w:pPr>
            <w:r>
              <w:t xml:space="preserve">Cutover sequencing; domain controllers that fail to converge</w:t>
            </w:r>
          </w:p>
        </w:tc>
        <w:tc>
          <w:tcPr/>
          <w:p>
            <w:pPr>
              <w:pStyle w:val="Compact"/>
            </w:pPr>
            <w:r>
              <w:t xml:space="preserve">None reliable</w:t>
            </w:r>
          </w:p>
        </w:tc>
      </w:tr>
      <w:tr>
        <w:tc>
          <w:tcPr/>
          <w:p>
            <w:pPr>
              <w:pStyle w:val="Compact"/>
            </w:pPr>
            <w:r>
              <w:t xml:space="preserve">Domain controller event logs</w:t>
            </w:r>
          </w:p>
        </w:tc>
        <w:tc>
          <w:tcPr/>
          <w:p>
            <w:pPr>
              <w:pStyle w:val="Compact"/>
            </w:pPr>
            <w:r>
              <w:t xml:space="preserve">A log export or SIEM read access</w:t>
            </w:r>
          </w:p>
        </w:tc>
        <w:tc>
          <w:tcPr/>
          <w:p>
            <w:pPr>
              <w:pStyle w:val="Compact"/>
            </w:pPr>
            <w:r>
              <w:t xml:space="preserve">Authentication patterns, including NTLM use (Chapter 03)</w:t>
            </w:r>
          </w:p>
        </w:tc>
        <w:tc>
          <w:tcPr/>
          <w:p>
            <w:pPr>
              <w:pStyle w:val="Compact"/>
            </w:pPr>
            <w:r>
              <w:t xml:space="preserve">None</w:t>
            </w:r>
          </w:p>
        </w:tc>
      </w:tr>
      <w:tr>
        <w:tc>
          <w:tcPr/>
          <w:p>
            <w:pPr>
              <w:pStyle w:val="Compact"/>
            </w:pPr>
            <w:r>
              <w:t xml:space="preserve">DNS server settings (aging, scavenging, forwarders)</w:t>
            </w:r>
          </w:p>
        </w:tc>
        <w:tc>
          <w:tcPr/>
          <w:p>
            <w:pPr>
              <w:pStyle w:val="Compact"/>
            </w:pPr>
            <w:r>
              <w:t xml:space="preserve">DNS administrator export</w:t>
            </w:r>
          </w:p>
        </w:tc>
        <w:tc>
          <w:tcPr/>
          <w:p>
            <w:pPr>
              <w:pStyle w:val="Compact"/>
            </w:pPr>
            <w:r>
              <w:t xml:space="preserve">Stale records that block the DNS adapter (Chapter 04)</w:t>
            </w:r>
          </w:p>
        </w:tc>
        <w:tc>
          <w:tcPr/>
          <w:p>
            <w:pPr>
              <w:pStyle w:val="Compact"/>
            </w:pPr>
            <w:r>
              <w:t xml:space="preserve">Zone object reads cover records, not server settings</w:t>
            </w:r>
          </w:p>
        </w:tc>
      </w:tr>
      <w:tr>
        <w:tc>
          <w:tcPr/>
          <w:p>
            <w:pPr>
              <w:pStyle w:val="Compact"/>
            </w:pPr>
            <w:r>
              <w:t xml:space="preserve">Issued-certificate database</w:t>
            </w:r>
          </w:p>
        </w:tc>
        <w:tc>
          <w:tcPr/>
          <w:p>
            <w:pPr>
              <w:pStyle w:val="Compact"/>
            </w:pPr>
            <w:r>
              <w:t xml:space="preserve">CA administrator export</w:t>
            </w:r>
          </w:p>
        </w:tc>
        <w:tc>
          <w:tcPr/>
          <w:p>
            <w:pPr>
              <w:pStyle w:val="Compact"/>
            </w:pPr>
            <w:r>
              <w:t xml:space="preserve">Which certificates must be reissued from a new PKI</w:t>
            </w:r>
          </w:p>
        </w:tc>
        <w:tc>
          <w:tcPr/>
          <w:p>
            <w:pPr>
              <w:pStyle w:val="Compact"/>
            </w:pPr>
            <w:r>
              <w:t xml:space="preserve">Template permissions and enrollment services</w:t>
            </w:r>
          </w:p>
        </w:tc>
      </w:tr>
      <w:tr>
        <w:tc>
          <w:tcPr/>
          <w:p>
            <w:pPr>
              <w:pStyle w:val="Compact"/>
            </w:pPr>
            <w:r>
              <w:t xml:space="preserve">Deleted Objects</w:t>
            </w:r>
          </w:p>
        </w:tc>
        <w:tc>
          <w:tcPr/>
          <w:p>
            <w:pPr>
              <w:pStyle w:val="Compact"/>
            </w:pPr>
            <w:r>
              <w:t xml:space="preserve">Read on the container for one named account</w:t>
            </w:r>
          </w:p>
        </w:tc>
        <w:tc>
          <w:tcPr/>
          <w:p>
            <w:pPr>
              <w:pStyle w:val="Compact"/>
            </w:pPr>
            <w:r>
              <w:t xml:space="preserve">Audit trail of recent deletions</w:t>
            </w:r>
          </w:p>
        </w:tc>
        <w:tc>
          <w:tcPr/>
          <w:p>
            <w:pPr>
              <w:pStyle w:val="Compact"/>
            </w:pPr>
            <w:r>
              <w:t xml:space="preserve">Recycle Bin status only</w:t>
            </w:r>
          </w:p>
        </w:tc>
      </w:tr>
      <w:tr>
        <w:tc>
          <w:tcPr/>
          <w:p>
            <w:pPr>
              <w:pStyle w:val="Compact"/>
            </w:pPr>
            <w:r>
              <w:t xml:space="preserve">Fine-grained password policies</w:t>
            </w:r>
          </w:p>
        </w:tc>
        <w:tc>
          <w:tcPr/>
          <w:p>
            <w:pPr>
              <w:pStyle w:val="Compact"/>
            </w:pPr>
            <w:r>
              <w:t xml:space="preserve">Domain Admin export</w:t>
            </w:r>
          </w:p>
        </w:tc>
        <w:tc>
          <w:tcPr/>
          <w:p>
            <w:pPr>
              <w:pStyle w:val="Compact"/>
            </w:pPr>
            <w:r>
              <w:t xml:space="preserve">Password policy mapping for Entra ID</w:t>
            </w:r>
          </w:p>
        </w:tc>
        <w:tc>
          <w:tcPr/>
          <w:p>
            <w:pPr>
              <w:pStyle w:val="Compact"/>
            </w:pPr>
            <w:r>
              <w:t xml:space="preserve">None</w:t>
            </w:r>
          </w:p>
        </w:tc>
      </w:tr>
      <w:tr>
        <w:tc>
          <w:tcPr/>
          <w:p>
            <w:pPr>
              <w:pStyle w:val="Compact"/>
            </w:pPr>
            <w:r>
              <w:t xml:space="preserve">Confidential attributes (LAPS, BitLocker recovery)</w:t>
            </w:r>
          </w:p>
        </w:tc>
        <w:tc>
          <w:tcPr/>
          <w:p>
            <w:pPr>
              <w:pStyle w:val="Compact"/>
            </w:pPr>
            <w:r>
              <w:t xml:space="preserve">Not requested; coverage only</w:t>
            </w:r>
          </w:p>
        </w:tc>
        <w:tc>
          <w:tcPr/>
          <w:p>
            <w:pPr>
              <w:pStyle w:val="Compact"/>
            </w:pPr>
            <w:r>
              <w:t xml:space="preserve">Deployment coverage, not secrets</w:t>
            </w:r>
          </w:p>
        </w:tc>
        <w:tc>
          <w:tcPr/>
          <w:p>
            <w:pPr>
              <w:pStyle w:val="Compact"/>
            </w:pPr>
            <w:r>
              <w:t xml:space="preserve">Expiration and child-object presence</w:t>
            </w:r>
          </w:p>
        </w:tc>
      </w:tr>
    </w:tbl>
    <w:p>
      <w:pPr>
        <w:pStyle w:val="BodyText"/>
      </w:pPr>
      <w:r>
        <w:t xml:space="preserve">The source guide quoted a read-only coverage figure of about 87 percent. Its own calculation averages to about 94 percent, because it leaves out the zero-coverage rows. Neither figure is a measurement. The program reports the coverage the pre-flight actually measured in this forest, and nothing else.</w:t>
      </w:r>
    </w:p>
    <w:bookmarkEnd w:id="582"/>
    <w:bookmarkStart w:id="583" w:name="the-delegation-request"/>
    <w:p>
      <w:pPr>
        <w:pStyle w:val="Heading2"/>
      </w:pPr>
      <w:bookmarkStart w:id="1433" w:name="_Toc00001433"/>
      <w:r>
        <w:t xml:space="preserve">The delegation request</w:t>
      </w:r>
      <w:bookmarkEnd w:id="1433"/>
    </w:p>
    <w:p>
      <w:pPr>
        <w:pStyle w:val="FirstParagraph"/>
      </w:pPr>
      <w:r>
        <w:t xml:space="preserve">The gap list becomes a short written request to the directory team or security review board. The request is what makes the program’s least-privilege position credible, so it follows fixed rules.</w:t>
      </w:r>
    </w:p>
    <w:p>
      <w:pPr>
        <w:pStyle w:val="Compact"/>
        <w:numPr>
          <w:ilvl w:val="0"/>
          <w:numId w:val="1033"/>
        </w:numPr>
      </w:pPr>
      <w:r>
        <w:rPr>
          <w:b/>
          <w:bCs/>
        </w:rPr>
        <w:t xml:space="preserve">Read only.</w:t>
      </w:r>
      <w:r>
        <w:t xml:space="preserve"> </w:t>
      </w:r>
      <w:r>
        <w:t xml:space="preserve">No write, create, delete or permission-change rights. Rights that expose secrets are never requested: replication of secret data, confidential-attribute reads, and tombstone reanimation.</w:t>
      </w:r>
    </w:p>
    <w:p>
      <w:pPr>
        <w:pStyle w:val="Compact"/>
        <w:numPr>
          <w:ilvl w:val="0"/>
          <w:numId w:val="1033"/>
        </w:numPr>
      </w:pPr>
      <w:r>
        <w:rPr>
          <w:b/>
          <w:bCs/>
        </w:rPr>
        <w:t xml:space="preserve">Specific.</w:t>
      </w:r>
      <w:r>
        <w:t xml:space="preserve"> </w:t>
      </w:r>
      <w:r>
        <w:t xml:space="preserve">Each line names the right, the exact object path and the business reason, taken from the gap list.</w:t>
      </w:r>
      <w:r>
        <w:t xml:space="preserve"> </w:t>
      </w:r>
      <w:r>
        <w:t xml:space="preserve">“Domain Admin for the assessment”</w:t>
      </w:r>
      <w:r>
        <w:t xml:space="preserve"> </w:t>
      </w:r>
      <w:r>
        <w:t xml:space="preserve">is not an acceptable line.</w:t>
      </w:r>
    </w:p>
    <w:p>
      <w:pPr>
        <w:pStyle w:val="Compact"/>
        <w:numPr>
          <w:ilvl w:val="0"/>
          <w:numId w:val="1033"/>
        </w:numPr>
      </w:pPr>
      <w:r>
        <w:rPr>
          <w:b/>
          <w:bCs/>
        </w:rPr>
        <w:t xml:space="preserve">Time-bound.</w:t>
      </w:r>
      <w:r>
        <w:t xml:space="preserve"> </w:t>
      </w:r>
      <w:r>
        <w:t xml:space="preserve">Each delegation expires at the end of the assessment window, and the account’s</w:t>
      </w:r>
      <w:r>
        <w:t xml:space="preserve"> </w:t>
      </w:r>
      <w:r>
        <w:rPr>
          <w:rStyle w:val="VerbatimChar"/>
        </w:rPr>
        <w:t xml:space="preserve">accountExpires</w:t>
      </w:r>
      <w:r>
        <w:t xml:space="preserve"> </w:t>
      </w:r>
      <w:r>
        <w:t xml:space="preserve">is set to match.</w:t>
      </w:r>
    </w:p>
    <w:p>
      <w:pPr>
        <w:pStyle w:val="Compact"/>
        <w:numPr>
          <w:ilvl w:val="0"/>
          <w:numId w:val="1033"/>
        </w:numPr>
      </w:pPr>
      <w:r>
        <w:rPr>
          <w:b/>
          <w:bCs/>
        </w:rPr>
        <w:t xml:space="preserve">One named, dedicated account.</w:t>
      </w:r>
      <w:r>
        <w:t xml:space="preserve"> </w:t>
      </w:r>
      <w:r>
        <w:t xml:space="preserve">A standard user with no existing elevated memberships. Its activity can then be attributed and told apart from normal use.</w:t>
      </w:r>
    </w:p>
    <w:p>
      <w:pPr>
        <w:pStyle w:val="Compact"/>
        <w:numPr>
          <w:ilvl w:val="0"/>
          <w:numId w:val="1033"/>
        </w:numPr>
      </w:pPr>
      <w:r>
        <w:rPr>
          <w:b/>
          <w:bCs/>
        </w:rPr>
        <w:t xml:space="preserve">Preferably an export.</w:t>
      </w:r>
      <w:r>
        <w:t xml:space="preserve"> </w:t>
      </w:r>
      <w:r>
        <w:t xml:space="preserve">Where the directory team can run a report and hand over the output (replication summary, DNS server settings, CA database export), that is better than granting a right at all.</w:t>
      </w:r>
    </w:p>
    <w:p>
      <w:pPr>
        <w:pStyle w:val="FirstParagraph"/>
      </w:pPr>
      <w:r>
        <w:t xml:space="preserve">The directory team implements the delegations with its own change process. The program doesn’t hand over commands for others to run with their privileges.</w:t>
      </w:r>
    </w:p>
    <w:bookmarkEnd w:id="583"/>
    <w:bookmarkStart w:id="590" w:name="running-the-assessment-safely"/>
    <w:p>
      <w:pPr>
        <w:pStyle w:val="Heading2"/>
      </w:pPr>
      <w:bookmarkStart w:id="1434" w:name="_Toc00001434"/>
      <w:r>
        <w:t xml:space="preserve">Running the assessment safely</w:t>
      </w:r>
      <w:bookmarkEnd w:id="1434"/>
    </w:p>
    <w:p>
      <w:pPr>
        <w:pStyle w:val="FirstParagraph"/>
      </w:pPr>
      <w:r>
        <w:t xml:space="preserve">Read-only queries change nothing, but they aren’t invisible, and the output is sensitive.</w:t>
      </w:r>
    </w:p>
    <w:p>
      <w:pPr>
        <w:pStyle w:val="Compact"/>
        <w:numPr>
          <w:ilvl w:val="0"/>
          <w:numId w:val="1034"/>
        </w:numPr>
      </w:pPr>
      <w:r>
        <w:rPr>
          <w:b/>
          <w:bCs/>
        </w:rPr>
        <w:t xml:space="preserve">Tell the security operations team first.</w:t>
      </w:r>
      <w:r>
        <w:t xml:space="preserve"> </w:t>
      </w:r>
      <w:r>
        <w:t xml:space="preserve">Broad LDAP enumeration looks like reconnaissance, and monitoring tools are built to flag it. Microsoft Defender for Identity, for example, raises discovery alerts for Active Directory enumeration and for unusual LDAP queries against sensitive attributes.</w:t>
      </w:r>
      <w:r>
        <w:rPr>
          <w:rStyle w:val="FootnoteReference"/>
        </w:rPr>
        <w:footnoteReference w:id="584"/>
      </w:r>
      <w:r>
        <w:t xml:space="preserve"> </w:t>
      </w:r>
      <w:r>
        <w:t xml:space="preserve">Give the security operations team the window, the account and the expected query pattern so they can recognize the activity without switching detection off.</w:t>
      </w:r>
    </w:p>
    <w:p>
      <w:pPr>
        <w:pStyle w:val="Compact"/>
        <w:numPr>
          <w:ilvl w:val="0"/>
          <w:numId w:val="1034"/>
        </w:numPr>
      </w:pPr>
      <w:r>
        <w:rPr>
          <w:b/>
          <w:bCs/>
        </w:rPr>
        <w:t xml:space="preserve">Be gentle with domain controllers.</w:t>
      </w:r>
      <w:r>
        <w:t xml:space="preserve"> </w:t>
      </w:r>
      <w:r>
        <w:t xml:space="preserve">Page large queries, run bulk enumeration off-peak, and direct queries to a domain controller designated for administrative load.</w:t>
      </w:r>
    </w:p>
    <w:p>
      <w:pPr>
        <w:pStyle w:val="Compact"/>
        <w:numPr>
          <w:ilvl w:val="0"/>
          <w:numId w:val="1034"/>
        </w:numPr>
      </w:pPr>
      <w:r>
        <w:rPr>
          <w:b/>
          <w:bCs/>
        </w:rPr>
        <w:t xml:space="preserve">Protect the output as sensitive.</w:t>
      </w:r>
      <w:r>
        <w:t xml:space="preserve"> </w:t>
      </w:r>
      <w:r>
        <w:t xml:space="preserve">An assessment output set is a map of the estate. It lists privileged group membership, service accounts and their service principal names, certificate template permissions, and the delegation model. Store it only on encrypted volumes, on a dedicated assessment workstation, and never on a general-purpose endpoint. Handle it under the agency’s data classification policy.</w:t>
      </w:r>
    </w:p>
    <w:p>
      <w:pPr>
        <w:pStyle w:val="Compact"/>
        <w:numPr>
          <w:ilvl w:val="0"/>
          <w:numId w:val="1034"/>
        </w:numPr>
      </w:pPr>
      <w:r>
        <w:rPr>
          <w:b/>
          <w:bCs/>
        </w:rPr>
        <w:t xml:space="preserve">Make it tamper-evident.</w:t>
      </w:r>
      <w:r>
        <w:t xml:space="preserve"> </w:t>
      </w:r>
      <w:r>
        <w:t xml:space="preserve">Record a SHA-256 hash of every output file in an assessment manifest. Commit the set to the program’s versioned repository under a dated path, so later snapshots can be compared to it for drift.</w:t>
      </w:r>
    </w:p>
    <w:p>
      <w:pPr>
        <w:pStyle w:val="Compact"/>
        <w:numPr>
          <w:ilvl w:val="0"/>
          <w:numId w:val="1034"/>
        </w:numPr>
      </w:pPr>
      <w:r>
        <w:rPr>
          <w:b/>
          <w:bCs/>
        </w:rPr>
        <w:t xml:space="preserve">Close it down.</w:t>
      </w:r>
      <w:r>
        <w:t xml:space="preserve"> </w:t>
      </w:r>
      <w:r>
        <w:t xml:space="preserve">When the assessment ends, disable the account, confirm that every delegation has expired, and brief the engagement authority.</w:t>
      </w:r>
    </w:p>
    <w:bookmarkStart w:id="589" w:name="fig-ch07-discovery-pipeline"/>
    <w:p>
      <w:pPr>
        <w:pStyle w:val="CaptionedFigure"/>
      </w:pPr>
      <w:r>
        <w:drawing>
          <wp:inline>
            <wp:extent cx="5334000" cy="8096591"/>
            <wp:effectExtent b="0" l="0" r="0" t="0"/>
            <wp:docPr descr="Read-only discovery from pre-flight to the targeted delegation request." title="" id="587" name="Picture"/>
            <a:graphic>
              <a:graphicData uri="http://schemas.openxmlformats.org/drawingml/2006/picture">
                <pic:pic>
                  <pic:nvPicPr>
                    <pic:cNvPr descr="/home/runner/work/modernization-workbook/modernization-workbook/docs/images/diagrams/b02-identity/png/ch07-discovery-pipeline.png" id="588" name="Picture"/>
                    <pic:cNvPicPr>
                      <a:picLocks noChangeArrowheads="1" noChangeAspect="1"/>
                    </pic:cNvPicPr>
                  </pic:nvPicPr>
                  <pic:blipFill>
                    <a:blip r:embed="rId586"/>
                    <a:stretch>
                      <a:fillRect/>
                    </a:stretch>
                  </pic:blipFill>
                  <pic:spPr bwMode="auto">
                    <a:xfrm>
                      <a:off x="0" y="0"/>
                      <a:ext cx="5334000" cy="8096591"/>
                    </a:xfrm>
                    <a:prstGeom prst="rect">
                      <a:avLst/>
                    </a:prstGeom>
                    <a:noFill/>
                    <a:ln w="9525">
                      <a:noFill/>
                      <a:headEnd/>
                      <a:tailEnd/>
                    </a:ln>
                  </pic:spPr>
                </pic:pic>
              </a:graphicData>
            </a:graphic>
          </wp:inline>
        </w:drawing>
      </w:r>
    </w:p>
    <w:p>
      <w:pPr>
        <w:pStyle w:val="ImageCaption"/>
      </w:pPr>
      <w:r>
        <w:t xml:space="preserve">Read-only discovery from pre-flight to the targeted delegation request.</w:t>
      </w:r>
    </w:p>
    <w:bookmarkEnd w:id="589"/>
    <w:bookmarkEnd w:id="590"/>
    <w:bookmarkStart w:id="591" w:name="checklist"/>
    <w:p>
      <w:pPr>
        <w:pStyle w:val="Heading2"/>
      </w:pPr>
      <w:bookmarkStart w:id="1435" w:name="_Toc00001435"/>
      <w:r>
        <w:t xml:space="preserve">Checklist</w:t>
      </w:r>
      <w:bookmarkEnd w:id="1435"/>
    </w:p>
    <w:p>
      <w:pPr>
        <w:pStyle w:val="FirstParagraph"/>
      </w:pPr>
      <w:r>
        <w:rPr>
          <w:b/>
          <w:bCs/>
        </w:rPr>
        <w:t xml:space="preserve">Before starting</w:t>
      </w:r>
    </w:p>
    <w:p>
      <w:pPr>
        <w:pStyle w:val="Compact"/>
        <w:numPr>
          <w:ilvl w:val="0"/>
          <w:numId w:val="1035"/>
        </w:numPr>
      </w:pPr>
      <w:r>
        <w:t xml:space="preserve">Scope documented and approved by the engagement authority.</w:t>
      </w:r>
    </w:p>
    <w:p>
      <w:pPr>
        <w:pStyle w:val="Compact"/>
        <w:numPr>
          <w:ilvl w:val="0"/>
          <w:numId w:val="1035"/>
        </w:numPr>
      </w:pPr>
      <w:r>
        <w:t xml:space="preserve">Dedicated assessment account provisioned: standard user, no elevated memberships, expiry set to the end of the window.</w:t>
      </w:r>
    </w:p>
    <w:p>
      <w:pPr>
        <w:pStyle w:val="Compact"/>
        <w:numPr>
          <w:ilvl w:val="0"/>
          <w:numId w:val="1035"/>
        </w:numPr>
      </w:pPr>
      <w:r>
        <w:t xml:space="preserve">Dedicated assessment workstation with the Active Directory and Group Policy management tools installed.</w:t>
      </w:r>
    </w:p>
    <w:p>
      <w:pPr>
        <w:pStyle w:val="Compact"/>
        <w:numPr>
          <w:ilvl w:val="0"/>
          <w:numId w:val="1035"/>
        </w:numPr>
      </w:pPr>
      <w:r>
        <w:t xml:space="preserve">Output location on an encrypted volume.</w:t>
      </w:r>
    </w:p>
    <w:p>
      <w:pPr>
        <w:pStyle w:val="Compact"/>
        <w:numPr>
          <w:ilvl w:val="0"/>
          <w:numId w:val="1035"/>
        </w:numPr>
      </w:pPr>
      <w:r>
        <w:t xml:space="preserve">Security operations notified of the window, the account and the expected query pattern.</w:t>
      </w:r>
    </w:p>
    <w:p>
      <w:pPr>
        <w:pStyle w:val="FirstParagraph"/>
      </w:pPr>
      <w:r>
        <w:rPr>
          <w:b/>
          <w:bCs/>
        </w:rPr>
        <w:t xml:space="preserve">After finishing</w:t>
      </w:r>
    </w:p>
    <w:p>
      <w:pPr>
        <w:pStyle w:val="Compact"/>
        <w:numPr>
          <w:ilvl w:val="0"/>
          <w:numId w:val="1036"/>
        </w:numPr>
      </w:pPr>
      <w:r>
        <w:t xml:space="preserve">Manifest generated with a hash for every file, and the files verified against it.</w:t>
      </w:r>
    </w:p>
    <w:p>
      <w:pPr>
        <w:pStyle w:val="Compact"/>
        <w:numPr>
          <w:ilvl w:val="0"/>
          <w:numId w:val="1036"/>
        </w:numPr>
      </w:pPr>
      <w:r>
        <w:t xml:space="preserve">Output committed to the program repository.</w:t>
      </w:r>
    </w:p>
    <w:p>
      <w:pPr>
        <w:pStyle w:val="Compact"/>
        <w:numPr>
          <w:ilvl w:val="0"/>
          <w:numId w:val="1036"/>
        </w:numPr>
      </w:pPr>
      <w:r>
        <w:t xml:space="preserve">Gap list and delegation request prepared from the measured coverage.</w:t>
      </w:r>
    </w:p>
    <w:p>
      <w:pPr>
        <w:pStyle w:val="Compact"/>
        <w:numPr>
          <w:ilvl w:val="0"/>
          <w:numId w:val="1036"/>
        </w:numPr>
      </w:pPr>
      <w:r>
        <w:t xml:space="preserve">Assessment account disabled.</w:t>
      </w:r>
    </w:p>
    <w:p>
      <w:pPr>
        <w:pStyle w:val="Compact"/>
        <w:numPr>
          <w:ilvl w:val="0"/>
          <w:numId w:val="1036"/>
        </w:numPr>
      </w:pPr>
      <w:r>
        <w:t xml:space="preserve">Summary briefed to the engagement authority.</w:t>
      </w:r>
    </w:p>
    <w:p>
      <w:pPr>
        <w:pStyle w:val="FirstParagraph"/>
      </w:pPr>
      <w:r>
        <w:t xml:space="preserve">The assessment tooling the program used for this stage is kept with the source guide in the repository archive. It needs a technical review before reuse: the review behind this chapter found several defects. Chapter 08 covers the privileged assessment that fills the gaps.</w:t>
      </w:r>
    </w:p>
    <w:bookmarkEnd w:id="591"/>
    <w:bookmarkStart w:id="592" w:name="continue-the-book-6"/>
    <w:p>
      <w:pPr>
        <w:pStyle w:val="Heading2"/>
      </w:pPr>
      <w:bookmarkStart w:id="1436" w:name="_Toc00001436"/>
      <w:r>
        <w:t xml:space="preserve">Continue the book</w:t>
      </w:r>
      <w:bookmarkEnd w:id="1436"/>
    </w:p>
    <w:p>
      <w:pPr>
        <w:pStyle w:val="FirstParagraph"/>
      </w:pPr>
      <w:r>
        <w:t xml:space="preserve">← Previous: Chapter 06 — Who Owns the Migration · Book index · Next: Chapter 08 — Assessing the Forest →</w:t>
      </w:r>
    </w:p>
    <w:bookmarkEnd w:id="592"/>
    <w:bookmarkEnd w:id="593"/>
    <w:bookmarkStart w:id="780" w:name="chapter-08-assessing-the-forest"/>
    <w:p>
      <w:pPr>
        <w:pStyle w:val="Heading1"/>
      </w:pPr>
      <w:bookmarkStart w:id="1437" w:name="_Toc00001437"/>
      <w:r>
        <w:t xml:space="preserve">Chapter 08 — Assessing the Forest</w:t>
      </w:r>
      <w:bookmarkEnd w:id="1437"/>
    </w:p>
    <w:p>
      <w:pPr>
        <w:pStyle w:val="FirstParagraph"/>
      </w:pPr>
      <w:r>
        <w:rPr>
          <w:i/>
          <w:iCs/>
        </w:rPr>
        <w:t xml:space="preserve">A migration plan is only as good as the inventory under it, and the inventory is only as good as the evidence that proves when, how and by whom it was taken.</w:t>
      </w:r>
    </w:p>
    <w:bookmarkStart w:id="594" w:name="in-this-chapter-7"/>
    <w:p>
      <w:pPr>
        <w:pStyle w:val="Heading2"/>
      </w:pPr>
      <w:bookmarkStart w:id="1438" w:name="_Toc00001438"/>
      <w:r>
        <w:t xml:space="preserve">In this chapter</w:t>
      </w:r>
      <w:bookmarkEnd w:id="1438"/>
    </w:p>
    <w:p>
      <w:pPr>
        <w:pStyle w:val="FirstParagraph"/>
      </w:pPr>
      <w:r>
        <w:t xml:space="preserve">The privileged half of discovery: what the full forest assessment collects, the rights it needs, and how to keep those rights narrow. It walks the eight collection areas (topology, OUs, Group Policy, DNS, AD CS, computers, users and groups, trusts), then the pipeline that turns each run into a hashed, versioned record in a Git repository, with findings raised as issues. It closes with security handling, troubleshooting, the output schema and a quick reference card. The complete module is in Appendix B.</w:t>
      </w:r>
    </w:p>
    <w:bookmarkEnd w:id="594"/>
    <w:p>
      <w:pPr>
        <w:pStyle w:val="BodyText"/>
      </w:pPr>
      <w:r>
        <w:t xml:space="preserve">Chapter 07 ends with a gap analysis: the list of things a read-only account couldn’t see. This chapter fills those gaps. The full assessment reads the configuration partition, ACLs on OUs, every GPO’s settings, DNS server configuration, the PKI containers and certificate authority (CA) settings, and the delegation flags on every account. Some of that needs rights beyond default read access, so the assessment is run deliberately, by a named account, on a schedule, and every run leaves the same evidence behind.</w:t>
      </w:r>
    </w:p>
    <w:p>
      <w:pPr>
        <w:pStyle w:val="BodyText"/>
      </w:pPr>
      <w:r>
        <w:t xml:space="preserve">The program’s position is that the assessment is an evidence-producing process, not a set of scripts. Each run does three things:</w:t>
      </w:r>
    </w:p>
    <w:p>
      <w:pPr>
        <w:pStyle w:val="Compact"/>
        <w:numPr>
          <w:ilvl w:val="0"/>
          <w:numId w:val="1037"/>
        </w:numPr>
      </w:pPr>
      <w:r>
        <w:t xml:space="preserve">It collects a fixed set of artifacts into a fixed directory layout, so two runs can be compared file by file.</w:t>
      </w:r>
    </w:p>
    <w:p>
      <w:pPr>
        <w:pStyle w:val="Compact"/>
        <w:numPr>
          <w:ilvl w:val="0"/>
          <w:numId w:val="1037"/>
        </w:numPr>
      </w:pPr>
      <w:r>
        <w:t xml:space="preserve">It writes a manifest with a SHA-256 hash of every file, so anyone can prove later that an artifact wasn’t changed.</w:t>
      </w:r>
    </w:p>
    <w:p>
      <w:pPr>
        <w:pStyle w:val="Compact"/>
        <w:numPr>
          <w:ilvl w:val="0"/>
          <w:numId w:val="1037"/>
        </w:numPr>
      </w:pPr>
      <w:r>
        <w:t xml:space="preserve">It commits the run to the program’s Git repository (a self-hosted Gitea instance in the reference design), so the history of the forest is the history of the repository.</w:t>
      </w:r>
    </w:p>
    <w:p>
      <w:pPr>
        <w:pStyle w:val="FirstParagraph"/>
      </w:pPr>
      <w:r>
        <w:t xml:space="preserve">The downstream planning documents in this book and its companions read those artifacts, not someone’s memory of the forest.</w:t>
      </w:r>
    </w:p>
    <w:bookmarkStart w:id="599" w:name="what-the-assessment-covers"/>
    <w:p>
      <w:pPr>
        <w:pStyle w:val="Heading2"/>
      </w:pPr>
      <w:bookmarkStart w:id="1439" w:name="_Toc00001439"/>
      <w:r>
        <w:t xml:space="preserve">What the assessment covers</w:t>
      </w:r>
      <w:bookmarkEnd w:id="1439"/>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Area</w:t>
            </w:r>
          </w:p>
        </w:tc>
        <w:tc>
          <w:tcPr/>
          <w:p>
            <w:pPr>
              <w:pStyle w:val="Compact"/>
            </w:pPr>
            <w:r>
              <w:t xml:space="preserve">What is captured</w:t>
            </w:r>
          </w:p>
        </w:tc>
        <w:tc>
          <w:tcPr/>
          <w:p>
            <w:pPr>
              <w:pStyle w:val="Compact"/>
            </w:pPr>
            <w:r>
              <w:t xml:space="preserve">Main output</w:t>
            </w:r>
          </w:p>
        </w:tc>
      </w:tr>
      <w:tr>
        <w:tc>
          <w:tcPr/>
          <w:p>
            <w:pPr>
              <w:pStyle w:val="Compact"/>
            </w:pPr>
            <w:r>
              <w:t xml:space="preserve">Forest topology</w:t>
            </w:r>
          </w:p>
        </w:tc>
        <w:tc>
          <w:tcPr/>
          <w:p>
            <w:pPr>
              <w:pStyle w:val="Compact"/>
            </w:pPr>
            <w:r>
              <w:t xml:space="preserve">Domains, functional levels, sites, site links, subnets, global catalogs, the five operations master role holders</w:t>
            </w:r>
          </w:p>
        </w:tc>
        <w:tc>
          <w:tcPr/>
          <w:p>
            <w:pPr>
              <w:pStyle w:val="Compact"/>
            </w:pPr>
            <w:r>
              <w:rPr>
                <w:rStyle w:val="VerbatimChar"/>
              </w:rPr>
              <w:t xml:space="preserve">ForestTopology.json</w:t>
            </w:r>
          </w:p>
        </w:tc>
      </w:tr>
      <w:tr>
        <w:tc>
          <w:tcPr/>
          <w:p>
            <w:pPr>
              <w:pStyle w:val="Compact"/>
            </w:pPr>
            <w:r>
              <w:t xml:space="preserve">Domain controllers</w:t>
            </w:r>
          </w:p>
        </w:tc>
        <w:tc>
          <w:tcPr/>
          <w:p>
            <w:pPr>
              <w:pStyle w:val="Compact"/>
            </w:pPr>
            <w:r>
              <w:t xml:space="preserve">Host name, site, address, OS version, global catalog and read-only flags, roles held</w:t>
            </w:r>
          </w:p>
        </w:tc>
        <w:tc>
          <w:tcPr/>
          <w:p>
            <w:pPr>
              <w:pStyle w:val="Compact"/>
            </w:pPr>
            <w:r>
              <w:rPr>
                <w:rStyle w:val="VerbatimChar"/>
              </w:rPr>
              <w:t xml:space="preserve">DomainControllers.json</w:t>
            </w:r>
          </w:p>
        </w:tc>
      </w:tr>
      <w:tr>
        <w:tc>
          <w:tcPr/>
          <w:p>
            <w:pPr>
              <w:pStyle w:val="Compact"/>
            </w:pPr>
            <w:r>
              <w:t xml:space="preserve">OU hierarchy</w:t>
            </w:r>
          </w:p>
        </w:tc>
        <w:tc>
          <w:tcPr/>
          <w:p>
            <w:pPr>
              <w:pStyle w:val="Compact"/>
            </w:pPr>
            <w:r>
              <w:t xml:space="preserve">The full tree with object counts, GPO links, inheritance blocking and non-inherited ACEs</w:t>
            </w:r>
          </w:p>
        </w:tc>
        <w:tc>
          <w:tcPr/>
          <w:p>
            <w:pPr>
              <w:pStyle w:val="Compact"/>
            </w:pPr>
            <w:r>
              <w:rPr>
                <w:rStyle w:val="VerbatimChar"/>
              </w:rPr>
              <w:t xml:space="preserve">OUHierarchy.json</w:t>
            </w:r>
            <w:r>
              <w:t xml:space="preserve">,</w:t>
            </w:r>
            <w:r>
              <w:t xml:space="preserve"> </w:t>
            </w:r>
            <w:r>
              <w:rPr>
                <w:rStyle w:val="VerbatimChar"/>
              </w:rPr>
              <w:t xml:space="preserve">OUDelegations.json</w:t>
            </w:r>
          </w:p>
        </w:tc>
      </w:tr>
      <w:tr>
        <w:tc>
          <w:tcPr/>
          <w:p>
            <w:pPr>
              <w:pStyle w:val="Compact"/>
            </w:pPr>
            <w:r>
              <w:t xml:space="preserve">Group Policy</w:t>
            </w:r>
          </w:p>
        </w:tc>
        <w:tc>
          <w:tcPr/>
          <w:p>
            <w:pPr>
              <w:pStyle w:val="Compact"/>
            </w:pPr>
            <w:r>
              <w:t xml:space="preserve">Every GPO, its XML and HTML report, links, permissions, a native backup, and the unlinked, empty and overlapping sets</w:t>
            </w:r>
          </w:p>
        </w:tc>
        <w:tc>
          <w:tcPr/>
          <w:p>
            <w:pPr>
              <w:pStyle w:val="Compact"/>
            </w:pPr>
            <w:r>
              <w:rPr>
                <w:rStyle w:val="VerbatimChar"/>
              </w:rPr>
              <w:t xml:space="preserve">GPOInventory.json</w:t>
            </w:r>
            <w:r>
              <w:t xml:space="preserve">,</w:t>
            </w:r>
            <w:r>
              <w:t xml:space="preserve"> </w:t>
            </w:r>
            <w:r>
              <w:rPr>
                <w:rStyle w:val="VerbatimChar"/>
              </w:rPr>
              <w:t xml:space="preserve">GPOSettings\</w:t>
            </w:r>
          </w:p>
        </w:tc>
      </w:tr>
      <w:tr>
        <w:tc>
          <w:tcPr/>
          <w:p>
            <w:pPr>
              <w:pStyle w:val="Compact"/>
            </w:pPr>
            <w:r>
              <w:t xml:space="preserve">DNS</w:t>
            </w:r>
          </w:p>
        </w:tc>
        <w:tc>
          <w:tcPr/>
          <w:p>
            <w:pPr>
              <w:pStyle w:val="Compact"/>
            </w:pPr>
            <w:r>
              <w:t xml:space="preserve">Zones, partitions, forwarders, stub zones, DNSSEC, scavenging, stale records, DC locator SRV records</w:t>
            </w:r>
          </w:p>
        </w:tc>
        <w:tc>
          <w:tcPr/>
          <w:p>
            <w:pPr>
              <w:pStyle w:val="Compact"/>
            </w:pPr>
            <w:r>
              <w:rPr>
                <w:rStyle w:val="VerbatimChar"/>
              </w:rPr>
              <w:t xml:space="preserve">DNSInventory.json</w:t>
            </w:r>
          </w:p>
        </w:tc>
      </w:tr>
      <w:tr>
        <w:tc>
          <w:tcPr/>
          <w:p>
            <w:pPr>
              <w:pStyle w:val="Compact"/>
            </w:pPr>
            <w:r>
              <w:t xml:space="preserve">AD CS</w:t>
            </w:r>
          </w:p>
        </w:tc>
        <w:tc>
          <w:tcPr/>
          <w:p>
            <w:pPr>
              <w:pStyle w:val="Compact"/>
            </w:pPr>
            <w:r>
              <w:t xml:space="preserve">Enterprise CAs, templates, CDP and AIA locations, and template and CA settings that match known escalation patterns</w:t>
            </w:r>
          </w:p>
        </w:tc>
        <w:tc>
          <w:tcPr/>
          <w:p>
            <w:pPr>
              <w:pStyle w:val="Compact"/>
            </w:pPr>
            <w:r>
              <w:rPr>
                <w:rStyle w:val="VerbatimChar"/>
              </w:rPr>
              <w:t xml:space="preserve">PKIInventory.json</w:t>
            </w:r>
            <w:r>
              <w:t xml:space="preserve">,</w:t>
            </w:r>
            <w:r>
              <w:t xml:space="preserve"> </w:t>
            </w:r>
            <w:r>
              <w:rPr>
                <w:rStyle w:val="VerbatimChar"/>
              </w:rPr>
              <w:t xml:space="preserve">PKISecurityReport.json</w:t>
            </w:r>
          </w:p>
        </w:tc>
      </w:tr>
      <w:tr>
        <w:tc>
          <w:tcPr/>
          <w:p>
            <w:pPr>
              <w:pStyle w:val="Compact"/>
            </w:pPr>
            <w:r>
              <w:t xml:space="preserve">Computers</w:t>
            </w:r>
          </w:p>
        </w:tc>
        <w:tc>
          <w:tcPr/>
          <w:p>
            <w:pPr>
              <w:pStyle w:val="Compact"/>
            </w:pPr>
            <w:r>
              <w:t xml:space="preserve">Every computer object, OS classification, staleness, Kerberos delegation</w:t>
            </w:r>
          </w:p>
        </w:tc>
        <w:tc>
          <w:tcPr/>
          <w:p>
            <w:pPr>
              <w:pStyle w:val="Compact"/>
            </w:pPr>
            <w:r>
              <w:rPr>
                <w:rStyle w:val="VerbatimChar"/>
              </w:rPr>
              <w:t xml:space="preserve">ComputerInventory.json</w:t>
            </w:r>
            <w:r>
              <w:t xml:space="preserve">,</w:t>
            </w:r>
            <w:r>
              <w:t xml:space="preserve"> </w:t>
            </w:r>
            <w:r>
              <w:rPr>
                <w:rStyle w:val="VerbatimChar"/>
              </w:rPr>
              <w:t xml:space="preserve">DelegationReport.csv</w:t>
            </w:r>
          </w:p>
        </w:tc>
      </w:tr>
      <w:tr>
        <w:tc>
          <w:tcPr/>
          <w:p>
            <w:pPr>
              <w:pStyle w:val="Compact"/>
            </w:pPr>
            <w:r>
              <w:t xml:space="preserve">Users and groups</w:t>
            </w:r>
          </w:p>
        </w:tc>
        <w:tc>
          <w:tcPr/>
          <w:p>
            <w:pPr>
              <w:pStyle w:val="Compact"/>
            </w:pPr>
            <w:r>
              <w:t xml:space="preserve">Privileged membership, AdminSDHolder-protected accounts, service accounts, empty and circular groups</w:t>
            </w:r>
          </w:p>
        </w:tc>
        <w:tc>
          <w:tcPr/>
          <w:p>
            <w:pPr>
              <w:pStyle w:val="Compact"/>
            </w:pPr>
            <w:r>
              <w:rPr>
                <w:rStyle w:val="VerbatimChar"/>
              </w:rPr>
              <w:t xml:space="preserve">UserInventory.json</w:t>
            </w:r>
            <w:r>
              <w:t xml:space="preserve">,</w:t>
            </w:r>
            <w:r>
              <w:t xml:space="preserve"> </w:t>
            </w:r>
            <w:r>
              <w:rPr>
                <w:rStyle w:val="VerbatimChar"/>
              </w:rPr>
              <w:t xml:space="preserve">GroupInventory.json</w:t>
            </w:r>
          </w:p>
        </w:tc>
      </w:tr>
      <w:tr>
        <w:tc>
          <w:tcPr/>
          <w:p>
            <w:pPr>
              <w:pStyle w:val="Compact"/>
            </w:pPr>
            <w:r>
              <w:t xml:space="preserve">Trusts</w:t>
            </w:r>
          </w:p>
        </w:tc>
        <w:tc>
          <w:tcPr/>
          <w:p>
            <w:pPr>
              <w:pStyle w:val="Compact"/>
            </w:pPr>
            <w:r>
              <w:t xml:space="preserve">Direction, type, transitivity, SID filtering, selective authentication, verification status</w:t>
            </w:r>
          </w:p>
        </w:tc>
        <w:tc>
          <w:tcPr/>
          <w:p>
            <w:pPr>
              <w:pStyle w:val="Compact"/>
            </w:pPr>
            <w:r>
              <w:rPr>
                <w:rStyle w:val="VerbatimChar"/>
              </w:rPr>
              <w:t xml:space="preserve">TrustMap.json</w:t>
            </w:r>
          </w:p>
        </w:tc>
      </w:tr>
    </w:tbl>
    <w:p>
      <w:pPr>
        <w:pStyle w:val="BodyText"/>
      </w:pPr>
      <w:r>
        <w:t xml:space="preserve">Out of scope here: Microsoft Entra Connect configuration (Chapter 09), the mapping of GPO settings to Intune policy (the workbook’s GPO sunset program), and Azure services. The assessment runs against on-premises Active Directory and writes to an on-premises repository.</w:t>
      </w:r>
    </w:p>
    <w:bookmarkStart w:id="598" w:name="fig-ch08-topology-discovery"/>
    <w:p>
      <w:pPr>
        <w:pStyle w:val="CaptionedFigure"/>
      </w:pPr>
      <w:r>
        <w:drawing>
          <wp:inline>
            <wp:extent cx="5334000" cy="2165835"/>
            <wp:effectExtent b="0" l="0" r="0" t="0"/>
            <wp:docPr descr="The topology discovery model: what the forest, each domain and the sites configuration contribute to the topology record." title="" id="596" name="Picture"/>
            <a:graphic>
              <a:graphicData uri="http://schemas.openxmlformats.org/drawingml/2006/picture">
                <pic:pic>
                  <pic:nvPicPr>
                    <pic:cNvPr descr="/home/runner/work/modernization-workbook/modernization-workbook/docs/images/diagrams/b02-identity/png/ch08-topology-discovery.png" id="597" name="Picture"/>
                    <pic:cNvPicPr>
                      <a:picLocks noChangeArrowheads="1" noChangeAspect="1"/>
                    </pic:cNvPicPr>
                  </pic:nvPicPr>
                  <pic:blipFill>
                    <a:blip r:embed="rId595"/>
                    <a:stretch>
                      <a:fillRect/>
                    </a:stretch>
                  </pic:blipFill>
                  <pic:spPr bwMode="auto">
                    <a:xfrm>
                      <a:off x="0" y="0"/>
                      <a:ext cx="5334000" cy="2165835"/>
                    </a:xfrm>
                    <a:prstGeom prst="rect">
                      <a:avLst/>
                    </a:prstGeom>
                    <a:noFill/>
                    <a:ln w="9525">
                      <a:noFill/>
                      <a:headEnd/>
                      <a:tailEnd/>
                    </a:ln>
                  </pic:spPr>
                </pic:pic>
              </a:graphicData>
            </a:graphic>
          </wp:inline>
        </w:drawing>
      </w:r>
    </w:p>
    <w:p>
      <w:pPr>
        <w:pStyle w:val="ImageCaption"/>
      </w:pPr>
      <w:r>
        <w:t xml:space="preserve">The topology discovery model: what the forest, each domain and the sites configuration contribute to the topology record.</w:t>
      </w:r>
    </w:p>
    <w:bookmarkEnd w:id="598"/>
    <w:bookmarkEnd w:id="599"/>
    <w:bookmarkStart w:id="600" w:name="prerequisites"/>
    <w:p>
      <w:pPr>
        <w:pStyle w:val="Heading2"/>
      </w:pPr>
      <w:bookmarkStart w:id="1440" w:name="_Toc00001440"/>
      <w:r>
        <w:t xml:space="preserve">Prerequisites</w:t>
      </w:r>
      <w:bookmarkEnd w:id="1440"/>
    </w:p>
    <w:bookmarkEnd w:id="600"/>
    <w:bookmarkStart w:id="601" w:name="illustrative-code-3"/>
    <w:p>
      <w:pPr>
        <w:pStyle w:val="Heading2"/>
      </w:pPr>
      <w:bookmarkStart w:id="1441" w:name="_Toc00001441"/>
      <w:r>
        <w:t xml:space="preserve">Illustrative code</w:t>
      </w:r>
      <w:bookmarkEnd w:id="1441"/>
    </w:p>
    <w:p>
      <w:pPr>
        <w:pStyle w:val="FirstParagraph"/>
      </w:pPr>
      <w:r>
        <w:t xml:space="preserve">The PowerShell in this chapter is illustrative. It hasn’t been tested against a production forest. Review it, and run it first in a test forest with the narrow rights described below. Complete functions are in Appendix B.</w:t>
      </w:r>
    </w:p>
    <w:bookmarkEnd w:id="601"/>
    <w:bookmarkStart w:id="616" w:name="platform-and-modules"/>
    <w:p>
      <w:pPr>
        <w:pStyle w:val="Heading3"/>
      </w:pPr>
      <w:r>
        <w:t xml:space="preserve">Platform and modules</w:t>
      </w:r>
    </w:p>
    <w:p>
      <w:pPr>
        <w:pStyle w:val="FirstParagraph"/>
      </w:pPr>
      <w:r>
        <w:t xml:space="preserve">The assessment host is a domain-joined Windows Server 2025 or Windows 11 machine with the Remote Server Administration Tools (RSAT). Both report OS build 26100 or later (Windows 11 version 25H2 reports 26200), which is what the prerequisite check tests for.</w:t>
      </w:r>
      <w:r>
        <w:rPr>
          <w:rStyle w:val="FootnoteReference"/>
        </w:rPr>
        <w:footnoteReference w:id="602"/>
      </w:r>
      <w:r>
        <w:t xml:space="preserve"> </w:t>
      </w:r>
      <w:r>
        <w:t xml:space="preserve">On Windows client, RSAT tools are Features on Demand; on Windows Server they are features installed with</w:t>
      </w:r>
      <w:r>
        <w:t xml:space="preserve"> </w:t>
      </w:r>
      <w:r>
        <w:rPr>
          <w:rStyle w:val="VerbatimChar"/>
        </w:rPr>
        <w:t xml:space="preserve">Install-WindowsFeature</w:t>
      </w:r>
      <w:r>
        <w:t xml:space="preserve">.</w:t>
      </w:r>
      <w:r>
        <w:rPr>
          <w:rStyle w:val="FootnoteReference"/>
        </w:rPr>
        <w:footnoteReference w:id="605"/>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Module or tool</w:t>
            </w:r>
          </w:p>
        </w:tc>
        <w:tc>
          <w:tcPr/>
          <w:p>
            <w:pPr>
              <w:pStyle w:val="Compact"/>
            </w:pPr>
            <w:r>
              <w:t xml:space="preserve">Used for</w:t>
            </w:r>
          </w:p>
        </w:tc>
        <w:tc>
          <w:tcPr/>
          <w:p>
            <w:pPr>
              <w:pStyle w:val="Compact"/>
            </w:pPr>
            <w:r>
              <w:t xml:space="preserve">Windows client (Feature on Demand)</w:t>
            </w:r>
          </w:p>
        </w:tc>
        <w:tc>
          <w:tcPr/>
          <w:p>
            <w:pPr>
              <w:pStyle w:val="Compact"/>
            </w:pPr>
            <w:r>
              <w:t xml:space="preserve">Windows Server</w:t>
            </w:r>
          </w:p>
        </w:tc>
      </w:tr>
      <w:tr>
        <w:tc>
          <w:tcPr/>
          <w:p>
            <w:pPr>
              <w:pStyle w:val="Compact"/>
            </w:pPr>
            <w:r>
              <w:t xml:space="preserve">ActiveDirectory</w:t>
            </w:r>
          </w:p>
        </w:tc>
        <w:tc>
          <w:tcPr/>
          <w:p>
            <w:pPr>
              <w:pStyle w:val="Compact"/>
            </w:pPr>
            <w:r>
              <w:t xml:space="preserve">Forest, domain, object and trust queries</w:t>
            </w:r>
          </w:p>
        </w:tc>
        <w:tc>
          <w:tcPr/>
          <w:p>
            <w:pPr>
              <w:pStyle w:val="Compact"/>
            </w:pPr>
            <w:r>
              <w:rPr>
                <w:rStyle w:val="VerbatimChar"/>
              </w:rPr>
              <w:t xml:space="preserve">Rsat.ActiveDirectory.DS-LDS.Tools~~~~0.0.1.0</w:t>
            </w:r>
          </w:p>
        </w:tc>
        <w:tc>
          <w:tcPr/>
          <w:p>
            <w:pPr>
              <w:pStyle w:val="Compact"/>
            </w:pPr>
            <w:r>
              <w:rPr>
                <w:rStyle w:val="VerbatimChar"/>
              </w:rPr>
              <w:t xml:space="preserve">RSAT-AD-PowerShell</w:t>
            </w:r>
          </w:p>
        </w:tc>
      </w:tr>
      <w:tr>
        <w:tc>
          <w:tcPr/>
          <w:p>
            <w:pPr>
              <w:pStyle w:val="Compact"/>
            </w:pPr>
            <w:r>
              <w:t xml:space="preserve">GroupPolicy</w:t>
            </w:r>
          </w:p>
        </w:tc>
        <w:tc>
          <w:tcPr/>
          <w:p>
            <w:pPr>
              <w:pStyle w:val="Compact"/>
            </w:pPr>
            <w:r>
              <w:t xml:space="preserve">GPO inventory, reports, links, permissions, backup</w:t>
            </w:r>
          </w:p>
        </w:tc>
        <w:tc>
          <w:tcPr/>
          <w:p>
            <w:pPr>
              <w:pStyle w:val="Compact"/>
            </w:pPr>
            <w:r>
              <w:rPr>
                <w:rStyle w:val="VerbatimChar"/>
              </w:rPr>
              <w:t xml:space="preserve">Rsat.GroupPolicy.Management.Tools~~~~0.0.1.0</w:t>
            </w:r>
          </w:p>
        </w:tc>
        <w:tc>
          <w:tcPr/>
          <w:p>
            <w:pPr>
              <w:pStyle w:val="Compact"/>
            </w:pPr>
            <w:r>
              <w:rPr>
                <w:rStyle w:val="VerbatimChar"/>
              </w:rPr>
              <w:t xml:space="preserve">GPMC</w:t>
            </w:r>
          </w:p>
        </w:tc>
      </w:tr>
      <w:tr>
        <w:tc>
          <w:tcPr/>
          <w:p>
            <w:pPr>
              <w:pStyle w:val="Compact"/>
            </w:pPr>
            <w:r>
              <w:t xml:space="preserve">DnsServer</w:t>
            </w:r>
          </w:p>
        </w:tc>
        <w:tc>
          <w:tcPr/>
          <w:p>
            <w:pPr>
              <w:pStyle w:val="Compact"/>
            </w:pPr>
            <w:r>
              <w:t xml:space="preserve">Zone, record, DNSSEC and scavenging queries</w:t>
            </w:r>
          </w:p>
        </w:tc>
        <w:tc>
          <w:tcPr/>
          <w:p>
            <w:pPr>
              <w:pStyle w:val="Compact"/>
            </w:pPr>
            <w:r>
              <w:rPr>
                <w:rStyle w:val="VerbatimChar"/>
              </w:rPr>
              <w:t xml:space="preserve">Rsat.Dns.Tools~~~~0.0.1.0</w:t>
            </w:r>
          </w:p>
        </w:tc>
        <w:tc>
          <w:tcPr/>
          <w:p>
            <w:pPr>
              <w:pStyle w:val="Compact"/>
            </w:pPr>
            <w:r>
              <w:rPr>
                <w:rStyle w:val="VerbatimChar"/>
              </w:rPr>
              <w:t xml:space="preserve">RSAT-DNS-Server</w:t>
            </w:r>
          </w:p>
        </w:tc>
      </w:tr>
      <w:tr>
        <w:tc>
          <w:tcPr/>
          <w:p>
            <w:pPr>
              <w:pStyle w:val="Compact"/>
            </w:pPr>
            <w:r>
              <w:t xml:space="preserve">AD CS tools</w:t>
            </w:r>
          </w:p>
        </w:tc>
        <w:tc>
          <w:tcPr/>
          <w:p>
            <w:pPr>
              <w:pStyle w:val="Compact"/>
            </w:pPr>
            <w:r>
              <w:t xml:space="preserve">CA and template snap-ins,</w:t>
            </w:r>
            <w:r>
              <w:t xml:space="preserve"> </w:t>
            </w:r>
            <w:r>
              <w:rPr>
                <w:rStyle w:val="VerbatimChar"/>
              </w:rPr>
              <w:t xml:space="preserve">certutil</w:t>
            </w:r>
            <w:r>
              <w:t xml:space="preserve"> </w:t>
            </w:r>
            <w:r>
              <w:t xml:space="preserve">against remote CAs</w:t>
            </w:r>
          </w:p>
        </w:tc>
        <w:tc>
          <w:tcPr/>
          <w:p>
            <w:pPr>
              <w:pStyle w:val="Compact"/>
            </w:pPr>
            <w:r>
              <w:rPr>
                <w:rStyle w:val="VerbatimChar"/>
              </w:rPr>
              <w:t xml:space="preserve">Rsat.CertificateServices.Tools~~~~0.0.1.0</w:t>
            </w:r>
          </w:p>
        </w:tc>
        <w:tc>
          <w:tcPr/>
          <w:p>
            <w:pPr>
              <w:pStyle w:val="Compact"/>
            </w:pPr>
            <w:r>
              <w:t xml:space="preserve">AD CS management tools</w:t>
            </w:r>
          </w:p>
        </w:tc>
      </w:tr>
      <w:tr>
        <w:tc>
          <w:tcPr/>
          <w:p>
            <w:pPr>
              <w:pStyle w:val="Compact"/>
            </w:pPr>
            <w:r>
              <w:t xml:space="preserve">PSPKI (optional)</w:t>
            </w:r>
          </w:p>
        </w:tc>
        <w:tc>
          <w:tcPr/>
          <w:p>
            <w:pPr>
              <w:pStyle w:val="Compact"/>
            </w:pPr>
            <w:r>
              <w:t xml:space="preserve">Convenience cmdlets for CAs and templates</w:t>
            </w:r>
          </w:p>
        </w:tc>
        <w:tc>
          <w:tcPr/>
          <w:p>
            <w:pPr>
              <w:pStyle w:val="Compact"/>
            </w:pPr>
            <w:r>
              <w:rPr>
                <w:rStyle w:val="VerbatimChar"/>
              </w:rPr>
              <w:t xml:space="preserve">Install-Module PSPKI -Scope CurrentUser</w:t>
            </w:r>
          </w:p>
        </w:tc>
        <w:tc>
          <w:tcPr/>
          <w:p>
            <w:pPr>
              <w:pStyle w:val="Compact"/>
            </w:pPr>
            <w:r>
              <w:t xml:space="preserve">Same</w:t>
            </w:r>
          </w:p>
        </w:tc>
      </w:tr>
    </w:tbl>
    <w:p>
      <w:pPr>
        <w:pStyle w:val="BodyText"/>
      </w:pPr>
      <w:r>
        <w:t xml:space="preserve">The client capability names are as Microsoft publishes them.</w:t>
      </w:r>
      <w:r>
        <w:rPr>
          <w:rStyle w:val="FootnoteReference"/>
        </w:rPr>
        <w:footnoteReference w:id="607"/>
      </w:r>
      <w:r>
        <w:t xml:space="preserve"> </w:t>
      </w:r>
      <w:r>
        <w:t xml:space="preserve">On Windows Server, run</w:t>
      </w:r>
      <w:r>
        <w:t xml:space="preserve"> </w:t>
      </w:r>
      <w:r>
        <w:rPr>
          <w:rStyle w:val="VerbatimChar"/>
        </w:rPr>
        <w:t xml:space="preserve">Get-WindowsFeature -Name RSAT*</w:t>
      </w:r>
      <w:r>
        <w:t xml:space="preserve"> </w:t>
      </w:r>
      <w:r>
        <w:t xml:space="preserve">and confirm the exact feature names before scripting the install; Microsoft’s guidance shows that discovery step and the</w:t>
      </w:r>
      <w:r>
        <w:t xml:space="preserve"> </w:t>
      </w:r>
      <w:r>
        <w:rPr>
          <w:rStyle w:val="VerbatimChar"/>
        </w:rPr>
        <w:t xml:space="preserve">RSAT-AD-PowerShell</w:t>
      </w:r>
      <w:r>
        <w:t xml:space="preserve"> </w:t>
      </w:r>
      <w:r>
        <w:t xml:space="preserve">name.</w:t>
      </w:r>
      <w:r>
        <w:rPr>
          <w:rStyle w:val="FootnoteReference"/>
        </w:rPr>
        <w:footnoteReference w:id="609"/>
      </w:r>
      <w:r>
        <w:rPr>
          <w:rStyle w:val="FootnoteReference"/>
        </w:rPr>
        <w:footnoteReference w:id="610"/>
      </w:r>
    </w:p>
    <w:p>
      <w:pPr>
        <w:pStyle w:val="BodyText"/>
      </w:pPr>
      <w:r>
        <w:t xml:space="preserve">Two corrections to the source design. First, the</w:t>
      </w:r>
      <w:r>
        <w:t xml:space="preserve"> </w:t>
      </w:r>
      <w:r>
        <w:rPr>
          <w:rStyle w:val="VerbatimChar"/>
        </w:rPr>
        <w:t xml:space="preserve">ADCSAdministration</w:t>
      </w:r>
      <w:r>
        <w:t xml:space="preserve"> </w:t>
      </w:r>
      <w:r>
        <w:t xml:space="preserve">module, which the source listed as required, isn’t used by any assessment function; it manages a local CA role and isn’t needed on the assessment host. Second, PSPKI is now optional. Its publisher says it no longer actively supports or updates the module, although version 4.4.1 was still published to the PowerShell Gallery in June 2026.</w:t>
      </w:r>
      <w:r>
        <w:rPr>
          <w:rStyle w:val="FootnoteReference"/>
        </w:rPr>
        <w:footnoteReference w:id="612"/>
      </w:r>
      <w:r>
        <w:rPr>
          <w:rStyle w:val="FootnoteReference"/>
        </w:rPr>
        <w:footnoteReference w:id="614"/>
      </w:r>
      <w:r>
        <w:t xml:space="preserve"> </w:t>
      </w:r>
      <w:r>
        <w:t xml:space="preserve">The collectors in this chapter read AD CS configuration directly from the directory and from</w:t>
      </w:r>
      <w:r>
        <w:t xml:space="preserve"> </w:t>
      </w:r>
      <w:r>
        <w:rPr>
          <w:rStyle w:val="VerbatimChar"/>
        </w:rPr>
        <w:t xml:space="preserve">certutil</w:t>
      </w:r>
      <w:r>
        <w:t xml:space="preserve">, and use PSPKI only where it’s installed and approved.</w:t>
      </w:r>
    </w:p>
    <w:bookmarkEnd w:id="616"/>
    <w:bookmarkStart w:id="622" w:name="rights"/>
    <w:p>
      <w:pPr>
        <w:pStyle w:val="Heading3"/>
      </w:pPr>
      <w:r>
        <w:t xml:space="preserve">Rights</w:t>
      </w:r>
    </w:p>
    <w:p>
      <w:pPr>
        <w:pStyle w:val="FirstParagraph"/>
      </w:pPr>
      <w:r>
        <w:t xml:space="preserve">Most of the forest is readable by any authenticated user. The parts that aren’t are the reason this chapter exists.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Collector</w:t>
            </w:r>
          </w:p>
        </w:tc>
        <w:tc>
          <w:tcPr/>
          <w:p>
            <w:pPr>
              <w:pStyle w:val="Compact"/>
            </w:pPr>
            <w:r>
              <w:t xml:space="preserve">Minimum rights</w:t>
            </w:r>
          </w:p>
        </w:tc>
        <w:tc>
          <w:tcPr/>
          <w:p>
            <w:pPr>
              <w:pStyle w:val="Compact"/>
            </w:pPr>
            <w:r>
              <w:t xml:space="preserve">Notes</w:t>
            </w:r>
          </w:p>
        </w:tc>
      </w:tr>
      <w:tr>
        <w:tc>
          <w:tcPr/>
          <w:p>
            <w:pPr>
              <w:pStyle w:val="Compact"/>
            </w:pPr>
            <w:r>
              <w:rPr>
                <w:rStyle w:val="VerbatimChar"/>
              </w:rPr>
              <w:t xml:space="preserve">Get-FMPForestTopology</w:t>
            </w:r>
          </w:p>
        </w:tc>
        <w:tc>
          <w:tcPr/>
          <w:p>
            <w:pPr>
              <w:pStyle w:val="Compact"/>
            </w:pPr>
            <w:r>
              <w:t xml:space="preserve">Authenticated user</w:t>
            </w:r>
          </w:p>
        </w:tc>
        <w:tc>
          <w:tcPr/>
          <w:p>
            <w:pPr>
              <w:pStyle w:val="Compact"/>
            </w:pPr>
            <w:r>
              <w:t xml:space="preserve">Forest, domain, site and DC metadata are readable by default</w:t>
            </w:r>
          </w:p>
        </w:tc>
      </w:tr>
      <w:tr>
        <w:tc>
          <w:tcPr/>
          <w:p>
            <w:pPr>
              <w:pStyle w:val="Compact"/>
            </w:pPr>
            <w:r>
              <w:rPr>
                <w:rStyle w:val="VerbatimChar"/>
              </w:rPr>
              <w:t xml:space="preserve">Get-FMPOUHierarchy</w:t>
            </w:r>
          </w:p>
        </w:tc>
        <w:tc>
          <w:tcPr/>
          <w:p>
            <w:pPr>
              <w:pStyle w:val="Compact"/>
            </w:pPr>
            <w:r>
              <w:t xml:space="preserve">Read on OUs; read permissions on their security descriptors</w:t>
            </w:r>
          </w:p>
        </w:tc>
        <w:tc>
          <w:tcPr/>
          <w:p>
            <w:pPr>
              <w:pStyle w:val="Compact"/>
            </w:pPr>
            <w:r>
              <w:t xml:space="preserve">Some ACLs need explicit read-permissions rights</w:t>
            </w:r>
          </w:p>
        </w:tc>
      </w:tr>
      <w:tr>
        <w:tc>
          <w:tcPr/>
          <w:p>
            <w:pPr>
              <w:pStyle w:val="Compact"/>
            </w:pPr>
            <w:r>
              <w:rPr>
                <w:rStyle w:val="VerbatimChar"/>
              </w:rPr>
              <w:t xml:space="preserve">Get-FMPGPOInventory</w:t>
            </w:r>
          </w:p>
        </w:tc>
        <w:tc>
          <w:tcPr/>
          <w:p>
            <w:pPr>
              <w:pStyle w:val="Compact"/>
            </w:pPr>
            <w:r>
              <w:t xml:space="preserve">Read on GPOs and SYSVOL; GPO backup rights</w:t>
            </w:r>
          </w:p>
        </w:tc>
        <w:tc>
          <w:tcPr/>
          <w:p>
            <w:pPr>
              <w:pStyle w:val="Compact"/>
            </w:pPr>
            <w:r>
              <w:t xml:space="preserve">Backup needs explicit delegation</w:t>
            </w:r>
          </w:p>
        </w:tc>
      </w:tr>
      <w:tr>
        <w:tc>
          <w:tcPr/>
          <w:p>
            <w:pPr>
              <w:pStyle w:val="Compact"/>
            </w:pPr>
            <w:r>
              <w:rPr>
                <w:rStyle w:val="VerbatimChar"/>
              </w:rPr>
              <w:t xml:space="preserve">Get-FMPDNSAssessment</w:t>
            </w:r>
          </w:p>
        </w:tc>
        <w:tc>
          <w:tcPr/>
          <w:p>
            <w:pPr>
              <w:pStyle w:val="Compact"/>
            </w:pPr>
            <w:r>
              <w:t xml:space="preserve">Read permission on each DNS server</w:t>
            </w:r>
          </w:p>
        </w:tc>
        <w:tc>
          <w:tcPr/>
          <w:p>
            <w:pPr>
              <w:pStyle w:val="Compact"/>
            </w:pPr>
            <w:r>
              <w:t xml:space="preserve">Delegate read on the server; don’t use DnsAdmins (see below)</w:t>
            </w:r>
          </w:p>
        </w:tc>
      </w:tr>
      <w:tr>
        <w:tc>
          <w:tcPr/>
          <w:p>
            <w:pPr>
              <w:pStyle w:val="Compact"/>
            </w:pPr>
            <w:r>
              <w:rPr>
                <w:rStyle w:val="VerbatimChar"/>
              </w:rPr>
              <w:t xml:space="preserve">Get-FMPPKIAssessment</w:t>
            </w:r>
          </w:p>
        </w:tc>
        <w:tc>
          <w:tcPr/>
          <w:p>
            <w:pPr>
              <w:pStyle w:val="Compact"/>
            </w:pPr>
            <w:r>
              <w:t xml:space="preserve">Read on the Public Key Services containers; read on each CA</w:t>
            </w:r>
          </w:p>
        </w:tc>
        <w:tc>
          <w:tcPr/>
          <w:p>
            <w:pPr>
              <w:pStyle w:val="Compact"/>
            </w:pPr>
            <w:r>
              <w:rPr>
                <w:rStyle w:val="VerbatimChar"/>
              </w:rPr>
              <w:t xml:space="preserve">certutil -getreg</w:t>
            </w:r>
            <w:r>
              <w:t xml:space="preserve"> </w:t>
            </w:r>
            <w:r>
              <w:t xml:space="preserve">against a CA can need CA-level rights</w:t>
            </w:r>
          </w:p>
        </w:tc>
      </w:tr>
      <w:tr>
        <w:tc>
          <w:tcPr/>
          <w:p>
            <w:pPr>
              <w:pStyle w:val="Compact"/>
            </w:pPr>
            <w:r>
              <w:rPr>
                <w:rStyle w:val="VerbatimChar"/>
              </w:rPr>
              <w:t xml:space="preserve">Get-FMPComputerInventory</w:t>
            </w:r>
          </w:p>
        </w:tc>
        <w:tc>
          <w:tcPr/>
          <w:p>
            <w:pPr>
              <w:pStyle w:val="Compact"/>
            </w:pPr>
            <w:r>
              <w:t xml:space="preserve">Authenticated user</w:t>
            </w:r>
          </w:p>
        </w:tc>
        <w:tc>
          <w:tcPr/>
          <w:p>
            <w:pPr>
              <w:pStyle w:val="Compact"/>
            </w:pPr>
            <w:r>
              <w:t xml:space="preserve">Delegation attributes are readable by default</w:t>
            </w:r>
          </w:p>
        </w:tc>
      </w:tr>
      <w:tr>
        <w:tc>
          <w:tcPr/>
          <w:p>
            <w:pPr>
              <w:pStyle w:val="Compact"/>
            </w:pPr>
            <w:r>
              <w:rPr>
                <w:rStyle w:val="VerbatimChar"/>
              </w:rPr>
              <w:t xml:space="preserve">Get-FMPUserInventory</w:t>
            </w:r>
            <w:r>
              <w:t xml:space="preserve">,</w:t>
            </w:r>
            <w:r>
              <w:t xml:space="preserve"> </w:t>
            </w:r>
            <w:r>
              <w:rPr>
                <w:rStyle w:val="VerbatimChar"/>
              </w:rPr>
              <w:t xml:space="preserve">Get-FMPGroupInventory</w:t>
            </w:r>
          </w:p>
        </w:tc>
        <w:tc>
          <w:tcPr/>
          <w:p>
            <w:pPr>
              <w:pStyle w:val="Compact"/>
            </w:pPr>
            <w:r>
              <w:t xml:space="preserve">Authenticated user</w:t>
            </w:r>
          </w:p>
        </w:tc>
        <w:tc>
          <w:tcPr/>
          <w:p>
            <w:pPr>
              <w:pStyle w:val="Compact"/>
            </w:pPr>
            <w:r>
              <w:t xml:space="preserve">Recursive expansion is slow in large forests</w:t>
            </w:r>
          </w:p>
        </w:tc>
      </w:tr>
      <w:tr>
        <w:tc>
          <w:tcPr/>
          <w:p>
            <w:pPr>
              <w:pStyle w:val="Compact"/>
            </w:pPr>
            <w:r>
              <w:rPr>
                <w:rStyle w:val="VerbatimChar"/>
              </w:rPr>
              <w:t xml:space="preserve">Get-FMPTrustMap</w:t>
            </w:r>
          </w:p>
        </w:tc>
        <w:tc>
          <w:tcPr/>
          <w:p>
            <w:pPr>
              <w:pStyle w:val="Compact"/>
            </w:pPr>
            <w:r>
              <w:t xml:space="preserve">Authenticated user to enumerate; Domain Admins to verify</w:t>
            </w:r>
          </w:p>
        </w:tc>
        <w:tc>
          <w:tcPr/>
          <w:p>
            <w:pPr>
              <w:pStyle w:val="Compact"/>
            </w:pPr>
            <w:r>
              <w:rPr>
                <w:rStyle w:val="VerbatimChar"/>
              </w:rPr>
              <w:t xml:space="preserve">netdom</w:t>
            </w:r>
            <w:r>
              <w:t xml:space="preserve"> </w:t>
            </w:r>
            <w:r>
              <w:t xml:space="preserve">verification needs administrative credentials</w:t>
            </w:r>
          </w:p>
        </w:tc>
      </w:tr>
    </w:tbl>
    <w:p>
      <w:pPr>
        <w:pStyle w:val="BodyText"/>
      </w:pPr>
      <w:r>
        <w:t xml:space="preserve">The source guide recommended adding the assessment account to</w:t>
      </w:r>
      <w:r>
        <w:t xml:space="preserve"> </w:t>
      </w:r>
      <w:r>
        <w:rPr>
          <w:b/>
          <w:bCs/>
        </w:rPr>
        <w:t xml:space="preserve">DnsAdmins</w:t>
      </w:r>
      <w:r>
        <w:t xml:space="preserve"> </w:t>
      </w:r>
      <w:r>
        <w:t xml:space="preserve">for DNS read access. Don’t. Microsoft treats DnsAdmins as a privileged group, because its members have administrative control over the DNS Server service, and Defender for Identity flags non-privileged members as a risk.</w:t>
      </w:r>
      <w:r>
        <w:rPr>
          <w:rStyle w:val="FootnoteReference"/>
        </w:rPr>
        <w:footnoteReference w:id="617"/>
      </w:r>
      <w:r>
        <w:t xml:space="preserve"> </w:t>
      </w:r>
      <w:r>
        <w:t xml:space="preserve">Grant read permission on the DNS server object to a dedicated group instead. The same reasoning applies to the source’s</w:t>
      </w:r>
      <w:r>
        <w:t xml:space="preserve"> </w:t>
      </w:r>
      <w:r>
        <w:t xml:space="preserve">“Domain Admin for initial discovery.”</w:t>
      </w:r>
      <w:r>
        <w:t xml:space="preserve"> </w:t>
      </w:r>
      <w:r>
        <w:t xml:space="preserve">The program’s position is that no assessment run uses a standing Domain Admins account; trust verification is the only step that needs those rights, and it runs separately under a just-in-time elevation.</w:t>
      </w:r>
    </w:p>
    <w:p>
      <w:pPr>
        <w:pStyle w:val="BodyText"/>
      </w:pPr>
      <w:r>
        <w:t xml:space="preserve">Trust verification needs those credentials because</w:t>
      </w:r>
      <w:r>
        <w:t xml:space="preserve"> </w:t>
      </w:r>
      <w:r>
        <w:rPr>
          <w:rStyle w:val="VerbatimChar"/>
        </w:rPr>
        <w:t xml:space="preserve">netdom</w:t>
      </w:r>
      <w:r>
        <w:t xml:space="preserve"> </w:t>
      </w:r>
      <w:r>
        <w:t xml:space="preserve">requires domain administrator credentials for accurate verification.</w:t>
      </w:r>
      <w:r>
        <w:rPr>
          <w:rStyle w:val="FootnoteReference"/>
        </w:rPr>
        <w:footnoteReference w:id="619"/>
      </w:r>
    </w:p>
    <w:bookmarkEnd w:id="622"/>
    <w:bookmarkStart w:id="623" w:name="output-layout"/>
    <w:p>
      <w:pPr>
        <w:pStyle w:val="Heading3"/>
      </w:pPr>
      <w:r>
        <w:t xml:space="preserve">Output layout</w:t>
      </w:r>
    </w:p>
    <w:p>
      <w:pPr>
        <w:pStyle w:val="FirstParagraph"/>
      </w:pPr>
      <w:r>
        <w:t xml:space="preserve">Every run writes to the same tree, rooted at the domain’s DNS name, so runs compare file by file:</w:t>
      </w:r>
    </w:p>
    <w:p>
      <w:pPr>
        <w:pStyle w:val="SourceCode"/>
      </w:pPr>
      <w:r>
        <w:rPr>
          <w:rStyle w:val="VerbatimChar"/>
        </w:rPr>
        <w:t xml:space="preserve">D:\FMP\Assessment\&lt;domain&gt;\</w:t>
      </w:r>
      <w:r>
        <w:br/>
      </w:r>
      <w:r>
        <w:rPr>
          <w:rStyle w:val="VerbatimChar"/>
        </w:rPr>
        <w:t xml:space="preserve">├── AssessmentManifest.json</w:t>
      </w:r>
      <w:r>
        <w:br/>
      </w:r>
      <w:r>
        <w:rPr>
          <w:rStyle w:val="VerbatimChar"/>
        </w:rPr>
        <w:t xml:space="preserve">├── Forest\     ForestTopology.json, ForestInfo.json, Sites.json, SiteLinks.json, Subnets.json, FSMORoles.json</w:t>
      </w:r>
      <w:r>
        <w:br/>
      </w:r>
      <w:r>
        <w:rPr>
          <w:rStyle w:val="VerbatimChar"/>
        </w:rPr>
        <w:t xml:space="preserve">├── Domains\    AllDomains.json, &lt;domain&gt;.json, DomainControllers.json</w:t>
      </w:r>
      <w:r>
        <w:br/>
      </w:r>
      <w:r>
        <w:rPr>
          <w:rStyle w:val="VerbatimChar"/>
        </w:rPr>
        <w:t xml:space="preserve">├── OUs\        OUHierarchy.json, OUFlatList.csv, OUFlatExport.json, OUGPOLinks.json, OUDelegations.json, OUTreeVisual.txt</w:t>
      </w:r>
      <w:r>
        <w:br/>
      </w:r>
      <w:r>
        <w:rPr>
          <w:rStyle w:val="VerbatimChar"/>
        </w:rPr>
        <w:t xml:space="preserve">├── GPOs\       GPOInventory.json, GPOLinks.json, GPOEmpty.json, GPOConflicts.json, GPOPermissions.json,</w:t>
      </w:r>
      <w:r>
        <w:br/>
      </w:r>
      <w:r>
        <w:rPr>
          <w:rStyle w:val="VerbatimChar"/>
        </w:rPr>
        <w:t xml:space="preserve">│               GPOSettingsDecomposed.json</w:t>
      </w:r>
      <w:r>
        <w:br/>
      </w:r>
      <w:r>
        <w:rPr>
          <w:rStyle w:val="VerbatimChar"/>
        </w:rPr>
        <w:t xml:space="preserve">│   ├── GPOSettings\   &lt;GUID&gt;.xml, &lt;GUID&gt;.html</w:t>
      </w:r>
      <w:r>
        <w:br/>
      </w:r>
      <w:r>
        <w:rPr>
          <w:rStyle w:val="VerbatimChar"/>
        </w:rPr>
        <w:t xml:space="preserve">│   └── GPOBackups\</w:t>
      </w:r>
      <w:r>
        <w:br/>
      </w:r>
      <w:r>
        <w:rPr>
          <w:rStyle w:val="VerbatimChar"/>
        </w:rPr>
        <w:t xml:space="preserve">├── DNS\        DNSInventory.json, DNSHealthReport.json, DNSRecordInventory.json</w:t>
      </w:r>
      <w:r>
        <w:br/>
      </w:r>
      <w:r>
        <w:rPr>
          <w:rStyle w:val="VerbatimChar"/>
        </w:rPr>
        <w:t xml:space="preserve">├── PKI\        PKIInventory.json, PKISecurityReport.json, &lt;CA name&gt;.cer</w:t>
      </w:r>
      <w:r>
        <w:br/>
      </w:r>
      <w:r>
        <w:rPr>
          <w:rStyle w:val="VerbatimChar"/>
        </w:rPr>
        <w:t xml:space="preserve">├── Objects\    ComputerInventory.json, ComputersByOS.csv, StaleComputers.csv, DelegationReport.csv,</w:t>
      </w:r>
      <w:r>
        <w:br/>
      </w:r>
      <w:r>
        <w:rPr>
          <w:rStyle w:val="VerbatimChar"/>
        </w:rPr>
        <w:t xml:space="preserve">│               UserInventory.json, PrivilegedUsers.csv, AdminCountReport.csv, ServiceAccounts.csv,</w:t>
      </w:r>
      <w:r>
        <w:br/>
      </w:r>
      <w:r>
        <w:rPr>
          <w:rStyle w:val="VerbatimChar"/>
        </w:rPr>
        <w:t xml:space="preserve">│               GroupInventory.json, CircularGroups.json</w:t>
      </w:r>
      <w:r>
        <w:br/>
      </w:r>
      <w:r>
        <w:rPr>
          <w:rStyle w:val="VerbatimChar"/>
        </w:rPr>
        <w:t xml:space="preserve">├── Trusts\     TrustMap.json</w:t>
      </w:r>
      <w:r>
        <w:br/>
      </w:r>
      <w:r>
        <w:rPr>
          <w:rStyle w:val="VerbatimChar"/>
        </w:rPr>
        <w:t xml:space="preserve">└── ServiceAccounts\   MSAInventory.json, gMSAInventory.json</w:t>
      </w:r>
    </w:p>
    <w:p>
      <w:pPr>
        <w:pStyle w:val="FirstParagraph"/>
      </w:pPr>
      <w:r>
        <w:rPr>
          <w:rStyle w:val="VerbatimChar"/>
        </w:rPr>
        <w:t xml:space="preserve">Test-FMPPrerequisites</w:t>
      </w:r>
      <w:r>
        <w:t xml:space="preserve"> </w:t>
      </w:r>
      <w:r>
        <w:t xml:space="preserve">in Appendix B checks the OS build, the modules, forest connectivity and the output root, and returns a pass or fail row for each.</w:t>
      </w:r>
    </w:p>
    <w:bookmarkEnd w:id="623"/>
    <w:bookmarkStart w:id="644" w:name="forest-and-domain-topology"/>
    <w:p>
      <w:pPr>
        <w:pStyle w:val="Heading2"/>
      </w:pPr>
      <w:bookmarkStart w:id="1442" w:name="_Toc00001442"/>
      <w:r>
        <w:t xml:space="preserve">Forest and domain topology</w:t>
      </w:r>
      <w:bookmarkEnd w:id="1442"/>
    </w:p>
    <w:p>
      <w:pPr>
        <w:pStyle w:val="FirstParagraph"/>
      </w:pPr>
      <w:r>
        <w:t xml:space="preserve">Topology discovery records the shape of the forest before anything inside it. It answers the questions that size every later decision: how many domains, at what functional level, with how many domain controllers in how many sites, and which controllers hold the operations master roles.</w:t>
      </w:r>
    </w:p>
    <w:bookmarkStart w:id="629" w:name="operations-master-roles"/>
    <w:p>
      <w:pPr>
        <w:pStyle w:val="Heading3"/>
      </w:pPr>
      <w:r>
        <w:t xml:space="preserve">Operations master roles</w:t>
      </w:r>
    </w:p>
    <w:p>
      <w:pPr>
        <w:pStyle w:val="FirstParagraph"/>
      </w:pPr>
      <w:r>
        <w:t xml:space="preserve">Active Directory has five operations master (FSMO) roles. Two are forest-wide and exist once per forest: the schema master and the domain naming master. Three are domain-wide and exist once in every domain: the PDC emulator, the RID master and the infrastructure master.</w:t>
      </w:r>
      <w:r>
        <w:rPr>
          <w:rStyle w:val="FootnoteReference"/>
        </w:rPr>
        <w:footnoteReference w:id="624"/>
      </w:r>
      <w:r>
        <w:t xml:space="preserve"> </w:t>
      </w:r>
      <w:r>
        <w:t xml:space="preserve">The PDC emulator in the forest root domain is also the authoritative time source for the forest.</w:t>
      </w:r>
      <w:r>
        <w:rPr>
          <w:rStyle w:val="FootnoteReference"/>
        </w:rPr>
        <w:footnoteReference w:id="626"/>
      </w:r>
      <w:r>
        <w:t xml:space="preserve"> </w:t>
      </w:r>
      <w:r>
        <w:t xml:space="preserve">A three-domain forest therefore has eleven role holders to record, not five.</w:t>
      </w:r>
    </w:p>
    <w:p>
      <w:pPr>
        <w:pStyle w:val="BodyText"/>
      </w:pPr>
      <w:r>
        <w:rPr>
          <w:rStyle w:val="VerbatimChar"/>
        </w:rPr>
        <w:t xml:space="preserve">Get-ADForest</w:t>
      </w:r>
      <w:r>
        <w:t xml:space="preserve"> </w:t>
      </w:r>
      <w:r>
        <w:t xml:space="preserve">returns the two forest-wide holders and</w:t>
      </w:r>
      <w:r>
        <w:t xml:space="preserve"> </w:t>
      </w:r>
      <w:r>
        <w:rPr>
          <w:rStyle w:val="VerbatimChar"/>
        </w:rPr>
        <w:t xml:space="preserve">Get-ADDomain</w:t>
      </w:r>
      <w:r>
        <w:t xml:space="preserve"> </w:t>
      </w:r>
      <w:r>
        <w:t xml:space="preserve">returns the three domain-wide holders.</w:t>
      </w:r>
      <w:r>
        <w:t xml:space="preserve"> </w:t>
      </w:r>
      <w:r>
        <w:rPr>
          <w:rStyle w:val="VerbatimChar"/>
        </w:rPr>
        <w:t xml:space="preserve">Get-ADDomainController</w:t>
      </w:r>
      <w:r>
        <w:t xml:space="preserve"> </w:t>
      </w:r>
      <w:r>
        <w:t xml:space="preserve">also returns an</w:t>
      </w:r>
      <w:r>
        <w:t xml:space="preserve"> </w:t>
      </w:r>
      <w:r>
        <w:rPr>
          <w:rStyle w:val="VerbatimChar"/>
        </w:rPr>
        <w:t xml:space="preserve">OperationMasterRoles</w:t>
      </w:r>
      <w:r>
        <w:t xml:space="preserve"> </w:t>
      </w:r>
      <w:r>
        <w:t xml:space="preserve">property for each controller, which is the simpler way to attribute roles to controllers.</w:t>
      </w:r>
      <w:r>
        <w:rPr>
          <w:rStyle w:val="FootnoteReference"/>
        </w:rPr>
        <w:footnoteReference w:id="627"/>
      </w:r>
    </w:p>
    <w:p>
      <w:pPr>
        <w:pStyle w:val="SourceCode"/>
      </w:pPr>
      <w:r>
        <w:rPr>
          <w:rStyle w:val="VariableTok"/>
        </w:rPr>
        <w:t xml:space="preserve">$forest</w:t>
      </w:r>
      <w:r>
        <w:rPr>
          <w:rStyle w:val="NormalTok"/>
        </w:rPr>
        <w:t xml:space="preserve"> </w:t>
      </w:r>
      <w:r>
        <w:rPr>
          <w:rStyle w:val="OperatorTok"/>
        </w:rPr>
        <w:t xml:space="preserve">=</w:t>
      </w:r>
      <w:r>
        <w:rPr>
          <w:rStyle w:val="NormalTok"/>
        </w:rPr>
        <w:t xml:space="preserve"> </w:t>
      </w:r>
      <w:r>
        <w:rPr>
          <w:rStyle w:val="FunctionTok"/>
        </w:rPr>
        <w:t xml:space="preserve">Get-ADForest</w:t>
      </w:r>
      <w:r>
        <w:br/>
      </w:r>
      <w:r>
        <w:rPr>
          <w:rStyle w:val="ControlFlowTok"/>
        </w:rPr>
        <w:t xml:space="preserve">foreach</w:t>
      </w:r>
      <w:r>
        <w:rPr>
          <w:rStyle w:val="NormalTok"/>
        </w:rPr>
        <w:t xml:space="preserve"> </w:t>
      </w:r>
      <w:r>
        <w:rPr>
          <w:rStyle w:val="OperatorTok"/>
        </w:rPr>
        <w:t xml:space="preserve">(</w:t>
      </w:r>
      <w:r>
        <w:rPr>
          <w:rStyle w:val="VariableTok"/>
        </w:rPr>
        <w:t xml:space="preserve">$domainDns</w:t>
      </w:r>
      <w:r>
        <w:rPr>
          <w:rStyle w:val="NormalTok"/>
        </w:rPr>
        <w:t xml:space="preserve"> </w:t>
      </w:r>
      <w:r>
        <w:rPr>
          <w:rStyle w:val="KeywordTok"/>
        </w:rPr>
        <w:t xml:space="preserve">in</w:t>
      </w:r>
      <w:r>
        <w:rPr>
          <w:rStyle w:val="NormalTok"/>
        </w:rPr>
        <w:t xml:space="preserve"> </w:t>
      </w:r>
      <w:r>
        <w:rPr>
          <w:rStyle w:val="VariableTok"/>
        </w:rPr>
        <w:t xml:space="preserve">$forest</w:t>
      </w:r>
      <w:r>
        <w:rPr>
          <w:rStyle w:val="OperatorTok"/>
        </w:rPr>
        <w:t xml:space="preserve">.</w:t>
      </w:r>
      <w:r>
        <w:rPr>
          <w:rStyle w:val="FunctionTok"/>
        </w:rPr>
        <w:t xml:space="preserve">Domains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Get-ADDomainController</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$domainDns</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HostName</w:t>
      </w:r>
      <w:r>
        <w:rPr>
          <w:rStyle w:val="OperatorTok"/>
        </w:rPr>
        <w:t xml:space="preserve">,</w:t>
      </w:r>
      <w:r>
        <w:rPr>
          <w:rStyle w:val="NormalTok"/>
        </w:rPr>
        <w:t xml:space="preserve"> Domain</w:t>
      </w:r>
      <w:r>
        <w:rPr>
          <w:rStyle w:val="OperatorTok"/>
        </w:rPr>
        <w:t xml:space="preserve">,</w:t>
      </w:r>
      <w:r>
        <w:rPr>
          <w:rStyle w:val="NormalTok"/>
        </w:rPr>
        <w:t xml:space="preserve"> Site</w:t>
      </w:r>
      <w:r>
        <w:rPr>
          <w:rStyle w:val="OperatorTok"/>
        </w:rPr>
        <w:t xml:space="preserve">,</w:t>
      </w:r>
      <w:r>
        <w:rPr>
          <w:rStyle w:val="NormalTok"/>
        </w:rPr>
        <w:t xml:space="preserve"> IPv4Address</w:t>
      </w:r>
      <w:r>
        <w:rPr>
          <w:rStyle w:val="OperatorTok"/>
        </w:rPr>
        <w:t xml:space="preserve">,</w:t>
      </w:r>
      <w:r>
        <w:br/>
      </w:r>
      <w:r>
        <w:rPr>
          <w:rStyle w:val="NormalTok"/>
        </w:rPr>
        <w:t xml:space="preserve">            OperatingSystem</w:t>
      </w:r>
      <w:r>
        <w:rPr>
          <w:rStyle w:val="OperatorTok"/>
        </w:rPr>
        <w:t xml:space="preserve">,</w:t>
      </w:r>
      <w:r>
        <w:rPr>
          <w:rStyle w:val="NormalTok"/>
        </w:rPr>
        <w:t xml:space="preserve"> IsGlobalCatalog</w:t>
      </w:r>
      <w:r>
        <w:rPr>
          <w:rStyle w:val="OperatorTok"/>
        </w:rPr>
        <w:t xml:space="preserve">,</w:t>
      </w:r>
      <w:r>
        <w:rPr>
          <w:rStyle w:val="NormalTok"/>
        </w:rPr>
        <w:t xml:space="preserve"> IsReadOnly</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'Roles'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OperationMasterRoles</w:t>
      </w:r>
      <w:r>
        <w:rPr>
          <w:rStyle w:val="NormalTok"/>
        </w:rPr>
        <w:t xml:space="preserve"> </w:t>
      </w:r>
      <w:r>
        <w:rPr>
          <w:rStyle w:val="OperatorTok"/>
        </w:rPr>
        <w:t xml:space="preserve">-join</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OperatorTok"/>
        </w:rPr>
        <w:t xml:space="preserve">}</w:t>
      </w:r>
    </w:p>
    <w:bookmarkEnd w:id="629"/>
    <w:bookmarkStart w:id="640" w:name="functional-levels"/>
    <w:p>
      <w:pPr>
        <w:pStyle w:val="Heading3"/>
      </w:pPr>
      <w:r>
        <w:t xml:space="preserve">Functional levels</w:t>
      </w:r>
    </w:p>
    <w:p>
      <w:pPr>
        <w:pStyle w:val="FirstParagraph"/>
      </w:pPr>
      <w:r>
        <w:t xml:space="preserve">Record the forest mode and every domain mode. The values tell you which domain controller operating systems the forest can accept and which features are available. The ActiveDirectory module’s</w:t>
      </w:r>
      <w:r>
        <w:t xml:space="preserve"> </w:t>
      </w:r>
      <w:r>
        <w:rPr>
          <w:rStyle w:val="VerbatimChar"/>
        </w:rPr>
        <w:t xml:space="preserve">ADForestMode</w:t>
      </w:r>
      <w:r>
        <w:t xml:space="preserve"> </w:t>
      </w:r>
      <w:r>
        <w:t xml:space="preserve">values now run up to</w:t>
      </w:r>
      <w:r>
        <w:t xml:space="preserve"> </w:t>
      </w:r>
      <w:r>
        <w:rPr>
          <w:rStyle w:val="VerbatimChar"/>
        </w:rPr>
        <w:t xml:space="preserve">Windows2025Forest</w:t>
      </w:r>
      <w:r>
        <w:t xml:space="preserve">.</w:t>
      </w:r>
      <w:r>
        <w:rPr>
          <w:rStyle w:val="FootnoteReference"/>
        </w:rPr>
        <w:footnoteReference w:id="630"/>
      </w:r>
      <w:r>
        <w:t xml:space="preserve"> </w:t>
      </w:r>
      <w:r>
        <w:t xml:space="preserve">The Windows Server 2025 functional level (DomainLevel and ForestLevel 10 in answer files) is the first new level since Windows Server 2016; Windows Server 2019 and 2022 didn’t add one.</w:t>
      </w:r>
      <w:r>
        <w:rPr>
          <w:rStyle w:val="FootnoteReference"/>
        </w:rPr>
        <w:footnoteReference w:id="632"/>
      </w:r>
      <w:r>
        <w:t xml:space="preserve"> </w:t>
      </w:r>
      <w:r>
        <w:t xml:space="preserve">It’s required for the optional 32k database page size feature, and only Windows Server 2025 domain controllers can run at it.</w:t>
      </w:r>
      <w:r>
        <w:rPr>
          <w:rStyle w:val="FootnoteReference"/>
        </w:rPr>
        <w:footnoteReference w:id="634"/>
      </w:r>
    </w:p>
    <w:p>
      <w:pPr>
        <w:pStyle w:val="BodyText"/>
      </w:pPr>
      <w:r>
        <w:t xml:space="preserve">The assessment should flag two conditions:</w:t>
      </w:r>
    </w:p>
    <w:p>
      <w:pPr>
        <w:pStyle w:val="Compact"/>
        <w:numPr>
          <w:ilvl w:val="0"/>
          <w:numId w:val="1038"/>
        </w:numPr>
      </w:pPr>
      <w:r>
        <w:rPr>
          <w:b/>
          <w:bCs/>
        </w:rPr>
        <w:t xml:space="preserve">A functional level below Windows Server 2016.</w:t>
      </w:r>
      <w:r>
        <w:t xml:space="preserve"> </w:t>
      </w:r>
      <w:r>
        <w:t xml:space="preserve">A Windows Server 2025 domain controller can join only a domain at the Windows Server 2016 functional level or higher, so a lower level blocks the domain controller refresh before any cloud work starts.</w:t>
      </w:r>
      <w:r>
        <w:rPr>
          <w:rStyle w:val="FootnoteReference"/>
        </w:rPr>
        <w:footnoteReference w:id="636"/>
      </w:r>
    </w:p>
    <w:p>
      <w:pPr>
        <w:pStyle w:val="Compact"/>
        <w:numPr>
          <w:ilvl w:val="0"/>
          <w:numId w:val="1038"/>
        </w:numPr>
      </w:pPr>
      <w:r>
        <w:rPr>
          <w:b/>
          <w:bCs/>
        </w:rPr>
        <w:t xml:space="preserve">Mixed domain levels across the forest.</w:t>
      </w:r>
      <w:r>
        <w:t xml:space="preserve"> </w:t>
      </w:r>
      <w:r>
        <w:t xml:space="preserve">If every domain controller in the forest runs Windows Server 2025, raising the forest level to Windows Server 2025 raises every domain with it.</w:t>
      </w:r>
      <w:r>
        <w:rPr>
          <w:rStyle w:val="FootnoteReference"/>
        </w:rPr>
        <w:footnoteReference w:id="638"/>
      </w:r>
    </w:p>
    <w:bookmarkEnd w:id="640"/>
    <w:bookmarkStart w:id="643" w:name="sites-site-links-and-subnets"/>
    <w:p>
      <w:pPr>
        <w:pStyle w:val="Heading3"/>
      </w:pPr>
      <w:r>
        <w:t xml:space="preserve">Sites, site links and subnets</w:t>
      </w:r>
    </w:p>
    <w:p>
      <w:pPr>
        <w:pStyle w:val="FirstParagraph"/>
      </w:pPr>
      <w:r>
        <w:rPr>
          <w:rStyle w:val="VerbatimChar"/>
        </w:rPr>
        <w:t xml:space="preserve">Get-ADReplicationSite</w:t>
      </w:r>
      <w:r>
        <w:t xml:space="preserve">,</w:t>
      </w:r>
      <w:r>
        <w:t xml:space="preserve"> </w:t>
      </w:r>
      <w:r>
        <w:rPr>
          <w:rStyle w:val="VerbatimChar"/>
        </w:rPr>
        <w:t xml:space="preserve">Get-ADReplicationSiteLink</w:t>
      </w:r>
      <w:r>
        <w:t xml:space="preserve"> </w:t>
      </w:r>
      <w:r>
        <w:t xml:space="preserve">and</w:t>
      </w:r>
      <w:r>
        <w:t xml:space="preserve"> </w:t>
      </w:r>
      <w:r>
        <w:rPr>
          <w:rStyle w:val="VerbatimChar"/>
        </w:rPr>
        <w:t xml:space="preserve">Get-ADReplicationSubnet</w:t>
      </w:r>
      <w:r>
        <w:t xml:space="preserve"> </w:t>
      </w:r>
      <w:r>
        <w:t xml:space="preserve">capture the replication topology and the subnet-to-site map.</w:t>
      </w:r>
      <w:r>
        <w:rPr>
          <w:rStyle w:val="FootnoteReference"/>
        </w:rPr>
        <w:footnoteReference w:id="641"/>
      </w:r>
      <w:r>
        <w:t xml:space="preserve"> </w:t>
      </w:r>
      <w:r>
        <w:t xml:space="preserve">The subnet map matters beyond replication: domain controller location for clients depends on it, and an unmapped subnet sends clients to arbitrary domain controllers. Record site link cost and replication interval; they explain authentication latency at remote sites better than any network diagram.</w:t>
      </w:r>
    </w:p>
    <w:p>
      <w:pPr>
        <w:pStyle w:val="BodyText"/>
      </w:pPr>
      <w:r>
        <w:rPr>
          <w:rStyle w:val="VerbatimChar"/>
        </w:rPr>
        <w:t xml:space="preserve">Get-FMPForestTopology</w:t>
      </w:r>
      <w:r>
        <w:t xml:space="preserve"> </w:t>
      </w:r>
      <w:r>
        <w:t xml:space="preserve">combines all of this into one</w:t>
      </w:r>
      <w:r>
        <w:t xml:space="preserve"> </w:t>
      </w:r>
      <w:r>
        <w:rPr>
          <w:rStyle w:val="VerbatimChar"/>
        </w:rPr>
        <w:t xml:space="preserve">ForestTopology.json</w:t>
      </w:r>
      <w:r>
        <w:t xml:space="preserve"> </w:t>
      </w:r>
      <w:r>
        <w:t xml:space="preserve">with a timestamp.</w:t>
      </w:r>
    </w:p>
    <w:bookmarkEnd w:id="643"/>
    <w:bookmarkEnd w:id="644"/>
    <w:bookmarkStart w:id="651" w:name="ou-hierarchy-and-delegation"/>
    <w:p>
      <w:pPr>
        <w:pStyle w:val="Heading2"/>
      </w:pPr>
      <w:bookmarkStart w:id="1443" w:name="_Toc00001443"/>
      <w:r>
        <w:t xml:space="preserve">OU hierarchy and delegation</w:t>
      </w:r>
      <w:bookmarkEnd w:id="1443"/>
    </w:p>
    <w:p>
      <w:pPr>
        <w:pStyle w:val="FirstParagraph"/>
      </w:pPr>
      <w:r>
        <w:t xml:space="preserve">Chapter 05 explains why the OU tree is the delegation model in Active Directory, and why Entra ID has none. The assessment’s job is to capture what the tree actually encodes, so that the attribute design in Chapter 09 reproduces intent rather than structure.</w:t>
      </w:r>
    </w:p>
    <w:p>
      <w:pPr>
        <w:pStyle w:val="BodyText"/>
      </w:pPr>
      <w:r>
        <w:t xml:space="preserve">Extract four things for every OU:</w:t>
      </w:r>
    </w:p>
    <w:p>
      <w:pPr>
        <w:pStyle w:val="Compact"/>
        <w:numPr>
          <w:ilvl w:val="0"/>
          <w:numId w:val="1039"/>
        </w:numPr>
      </w:pPr>
      <w:r>
        <w:rPr>
          <w:b/>
          <w:bCs/>
        </w:rPr>
        <w:t xml:space="preserve">Placement and size.</w:t>
      </w:r>
      <w:r>
        <w:t xml:space="preserve"> </w:t>
      </w:r>
      <w:r>
        <w:t xml:space="preserve">Distinguished name, depth, description,</w:t>
      </w:r>
      <w:r>
        <w:t xml:space="preserve"> </w:t>
      </w:r>
      <w:r>
        <w:rPr>
          <w:rStyle w:val="VerbatimChar"/>
        </w:rPr>
        <w:t xml:space="preserve">ManagedBy</w:t>
      </w:r>
      <w:r>
        <w:t xml:space="preserve">, protection from accidental deletion, and direct counts of users, computers and groups. A recursive builder produces a nested</w:t>
      </w:r>
      <w:r>
        <w:t xml:space="preserve"> </w:t>
      </w:r>
      <w:r>
        <w:rPr>
          <w:rStyle w:val="VerbatimChar"/>
        </w:rPr>
        <w:t xml:space="preserve">OUHierarchy.json</w:t>
      </w:r>
      <w:r>
        <w:t xml:space="preserve">; a flat CSV goes to spreadsheet review.</w:t>
      </w:r>
    </w:p>
    <w:p>
      <w:pPr>
        <w:pStyle w:val="Compact"/>
        <w:numPr>
          <w:ilvl w:val="0"/>
          <w:numId w:val="1039"/>
        </w:numPr>
      </w:pPr>
      <w:r>
        <w:rPr>
          <w:b/>
          <w:bCs/>
        </w:rPr>
        <w:t xml:space="preserve">GPO links.</w:t>
      </w:r>
      <w:r>
        <w:t xml:space="preserve"> </w:t>
      </w:r>
      <w:r>
        <w:t xml:space="preserve">Linked GPOs with link order, enforcement and enabled state, and whether the OU blocks inheritance.</w:t>
      </w:r>
    </w:p>
    <w:p>
      <w:pPr>
        <w:pStyle w:val="Compact"/>
        <w:numPr>
          <w:ilvl w:val="0"/>
          <w:numId w:val="1039"/>
        </w:numPr>
      </w:pPr>
      <w:r>
        <w:rPr>
          <w:b/>
          <w:bCs/>
        </w:rPr>
        <w:t xml:space="preserve">Delegated permissions.</w:t>
      </w:r>
      <w:r>
        <w:t xml:space="preserve"> </w:t>
      </w:r>
      <w:r>
        <w:t xml:space="preserve">The non-inherited access control entries on the OU, excluding well-known built-in principals. These are the delegations someone made by hand, and they become the administrative unit and role assignment candidates in Chapter 05’s matrix.</w:t>
      </w:r>
    </w:p>
    <w:p>
      <w:pPr>
        <w:pStyle w:val="Compact"/>
        <w:numPr>
          <w:ilvl w:val="0"/>
          <w:numId w:val="1039"/>
        </w:numPr>
      </w:pPr>
      <w:r>
        <w:rPr>
          <w:b/>
          <w:bCs/>
        </w:rPr>
        <w:t xml:space="preserve">A text rendering</w:t>
      </w:r>
      <w:r>
        <w:t xml:space="preserve"> </w:t>
      </w:r>
      <w:r>
        <w:t xml:space="preserve">of the tree with object and GPO counts at each node, for human review.</w:t>
      </w:r>
    </w:p>
    <w:p>
      <w:pPr>
        <w:pStyle w:val="FirstParagraph"/>
      </w:pPr>
      <w:r>
        <w:t xml:space="preserve">For GPO links, prefer</w:t>
      </w:r>
      <w:r>
        <w:t xml:space="preserve"> </w:t>
      </w:r>
      <w:r>
        <w:rPr>
          <w:rStyle w:val="VerbatimChar"/>
        </w:rPr>
        <w:t xml:space="preserve">Get-GPInheritance</w:t>
      </w:r>
      <w:r>
        <w:t xml:space="preserve"> </w:t>
      </w:r>
      <w:r>
        <w:t xml:space="preserve">to parsing the raw attribute. It returns the GPOs linked directly to a domain or OU, the GPOs that actually apply in precedence order, and whether inheritance is blocked.</w:t>
      </w:r>
      <w:r>
        <w:rPr>
          <w:rStyle w:val="FootnoteReference"/>
        </w:rPr>
        <w:footnoteReference w:id="645"/>
      </w:r>
      <w:r>
        <w:t xml:space="preserve"> </w:t>
      </w:r>
      <w:r>
        <w:t xml:space="preserve">If you do parse</w:t>
      </w:r>
      <w:r>
        <w:t xml:space="preserve"> </w:t>
      </w:r>
      <w:r>
        <w:rPr>
          <w:rStyle w:val="VerbatimChar"/>
        </w:rPr>
        <w:t xml:space="preserve">gPLink</w:t>
      </w:r>
      <w:r>
        <w:t xml:space="preserve">, each link is a GPO path plus a</w:t>
      </w:r>
      <w:r>
        <w:t xml:space="preserve"> </w:t>
      </w:r>
      <w:r>
        <w:rPr>
          <w:rStyle w:val="VerbatimChar"/>
        </w:rPr>
        <w:t xml:space="preserve">linkOptions</w:t>
      </w:r>
      <w:r>
        <w:t xml:space="preserve"> </w:t>
      </w:r>
      <w:r>
        <w:t xml:space="preserve">bitmask:</w:t>
      </w:r>
      <w:r>
        <w:t xml:space="preserve"> </w:t>
      </w:r>
      <w:r>
        <w:rPr>
          <w:rStyle w:val="VerbatimChar"/>
        </w:rPr>
        <w:t xml:space="preserve">0x1</w:t>
      </w:r>
      <w:r>
        <w:t xml:space="preserve"> </w:t>
      </w:r>
      <w:r>
        <w:t xml:space="preserve">means the link is disabled and</w:t>
      </w:r>
      <w:r>
        <w:t xml:space="preserve"> </w:t>
      </w:r>
      <w:r>
        <w:rPr>
          <w:rStyle w:val="VerbatimChar"/>
        </w:rPr>
        <w:t xml:space="preserve">0x2</w:t>
      </w:r>
      <w:r>
        <w:t xml:space="preserve"> </w:t>
      </w:r>
      <w:r>
        <w:t xml:space="preserve">means it’s enforced.</w:t>
      </w:r>
      <w:r>
        <w:rPr>
          <w:rStyle w:val="FootnoteReference"/>
        </w:rPr>
        <w:footnoteReference w:id="647"/>
      </w:r>
      <w:r>
        <w:t xml:space="preserve"> </w:t>
      </w:r>
      <w:r>
        <w:t xml:space="preserve">Block inheritance is a property of the container, stored in its</w:t>
      </w:r>
      <w:r>
        <w:t xml:space="preserve"> </w:t>
      </w:r>
      <w:r>
        <w:rPr>
          <w:rStyle w:val="VerbatimChar"/>
        </w:rPr>
        <w:t xml:space="preserve">gPOptions</w:t>
      </w:r>
      <w:r>
        <w:t xml:space="preserve"> </w:t>
      </w:r>
      <w:r>
        <w:t xml:space="preserve">attribute; an enforced link still applies through a block.</w:t>
      </w:r>
      <w:r>
        <w:rPr>
          <w:rStyle w:val="FootnoteReference"/>
        </w:rPr>
        <w:footnoteReference w:id="649"/>
      </w:r>
      <w:r>
        <w:t xml:space="preserve"> </w:t>
      </w:r>
      <w:r>
        <w:t xml:space="preserve">Match GUIDs case-insensitively, because the</w:t>
      </w:r>
      <w:r>
        <w:t xml:space="preserve"> </w:t>
      </w:r>
      <w:r>
        <w:rPr>
          <w:rStyle w:val="VerbatimChar"/>
        </w:rPr>
        <w:t xml:space="preserve">cn=</w:t>
      </w:r>
      <w:r>
        <w:t xml:space="preserve"> </w:t>
      </w:r>
      <w:r>
        <w:t xml:space="preserve">and</w:t>
      </w:r>
      <w:r>
        <w:t xml:space="preserve"> </w:t>
      </w:r>
      <w:r>
        <w:rPr>
          <w:rStyle w:val="VerbatimChar"/>
        </w:rPr>
        <w:t xml:space="preserve">CN=</w:t>
      </w:r>
      <w:r>
        <w:t xml:space="preserve"> </w:t>
      </w:r>
      <w:r>
        <w:t xml:space="preserve">spellings both occur.</w:t>
      </w:r>
    </w:p>
    <w:p>
      <w:pPr>
        <w:pStyle w:val="SourceCode"/>
      </w:pPr>
      <w:r>
        <w:rPr>
          <w:rStyle w:val="FunctionTok"/>
        </w:rPr>
        <w:t xml:space="preserve">Get-ADOrganizationalUnit</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w:t>
      </w:r>
      <w:r>
        <w:rPr>
          <w:rStyle w:val="VariableTok"/>
        </w:rPr>
        <w:t xml:space="preserve">$som</w:t>
      </w:r>
      <w:r>
        <w:rPr>
          <w:rStyle w:val="NormalTok"/>
        </w:rPr>
        <w:t xml:space="preserve"> </w:t>
      </w:r>
      <w:r>
        <w:rPr>
          <w:rStyle w:val="OperatorTok"/>
        </w:rPr>
        <w:t xml:space="preserve">=</w:t>
      </w:r>
      <w:r>
        <w:rPr>
          <w:rStyle w:val="NormalTok"/>
        </w:rPr>
        <w:t xml:space="preserve"> </w:t>
      </w:r>
      <w:r>
        <w:rPr>
          <w:rStyle w:val="FunctionTok"/>
        </w:rPr>
        <w:t xml:space="preserve">Get-GPInheritance</w:t>
      </w:r>
      <w:r>
        <w:rPr>
          <w:rStyle w:val="NormalTok"/>
        </w:rPr>
        <w:t xml:space="preserve"> </w:t>
      </w:r>
      <w:r>
        <w:rPr>
          <w:rStyle w:val="OperatorTok"/>
        </w:rPr>
        <w:t xml:space="preserve">-</w:t>
      </w:r>
      <w:r>
        <w:rPr>
          <w:rStyle w:val="NormalTok"/>
        </w:rPr>
        <w:t xml:space="preserve">Target </w:t>
      </w:r>
      <w:r>
        <w:rPr>
          <w:rStyle w:val="VariableTok"/>
        </w:rPr>
        <w:t xml:space="preserve">$_</w:t>
      </w:r>
      <w:r>
        <w:rPr>
          <w:rStyle w:val="OperatorTok"/>
        </w:rPr>
        <w:t xml:space="preserve">.</w:t>
      </w:r>
      <w:r>
        <w:rPr>
          <w:rStyle w:val="FunctionTok"/>
        </w:rPr>
        <w:t xml:space="preserve">DistinguishedName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OU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DistinguishedName</w:t>
      </w:r>
      <w:r>
        <w:br/>
      </w:r>
      <w:r>
        <w:rPr>
          <w:rStyle w:val="NormalTok"/>
        </w:rPr>
        <w:t xml:space="preserve">        InheritanceBlocked </w:t>
      </w:r>
      <w:r>
        <w:rPr>
          <w:rStyle w:val="OperatorTok"/>
        </w:rPr>
        <w:t xml:space="preserve">=</w:t>
      </w:r>
      <w:r>
        <w:rPr>
          <w:rStyle w:val="NormalTok"/>
        </w:rPr>
        <w:t xml:space="preserve"> </w:t>
      </w:r>
      <w:r>
        <w:rPr>
          <w:rStyle w:val="VariableTok"/>
        </w:rPr>
        <w:t xml:space="preserve">$som</w:t>
      </w:r>
      <w:r>
        <w:rPr>
          <w:rStyle w:val="OperatorTok"/>
        </w:rPr>
        <w:t xml:space="preserve">.</w:t>
      </w:r>
      <w:r>
        <w:rPr>
          <w:rStyle w:val="FunctionTok"/>
        </w:rPr>
        <w:t xml:space="preserve">GpoInheritanceBlocked</w:t>
      </w:r>
      <w:r>
        <w:br/>
      </w:r>
      <w:r>
        <w:rPr>
          <w:rStyle w:val="NormalTok"/>
        </w:rPr>
        <w:t xml:space="preserve">        Links              </w:t>
      </w:r>
      <w:r>
        <w:rPr>
          <w:rStyle w:val="OperatorTok"/>
        </w:rPr>
        <w:t xml:space="preserve">=</w:t>
      </w:r>
      <w:r>
        <w:rPr>
          <w:rStyle w:val="NormalTok"/>
        </w:rPr>
        <w:t xml:space="preserve"> </w:t>
      </w:r>
      <w:r>
        <w:rPr>
          <w:rStyle w:val="VariableTok"/>
        </w:rPr>
        <w:t xml:space="preserve">$som</w:t>
      </w:r>
      <w:r>
        <w:rPr>
          <w:rStyle w:val="OperatorTok"/>
        </w:rPr>
        <w:t xml:space="preserve">.</w:t>
      </w:r>
      <w:r>
        <w:rPr>
          <w:rStyle w:val="FunctionTok"/>
        </w:rPr>
        <w:t xml:space="preserve">GpoLinks</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DisplayName</w:t>
      </w:r>
      <w:r>
        <w:rPr>
          <w:rStyle w:val="OperatorTok"/>
        </w:rPr>
        <w:t xml:space="preserve">,</w:t>
      </w:r>
      <w:r>
        <w:rPr>
          <w:rStyle w:val="NormalTok"/>
        </w:rPr>
        <w:t xml:space="preserve"> GpoId</w:t>
      </w:r>
      <w:r>
        <w:rPr>
          <w:rStyle w:val="OperatorTok"/>
        </w:rPr>
        <w:t xml:space="preserve">,</w:t>
      </w:r>
      <w:r>
        <w:rPr>
          <w:rStyle w:val="NormalTok"/>
        </w:rPr>
        <w:t xml:space="preserve"> Enabled</w:t>
      </w:r>
      <w:r>
        <w:rPr>
          <w:rStyle w:val="OperatorTok"/>
        </w:rPr>
        <w:t xml:space="preserve">,</w:t>
      </w:r>
      <w:r>
        <w:rPr>
          <w:rStyle w:val="NormalTok"/>
        </w:rPr>
        <w:t xml:space="preserve"> Enforced</w:t>
      </w:r>
      <w:r>
        <w:rPr>
          <w:rStyle w:val="OperatorTok"/>
        </w:rPr>
        <w:t xml:space="preserve">,</w:t>
      </w:r>
      <w:r>
        <w:rPr>
          <w:rStyle w:val="NormalTok"/>
        </w:rPr>
        <w:t xml:space="preserve"> Order</w:t>
      </w:r>
      <w:r>
        <w:br/>
      </w:r>
      <w:r>
        <w:rPr>
          <w:rStyle w:val="NormalTok"/>
        </w:rPr>
        <w:t xml:space="preserve">    </w:t>
      </w:r>
      <w:r>
        <w:rPr>
          <w:rStyle w:val="OperatorTok"/>
        </w:rPr>
        <w:t xml:space="preserve">}</w:t>
      </w:r>
      <w:r>
        <w:br/>
      </w:r>
      <w:r>
        <w:rPr>
          <w:rStyle w:val="OperatorTok"/>
        </w:rPr>
        <w:t xml:space="preserve">}</w:t>
      </w:r>
    </w:p>
    <w:p>
      <w:pPr>
        <w:pStyle w:val="FirstParagraph"/>
      </w:pPr>
      <w:r>
        <w:t xml:space="preserve">OU delegation analysis reads ACLs through the</w:t>
      </w:r>
      <w:r>
        <w:t xml:space="preserve"> </w:t>
      </w:r>
      <w:r>
        <w:rPr>
          <w:rStyle w:val="VerbatimChar"/>
        </w:rPr>
        <w:t xml:space="preserve">AD:</w:t>
      </w:r>
      <w:r>
        <w:t xml:space="preserve"> </w:t>
      </w:r>
      <w:r>
        <w:t xml:space="preserve">drive, which the ActiveDirectory module provides. Keep only entries where</w:t>
      </w:r>
      <w:r>
        <w:t xml:space="preserve"> </w:t>
      </w:r>
      <w:r>
        <w:rPr>
          <w:rStyle w:val="VerbatimChar"/>
        </w:rPr>
        <w:t xml:space="preserve">IsInherited</w:t>
      </w:r>
      <w:r>
        <w:t xml:space="preserve"> </w:t>
      </w:r>
      <w:r>
        <w:t xml:space="preserve">is false, and drop</w:t>
      </w:r>
      <w:r>
        <w:t xml:space="preserve"> </w:t>
      </w:r>
      <w:r>
        <w:rPr>
          <w:rStyle w:val="VerbatimChar"/>
        </w:rPr>
        <w:t xml:space="preserve">NT AUTHORITY</w:t>
      </w:r>
      <w:r>
        <w:t xml:space="preserve">,</w:t>
      </w:r>
      <w:r>
        <w:t xml:space="preserve"> </w:t>
      </w:r>
      <w:r>
        <w:rPr>
          <w:rStyle w:val="VerbatimChar"/>
        </w:rPr>
        <w:t xml:space="preserve">BUILTIN</w:t>
      </w:r>
      <w:r>
        <w:t xml:space="preserve"> </w:t>
      </w:r>
      <w:r>
        <w:t xml:space="preserve">and well-known SIDs. What remains is usually short, and it’s the most valuable list in the OU export.</w:t>
      </w:r>
    </w:p>
    <w:bookmarkEnd w:id="651"/>
    <w:bookmarkStart w:id="666" w:name="group-policy-inventory-and-analysis"/>
    <w:p>
      <w:pPr>
        <w:pStyle w:val="Heading2"/>
      </w:pPr>
      <w:bookmarkStart w:id="1444" w:name="_Toc00001444"/>
      <w:r>
        <w:t xml:space="preserve">Group Policy inventory and analysis</w:t>
      </w:r>
      <w:bookmarkEnd w:id="1444"/>
    </w:p>
    <w:p>
      <w:pPr>
        <w:pStyle w:val="FirstParagraph"/>
      </w:pPr>
      <w:r>
        <w:t xml:space="preserve">The GPO inventory is the largest and most consequential artifact for modernization. Every live setting either moves to Intune, moves somewhere else, or is retired, and nobody can decide which without the inventory.</w:t>
      </w:r>
    </w:p>
    <w:bookmarkStart w:id="655" w:name="fig-ch08-gpo-analysis"/>
    <w:p>
      <w:pPr>
        <w:pStyle w:val="CaptionedFigure"/>
      </w:pPr>
      <w:r>
        <w:drawing>
          <wp:inline>
            <wp:extent cx="5334000" cy="2176717"/>
            <wp:effectExtent b="0" l="0" r="0" t="0"/>
            <wp:docPr descr="The GPO analysis flow: inventory, reports and links feed three classifications, and only live settings go on to Intune analysis." title="" id="653" name="Picture"/>
            <a:graphic>
              <a:graphicData uri="http://schemas.openxmlformats.org/drawingml/2006/picture">
                <pic:pic>
                  <pic:nvPicPr>
                    <pic:cNvPr descr="/home/runner/work/modernization-workbook/modernization-workbook/docs/images/diagrams/b02-identity/png/ch08-gpo-analysis.png" id="654" name="Picture"/>
                    <pic:cNvPicPr>
                      <a:picLocks noChangeArrowheads="1" noChangeAspect="1"/>
                    </pic:cNvPicPr>
                  </pic:nvPicPr>
                  <pic:blipFill>
                    <a:blip r:embed="rId652"/>
                    <a:stretch>
                      <a:fillRect/>
                    </a:stretch>
                  </pic:blipFill>
                  <pic:spPr bwMode="auto">
                    <a:xfrm>
                      <a:off x="0" y="0"/>
                      <a:ext cx="5334000" cy="2176717"/>
                    </a:xfrm>
                    <a:prstGeom prst="rect">
                      <a:avLst/>
                    </a:prstGeom>
                    <a:noFill/>
                    <a:ln w="9525">
                      <a:noFill/>
                      <a:headEnd/>
                      <a:tailEnd/>
                    </a:ln>
                  </pic:spPr>
                </pic:pic>
              </a:graphicData>
            </a:graphic>
          </wp:inline>
        </w:drawing>
      </w:r>
    </w:p>
    <w:p>
      <w:pPr>
        <w:pStyle w:val="ImageCaption"/>
      </w:pPr>
      <w:r>
        <w:t xml:space="preserve">The GPO analysis flow: inventory, reports and links feed three classifications, and only live settings go on to Intune analysis.</w:t>
      </w:r>
    </w:p>
    <w:bookmarkEnd w:id="655"/>
    <w:bookmarkStart w:id="662" w:name="what-to-collect"/>
    <w:p>
      <w:pPr>
        <w:pStyle w:val="Heading3"/>
      </w:pPr>
      <w:r>
        <w:t xml:space="preserve">What to collect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Step</w:t>
            </w:r>
          </w:p>
        </w:tc>
        <w:tc>
          <w:tcPr/>
          <w:p>
            <w:pPr>
              <w:pStyle w:val="Compact"/>
            </w:pPr>
            <w:r>
              <w:t xml:space="preserve">Cmdlet</w:t>
            </w:r>
          </w:p>
        </w:tc>
        <w:tc>
          <w:tcPr/>
          <w:p>
            <w:pPr>
              <w:pStyle w:val="Compact"/>
            </w:pPr>
            <w:r>
              <w:t xml:space="preserve">Output</w:t>
            </w:r>
          </w:p>
        </w:tc>
      </w:tr>
      <w:tr>
        <w:tc>
          <w:tcPr/>
          <w:p>
            <w:pPr>
              <w:pStyle w:val="Compact"/>
            </w:pPr>
            <w:r>
              <w:t xml:space="preserve">Enumerate</w:t>
            </w:r>
          </w:p>
        </w:tc>
        <w:tc>
          <w:tcPr/>
          <w:p>
            <w:pPr>
              <w:pStyle w:val="Compact"/>
            </w:pPr>
            <w:r>
              <w:rPr>
                <w:rStyle w:val="VerbatimChar"/>
              </w:rPr>
              <w:t xml:space="preserve">Get-GPO -All</w:t>
            </w:r>
          </w:p>
        </w:tc>
        <w:tc>
          <w:tcPr/>
          <w:p>
            <w:pPr>
              <w:pStyle w:val="Compact"/>
            </w:pPr>
            <w:r>
              <w:t xml:space="preserve">Name, GUID,</w:t>
            </w:r>
            <w:r>
              <w:t xml:space="preserve"> </w:t>
            </w:r>
            <w:r>
              <w:rPr>
                <w:rStyle w:val="VerbatimChar"/>
              </w:rPr>
              <w:t xml:space="preserve">GpoStatus</w:t>
            </w:r>
            <w:r>
              <w:t xml:space="preserve">, created and modified times, owner, WMI filter</w:t>
            </w:r>
          </w:p>
        </w:tc>
      </w:tr>
      <w:tr>
        <w:tc>
          <w:tcPr/>
          <w:p>
            <w:pPr>
              <w:pStyle w:val="Compact"/>
            </w:pPr>
            <w:r>
              <w:t xml:space="preserve">Report</w:t>
            </w:r>
          </w:p>
        </w:tc>
        <w:tc>
          <w:tcPr/>
          <w:p>
            <w:pPr>
              <w:pStyle w:val="Compact"/>
            </w:pPr>
            <w:r>
              <w:rPr>
                <w:rStyle w:val="VerbatimChar"/>
              </w:rPr>
              <w:t xml:space="preserve">Get-GPOReport -Guid &lt;id&gt; -ReportType Xml</w:t>
            </w:r>
            <w:r>
              <w:t xml:space="preserve"> </w:t>
            </w:r>
            <w:r>
              <w:t xml:space="preserve">and</w:t>
            </w:r>
            <w:r>
              <w:t xml:space="preserve"> </w:t>
            </w:r>
            <w:r>
              <w:rPr>
                <w:rStyle w:val="VerbatimChar"/>
              </w:rPr>
              <w:t xml:space="preserve">Html</w:t>
            </w:r>
          </w:p>
        </w:tc>
        <w:tc>
          <w:tcPr/>
          <w:p>
            <w:pPr>
              <w:pStyle w:val="Compact"/>
            </w:pPr>
            <w:r>
              <w:t xml:space="preserve">One XML and one HTML file per GPO</w:t>
            </w:r>
          </w:p>
        </w:tc>
      </w:tr>
      <w:tr>
        <w:tc>
          <w:tcPr/>
          <w:p>
            <w:pPr>
              <w:pStyle w:val="Compact"/>
            </w:pPr>
            <w:r>
              <w:t xml:space="preserve">Links</w:t>
            </w:r>
          </w:p>
        </w:tc>
        <w:tc>
          <w:tcPr/>
          <w:p>
            <w:pPr>
              <w:pStyle w:val="Compact"/>
            </w:pPr>
            <w:r>
              <w:rPr>
                <w:rStyle w:val="VerbatimChar"/>
              </w:rPr>
              <w:t xml:space="preserve">Get-GPInheritance</w:t>
            </w:r>
            <w:r>
              <w:t xml:space="preserve"> </w:t>
            </w:r>
            <w:r>
              <w:t xml:space="preserve">per domain and OU, plus site links</w:t>
            </w:r>
          </w:p>
        </w:tc>
        <w:tc>
          <w:tcPr/>
          <w:p>
            <w:pPr>
              <w:pStyle w:val="Compact"/>
            </w:pPr>
            <w:r>
              <w:rPr>
                <w:rStyle w:val="VerbatimChar"/>
              </w:rPr>
              <w:t xml:space="preserve">GPOLinks.json</w:t>
            </w:r>
            <w:r>
              <w:t xml:space="preserve"> </w:t>
            </w:r>
            <w:r>
              <w:t xml:space="preserve">with order, enforced and enabled</w:t>
            </w:r>
          </w:p>
        </w:tc>
      </w:tr>
      <w:tr>
        <w:tc>
          <w:tcPr/>
          <w:p>
            <w:pPr>
              <w:pStyle w:val="Compact"/>
            </w:pPr>
            <w:r>
              <w:t xml:space="preserve">Permissions</w:t>
            </w:r>
          </w:p>
        </w:tc>
        <w:tc>
          <w:tcPr/>
          <w:p>
            <w:pPr>
              <w:pStyle w:val="Compact"/>
            </w:pPr>
            <w:r>
              <w:rPr>
                <w:rStyle w:val="VerbatimChar"/>
              </w:rPr>
              <w:t xml:space="preserve">Get-GPPermission -Guid &lt;id&gt; -All</w:t>
            </w:r>
          </w:p>
        </w:tc>
        <w:tc>
          <w:tcPr/>
          <w:p>
            <w:pPr>
              <w:pStyle w:val="Compact"/>
            </w:pPr>
            <w:r>
              <w:t xml:space="preserve">Who can edit, apply and read each GPO</w:t>
            </w:r>
          </w:p>
        </w:tc>
      </w:tr>
      <w:tr>
        <w:tc>
          <w:tcPr/>
          <w:p>
            <w:pPr>
              <w:pStyle w:val="Compact"/>
            </w:pPr>
            <w:r>
              <w:t xml:space="preserve">Backup</w:t>
            </w:r>
          </w:p>
        </w:tc>
        <w:tc>
          <w:tcPr/>
          <w:p>
            <w:pPr>
              <w:pStyle w:val="Compact"/>
            </w:pPr>
            <w:r>
              <w:rPr>
                <w:rStyle w:val="VerbatimChar"/>
              </w:rPr>
              <w:t xml:space="preserve">Backup-GPO -All -Path &lt;folder&gt;</w:t>
            </w:r>
          </w:p>
        </w:tc>
        <w:tc>
          <w:tcPr/>
          <w:p>
            <w:pPr>
              <w:pStyle w:val="Compact"/>
            </w:pPr>
            <w:r>
              <w:t xml:space="preserve">A native backup for rollback</w:t>
            </w:r>
          </w:p>
        </w:tc>
      </w:tr>
    </w:tbl>
    <w:p>
      <w:pPr>
        <w:pStyle w:val="BodyText"/>
      </w:pPr>
      <w:r>
        <w:t xml:space="preserve">All five cmdlets are in the GroupPolicy module.</w:t>
      </w:r>
      <w:r>
        <w:rPr>
          <w:rStyle w:val="FootnoteReference"/>
        </w:rPr>
        <w:footnoteReference w:id="656"/>
      </w:r>
      <w:r>
        <w:t xml:space="preserve"> </w:t>
      </w:r>
      <w:r>
        <w:rPr>
          <w:rStyle w:val="VerbatimChar"/>
        </w:rPr>
        <w:t xml:space="preserve">Get-GPOReport</w:t>
      </w:r>
      <w:r>
        <w:t xml:space="preserve"> </w:t>
      </w:r>
      <w:r>
        <w:t xml:space="preserve">produces XML or HTML, and its report includes links, security filtering, WMI filtering, delegation and the computer and user configuration of the GPO.</w:t>
      </w:r>
      <w:r>
        <w:rPr>
          <w:rStyle w:val="FootnoteReference"/>
        </w:rPr>
        <w:footnoteReference w:id="658"/>
      </w:r>
      <w:r>
        <w:t xml:space="preserve"> </w:t>
      </w:r>
      <w:r>
        <w:rPr>
          <w:rStyle w:val="VerbatimChar"/>
        </w:rPr>
        <w:t xml:space="preserve">Get-GPPermission -All</w:t>
      </w:r>
      <w:r>
        <w:t xml:space="preserve"> </w:t>
      </w:r>
      <w:r>
        <w:t xml:space="preserve">returns the permission level of every principal that has permissions on the GPO.</w:t>
      </w:r>
      <w:r>
        <w:rPr>
          <w:rStyle w:val="FootnoteReference"/>
        </w:rPr>
        <w:footnoteReference w:id="660"/>
      </w:r>
    </w:p>
    <w:p>
      <w:pPr>
        <w:pStyle w:val="BodyText"/>
      </w:pPr>
      <w:r>
        <w:t xml:space="preserve">The source link analysis searched only OUs and the domain root. GPOs can also be linked to sites, and a site-linked GPO looks unlinked to an OU-only search. Include the site objects in the configuration partition, or the</w:t>
      </w:r>
      <w:r>
        <w:t xml:space="preserve"> </w:t>
      </w:r>
      <w:r>
        <w:t xml:space="preserve">“unlinked”</w:t>
      </w:r>
      <w:r>
        <w:t xml:space="preserve"> </w:t>
      </w:r>
      <w:r>
        <w:t xml:space="preserve">list will contain GPOs that are in use.</w:t>
      </w:r>
    </w:p>
    <w:bookmarkEnd w:id="662"/>
    <w:bookmarkStart w:id="665" w:name="classify-before-you-migrate"/>
    <w:p>
      <w:pPr>
        <w:pStyle w:val="Heading3"/>
      </w:pPr>
      <w:r>
        <w:t xml:space="preserve">Classify before you migrate</w:t>
      </w:r>
    </w:p>
    <w:p>
      <w:pPr>
        <w:pStyle w:val="FirstParagraph"/>
      </w:pPr>
      <w:r>
        <w:t xml:space="preserve">Decompose each XML report by configuration area: security settings, administrative templates, preferences, scripts, software installation and folder redirection, separately for the computer and user halves. Then sort GPOs into three groups:</w:t>
      </w:r>
    </w:p>
    <w:p>
      <w:pPr>
        <w:pStyle w:val="Compact"/>
        <w:numPr>
          <w:ilvl w:val="0"/>
          <w:numId w:val="1040"/>
        </w:numPr>
      </w:pPr>
      <w:r>
        <w:rPr>
          <w:b/>
          <w:bCs/>
        </w:rPr>
        <w:t xml:space="preserve">Unlinked or empty.</w:t>
      </w:r>
      <w:r>
        <w:t xml:space="preserve"> </w:t>
      </w:r>
      <w:r>
        <w:t xml:space="preserve">No links anywhere, or no settings in either half. These are retirement candidates. An empty GPO is one whose report has no</w:t>
      </w:r>
      <w:r>
        <w:t xml:space="preserve"> </w:t>
      </w:r>
      <w:r>
        <w:rPr>
          <w:rStyle w:val="VerbatimChar"/>
        </w:rPr>
        <w:t xml:space="preserve">ExtensionData</w:t>
      </w:r>
      <w:r>
        <w:t xml:space="preserve"> </w:t>
      </w:r>
      <w:r>
        <w:t xml:space="preserve">under either</w:t>
      </w:r>
      <w:r>
        <w:t xml:space="preserve"> </w:t>
      </w:r>
      <w:r>
        <w:rPr>
          <w:rStyle w:val="VerbatimChar"/>
        </w:rPr>
        <w:t xml:space="preserve">Computer</w:t>
      </w:r>
      <w:r>
        <w:t xml:space="preserve"> </w:t>
      </w:r>
      <w:r>
        <w:t xml:space="preserve">or</w:t>
      </w:r>
      <w:r>
        <w:t xml:space="preserve"> </w:t>
      </w:r>
      <w:r>
        <w:rPr>
          <w:rStyle w:val="VerbatimChar"/>
        </w:rPr>
        <w:t xml:space="preserve">User</w:t>
      </w:r>
      <w:r>
        <w:t xml:space="preserve">.</w:t>
      </w:r>
    </w:p>
    <w:p>
      <w:pPr>
        <w:pStyle w:val="Compact"/>
        <w:numPr>
          <w:ilvl w:val="0"/>
          <w:numId w:val="1040"/>
        </w:numPr>
      </w:pPr>
      <w:r>
        <w:rPr>
          <w:b/>
          <w:bCs/>
        </w:rPr>
        <w:t xml:space="preserve">Overlapping.</w:t>
      </w:r>
      <w:r>
        <w:t xml:space="preserve"> </w:t>
      </w:r>
      <w:r>
        <w:t xml:space="preserve">The same setting configured in more than one GPO. Find these before migration, because Intune’s migration step refuses conflicting values and asks you to pick one.</w:t>
      </w:r>
      <w:r>
        <w:rPr>
          <w:rStyle w:val="FootnoteReference"/>
        </w:rPr>
        <w:footnoteReference w:id="663"/>
      </w:r>
    </w:p>
    <w:p>
      <w:pPr>
        <w:pStyle w:val="Compact"/>
        <w:numPr>
          <w:ilvl w:val="0"/>
          <w:numId w:val="1040"/>
        </w:numPr>
      </w:pPr>
      <w:r>
        <w:rPr>
          <w:b/>
          <w:bCs/>
        </w:rPr>
        <w:t xml:space="preserve">Live.</w:t>
      </w:r>
      <w:r>
        <w:t xml:space="preserve"> </w:t>
      </w:r>
      <w:r>
        <w:t xml:space="preserve">Linked, enabled, non-empty settings that need a decision.</w:t>
      </w:r>
    </w:p>
    <w:p>
      <w:pPr>
        <w:pStyle w:val="FirstParagraph"/>
      </w:pPr>
      <w:r>
        <w:t xml:space="preserve">Intune’s Group Policy analytics imports GPOs as XML reports, shows which settings have an MDM equivalent, and can build a Settings Catalog policy from the supported settings. Each imported file must be under 4 MB with proper Unicode encoding.</w:t>
      </w:r>
      <w:r>
        <w:rPr>
          <w:rStyle w:val="FootnoteReference"/>
        </w:rPr>
        <w:footnoteReference w:id="664"/>
      </w:r>
      <w:r>
        <w:t xml:space="preserve"> </w:t>
      </w:r>
      <w:r>
        <w:t xml:space="preserve">The</w:t>
      </w:r>
      <w:r>
        <w:t xml:space="preserve"> </w:t>
      </w:r>
      <w:r>
        <w:rPr>
          <w:rStyle w:val="VerbatimChar"/>
        </w:rPr>
        <w:t xml:space="preserve">&lt;GUID&gt;.xml</w:t>
      </w:r>
      <w:r>
        <w:t xml:space="preserve"> </w:t>
      </w:r>
      <w:r>
        <w:t xml:space="preserve">reports from this collector are the input; check their sizes in the manifest before importing.</w:t>
      </w:r>
    </w:p>
    <w:p>
      <w:pPr>
        <w:pStyle w:val="BodyText"/>
      </w:pPr>
      <w:r>
        <w:t xml:space="preserve">The full functions (</w:t>
      </w:r>
      <w:r>
        <w:rPr>
          <w:rStyle w:val="VerbatimChar"/>
        </w:rPr>
        <w:t xml:space="preserve">Get-FMPGPOInventory</w:t>
      </w:r>
      <w:r>
        <w:t xml:space="preserve">,</w:t>
      </w:r>
      <w:r>
        <w:t xml:space="preserve"> </w:t>
      </w:r>
      <w:r>
        <w:rPr>
          <w:rStyle w:val="VerbatimChar"/>
        </w:rPr>
        <w:t xml:space="preserve">Export-FMPGPOSettings</w:t>
      </w:r>
      <w:r>
        <w:t xml:space="preserve">,</w:t>
      </w:r>
      <w:r>
        <w:t xml:space="preserve"> </w:t>
      </w:r>
      <w:r>
        <w:rPr>
          <w:rStyle w:val="VerbatimChar"/>
        </w:rPr>
        <w:t xml:space="preserve">Find-GPOConflicts</w:t>
      </w:r>
      <w:r>
        <w:t xml:space="preserve">) are in Appendix B. The handoff to Intune policy design belongs to the workbook’s GPO sunset program.</w:t>
      </w:r>
    </w:p>
    <w:bookmarkEnd w:id="665"/>
    <w:bookmarkEnd w:id="666"/>
    <w:bookmarkStart w:id="672" w:name="dns-infrastructure"/>
    <w:p>
      <w:pPr>
        <w:pStyle w:val="Heading2"/>
      </w:pPr>
      <w:bookmarkStart w:id="1445" w:name="_Toc00001445"/>
      <w:r>
        <w:t xml:space="preserve">DNS infrastructure</w:t>
      </w:r>
      <w:bookmarkEnd w:id="1445"/>
    </w:p>
    <w:p>
      <w:pPr>
        <w:pStyle w:val="FirstParagraph"/>
      </w:pPr>
      <w:r>
        <w:t xml:space="preserve">Active Directory runs on DNS, and many of the hidden dependencies in Chapter 04 are DNS records nobody remembers creating. Query every domain controller that runs DNS, not only the global catalogs as the source did; the two sets usually overlap, but they aren’t the same thing.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Check</w:t>
            </w:r>
          </w:p>
        </w:tc>
        <w:tc>
          <w:tcPr/>
          <w:p>
            <w:pPr>
              <w:pStyle w:val="Compact"/>
            </w:pPr>
            <w:r>
              <w:t xml:space="preserve">Cmdlet</w:t>
            </w:r>
          </w:p>
        </w:tc>
        <w:tc>
          <w:tcPr/>
          <w:p>
            <w:pPr>
              <w:pStyle w:val="Compact"/>
            </w:pPr>
            <w:r>
              <w:t xml:space="preserve">What to look for</w:t>
            </w:r>
          </w:p>
        </w:tc>
      </w:tr>
      <w:tr>
        <w:tc>
          <w:tcPr/>
          <w:p>
            <w:pPr>
              <w:pStyle w:val="Compact"/>
            </w:pPr>
            <w:r>
              <w:t xml:space="preserve">Zones</w:t>
            </w:r>
          </w:p>
        </w:tc>
        <w:tc>
          <w:tcPr/>
          <w:p>
            <w:pPr>
              <w:pStyle w:val="Compact"/>
            </w:pPr>
            <w:r>
              <w:rPr>
                <w:rStyle w:val="VerbatimChar"/>
              </w:rPr>
              <w:t xml:space="preserve">Get-DnsServerZone</w:t>
            </w:r>
          </w:p>
        </w:tc>
        <w:tc>
          <w:tcPr/>
          <w:p>
            <w:pPr>
              <w:pStyle w:val="Compact"/>
            </w:pPr>
            <w:r>
              <w:t xml:space="preserve">Type (primary, secondary, stub, forwarder), AD integration and partition (</w:t>
            </w:r>
            <w:r>
              <w:rPr>
                <w:rStyle w:val="VerbatimChar"/>
              </w:rPr>
              <w:t xml:space="preserve">ForestDnsZones</w:t>
            </w:r>
            <w:r>
              <w:t xml:space="preserve">,</w:t>
            </w:r>
            <w:r>
              <w:t xml:space="preserve"> </w:t>
            </w:r>
            <w:r>
              <w:rPr>
                <w:rStyle w:val="VerbatimChar"/>
              </w:rPr>
              <w:t xml:space="preserve">DomainDnsZones</w:t>
            </w:r>
            <w:r>
              <w:t xml:space="preserve">, domain), signed state, dynamic update mode</w:t>
            </w:r>
          </w:p>
        </w:tc>
      </w:tr>
      <w:tr>
        <w:tc>
          <w:tcPr/>
          <w:p>
            <w:pPr>
              <w:pStyle w:val="Compact"/>
            </w:pPr>
            <w:r>
              <w:t xml:space="preserve">Records</w:t>
            </w:r>
          </w:p>
        </w:tc>
        <w:tc>
          <w:tcPr/>
          <w:p>
            <w:pPr>
              <w:pStyle w:val="Compact"/>
            </w:pPr>
            <w:r>
              <w:rPr>
                <w:rStyle w:val="VerbatimChar"/>
              </w:rPr>
              <w:t xml:space="preserve">Get-DnsServerResourceRecord</w:t>
            </w:r>
          </w:p>
        </w:tc>
        <w:tc>
          <w:tcPr/>
          <w:p>
            <w:pPr>
              <w:pStyle w:val="Compact"/>
            </w:pPr>
            <w:r>
              <w:t xml:space="preserve">Count by type per zone; records with old timestamps</w:t>
            </w:r>
          </w:p>
        </w:tc>
      </w:tr>
      <w:tr>
        <w:tc>
          <w:tcPr/>
          <w:p>
            <w:pPr>
              <w:pStyle w:val="Compact"/>
            </w:pPr>
            <w:r>
              <w:t xml:space="preserve">Forwarders</w:t>
            </w:r>
          </w:p>
        </w:tc>
        <w:tc>
          <w:tcPr/>
          <w:p>
            <w:pPr>
              <w:pStyle w:val="Compact"/>
            </w:pPr>
            <w:r>
              <w:rPr>
                <w:rStyle w:val="VerbatimChar"/>
              </w:rPr>
              <w:t xml:space="preserve">Get-DnsServerForwarder</w:t>
            </w:r>
            <w:r>
              <w:t xml:space="preserve">, forwarder zones</w:t>
            </w:r>
          </w:p>
        </w:tc>
        <w:tc>
          <w:tcPr/>
          <w:p>
            <w:pPr>
              <w:pStyle w:val="Compact"/>
            </w:pPr>
            <w:r>
              <w:t xml:space="preserve">Where unresolved names go, and conditional forwarders to partners</w:t>
            </w:r>
          </w:p>
        </w:tc>
      </w:tr>
      <w:tr>
        <w:tc>
          <w:tcPr/>
          <w:p>
            <w:pPr>
              <w:pStyle w:val="Compact"/>
            </w:pPr>
            <w:r>
              <w:t xml:space="preserve">DNSSEC</w:t>
            </w:r>
          </w:p>
        </w:tc>
        <w:tc>
          <w:tcPr/>
          <w:p>
            <w:pPr>
              <w:pStyle w:val="Compact"/>
            </w:pPr>
            <w:r>
              <w:rPr>
                <w:rStyle w:val="VerbatimChar"/>
              </w:rPr>
              <w:t xml:space="preserve">Get-DnsServerDnsSecZoneSetting</w:t>
            </w:r>
          </w:p>
        </w:tc>
        <w:tc>
          <w:tcPr/>
          <w:p>
            <w:pPr>
              <w:pStyle w:val="Compact"/>
            </w:pPr>
            <w:r>
              <w:t xml:space="preserve">Denial-of-existence mode, key master, DS record algorithms</w:t>
            </w:r>
          </w:p>
        </w:tc>
      </w:tr>
      <w:tr>
        <w:tc>
          <w:tcPr/>
          <w:p>
            <w:pPr>
              <w:pStyle w:val="Compact"/>
            </w:pPr>
            <w:r>
              <w:t xml:space="preserve">Scavenging</w:t>
            </w:r>
          </w:p>
        </w:tc>
        <w:tc>
          <w:tcPr/>
          <w:p>
            <w:pPr>
              <w:pStyle w:val="Compact"/>
            </w:pPr>
            <w:r>
              <w:rPr>
                <w:rStyle w:val="VerbatimChar"/>
              </w:rPr>
              <w:t xml:space="preserve">Get-DnsServerScavenging</w:t>
            </w:r>
          </w:p>
        </w:tc>
        <w:tc>
          <w:tcPr/>
          <w:p>
            <w:pPr>
              <w:pStyle w:val="Compact"/>
            </w:pPr>
            <w:r>
              <w:t xml:space="preserve">Whether scavenging is on, and its intervals</w:t>
            </w:r>
          </w:p>
        </w:tc>
      </w:tr>
      <w:tr>
        <w:tc>
          <w:tcPr/>
          <w:p>
            <w:pPr>
              <w:pStyle w:val="Compact"/>
            </w:pPr>
            <w:r>
              <w:t xml:space="preserve">Locator records</w:t>
            </w:r>
          </w:p>
        </w:tc>
        <w:tc>
          <w:tcPr/>
          <w:p>
            <w:pPr>
              <w:pStyle w:val="Compact"/>
            </w:pPr>
            <w:r>
              <w:rPr>
                <w:rStyle w:val="VerbatimChar"/>
              </w:rPr>
              <w:t xml:space="preserve">Resolve-DnsName -Type SRV</w:t>
            </w:r>
          </w:p>
        </w:tc>
        <w:tc>
          <w:tcPr/>
          <w:p>
            <w:pPr>
              <w:pStyle w:val="Compact"/>
            </w:pPr>
            <w:r>
              <w:rPr>
                <w:rStyle w:val="VerbatimChar"/>
              </w:rPr>
              <w:t xml:space="preserve">_ldap._tcp</w:t>
            </w:r>
            <w:r>
              <w:t xml:space="preserve">,</w:t>
            </w:r>
            <w:r>
              <w:t xml:space="preserve"> </w:t>
            </w:r>
            <w:r>
              <w:rPr>
                <w:rStyle w:val="VerbatimChar"/>
              </w:rPr>
              <w:t xml:space="preserve">_kerberos._tcp</w:t>
            </w:r>
            <w:r>
              <w:t xml:space="preserve">,</w:t>
            </w:r>
            <w:r>
              <w:t xml:space="preserve"> </w:t>
            </w:r>
            <w:r>
              <w:rPr>
                <w:rStyle w:val="VerbatimChar"/>
              </w:rPr>
              <w:t xml:space="preserve">_gc._tcp</w:t>
            </w:r>
            <w:r>
              <w:t xml:space="preserve">,</w:t>
            </w:r>
            <w:r>
              <w:t xml:space="preserve"> </w:t>
            </w:r>
            <w:r>
              <w:rPr>
                <w:rStyle w:val="VerbatimChar"/>
              </w:rPr>
              <w:t xml:space="preserve">_kpasswd._tcp</w:t>
            </w:r>
            <w:r>
              <w:t xml:space="preserve"> </w:t>
            </w:r>
            <w:r>
              <w:t xml:space="preserve">for each domain</w:t>
            </w:r>
          </w:p>
        </w:tc>
      </w:tr>
    </w:tbl>
    <w:p>
      <w:pPr>
        <w:pStyle w:val="BodyText"/>
      </w:pPr>
      <w:r>
        <w:rPr>
          <w:rStyle w:val="VerbatimChar"/>
        </w:rPr>
        <w:t xml:space="preserve">Get-DnsServerDnsSecZoneSetting</w:t>
      </w:r>
      <w:r>
        <w:t xml:space="preserve"> </w:t>
      </w:r>
      <w:r>
        <w:t xml:space="preserve">returns, among other fields,</w:t>
      </w:r>
      <w:r>
        <w:t xml:space="preserve"> </w:t>
      </w:r>
      <w:r>
        <w:rPr>
          <w:rStyle w:val="VerbatimChar"/>
        </w:rPr>
        <w:t xml:space="preserve">DenialOfExistence</w:t>
      </w:r>
      <w:r>
        <w:t xml:space="preserve">,</w:t>
      </w:r>
      <w:r>
        <w:t xml:space="preserve"> </w:t>
      </w:r>
      <w:r>
        <w:rPr>
          <w:rStyle w:val="VerbatimChar"/>
        </w:rPr>
        <w:t xml:space="preserve">IsKeyMasterServer</w:t>
      </w:r>
      <w:r>
        <w:t xml:space="preserve">,</w:t>
      </w:r>
      <w:r>
        <w:t xml:space="preserve"> </w:t>
      </w:r>
      <w:r>
        <w:rPr>
          <w:rStyle w:val="VerbatimChar"/>
        </w:rPr>
        <w:t xml:space="preserve">KeyMasterServer</w:t>
      </w:r>
      <w:r>
        <w:t xml:space="preserve"> </w:t>
      </w:r>
      <w:r>
        <w:t xml:space="preserve">and</w:t>
      </w:r>
      <w:r>
        <w:t xml:space="preserve"> </w:t>
      </w:r>
      <w:r>
        <w:rPr>
          <w:rStyle w:val="VerbatimChar"/>
        </w:rPr>
        <w:t xml:space="preserve">DSRecordGenerationAlgorithm</w:t>
      </w:r>
      <w:r>
        <w:t xml:space="preserve">.</w:t>
      </w:r>
      <w:r>
        <w:rPr>
          <w:rStyle w:val="FootnoteReference"/>
        </w:rPr>
        <w:footnoteReference w:id="667"/>
      </w:r>
      <w:r>
        <w:t xml:space="preserve"> </w:t>
      </w:r>
      <w:r>
        <w:rPr>
          <w:rStyle w:val="VerbatimChar"/>
        </w:rPr>
        <w:t xml:space="preserve">Get-DnsServerScavenging</w:t>
      </w:r>
      <w:r>
        <w:t xml:space="preserve"> </w:t>
      </w:r>
      <w:r>
        <w:t xml:space="preserve">returns the server’s aging and scavenging settings.</w:t>
      </w:r>
      <w:r>
        <w:rPr>
          <w:rStyle w:val="FootnoteReference"/>
        </w:rPr>
        <w:footnoteReference w:id="669"/>
      </w:r>
    </w:p>
    <w:p>
      <w:pPr>
        <w:pStyle w:val="BodyText"/>
      </w:pPr>
      <w:r>
        <w:t xml:space="preserve">Read stale-record results carefully. A record with a zero or empty timestamp is static and is never scavenged; only dynamically registered records age.</w:t>
      </w:r>
      <w:r>
        <w:rPr>
          <w:rStyle w:val="FootnoteReference"/>
        </w:rPr>
        <w:footnoteReference w:id="671"/>
      </w:r>
      <w:r>
        <w:t xml:space="preserve"> </w:t>
      </w:r>
      <w:r>
        <w:t xml:space="preserve">The source’s 90-day threshold is a review trigger, not a deletion rule.</w:t>
      </w:r>
    </w:p>
    <w:p>
      <w:pPr>
        <w:pStyle w:val="BodyText"/>
      </w:pPr>
      <w:r>
        <w:t xml:space="preserve">One more correction: the source used PowerShell 7’s</w:t>
      </w:r>
      <w:r>
        <w:t xml:space="preserve"> </w:t>
      </w:r>
      <w:r>
        <w:rPr>
          <w:rStyle w:val="VerbatimChar"/>
        </w:rPr>
        <w:t xml:space="preserve">??</w:t>
      </w:r>
      <w:r>
        <w:t xml:space="preserve"> </w:t>
      </w:r>
      <w:r>
        <w:t xml:space="preserve">operator to pick a record’s data field, but its module declares PowerShell 5.1. Appendix B replaces it with an explicit</w:t>
      </w:r>
      <w:r>
        <w:t xml:space="preserve"> </w:t>
      </w:r>
      <w:r>
        <w:rPr>
          <w:rStyle w:val="VerbatimChar"/>
        </w:rPr>
        <w:t xml:space="preserve">switch</w:t>
      </w:r>
      <w:r>
        <w:t xml:space="preserve"> </w:t>
      </w:r>
      <w:r>
        <w:t xml:space="preserve">on record type. The DNS design that consumes this inventory is in the workbook’s Book 08 — DNS, DHCP &amp; IPAM.</w:t>
      </w:r>
    </w:p>
    <w:bookmarkEnd w:id="672"/>
    <w:bookmarkStart w:id="697" w:name="certificate-services-ad-cs"/>
    <w:p>
      <w:pPr>
        <w:pStyle w:val="Heading2"/>
      </w:pPr>
      <w:bookmarkStart w:id="1446" w:name="_Toc00001446"/>
      <w:r>
        <w:t xml:space="preserve">Certificate Services (AD CS)</w:t>
      </w:r>
      <w:bookmarkEnd w:id="1446"/>
    </w:p>
    <w:p>
      <w:pPr>
        <w:pStyle w:val="FirstParagraph"/>
      </w:pPr>
      <w:r>
        <w:t xml:space="preserve">AD CS matters twice in a migration. It issues the certificates that devices, domain controllers and smart cards depend on, and its misconfigurations are among the most direct privilege-escalation paths in an Active Directory forest.</w:t>
      </w:r>
    </w:p>
    <w:bookmarkStart w:id="678" w:name="discovery"/>
    <w:p>
      <w:pPr>
        <w:pStyle w:val="Heading3"/>
      </w:pPr>
      <w:r>
        <w:t xml:space="preserve">Discovery</w:t>
      </w:r>
    </w:p>
    <w:p>
      <w:pPr>
        <w:pStyle w:val="FirstParagraph"/>
      </w:pPr>
      <w:r>
        <w:t xml:space="preserve">Enterprise CAs publish themselves in the directory, so discovery doesn’t need a tool on the CA. Under</w:t>
      </w:r>
      <w:r>
        <w:t xml:space="preserve"> </w:t>
      </w:r>
      <w:r>
        <w:rPr>
          <w:rStyle w:val="VerbatimChar"/>
        </w:rPr>
        <w:t xml:space="preserve">CN=Public Key Services,CN=Services</w:t>
      </w:r>
      <w:r>
        <w:t xml:space="preserve"> </w:t>
      </w:r>
      <w:r>
        <w:t xml:space="preserve">in the configuration partition:</w:t>
      </w:r>
    </w:p>
    <w:p>
      <w:pPr>
        <w:pStyle w:val="Compact"/>
        <w:numPr>
          <w:ilvl w:val="0"/>
          <w:numId w:val="1041"/>
        </w:numPr>
      </w:pPr>
      <w:r>
        <w:rPr>
          <w:b/>
          <w:bCs/>
        </w:rPr>
        <w:t xml:space="preserve">Enrollment Services</w:t>
      </w:r>
      <w:r>
        <w:t xml:space="preserve"> </w:t>
      </w:r>
      <w:r>
        <w:t xml:space="preserve">holds a</w:t>
      </w:r>
      <w:r>
        <w:t xml:space="preserve"> </w:t>
      </w:r>
      <w:r>
        <w:rPr>
          <w:rStyle w:val="VerbatimChar"/>
        </w:rPr>
        <w:t xml:space="preserve">pKIEnrollmentService</w:t>
      </w:r>
      <w:r>
        <w:t xml:space="preserve"> </w:t>
      </w:r>
      <w:r>
        <w:t xml:space="preserve">object for each enterprise CA, recording which certificate types it can issue; its permissions control who can enroll.</w:t>
      </w:r>
    </w:p>
    <w:p>
      <w:pPr>
        <w:pStyle w:val="Compact"/>
        <w:numPr>
          <w:ilvl w:val="0"/>
          <w:numId w:val="1041"/>
        </w:numPr>
      </w:pPr>
      <w:r>
        <w:rPr>
          <w:b/>
          <w:bCs/>
        </w:rPr>
        <w:t xml:space="preserve">Certificate Templates</w:t>
      </w:r>
      <w:r>
        <w:t xml:space="preserve"> </w:t>
      </w:r>
      <w:r>
        <w:t xml:space="preserve">holds the templates enterprise CAs issue from.</w:t>
      </w:r>
    </w:p>
    <w:p>
      <w:pPr>
        <w:pStyle w:val="Compact"/>
        <w:numPr>
          <w:ilvl w:val="0"/>
          <w:numId w:val="1041"/>
        </w:numPr>
      </w:pPr>
      <w:r>
        <w:rPr>
          <w:b/>
          <w:bCs/>
        </w:rPr>
        <w:t xml:space="preserve">AIA</w:t>
      </w:r>
      <w:r>
        <w:t xml:space="preserve">,</w:t>
      </w:r>
      <w:r>
        <w:t xml:space="preserve"> </w:t>
      </w:r>
      <w:r>
        <w:rPr>
          <w:b/>
          <w:bCs/>
        </w:rPr>
        <w:t xml:space="preserve">CDP</w:t>
      </w:r>
      <w:r>
        <w:t xml:space="preserve">,</w:t>
      </w:r>
      <w:r>
        <w:t xml:space="preserve"> </w:t>
      </w:r>
      <w:r>
        <w:rPr>
          <w:b/>
          <w:bCs/>
        </w:rPr>
        <w:t xml:space="preserve">Certification Authorities</w:t>
      </w:r>
      <w:r>
        <w:t xml:space="preserve"> </w:t>
      </w:r>
      <w:r>
        <w:t xml:space="preserve">and</w:t>
      </w:r>
      <w:r>
        <w:t xml:space="preserve"> </w:t>
      </w:r>
      <w:r>
        <w:rPr>
          <w:b/>
          <w:bCs/>
        </w:rPr>
        <w:t xml:space="preserve">NTAuthCertificates</w:t>
      </w:r>
      <w:r>
        <w:t xml:space="preserve"> </w:t>
      </w:r>
      <w:r>
        <w:t xml:space="preserve">hold CA certificates, CRLs, the forest root trust store and the CAs trusted for smart card and domain controller authentication.</w:t>
      </w:r>
      <w:r>
        <w:rPr>
          <w:rStyle w:val="FootnoteReference"/>
        </w:rPr>
        <w:footnoteReference w:id="673"/>
      </w:r>
    </w:p>
    <w:p>
      <w:pPr>
        <w:pStyle w:val="FirstParagraph"/>
      </w:pPr>
      <w:r>
        <w:rPr>
          <w:rStyle w:val="VerbatimChar"/>
        </w:rPr>
        <w:t xml:space="preserve">certutil -ADCA</w:t>
      </w:r>
      <w:r>
        <w:t xml:space="preserve"> </w:t>
      </w:r>
      <w:r>
        <w:t xml:space="preserve">lists the CAs in the directory,</w:t>
      </w:r>
      <w:r>
        <w:t xml:space="preserve"> </w:t>
      </w:r>
      <w:r>
        <w:rPr>
          <w:rStyle w:val="VerbatimChar"/>
        </w:rPr>
        <w:t xml:space="preserve">-CAInfo</w:t>
      </w:r>
      <w:r>
        <w:t xml:space="preserve"> </w:t>
      </w:r>
      <w:r>
        <w:t xml:space="preserve">and</w:t>
      </w:r>
      <w:r>
        <w:t xml:space="preserve"> </w:t>
      </w:r>
      <w:r>
        <w:rPr>
          <w:rStyle w:val="VerbatimChar"/>
        </w:rPr>
        <w:t xml:space="preserve">-ping</w:t>
      </w:r>
      <w:r>
        <w:t xml:space="preserve"> </w:t>
      </w:r>
      <w:r>
        <w:t xml:space="preserve">query a CA, and</w:t>
      </w:r>
      <w:r>
        <w:t xml:space="preserve"> </w:t>
      </w:r>
      <w:r>
        <w:rPr>
          <w:rStyle w:val="VerbatimChar"/>
        </w:rPr>
        <w:t xml:space="preserve">-getreg policy\EditFlags</w:t>
      </w:r>
      <w:r>
        <w:t xml:space="preserve"> </w:t>
      </w:r>
      <w:r>
        <w:t xml:space="preserve">reads the policy module flags.</w:t>
      </w:r>
      <w:r>
        <w:rPr>
          <w:rStyle w:val="FootnoteReference"/>
        </w:rPr>
        <w:footnoteReference w:id="675"/>
      </w:r>
      <w:r>
        <w:t xml:space="preserve"> </w:t>
      </w:r>
      <w:r>
        <w:t xml:space="preserve">The source used</w:t>
      </w:r>
      <w:r>
        <w:t xml:space="preserve"> </w:t>
      </w:r>
      <w:r>
        <w:rPr>
          <w:rStyle w:val="VerbatimChar"/>
        </w:rPr>
        <w:t xml:space="preserve">certutil -config - -ping</w:t>
      </w:r>
      <w:r>
        <w:t xml:space="preserve">;</w:t>
      </w:r>
      <w:r>
        <w:t xml:space="preserve"> </w:t>
      </w:r>
      <w:r>
        <w:rPr>
          <w:rStyle w:val="VerbatimChar"/>
        </w:rPr>
        <w:t xml:space="preserve">-config -</w:t>
      </w:r>
      <w:r>
        <w:t xml:space="preserve"> </w:t>
      </w:r>
      <w:r>
        <w:t xml:space="preserve">asks for a CA interactively, which a scheduled run can’t answer. Pass</w:t>
      </w:r>
      <w:r>
        <w:t xml:space="preserve"> </w:t>
      </w:r>
      <w:r>
        <w:rPr>
          <w:rStyle w:val="VerbatimChar"/>
        </w:rPr>
        <w:t xml:space="preserve">-config &lt;host&gt;\&lt;CA name&gt;</w:t>
      </w:r>
      <w:r>
        <w:t xml:space="preserve"> </w:t>
      </w:r>
      <w:r>
        <w:t xml:space="preserve">instead.</w:t>
      </w:r>
    </w:p>
    <w:p>
      <w:pPr>
        <w:pStyle w:val="BodyText"/>
      </w:pPr>
      <w:r>
        <w:t xml:space="preserve">The source also called three PSPKI cmdlets that don’t exist under those names. The CRL and AIA cmdlets are</w:t>
      </w:r>
      <w:r>
        <w:t xml:space="preserve"> </w:t>
      </w:r>
      <w:r>
        <w:rPr>
          <w:rStyle w:val="VerbatimChar"/>
        </w:rPr>
        <w:t xml:space="preserve">Get-CRLDistributionPoint</w:t>
      </w:r>
      <w:r>
        <w:t xml:space="preserve"> </w:t>
      </w:r>
      <w:r>
        <w:t xml:space="preserve">and</w:t>
      </w:r>
      <w:r>
        <w:t xml:space="preserve"> </w:t>
      </w:r>
      <w:r>
        <w:rPr>
          <w:rStyle w:val="VerbatimChar"/>
        </w:rPr>
        <w:t xml:space="preserve">Get-AuthorityInformationAccess</w:t>
      </w:r>
      <w:r>
        <w:t xml:space="preserve">, and there’s no</w:t>
      </w:r>
      <w:r>
        <w:t xml:space="preserve"> </w:t>
      </w:r>
      <w:r>
        <w:rPr>
          <w:rStyle w:val="VerbatimChar"/>
        </w:rPr>
        <w:t xml:space="preserve">Get-CACertificate</w:t>
      </w:r>
      <w:r>
        <w:t xml:space="preserve">.</w:t>
      </w:r>
      <w:r>
        <w:rPr>
          <w:rStyle w:val="FootnoteReference"/>
        </w:rPr>
        <w:footnoteReference w:id="677"/>
      </w:r>
      <w:r>
        <w:t xml:space="preserve"> </w:t>
      </w:r>
      <w:r>
        <w:t xml:space="preserve">Appendix B reads the CA certificate with</w:t>
      </w:r>
      <w:r>
        <w:t xml:space="preserve"> </w:t>
      </w:r>
      <w:r>
        <w:rPr>
          <w:rStyle w:val="VerbatimChar"/>
        </w:rPr>
        <w:t xml:space="preserve">certutil -ca.cert</w:t>
      </w:r>
      <w:r>
        <w:t xml:space="preserve"> </w:t>
      </w:r>
      <w:r>
        <w:t xml:space="preserve">instead.</w:t>
      </w:r>
    </w:p>
    <w:bookmarkEnd w:id="678"/>
    <w:bookmarkStart w:id="696" w:name="escalation-patterns"/>
    <w:p>
      <w:pPr>
        <w:pStyle w:val="Heading3"/>
      </w:pPr>
      <w:r>
        <w:t xml:space="preserve">Escalation patterns</w:t>
      </w:r>
    </w:p>
    <w:p>
      <w:pPr>
        <w:pStyle w:val="FirstParagraph"/>
      </w:pPr>
      <w:r>
        <w:t xml:space="preserve">The ESC naming for AD CS escalation patterns comes from SpecterOps’ 2021 research, which defined ESC1 through ESC8; SpecterOps’ own tooling now covers patterns through ESC16.</w:t>
      </w:r>
      <w:r>
        <w:rPr>
          <w:rStyle w:val="FootnoteReference"/>
        </w:rPr>
        <w:footnoteReference w:id="679"/>
      </w:r>
      <w:r>
        <w:t xml:space="preserve"> </w:t>
      </w:r>
      <w:r>
        <w:t xml:space="preserve">Microsoft Defender for Identity now assesses several of them in Secure Score.</w:t>
      </w:r>
      <w:r>
        <w:rPr>
          <w:rStyle w:val="FootnoteReference"/>
        </w:rPr>
        <w:footnoteReference w:id="681"/>
      </w:r>
      <w:r>
        <w:t xml:space="preserve"> </w:t>
      </w:r>
      <w:r>
        <w:t xml:space="preserve">The assessment checks the ones it can see from the directory and the CA registry: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Pattern</w:t>
            </w:r>
          </w:p>
        </w:tc>
        <w:tc>
          <w:tcPr/>
          <w:p>
            <w:pPr>
              <w:pStyle w:val="Compact"/>
            </w:pPr>
            <w:r>
              <w:t xml:space="preserve">Condition</w:t>
            </w:r>
          </w:p>
        </w:tc>
        <w:tc>
          <w:tcPr/>
          <w:p>
            <w:pPr>
              <w:pStyle w:val="Compact"/>
            </w:pPr>
            <w:r>
              <w:t xml:space="preserve">Source of truth</w:t>
            </w:r>
          </w:p>
        </w:tc>
      </w:tr>
      <w:tr>
        <w:tc>
          <w:tcPr/>
          <w:p>
            <w:pPr>
              <w:pStyle w:val="Compact"/>
            </w:pPr>
            <w:r>
              <w:t xml:space="preserve">ESC1</w:t>
            </w:r>
          </w:p>
        </w:tc>
        <w:tc>
          <w:tcPr/>
          <w:p>
            <w:pPr>
              <w:pStyle w:val="Compact"/>
            </w:pPr>
            <w:r>
              <w:t xml:space="preserve">Template lets the enrollee supply the subject, allows an authentication EKU, needs no manager approval or authorized signature, and is enrollable by broad groups</w:t>
            </w:r>
          </w:p>
        </w:tc>
        <w:tc>
          <w:tcPr/>
          <w:p>
            <w:pPr>
              <w:pStyle w:val="Compact"/>
            </w:pPr>
            <w:r>
              <w:rPr>
                <w:rStyle w:val="VerbatimChar"/>
              </w:rPr>
              <w:t xml:space="preserve">msPKI-Certificate-Name-Flag</w:t>
            </w:r>
            <w:r>
              <w:t xml:space="preserve">, EKU attributes,</w:t>
            </w:r>
            <w:r>
              <w:t xml:space="preserve"> </w:t>
            </w:r>
            <w:r>
              <w:rPr>
                <w:rStyle w:val="VerbatimChar"/>
              </w:rPr>
              <w:t xml:space="preserve">msPKI-Enrollment-Flag</w:t>
            </w:r>
            <w:r>
              <w:t xml:space="preserve">,</w:t>
            </w:r>
            <w:r>
              <w:t xml:space="preserve"> </w:t>
            </w:r>
            <w:r>
              <w:rPr>
                <w:rStyle w:val="VerbatimChar"/>
              </w:rPr>
              <w:t xml:space="preserve">msPKI-RA-Signature</w:t>
            </w:r>
            <w:r>
              <w:t xml:space="preserve">, template ACL</w:t>
            </w:r>
          </w:p>
        </w:tc>
      </w:tr>
      <w:tr>
        <w:tc>
          <w:tcPr/>
          <w:p>
            <w:pPr>
              <w:pStyle w:val="Compact"/>
            </w:pPr>
            <w:r>
              <w:t xml:space="preserve">ESC2</w:t>
            </w:r>
          </w:p>
        </w:tc>
        <w:tc>
          <w:tcPr/>
          <w:p>
            <w:pPr>
              <w:pStyle w:val="Compact"/>
            </w:pPr>
            <w:r>
              <w:t xml:space="preserve">Template has the Any Purpose EKU or no EKU</w:t>
            </w:r>
          </w:p>
        </w:tc>
        <w:tc>
          <w:tcPr/>
          <w:p>
            <w:pPr>
              <w:pStyle w:val="Compact"/>
            </w:pPr>
            <w:r>
              <w:t xml:space="preserve">EKU attributes</w:t>
            </w:r>
          </w:p>
        </w:tc>
      </w:tr>
      <w:tr>
        <w:tc>
          <w:tcPr/>
          <w:p>
            <w:pPr>
              <w:pStyle w:val="Compact"/>
            </w:pPr>
            <w:r>
              <w:t xml:space="preserve">ESC4</w:t>
            </w:r>
          </w:p>
        </w:tc>
        <w:tc>
          <w:tcPr/>
          <w:p>
            <w:pPr>
              <w:pStyle w:val="Compact"/>
            </w:pPr>
            <w:r>
              <w:t xml:space="preserve">Template ACL lets broad groups write to it</w:t>
            </w:r>
          </w:p>
        </w:tc>
        <w:tc>
          <w:tcPr/>
          <w:p>
            <w:pPr>
              <w:pStyle w:val="Compact"/>
            </w:pPr>
            <w:r>
              <w:t xml:space="preserve">Template ACL</w:t>
            </w:r>
          </w:p>
        </w:tc>
      </w:tr>
      <w:tr>
        <w:tc>
          <w:tcPr/>
          <w:p>
            <w:pPr>
              <w:pStyle w:val="Compact"/>
            </w:pPr>
            <w:r>
              <w:t xml:space="preserve">ESC6</w:t>
            </w:r>
          </w:p>
        </w:tc>
        <w:tc>
          <w:tcPr/>
          <w:p>
            <w:pPr>
              <w:pStyle w:val="Compact"/>
            </w:pPr>
            <w:r>
              <w:t xml:space="preserve">CA has</w:t>
            </w:r>
            <w:r>
              <w:t xml:space="preserve"> </w:t>
            </w:r>
            <w:r>
              <w:rPr>
                <w:rStyle w:val="VerbatimChar"/>
              </w:rPr>
              <w:t xml:space="preserve">EDITF_ATTRIBUTESUBJECTALTNAME2</w:t>
            </w:r>
            <w:r>
              <w:t xml:space="preserve"> </w:t>
            </w:r>
            <w:r>
              <w:t xml:space="preserve">set, so any requester can add a SAN</w:t>
            </w:r>
          </w:p>
        </w:tc>
        <w:tc>
          <w:tcPr/>
          <w:p>
            <w:pPr>
              <w:pStyle w:val="Compact"/>
            </w:pPr>
            <w:r>
              <w:rPr>
                <w:rStyle w:val="VerbatimChar"/>
              </w:rPr>
              <w:t xml:space="preserve">certutil -getreg policy\EditFlags</w:t>
            </w:r>
          </w:p>
        </w:tc>
      </w:tr>
      <w:tr>
        <w:tc>
          <w:tcPr/>
          <w:p>
            <w:pPr>
              <w:pStyle w:val="Compact"/>
            </w:pPr>
            <w:r>
              <w:t xml:space="preserve">ESC7</w:t>
            </w:r>
          </w:p>
        </w:tc>
        <w:tc>
          <w:tcPr/>
          <w:p>
            <w:pPr>
              <w:pStyle w:val="Compact"/>
            </w:pPr>
            <w:r>
              <w:t xml:space="preserve">Broad groups hold Manage CA or Manage Certificates on the CA</w:t>
            </w:r>
          </w:p>
        </w:tc>
        <w:tc>
          <w:tcPr/>
          <w:p>
            <w:pPr>
              <w:pStyle w:val="Compact"/>
            </w:pPr>
            <w:r>
              <w:t xml:space="preserve">CA ACL</w:t>
            </w:r>
          </w:p>
        </w:tc>
      </w:tr>
    </w:tbl>
    <w:p>
      <w:pPr>
        <w:pStyle w:val="BodyText"/>
      </w:pPr>
      <w:r>
        <w:t xml:space="preserve">Defender for Identity’s definitions are the reference. ESC1 is a template with</w:t>
      </w:r>
      <w:r>
        <w:t xml:space="preserve"> </w:t>
      </w:r>
      <w:r>
        <w:rPr>
          <w:i/>
          <w:iCs/>
        </w:rPr>
        <w:t xml:space="preserve">Supply in the request</w:t>
      </w:r>
      <w:r>
        <w:t xml:space="preserve"> </w:t>
      </w:r>
      <w:r>
        <w:t xml:space="preserve">on, an authentication EKU such as Client Authentication, Smart Card Logon, PKINIT client authentication or Any Purpose, and enrollment open to unprivileged groups, unless manager approval or authorized signatures mitigate it.</w:t>
      </w:r>
      <w:r>
        <w:rPr>
          <w:rStyle w:val="FootnoteReference"/>
        </w:rPr>
        <w:footnoteReference w:id="682"/>
      </w:r>
      <w:r>
        <w:t xml:space="preserve"> </w:t>
      </w:r>
      <w:r>
        <w:t xml:space="preserve">ESC6 is the CA flag that lets every requester specify the SAN for every template; Microsoft’s remediation is</w:t>
      </w:r>
      <w:r>
        <w:t xml:space="preserve"> </w:t>
      </w:r>
      <w:r>
        <w:rPr>
          <w:rStyle w:val="VerbatimChar"/>
        </w:rPr>
        <w:t xml:space="preserve">certutil -setreg policy\EditFlags -EDITF_ATTRIBUTESUBJECTALTNAME2</w:t>
      </w:r>
      <w:r>
        <w:t xml:space="preserve"> </w:t>
      </w:r>
      <w:r>
        <w:t xml:space="preserve">and a service restart.</w:t>
      </w:r>
      <w:r>
        <w:rPr>
          <w:rStyle w:val="FootnoteReference"/>
        </w:rPr>
        <w:footnoteReference w:id="683"/>
      </w:r>
      <w:r>
        <w:t xml:space="preserve"> </w:t>
      </w:r>
      <w:r>
        <w:t xml:space="preserve">ESC4 is a template ACL that gives a broad group rights such as Full Control or Write DACL.</w:t>
      </w:r>
      <w:r>
        <w:rPr>
          <w:rStyle w:val="FootnoteReference"/>
        </w:rPr>
        <w:footnoteReference w:id="684"/>
      </w:r>
    </w:p>
    <w:p>
      <w:pPr>
        <w:pStyle w:val="BodyText"/>
      </w:pPr>
      <w:r>
        <w:t xml:space="preserve">The source’s ESC1 check tested for the Digital Signature</w:t>
      </w:r>
      <w:r>
        <w:t xml:space="preserve"> </w:t>
      </w:r>
      <w:r>
        <w:rPr>
          <w:i/>
          <w:iCs/>
        </w:rPr>
        <w:t xml:space="preserve">key usage</w:t>
      </w:r>
      <w:r>
        <w:t xml:space="preserve">. That’s the wrong field: almost every template has it. The check has to test the</w:t>
      </w:r>
      <w:r>
        <w:t xml:space="preserve"> </w:t>
      </w:r>
      <w:r>
        <w:rPr>
          <w:i/>
          <w:iCs/>
        </w:rPr>
        <w:t xml:space="preserve">extended</w:t>
      </w:r>
      <w:r>
        <w:t xml:space="preserve"> </w:t>
      </w:r>
      <w:r>
        <w:t xml:space="preserve">key usage for an authentication purpose. In the directory, the enrollee-supplies-subject flag is</w:t>
      </w:r>
      <w:r>
        <w:t xml:space="preserve"> </w:t>
      </w:r>
      <w:r>
        <w:rPr>
          <w:rStyle w:val="VerbatimChar"/>
        </w:rPr>
        <w:t xml:space="preserve">0x1</w:t>
      </w:r>
      <w:r>
        <w:t xml:space="preserve"> </w:t>
      </w:r>
      <w:r>
        <w:t xml:space="preserve">in the name flags and the pend-all-requests (manager approval) flag is</w:t>
      </w:r>
      <w:r>
        <w:t xml:space="preserve"> </w:t>
      </w:r>
      <w:r>
        <w:rPr>
          <w:rStyle w:val="VerbatimChar"/>
        </w:rPr>
        <w:t xml:space="preserve">0x2</w:t>
      </w:r>
      <w:r>
        <w:t xml:space="preserve"> </w:t>
      </w:r>
      <w:r>
        <w:t xml:space="preserve">in the enrollment flags.</w:t>
      </w:r>
      <w:r>
        <w:rPr>
          <w:rStyle w:val="FootnoteReference"/>
        </w:rPr>
        <w:footnoteReference w:id="685"/>
      </w:r>
      <w:r>
        <w:rPr>
          <w:rStyle w:val="FootnoteReference"/>
        </w:rPr>
        <w:footnoteReference w:id="687"/>
      </w:r>
      <w:r>
        <w:t xml:space="preserve"> </w:t>
      </w:r>
      <w:r>
        <w:t xml:space="preserve">The authentication EKUs are Client Authentication</w:t>
      </w:r>
      <w:r>
        <w:t xml:space="preserve"> </w:t>
      </w:r>
      <w:r>
        <w:rPr>
          <w:rStyle w:val="VerbatimChar"/>
        </w:rPr>
        <w:t xml:space="preserve">1.3.6.1.5.5.7.3.2</w:t>
      </w:r>
      <w:r>
        <w:t xml:space="preserve">, Smart Card Logon</w:t>
      </w:r>
      <w:r>
        <w:t xml:space="preserve"> </w:t>
      </w:r>
      <w:r>
        <w:rPr>
          <w:rStyle w:val="VerbatimChar"/>
        </w:rPr>
        <w:t xml:space="preserve">1.3.6.1.4.1.311.20.2.2</w:t>
      </w:r>
      <w:r>
        <w:t xml:space="preserve">, PKINIT client authentication</w:t>
      </w:r>
      <w:r>
        <w:t xml:space="preserve"> </w:t>
      </w:r>
      <w:r>
        <w:rPr>
          <w:rStyle w:val="VerbatimChar"/>
        </w:rPr>
        <w:t xml:space="preserve">1.3.6.1.5.2.3.4</w:t>
      </w:r>
      <w:r>
        <w:t xml:space="preserve">, and Any Purpose</w:t>
      </w:r>
      <w:r>
        <w:t xml:space="preserve"> </w:t>
      </w:r>
      <w:r>
        <w:rPr>
          <w:rStyle w:val="VerbatimChar"/>
        </w:rPr>
        <w:t xml:space="preserve">2.5.29.37.0</w:t>
      </w:r>
      <w:r>
        <w:t xml:space="preserve">.</w:t>
      </w:r>
      <w:r>
        <w:rPr>
          <w:rStyle w:val="FootnoteReference"/>
        </w:rPr>
        <w:footnoteReference w:id="689"/>
      </w:r>
      <w:r>
        <w:rPr>
          <w:rStyle w:val="FootnoteReference"/>
        </w:rPr>
        <w:footnoteReference w:id="691"/>
      </w:r>
      <w:r>
        <w:rPr>
          <w:rStyle w:val="FootnoteReference"/>
        </w:rPr>
        <w:footnoteReference w:id="693"/>
      </w:r>
    </w:p>
    <w:p>
      <w:pPr>
        <w:pStyle w:val="SourceCode"/>
      </w:pPr>
      <w:r>
        <w:rPr>
          <w:rStyle w:val="VariableTok"/>
        </w:rPr>
        <w:t xml:space="preserve">$config</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Get-ADRootDSE</w:t>
      </w:r>
      <w:r>
        <w:rPr>
          <w:rStyle w:val="OperatorTok"/>
        </w:rPr>
        <w:t xml:space="preserve">).</w:t>
      </w:r>
      <w:r>
        <w:rPr>
          <w:rStyle w:val="FunctionTok"/>
        </w:rPr>
        <w:t xml:space="preserve">configurationNamingContext</w:t>
      </w:r>
      <w:r>
        <w:br/>
      </w:r>
      <w:r>
        <w:rPr>
          <w:rStyle w:val="VariableTok"/>
        </w:rPr>
        <w:t xml:space="preserve">$authEku</w:t>
      </w:r>
      <w:r>
        <w:rPr>
          <w:rStyle w:val="NormalTok"/>
        </w:rPr>
        <w:t xml:space="preserve"> </w:t>
      </w:r>
      <w:r>
        <w:rPr>
          <w:rStyle w:val="OperatorTok"/>
        </w:rPr>
        <w:t xml:space="preserve">=</w:t>
      </w:r>
      <w:r>
        <w:rPr>
          <w:rStyle w:val="NormalTok"/>
        </w:rPr>
        <w:t xml:space="preserve"> </w:t>
      </w:r>
      <w:r>
        <w:rPr>
          <w:rStyle w:val="StringTok"/>
        </w:rPr>
        <w:t xml:space="preserve">'1.3.6.1.5.5.7.3.2'</w:t>
      </w:r>
      <w:r>
        <w:rPr>
          <w:rStyle w:val="OperatorTok"/>
        </w:rPr>
        <w:t xml:space="preserve">,</w:t>
      </w:r>
      <w:r>
        <w:rPr>
          <w:rStyle w:val="StringTok"/>
        </w:rPr>
        <w:t xml:space="preserve">'1.3.6.1.4.1.311.20.2.2'</w:t>
      </w:r>
      <w:r>
        <w:rPr>
          <w:rStyle w:val="OperatorTok"/>
        </w:rPr>
        <w:t xml:space="preserve">,</w:t>
      </w:r>
      <w:r>
        <w:rPr>
          <w:rStyle w:val="StringTok"/>
        </w:rPr>
        <w:t xml:space="preserve">'1.3.6.1.5.2.3.4'</w:t>
      </w:r>
      <w:r>
        <w:rPr>
          <w:rStyle w:val="OperatorTok"/>
        </w:rPr>
        <w:t xml:space="preserve">,</w:t>
      </w:r>
      <w:r>
        <w:rPr>
          <w:rStyle w:val="StringTok"/>
        </w:rPr>
        <w:t xml:space="preserve">'2.5.29.37.0'</w:t>
      </w:r>
      <w:r>
        <w:br/>
      </w:r>
      <w:r>
        <w:rPr>
          <w:rStyle w:val="FunctionTok"/>
        </w:rPr>
        <w:t xml:space="preserve">Get-ADObject</w:t>
      </w:r>
      <w:r>
        <w:rPr>
          <w:rStyle w:val="NormalTok"/>
        </w:rPr>
        <w:t xml:space="preserve"> </w:t>
      </w:r>
      <w:r>
        <w:rPr>
          <w:rStyle w:val="OperatorTok"/>
        </w:rPr>
        <w:t xml:space="preserve">-</w:t>
      </w:r>
      <w:r>
        <w:rPr>
          <w:rStyle w:val="NormalTok"/>
        </w:rPr>
        <w:t xml:space="preserve">SearchBase </w:t>
      </w:r>
      <w:r>
        <w:rPr>
          <w:rStyle w:val="StringTok"/>
        </w:rPr>
        <w:t xml:space="preserve">"CN=Certificate Templates,CN=Public Key Services,CN=Services,</w:t>
      </w:r>
      <w:r>
        <w:rPr>
          <w:rStyle w:val="VariableTok"/>
        </w:rPr>
        <w:t xml:space="preserve">$config</w:t>
      </w:r>
      <w:r>
        <w:rPr>
          <w:rStyle w:val="String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LDAPFilter </w:t>
      </w:r>
      <w:r>
        <w:rPr>
          <w:rStyle w:val="StringTok"/>
        </w:rPr>
        <w:t xml:space="preserve">'(objectClass=pKICertificateTemplate)'</w:t>
      </w:r>
      <w:r>
        <w:rPr>
          <w:rStyle w:val="NormalTok"/>
        </w:rPr>
        <w:t xml:space="preserve"> `</w:t>
      </w:r>
      <w:r>
        <w:br/>
      </w:r>
      <w:r>
        <w:rPr>
          <w:rStyle w:val="NormalTok"/>
        </w:rPr>
        <w:t xml:space="preserve">    </w:t>
      </w:r>
      <w:r>
        <w:rPr>
          <w:rStyle w:val="OperatorTok"/>
        </w:rPr>
        <w:t xml:space="preserve">-</w:t>
      </w:r>
      <w:r>
        <w:rPr>
          <w:rStyle w:val="NormalTok"/>
        </w:rPr>
        <w:t xml:space="preserve">Properties displayName</w:t>
      </w:r>
      <w:r>
        <w:rPr>
          <w:rStyle w:val="OperatorTok"/>
        </w:rPr>
        <w:t xml:space="preserve">,</w:t>
      </w:r>
      <w:r>
        <w:rPr>
          <w:rStyle w:val="NormalTok"/>
        </w:rPr>
        <w:t xml:space="preserve"> msPKI-Certificate-Name-Flag</w:t>
      </w:r>
      <w:r>
        <w:rPr>
          <w:rStyle w:val="OperatorTok"/>
        </w:rPr>
        <w:t xml:space="preserve">,</w:t>
      </w:r>
      <w:r>
        <w:rPr>
          <w:rStyle w:val="NormalTok"/>
        </w:rPr>
        <w:t xml:space="preserve"> msPKI-Enrollment-Flag</w:t>
      </w:r>
      <w:r>
        <w:rPr>
          <w:rStyle w:val="OperatorTok"/>
        </w:rPr>
        <w:t xml:space="preserve">,</w:t>
      </w:r>
      <w:r>
        <w:br/>
      </w:r>
      <w:r>
        <w:rPr>
          <w:rStyle w:val="NormalTok"/>
        </w:rPr>
        <w:t xml:space="preserve">                msPKI-RA-Signature</w:t>
      </w:r>
      <w:r>
        <w:rPr>
          <w:rStyle w:val="OperatorTok"/>
        </w:rPr>
        <w:t xml:space="preserve">,</w:t>
      </w:r>
      <w:r>
        <w:rPr>
          <w:rStyle w:val="NormalTok"/>
        </w:rPr>
        <w:t xml:space="preserve"> pKIExtendedKeyUsage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$_</w:t>
      </w:r>
      <w:r>
        <w:rPr>
          <w:rStyle w:val="OperatorTok"/>
        </w:rPr>
        <w:t xml:space="preserve">.</w:t>
      </w:r>
      <w:r>
        <w:rPr>
          <w:rStyle w:val="StringTok"/>
        </w:rPr>
        <w:t xml:space="preserve">'msPKI-Certificate-Name-Flag'</w:t>
      </w:r>
      <w:r>
        <w:rPr>
          <w:rStyle w:val="NormalTok"/>
        </w:rPr>
        <w:t xml:space="preserve"> </w:t>
      </w:r>
      <w:r>
        <w:rPr>
          <w:rStyle w:val="OperatorTok"/>
        </w:rPr>
        <w:t xml:space="preserve">-band</w:t>
      </w:r>
      <w:r>
        <w:rPr>
          <w:rStyle w:val="NormalTok"/>
        </w:rPr>
        <w:t xml:space="preserve"> </w:t>
      </w:r>
      <w:r>
        <w:rPr>
          <w:rStyle w:val="DecValTok"/>
        </w:rPr>
        <w:t xml:space="preserve">0x1</w:t>
      </w:r>
      <w:r>
        <w:rPr>
          <w:rStyle w:val="OperatorTok"/>
        </w:rPr>
        <w:t xml:space="preserve">)</w:t>
      </w:r>
      <w:r>
        <w:rPr>
          <w:rStyle w:val="NormalTok"/>
        </w:rPr>
        <w:t xml:space="preserve"> </w:t>
      </w:r>
      <w:r>
        <w:rPr>
          <w:rStyle w:val="OperatorTok"/>
        </w:rPr>
        <w:t xml:space="preserve">-and</w:t>
      </w:r>
      <w:r>
        <w:br/>
      </w:r>
      <w:r>
        <w:rPr>
          <w:rStyle w:val="NormalTok"/>
        </w:rPr>
        <w:t xml:space="preserve">        </w:t>
      </w:r>
      <w:r>
        <w:rPr>
          <w:rStyle w:val="OperatorTok"/>
        </w:rPr>
        <w:t xml:space="preserve">-not</w:t>
      </w:r>
      <w:r>
        <w:rPr>
          <w:rStyle w:val="NormalTok"/>
        </w:rPr>
        <w:t xml:space="preserve"> </w:t>
      </w:r>
      <w:r>
        <w:rPr>
          <w:rStyle w:val="OperatorTok"/>
        </w:rPr>
        <w:t xml:space="preserve">(</w:t>
      </w:r>
      <w:r>
        <w:rPr>
          <w:rStyle w:val="VariableTok"/>
        </w:rPr>
        <w:t xml:space="preserve">$_</w:t>
      </w:r>
      <w:r>
        <w:rPr>
          <w:rStyle w:val="OperatorTok"/>
        </w:rPr>
        <w:t xml:space="preserve">.</w:t>
      </w:r>
      <w:r>
        <w:rPr>
          <w:rStyle w:val="StringTok"/>
        </w:rPr>
        <w:t xml:space="preserve">'msPKI-Enrollment-Flag'</w:t>
      </w:r>
      <w:r>
        <w:rPr>
          <w:rStyle w:val="NormalTok"/>
        </w:rPr>
        <w:t xml:space="preserve"> </w:t>
      </w:r>
      <w:r>
        <w:rPr>
          <w:rStyle w:val="OperatorTok"/>
        </w:rPr>
        <w:t xml:space="preserve">-band</w:t>
      </w:r>
      <w:r>
        <w:rPr>
          <w:rStyle w:val="NormalTok"/>
        </w:rPr>
        <w:t xml:space="preserve"> </w:t>
      </w:r>
      <w:r>
        <w:rPr>
          <w:rStyle w:val="DecValTok"/>
        </w:rPr>
        <w:t xml:space="preserve">0x2</w:t>
      </w:r>
      <w:r>
        <w:rPr>
          <w:rStyle w:val="OperatorTok"/>
        </w:rPr>
        <w:t xml:space="preserve">)</w:t>
      </w:r>
      <w:r>
        <w:rPr>
          <w:rStyle w:val="NormalTok"/>
        </w:rPr>
        <w:t xml:space="preserve"> </w:t>
      </w:r>
      <w:r>
        <w:rPr>
          <w:rStyle w:val="OperatorTok"/>
        </w:rPr>
        <w:t xml:space="preserve">-and</w:t>
      </w:r>
      <w:r>
        <w:br/>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$_</w:t>
      </w:r>
      <w:r>
        <w:rPr>
          <w:rStyle w:val="OperatorTok"/>
        </w:rPr>
        <w:t xml:space="preserve">.</w:t>
      </w:r>
      <w:r>
        <w:rPr>
          <w:rStyle w:val="StringTok"/>
        </w:rPr>
        <w:t xml:space="preserve">'msPKI-RA-Signature'</w:t>
      </w:r>
      <w:r>
        <w:rPr>
          <w:rStyle w:val="NormalTok"/>
        </w:rPr>
        <w:t xml:space="preserve"> </w:t>
      </w:r>
      <w:r>
        <w:rPr>
          <w:rStyle w:val="OperatorTok"/>
        </w:rPr>
        <w:t xml:space="preserve">-eq</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-and</w:t>
      </w:r>
      <w:r>
        <w:br/>
      </w:r>
      <w:r>
        <w:rPr>
          <w:rStyle w:val="NormalTok"/>
        </w:rPr>
        <w:t xml:space="preserve">        </w:t>
      </w:r>
      <w:r>
        <w:rPr>
          <w:rStyle w:val="OperatorTok"/>
        </w:rPr>
        <w:t xml:space="preserve">((-not</w:t>
      </w:r>
      <w:r>
        <w:rPr>
          <w:rStyle w:val="NormalTok"/>
        </w:rPr>
        <w:t xml:space="preserve"> </w:t>
      </w:r>
      <w:r>
        <w:rPr>
          <w:rStyle w:val="VariableTok"/>
        </w:rPr>
        <w:t xml:space="preserve">$_</w:t>
      </w:r>
      <w:r>
        <w:rPr>
          <w:rStyle w:val="OperatorTok"/>
        </w:rPr>
        <w:t xml:space="preserve">.</w:t>
      </w:r>
      <w:r>
        <w:rPr>
          <w:rStyle w:val="FunctionTok"/>
        </w:rPr>
        <w:t xml:space="preserve">pKIExtendedKeyUsage</w:t>
      </w:r>
      <w:r>
        <w:rPr>
          <w:rStyle w:val="OperatorTok"/>
        </w:rPr>
        <w:t xml:space="preserve">)</w:t>
      </w:r>
      <w:r>
        <w:rPr>
          <w:rStyle w:val="NormalTok"/>
        </w:rPr>
        <w:t xml:space="preserve"> </w:t>
      </w:r>
      <w:r>
        <w:rPr>
          <w:rStyle w:val="OperatorTok"/>
        </w:rPr>
        <w:t xml:space="preserve">-or</w:t>
      </w:r>
      <w:r>
        <w:br/>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pKIExtendedKeyUsage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NormalTok"/>
        </w:rPr>
        <w:t xml:space="preserve"> </w:t>
      </w:r>
      <w:r>
        <w:rPr>
          <w:rStyle w:val="OperatorTok"/>
        </w:rPr>
        <w:t xml:space="preserve">-</w:t>
      </w:r>
      <w:r>
        <w:rPr>
          <w:rStyle w:val="NormalTok"/>
        </w:rPr>
        <w:t xml:space="preserve">in </w:t>
      </w:r>
      <w:r>
        <w:rPr>
          <w:rStyle w:val="VariableTok"/>
        </w:rPr>
        <w:t xml:space="preserve">$authEku</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displayName</w:t>
      </w:r>
    </w:p>
    <w:p>
      <w:pPr>
        <w:pStyle w:val="FirstParagraph"/>
      </w:pPr>
      <w:r>
        <w:t xml:space="preserve">A template that passes this filter is an ESC1 candidate only if it’s also published by a CA and enrollable by a broad group; Appendix B checks both before raising a finding. Report only; don’t remediate from the assessment. Remediation belongs to the PKI owner, through Book 07 — PKI &amp; Certificates.</w:t>
      </w:r>
    </w:p>
    <w:p>
      <w:pPr>
        <w:pStyle w:val="BodyText"/>
      </w:pPr>
      <w:r>
        <w:t xml:space="preserve">For the migration itself, the PKI inventory tells you whether user certificates can move to Microsoft Entra certificate-based authentication, which authenticates X.509 certificates against your PKI directly in Entra ID without federated AD FS.</w:t>
      </w:r>
      <w:r>
        <w:rPr>
          <w:rStyle w:val="FootnoteReference"/>
        </w:rPr>
        <w:footnoteReference w:id="695"/>
      </w:r>
    </w:p>
    <w:bookmarkEnd w:id="696"/>
    <w:bookmarkEnd w:id="697"/>
    <w:bookmarkStart w:id="709" w:name="computer-objects"/>
    <w:p>
      <w:pPr>
        <w:pStyle w:val="Heading2"/>
      </w:pPr>
      <w:bookmarkStart w:id="1447" w:name="_Toc00001447"/>
      <w:r>
        <w:t xml:space="preserve">Computer objects</w:t>
      </w:r>
      <w:bookmarkEnd w:id="1447"/>
    </w:p>
    <w:p>
      <w:pPr>
        <w:pStyle w:val="FirstParagraph"/>
      </w:pPr>
      <w:r>
        <w:t xml:space="preserve">Every computer object is a migration decision: Entra join, hybrid join, Azure Arc, retirement, or keep in Active Directory. The computer inventory carries name, DNS name, OS and version, enabled state, last logon, password last set, SPNs, encryption types and the delegation attributes.</w:t>
      </w:r>
    </w:p>
    <w:bookmarkStart w:id="702" w:name="staleness"/>
    <w:p>
      <w:pPr>
        <w:pStyle w:val="Heading3"/>
      </w:pPr>
      <w:r>
        <w:t xml:space="preserve">Staleness</w:t>
      </w:r>
    </w:p>
    <w:p>
      <w:pPr>
        <w:pStyle w:val="FirstParagraph"/>
      </w:pPr>
      <w:r>
        <w:rPr>
          <w:rStyle w:val="VerbatimChar"/>
        </w:rPr>
        <w:t xml:space="preserve">LastLogonDate</w:t>
      </w:r>
      <w:r>
        <w:t xml:space="preserve"> </w:t>
      </w:r>
      <w:r>
        <w:t xml:space="preserve">is a converted</w:t>
      </w:r>
      <w:r>
        <w:t xml:space="preserve"> </w:t>
      </w:r>
      <w:r>
        <w:rPr>
          <w:rStyle w:val="VerbatimChar"/>
        </w:rPr>
        <w:t xml:space="preserve">lastLogonTimestamp</w:t>
      </w:r>
      <w:r>
        <w:t xml:space="preserve">, which a domain controller updates only when the stored value is older than the current time minus</w:t>
      </w:r>
      <w:r>
        <w:t xml:space="preserve"> </w:t>
      </w:r>
      <w:r>
        <w:rPr>
          <w:rStyle w:val="VerbatimChar"/>
        </w:rPr>
        <w:t xml:space="preserve">msDS-LogonTimeSyncInterval</w:t>
      </w:r>
      <w:r>
        <w:t xml:space="preserve">; the default granularity means it can lag the true last logon by up to two weeks.</w:t>
      </w:r>
      <w:r>
        <w:rPr>
          <w:rStyle w:val="FootnoteReference"/>
        </w:rPr>
        <w:footnoteReference w:id="698"/>
      </w:r>
      <w:r>
        <w:t xml:space="preserve"> </w:t>
      </w:r>
      <w:r>
        <w:t xml:space="preserve">It’s accurate enough for a 90-day staleness test and not for a 7-day one. Use it together with</w:t>
      </w:r>
      <w:r>
        <w:t xml:space="preserve"> </w:t>
      </w:r>
      <w:r>
        <w:rPr>
          <w:rStyle w:val="VerbatimChar"/>
        </w:rPr>
        <w:t xml:space="preserve">PasswordLastSet</w:t>
      </w:r>
      <w:r>
        <w:t xml:space="preserve">, which a working domain member refreshes on its own, and treat a computer as stale only when both are old. Defender for Identity uses the same 90-day threshold for stale accounts.</w:t>
      </w:r>
      <w:r>
        <w:rPr>
          <w:rStyle w:val="FootnoteReference"/>
        </w:rPr>
        <w:footnoteReference w:id="701"/>
      </w:r>
    </w:p>
    <w:bookmarkEnd w:id="702"/>
    <w:bookmarkStart w:id="708" w:name="kerberos-delegation"/>
    <w:p>
      <w:pPr>
        <w:pStyle w:val="Heading3"/>
      </w:pPr>
      <w:r>
        <w:t xml:space="preserve">Kerberos delegation</w:t>
      </w:r>
    </w:p>
    <w:p>
      <w:pPr>
        <w:pStyle w:val="FirstParagraph"/>
      </w:pPr>
      <w:r>
        <w:t xml:space="preserve">Classify delegation by what’s actually set, in this order: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Attributes</w:t>
            </w:r>
          </w:p>
        </w:tc>
        <w:tc>
          <w:tcPr/>
          <w:p>
            <w:pPr>
              <w:pStyle w:val="Compact"/>
            </w:pPr>
            <w:r>
              <w:t xml:space="preserve">Classification</w:t>
            </w:r>
          </w:p>
        </w:tc>
      </w:tr>
      <w:tr>
        <w:tc>
          <w:tcPr/>
          <w:p>
            <w:pPr>
              <w:pStyle w:val="Compact"/>
            </w:pPr>
            <w:r>
              <w:rPr>
                <w:rStyle w:val="VerbatimChar"/>
              </w:rPr>
              <w:t xml:space="preserve">TrustedForDelegation</w:t>
            </w:r>
            <w:r>
              <w:t xml:space="preserve"> </w:t>
            </w:r>
            <w:r>
              <w:t xml:space="preserve">is true</w:t>
            </w:r>
          </w:p>
        </w:tc>
        <w:tc>
          <w:tcPr/>
          <w:p>
            <w:pPr>
              <w:pStyle w:val="Compact"/>
            </w:pPr>
            <w:r>
              <w:t xml:space="preserve">Unconstrained</w:t>
            </w:r>
          </w:p>
        </w:tc>
      </w:tr>
      <w:tr>
        <w:tc>
          <w:tcPr/>
          <w:p>
            <w:pPr>
              <w:pStyle w:val="Compact"/>
            </w:pPr>
            <w:r>
              <w:rPr>
                <w:rStyle w:val="VerbatimChar"/>
              </w:rPr>
              <w:t xml:space="preserve">msDS-AllowedToDelegateTo</w:t>
            </w:r>
            <w:r>
              <w:t xml:space="preserve"> </w:t>
            </w:r>
            <w:r>
              <w:t xml:space="preserve">set and</w:t>
            </w:r>
            <w:r>
              <w:t xml:space="preserve"> </w:t>
            </w:r>
            <w:r>
              <w:rPr>
                <w:rStyle w:val="VerbatimChar"/>
              </w:rPr>
              <w:t xml:space="preserve">TrustedToAuthForDelegation</w:t>
            </w:r>
            <w:r>
              <w:t xml:space="preserve"> </w:t>
            </w:r>
            <w:r>
              <w:t xml:space="preserve">true</w:t>
            </w:r>
          </w:p>
        </w:tc>
        <w:tc>
          <w:tcPr/>
          <w:p>
            <w:pPr>
              <w:pStyle w:val="Compact"/>
            </w:pPr>
            <w:r>
              <w:t xml:space="preserve">Constrained, with protocol transition</w:t>
            </w:r>
          </w:p>
        </w:tc>
      </w:tr>
      <w:tr>
        <w:tc>
          <w:tcPr/>
          <w:p>
            <w:pPr>
              <w:pStyle w:val="Compact"/>
            </w:pPr>
            <w:r>
              <w:rPr>
                <w:rStyle w:val="VerbatimChar"/>
              </w:rPr>
              <w:t xml:space="preserve">msDS-AllowedToDelegateTo</w:t>
            </w:r>
            <w:r>
              <w:t xml:space="preserve"> </w:t>
            </w:r>
            <w:r>
              <w:t xml:space="preserve">set</w:t>
            </w:r>
          </w:p>
        </w:tc>
        <w:tc>
          <w:tcPr/>
          <w:p>
            <w:pPr>
              <w:pStyle w:val="Compact"/>
            </w:pPr>
            <w:r>
              <w:t xml:space="preserve">Constrained, Kerberos only</w:t>
            </w:r>
          </w:p>
        </w:tc>
      </w:tr>
      <w:tr>
        <w:tc>
          <w:tcPr/>
          <w:p>
            <w:pPr>
              <w:pStyle w:val="Compact"/>
            </w:pPr>
            <w:r>
              <w:rPr>
                <w:rStyle w:val="VerbatimChar"/>
              </w:rPr>
              <w:t xml:space="preserve">PrincipalsAllowedToDelegateToAccount</w:t>
            </w:r>
            <w:r>
              <w:t xml:space="preserve"> </w:t>
            </w:r>
            <w:r>
              <w:t xml:space="preserve">set (resource side)</w:t>
            </w:r>
          </w:p>
        </w:tc>
        <w:tc>
          <w:tcPr/>
          <w:p>
            <w:pPr>
              <w:pStyle w:val="Compact"/>
            </w:pPr>
            <w:r>
              <w:t xml:space="preserve">Resource-based constrained</w:t>
            </w:r>
          </w:p>
        </w:tc>
      </w:tr>
    </w:tbl>
    <w:p>
      <w:pPr>
        <w:pStyle w:val="BodyText"/>
      </w:pPr>
      <w:r>
        <w:t xml:space="preserve">The source had two errors here. It labeled any account with</w:t>
      </w:r>
      <w:r>
        <w:t xml:space="preserve"> </w:t>
      </w:r>
      <w:r>
        <w:rPr>
          <w:rStyle w:val="VerbatimChar"/>
        </w:rPr>
        <w:t xml:space="preserve">TrustedToAuthForDelegation</w:t>
      </w:r>
      <w:r>
        <w:t xml:space="preserve"> </w:t>
      </w:r>
      <w:r>
        <w:t xml:space="preserve">“protocol transition”</w:t>
      </w:r>
      <w:r>
        <w:t xml:space="preserve"> </w:t>
      </w:r>
      <w:r>
        <w:t xml:space="preserve">even without a target list, and it missed resource-based constrained delegation entirely. Resource-based delegation is configured on the resource, in</w:t>
      </w:r>
      <w:r>
        <w:t xml:space="preserve"> </w:t>
      </w:r>
      <w:r>
        <w:rPr>
          <w:rStyle w:val="VerbatimChar"/>
        </w:rPr>
        <w:t xml:space="preserve">msDS-AllowedToActOnBehalfOfOtherIdentity</w:t>
      </w:r>
      <w:r>
        <w:t xml:space="preserve">, which the ActiveDirectory module exposes as</w:t>
      </w:r>
      <w:r>
        <w:t xml:space="preserve"> </w:t>
      </w:r>
      <w:r>
        <w:rPr>
          <w:rStyle w:val="VerbatimChar"/>
        </w:rPr>
        <w:t xml:space="preserve">PrincipalsAllowedToDelegateToAccount</w:t>
      </w:r>
      <w:r>
        <w:t xml:space="preserve">.</w:t>
      </w:r>
      <w:r>
        <w:rPr>
          <w:rStyle w:val="FootnoteReference"/>
        </w:rPr>
        <w:footnoteReference w:id="703"/>
      </w:r>
      <w:r>
        <w:rPr>
          <w:rStyle w:val="FootnoteReference"/>
        </w:rPr>
        <w:footnoteReference w:id="705"/>
      </w:r>
    </w:p>
    <w:p>
      <w:pPr>
        <w:pStyle w:val="BodyText"/>
      </w:pPr>
      <w:r>
        <w:t xml:space="preserve">Unconstrained delegation lets a service impersonate any user who authenticates to it, to any service. Microsoft calls it less secure than CredSSP, and Defender for Identity reports it as unsecure Kerberos delegation on non-domain-controller entities.</w:t>
      </w:r>
      <w:r>
        <w:rPr>
          <w:rStyle w:val="FootnoteReference"/>
        </w:rPr>
        <w:footnoteReference w:id="706"/>
      </w:r>
      <w:r>
        <w:rPr>
          <w:rStyle w:val="FootnoteReference"/>
        </w:rPr>
        <w:footnoteReference w:id="707"/>
      </w:r>
      <w:r>
        <w:t xml:space="preserve"> </w:t>
      </w:r>
      <w:r>
        <w:t xml:space="preserve">Domain controllers are expected to have it, so exclude them from the finding, as Defender for Identity does; every other unconstrained entry becomes a critical issue.</w:t>
      </w:r>
    </w:p>
    <w:bookmarkEnd w:id="708"/>
    <w:bookmarkEnd w:id="709"/>
    <w:bookmarkStart w:id="725" w:name="users-groups-and-service-accounts"/>
    <w:p>
      <w:pPr>
        <w:pStyle w:val="Heading2"/>
      </w:pPr>
      <w:bookmarkStart w:id="1448" w:name="_Toc00001448"/>
      <w:r>
        <w:t xml:space="preserve">Users, groups and service accounts</w:t>
      </w:r>
      <w:bookmarkEnd w:id="1448"/>
    </w:p>
    <w:bookmarkStart w:id="714" w:name="privileged-users"/>
    <w:p>
      <w:pPr>
        <w:pStyle w:val="Heading3"/>
      </w:pPr>
      <w:r>
        <w:t xml:space="preserve">Privileged users</w:t>
      </w:r>
    </w:p>
    <w:p>
      <w:pPr>
        <w:pStyle w:val="FirstParagraph"/>
      </w:pPr>
      <w:r>
        <w:t xml:space="preserve">Expand the membership of the privileged groups recursively: Domain Admins, Enterprise Admins, Schema Admins, Administrators, Account Operators, Server Operators, Backup Operators and Print Operators. Each of these is in Microsoft’s list of privileged on-premises groups.</w:t>
      </w:r>
      <w:r>
        <w:rPr>
          <w:rStyle w:val="FootnoteReference"/>
        </w:rPr>
        <w:footnoteReference w:id="710"/>
      </w:r>
      <w:r>
        <w:t xml:space="preserve"> </w:t>
      </w:r>
      <w:r>
        <w:t xml:space="preserve">Record enabled state, last logon and password age for each member.</w:t>
      </w:r>
    </w:p>
    <w:p>
      <w:pPr>
        <w:pStyle w:val="BodyText"/>
      </w:pPr>
      <w:r>
        <w:t xml:space="preserve">Then cross-check against AdminSDHolder. Every 60 minutes, the SDProp process on the PDC emulator resets the permissions on protected accounts and groups to match the AdminSDHolder object.</w:t>
      </w:r>
      <w:r>
        <w:rPr>
          <w:rStyle w:val="FootnoteReference"/>
        </w:rPr>
        <w:footnoteReference w:id="712"/>
      </w:r>
      <w:r>
        <w:t xml:space="preserve"> </w:t>
      </w:r>
      <w:r>
        <w:t xml:space="preserve">When an account leaves a protected group, its</w:t>
      </w:r>
      <w:r>
        <w:t xml:space="preserve"> </w:t>
      </w:r>
      <w:r>
        <w:rPr>
          <w:rStyle w:val="VerbatimChar"/>
        </w:rPr>
        <w:t xml:space="preserve">adminCount</w:t>
      </w:r>
      <w:r>
        <w:t xml:space="preserve"> </w:t>
      </w:r>
      <w:r>
        <w:t xml:space="preserve">stays at 1 unless someone clears it, and the account keeps inheritance disabled, so delegated OU permissions no longer reach it.</w:t>
      </w:r>
      <w:r>
        <w:rPr>
          <w:rStyle w:val="FootnoteReference"/>
        </w:rPr>
        <w:footnoteReference w:id="713"/>
      </w:r>
      <w:r>
        <w:t xml:space="preserve"> </w:t>
      </w:r>
      <w:r>
        <w:t xml:space="preserve">The assessment reports those</w:t>
      </w:r>
      <w:r>
        <w:t xml:space="preserve"> </w:t>
      </w:r>
      <w:r>
        <w:rPr>
          <w:i/>
          <w:iCs/>
        </w:rPr>
        <w:t xml:space="preserve">orphaned</w:t>
      </w:r>
      <w:r>
        <w:t xml:space="preserve"> </w:t>
      </w:r>
      <w:r>
        <w:rPr>
          <w:rStyle w:val="VerbatimChar"/>
        </w:rPr>
        <w:t xml:space="preserve">adminCount=1</w:t>
      </w:r>
      <w:r>
        <w:t xml:space="preserve"> </w:t>
      </w:r>
      <w:r>
        <w:t xml:space="preserve">accounts. The check has to use recursive membership; a direct</w:t>
      </w:r>
      <w:r>
        <w:t xml:space="preserve"> </w:t>
      </w:r>
      <w:r>
        <w:rPr>
          <w:rStyle w:val="VerbatimChar"/>
        </w:rPr>
        <w:t xml:space="preserve">MemberOf</w:t>
      </w:r>
      <w:r>
        <w:t xml:space="preserve"> </w:t>
      </w:r>
      <w:r>
        <w:t xml:space="preserve">match, which the source used, misses nested membership and over-reports orphans.</w:t>
      </w:r>
    </w:p>
    <w:bookmarkEnd w:id="714"/>
    <w:bookmarkStart w:id="719" w:name="service-accounts"/>
    <w:p>
      <w:pPr>
        <w:pStyle w:val="Heading3"/>
      </w:pPr>
      <w:r>
        <w:t xml:space="preserve">Service accounts</w:t>
      </w:r>
    </w:p>
    <w:p>
      <w:pPr>
        <w:pStyle w:val="FirstParagraph"/>
      </w:pPr>
      <w:r>
        <w:t xml:space="preserve">Service accounts come in four kinds, and the inventory records all of them: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Kind</w:t>
            </w:r>
          </w:p>
        </w:tc>
        <w:tc>
          <w:tcPr/>
          <w:p>
            <w:pPr>
              <w:pStyle w:val="Compact"/>
            </w:pPr>
            <w:r>
              <w:t xml:space="preserve">How to find it</w:t>
            </w:r>
          </w:p>
        </w:tc>
        <w:tc>
          <w:tcPr/>
          <w:p>
            <w:pPr>
              <w:pStyle w:val="Compact"/>
            </w:pPr>
            <w:r>
              <w:t xml:space="preserve">Migration note</w:t>
            </w:r>
          </w:p>
        </w:tc>
      </w:tr>
      <w:tr>
        <w:tc>
          <w:tcPr/>
          <w:p>
            <w:pPr>
              <w:pStyle w:val="Compact"/>
            </w:pPr>
            <w:r>
              <w:t xml:space="preserve">User account with SPNs</w:t>
            </w:r>
          </w:p>
        </w:tc>
        <w:tc>
          <w:tcPr/>
          <w:p>
            <w:pPr>
              <w:pStyle w:val="Compact"/>
            </w:pPr>
            <w:r>
              <w:rPr>
                <w:rStyle w:val="VerbatimChar"/>
              </w:rPr>
              <w:t xml:space="preserve">Get-ADUser</w:t>
            </w:r>
            <w:r>
              <w:t xml:space="preserve"> </w:t>
            </w:r>
            <w:r>
              <w:t xml:space="preserve">where</w:t>
            </w:r>
            <w:r>
              <w:t xml:space="preserve"> </w:t>
            </w:r>
            <w:r>
              <w:rPr>
                <w:rStyle w:val="VerbatimChar"/>
              </w:rPr>
              <w:t xml:space="preserve">ServicePrincipalName</w:t>
            </w:r>
            <w:r>
              <w:t xml:space="preserve"> </w:t>
            </w:r>
            <w:r>
              <w:t xml:space="preserve">is set</w:t>
            </w:r>
          </w:p>
        </w:tc>
        <w:tc>
          <w:tcPr/>
          <w:p>
            <w:pPr>
              <w:pStyle w:val="Compact"/>
            </w:pPr>
            <w:r>
              <w:t xml:space="preserve">Kerberoastable; highest priority to replace</w:t>
            </w:r>
          </w:p>
        </w:tc>
      </w:tr>
      <w:tr>
        <w:tc>
          <w:tcPr/>
          <w:p>
            <w:pPr>
              <w:pStyle w:val="Compact"/>
            </w:pPr>
            <w:r>
              <w:t xml:space="preserve">Standalone MSA</w:t>
            </w:r>
          </w:p>
        </w:tc>
        <w:tc>
          <w:tcPr/>
          <w:p>
            <w:pPr>
              <w:pStyle w:val="Compact"/>
            </w:pPr>
            <w:r>
              <w:rPr>
                <w:rStyle w:val="VerbatimChar"/>
              </w:rPr>
              <w:t xml:space="preserve">Get-ADServiceAccount</w:t>
            </w:r>
          </w:p>
        </w:tc>
        <w:tc>
          <w:tcPr/>
          <w:p>
            <w:pPr>
              <w:pStyle w:val="Compact"/>
            </w:pPr>
            <w:r>
              <w:t xml:space="preserve">Single computer; password managed by the computer</w:t>
            </w:r>
          </w:p>
        </w:tc>
      </w:tr>
      <w:tr>
        <w:tc>
          <w:tcPr/>
          <w:p>
            <w:pPr>
              <w:pStyle w:val="Compact"/>
            </w:pPr>
            <w:r>
              <w:t xml:space="preserve">Group MSA (gMSA)</w:t>
            </w:r>
          </w:p>
        </w:tc>
        <w:tc>
          <w:tcPr/>
          <w:p>
            <w:pPr>
              <w:pStyle w:val="Compact"/>
            </w:pPr>
            <w:r>
              <w:rPr>
                <w:rStyle w:val="VerbatimChar"/>
              </w:rPr>
              <w:t xml:space="preserve">Get-ADServiceAccount</w:t>
            </w:r>
          </w:p>
        </w:tc>
        <w:tc>
          <w:tcPr/>
          <w:p>
            <w:pPr>
              <w:pStyle w:val="Compact"/>
            </w:pPr>
            <w:r>
              <w:t xml:space="preserve">Multiple servers; password managed by the domain</w:t>
            </w:r>
          </w:p>
        </w:tc>
      </w:tr>
      <w:tr>
        <w:tc>
          <w:tcPr/>
          <w:p>
            <w:pPr>
              <w:pStyle w:val="Compact"/>
            </w:pPr>
            <w:r>
              <w:t xml:space="preserve">Delegated MSA (dMSA)</w:t>
            </w:r>
          </w:p>
        </w:tc>
        <w:tc>
          <w:tcPr/>
          <w:p>
            <w:pPr>
              <w:pStyle w:val="Compact"/>
            </w:pPr>
            <w:r>
              <w:rPr>
                <w:rStyle w:val="VerbatimChar"/>
              </w:rPr>
              <w:t xml:space="preserve">Get-ADServiceAccount</w:t>
            </w:r>
          </w:p>
        </w:tc>
        <w:tc>
          <w:tcPr/>
          <w:p>
            <w:pPr>
              <w:pStyle w:val="Compact"/>
            </w:pPr>
            <w:r>
              <w:t xml:space="preserve">Windows Server 2025 domains only</w:t>
            </w:r>
          </w:p>
        </w:tc>
      </w:tr>
    </w:tbl>
    <w:p>
      <w:pPr>
        <w:pStyle w:val="BodyText"/>
      </w:pPr>
      <w:r>
        <w:t xml:space="preserve">A dMSA is the Windows Server 2025 account type that replaces a traditional service account with a machine-bound managed identity and disables the original account’s password, which defends against Kerberoasting.</w:t>
      </w:r>
      <w:r>
        <w:rPr>
          <w:rStyle w:val="FootnoteReference"/>
        </w:rPr>
        <w:footnoteReference w:id="715"/>
      </w:r>
      <w:r>
        <w:t xml:space="preserve"> </w:t>
      </w:r>
      <w:r>
        <w:t xml:space="preserve">gMSAs remain the default for services that run on more than one server.</w:t>
      </w:r>
      <w:r>
        <w:rPr>
          <w:rStyle w:val="FootnoteReference"/>
        </w:rPr>
        <w:footnoteReference w:id="717"/>
      </w:r>
      <w:r>
        <w:t xml:space="preserve"> </w:t>
      </w:r>
      <w:r>
        <w:t xml:space="preserve">Record the raw</w:t>
      </w:r>
      <w:r>
        <w:t xml:space="preserve"> </w:t>
      </w:r>
      <w:r>
        <w:rPr>
          <w:rStyle w:val="VerbatimChar"/>
        </w:rPr>
        <w:t xml:space="preserve">ObjectClass</w:t>
      </w:r>
      <w:r>
        <w:t xml:space="preserve"> </w:t>
      </w:r>
      <w:r>
        <w:t xml:space="preserve">that</w:t>
      </w:r>
      <w:r>
        <w:t xml:space="preserve"> </w:t>
      </w:r>
      <w:r>
        <w:rPr>
          <w:rStyle w:val="VerbatimChar"/>
        </w:rPr>
        <w:t xml:space="preserve">Get-ADServiceAccount</w:t>
      </w:r>
      <w:r>
        <w:t xml:space="preserve"> </w:t>
      </w:r>
      <w:r>
        <w:t xml:space="preserve">returns rather than guessing the type from the name.</w:t>
      </w:r>
    </w:p>
    <w:p>
      <w:pPr>
        <w:pStyle w:val="BodyText"/>
      </w:pPr>
      <w:r>
        <w:t xml:space="preserve">The source mapped service accounts to</w:t>
      </w:r>
      <w:r>
        <w:t xml:space="preserve"> </w:t>
      </w:r>
      <w:r>
        <w:t xml:space="preserve">“gMSA or managed identities.”</w:t>
      </w:r>
      <w:r>
        <w:t xml:space="preserve"> </w:t>
      </w:r>
      <w:r>
        <w:t xml:space="preserve">Managed identities are an Azure resource feature and outside this program’s boundary. For workloads that stay on premises the target is a gMSA or dMSA; for workloads that move to cloud services, the target is a Microsoft Entra workload identity, which Chapter 09 covers.</w:t>
      </w:r>
    </w:p>
    <w:bookmarkEnd w:id="719"/>
    <w:bookmarkStart w:id="724" w:name="groups"/>
    <w:p>
      <w:pPr>
        <w:pStyle w:val="Heading3"/>
      </w:pPr>
      <w:r>
        <w:t xml:space="preserve">Groups</w:t>
      </w:r>
    </w:p>
    <w:p>
      <w:pPr>
        <w:pStyle w:val="FirstParagraph"/>
      </w:pPr>
      <w:r>
        <w:t xml:space="preserve">The group inventory records category (security or distribution), scope (domain local, global, universal),</w:t>
      </w:r>
      <w:r>
        <w:t xml:space="preserve"> </w:t>
      </w:r>
      <w:r>
        <w:rPr>
          <w:rStyle w:val="VerbatimChar"/>
        </w:rPr>
        <w:t xml:space="preserve">ManagedBy</w:t>
      </w:r>
      <w:r>
        <w:t xml:space="preserve">,</w:t>
      </w:r>
      <w:r>
        <w:t xml:space="preserve"> </w:t>
      </w:r>
      <w:r>
        <w:rPr>
          <w:rStyle w:val="VerbatimChar"/>
        </w:rPr>
        <w:t xml:space="preserve">adminCount</w:t>
      </w:r>
      <w:r>
        <w:t xml:space="preserve"> </w:t>
      </w:r>
      <w:r>
        <w:t xml:space="preserve">and direct member count, and flags empty groups and circular nesting. Two limits matter in large forests:</w:t>
      </w:r>
    </w:p>
    <w:p>
      <w:pPr>
        <w:pStyle w:val="Compact"/>
        <w:numPr>
          <w:ilvl w:val="0"/>
          <w:numId w:val="1042"/>
        </w:numPr>
      </w:pPr>
      <w:r>
        <w:t xml:space="preserve">A domain controller returns at most 5,000 values of a multivalued attribute such as</w:t>
      </w:r>
      <w:r>
        <w:t xml:space="preserve"> </w:t>
      </w:r>
      <w:r>
        <w:rPr>
          <w:rStyle w:val="VerbatimChar"/>
        </w:rPr>
        <w:t xml:space="preserve">member</w:t>
      </w:r>
      <w:r>
        <w:t xml:space="preserve"> </w:t>
      </w:r>
      <w:r>
        <w:t xml:space="preserve">in one LDAP response, so very large group counts need ranged retrieval or a recursive member query to be accurate.</w:t>
      </w:r>
      <w:r>
        <w:rPr>
          <w:rStyle w:val="FootnoteReference"/>
        </w:rPr>
        <w:footnoteReference w:id="720"/>
      </w:r>
    </w:p>
    <w:p>
      <w:pPr>
        <w:pStyle w:val="Compact"/>
        <w:numPr>
          <w:ilvl w:val="0"/>
          <w:numId w:val="1042"/>
        </w:numPr>
      </w:pPr>
      <w:r>
        <w:t xml:space="preserve">A security principal can be a member of at most 1,015 groups, because of the access token size limit; accounts near that limit will have authentication problems before and after migration.</w:t>
      </w:r>
      <w:r>
        <w:rPr>
          <w:rStyle w:val="FootnoteReference"/>
        </w:rPr>
        <w:footnoteReference w:id="722"/>
      </w:r>
    </w:p>
    <w:p>
      <w:pPr>
        <w:pStyle w:val="FirstParagraph"/>
      </w:pPr>
      <w:r>
        <w:t xml:space="preserve">The group and user inventories feed the identity design in Chapter 09 and the access reviews in Chapter 10.</w:t>
      </w:r>
    </w:p>
    <w:bookmarkEnd w:id="724"/>
    <w:bookmarkEnd w:id="725"/>
    <w:bookmarkStart w:id="740" w:name="trust-relationships"/>
    <w:p>
      <w:pPr>
        <w:pStyle w:val="Heading2"/>
      </w:pPr>
      <w:bookmarkStart w:id="1449" w:name="_Toc00001449"/>
      <w:r>
        <w:t xml:space="preserve">Trust relationships</w:t>
      </w:r>
      <w:bookmarkEnd w:id="1449"/>
    </w:p>
    <w:p>
      <w:pPr>
        <w:pStyle w:val="FirstParagraph"/>
      </w:pPr>
      <w:r>
        <w:t xml:space="preserve">Each trust is a trusted domain object in the System container of its domain, carrying the partner’s DNS name, SID, trust type and transitivity.</w:t>
      </w:r>
      <w:r>
        <w:rPr>
          <w:rStyle w:val="FootnoteReference"/>
        </w:rPr>
        <w:footnoteReference w:id="726"/>
      </w:r>
      <w:r>
        <w:t xml:space="preserve"> </w:t>
      </w:r>
      <w:r>
        <w:rPr>
          <w:rStyle w:val="VerbatimChar"/>
        </w:rPr>
        <w:t xml:space="preserve">Get-ADTrust -Filter *</w:t>
      </w:r>
      <w:r>
        <w:t xml:space="preserve"> </w:t>
      </w:r>
      <w:r>
        <w:t xml:space="preserve">returns them all.</w:t>
      </w:r>
      <w:r>
        <w:rPr>
          <w:rStyle w:val="FootnoteReference"/>
        </w:rPr>
        <w:footnoteReference w:id="728"/>
      </w:r>
      <w:r>
        <w:t xml:space="preserve"> </w:t>
      </w:r>
      <w:r>
        <w:t xml:space="preserve">Decode</w:t>
      </w:r>
      <w:r>
        <w:t xml:space="preserve"> </w:t>
      </w:r>
      <w:r>
        <w:rPr>
          <w:rStyle w:val="VerbatimChar"/>
        </w:rPr>
        <w:t xml:space="preserve">trustAttributes</w:t>
      </w:r>
      <w:r>
        <w:t xml:space="preserve"> </w:t>
      </w:r>
      <w:r>
        <w:t xml:space="preserve">from the published bit values rather than from memory: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Bit</w:t>
            </w:r>
          </w:p>
        </w:tc>
        <w:tc>
          <w:tcPr/>
          <w:p>
            <w:pPr>
              <w:pStyle w:val="Compact"/>
            </w:pPr>
            <w:r>
              <w:t xml:space="preserve">Name</w:t>
            </w:r>
          </w:p>
        </w:tc>
        <w:tc>
          <w:tcPr/>
          <w:p>
            <w:pPr>
              <w:pStyle w:val="Compact"/>
            </w:pPr>
            <w:r>
              <w:t xml:space="preserve">Meaning</w:t>
            </w:r>
          </w:p>
        </w:tc>
      </w:tr>
      <w:tr>
        <w:tc>
          <w:tcPr/>
          <w:p>
            <w:pPr>
              <w:pStyle w:val="Compact"/>
            </w:pPr>
            <w:r>
              <w:rPr>
                <w:rStyle w:val="VerbatimChar"/>
              </w:rPr>
              <w:t xml:space="preserve">0x1</w:t>
            </w:r>
          </w:p>
        </w:tc>
        <w:tc>
          <w:tcPr/>
          <w:p>
            <w:pPr>
              <w:pStyle w:val="Compact"/>
            </w:pPr>
            <w:r>
              <w:t xml:space="preserve">Non-transitive</w:t>
            </w:r>
          </w:p>
        </w:tc>
        <w:tc>
          <w:tcPr/>
          <w:p>
            <w:pPr>
              <w:pStyle w:val="Compact"/>
            </w:pPr>
            <w:r>
              <w:t xml:space="preserve">The trust can’t be used transitively</w:t>
            </w:r>
          </w:p>
        </w:tc>
      </w:tr>
      <w:tr>
        <w:tc>
          <w:tcPr/>
          <w:p>
            <w:pPr>
              <w:pStyle w:val="Compact"/>
            </w:pPr>
            <w:r>
              <w:rPr>
                <w:rStyle w:val="VerbatimChar"/>
              </w:rPr>
              <w:t xml:space="preserve">0x2</w:t>
            </w:r>
          </w:p>
        </w:tc>
        <w:tc>
          <w:tcPr/>
          <w:p>
            <w:pPr>
              <w:pStyle w:val="Compact"/>
            </w:pPr>
            <w:r>
              <w:t xml:space="preserve">Uplevel only</w:t>
            </w:r>
          </w:p>
        </w:tc>
        <w:tc>
          <w:tcPr/>
          <w:p>
            <w:pPr>
              <w:pStyle w:val="Compact"/>
            </w:pPr>
            <w:r>
              <w:t xml:space="preserve">Only Windows 2000 and later clients can use it</w:t>
            </w:r>
          </w:p>
        </w:tc>
      </w:tr>
      <w:tr>
        <w:tc>
          <w:tcPr/>
          <w:p>
            <w:pPr>
              <w:pStyle w:val="Compact"/>
            </w:pPr>
            <w:r>
              <w:rPr>
                <w:rStyle w:val="VerbatimChar"/>
              </w:rPr>
              <w:t xml:space="preserve">0x4</w:t>
            </w:r>
          </w:p>
        </w:tc>
        <w:tc>
          <w:tcPr/>
          <w:p>
            <w:pPr>
              <w:pStyle w:val="Compact"/>
            </w:pPr>
            <w:r>
              <w:t xml:space="preserve">Quarantined domain</w:t>
            </w:r>
          </w:p>
        </w:tc>
        <w:tc>
          <w:tcPr/>
          <w:p>
            <w:pPr>
              <w:pStyle w:val="Compact"/>
            </w:pPr>
            <w:r>
              <w:t xml:space="preserve">SID filtering applies</w:t>
            </w:r>
          </w:p>
        </w:tc>
      </w:tr>
      <w:tr>
        <w:tc>
          <w:tcPr/>
          <w:p>
            <w:pPr>
              <w:pStyle w:val="Compact"/>
            </w:pPr>
            <w:r>
              <w:rPr>
                <w:rStyle w:val="VerbatimChar"/>
              </w:rPr>
              <w:t xml:space="preserve">0x8</w:t>
            </w:r>
          </w:p>
        </w:tc>
        <w:tc>
          <w:tcPr/>
          <w:p>
            <w:pPr>
              <w:pStyle w:val="Compact"/>
            </w:pPr>
            <w:r>
              <w:t xml:space="preserve">Forest transitive</w:t>
            </w:r>
          </w:p>
        </w:tc>
        <w:tc>
          <w:tcPr/>
          <w:p>
            <w:pPr>
              <w:pStyle w:val="Compact"/>
            </w:pPr>
            <w:r>
              <w:t xml:space="preserve">A cross-forest trust between forest root domains</w:t>
            </w:r>
          </w:p>
        </w:tc>
      </w:tr>
      <w:tr>
        <w:tc>
          <w:tcPr/>
          <w:p>
            <w:pPr>
              <w:pStyle w:val="Compact"/>
            </w:pPr>
            <w:r>
              <w:rPr>
                <w:rStyle w:val="VerbatimChar"/>
              </w:rPr>
              <w:t xml:space="preserve">0x10</w:t>
            </w:r>
          </w:p>
        </w:tc>
        <w:tc>
          <w:tcPr/>
          <w:p>
            <w:pPr>
              <w:pStyle w:val="Compact"/>
            </w:pPr>
            <w:r>
              <w:t xml:space="preserve">Cross-organization</w:t>
            </w:r>
          </w:p>
        </w:tc>
        <w:tc>
          <w:tcPr/>
          <w:p>
            <w:pPr>
              <w:pStyle w:val="Compact"/>
            </w:pPr>
            <w:r>
              <w:t xml:space="preserve">The partner isn’t part of the organization</w:t>
            </w:r>
          </w:p>
        </w:tc>
      </w:tr>
      <w:tr>
        <w:tc>
          <w:tcPr/>
          <w:p>
            <w:pPr>
              <w:pStyle w:val="Compact"/>
            </w:pPr>
            <w:r>
              <w:rPr>
                <w:rStyle w:val="VerbatimChar"/>
              </w:rPr>
              <w:t xml:space="preserve">0x20</w:t>
            </w:r>
          </w:p>
        </w:tc>
        <w:tc>
          <w:tcPr/>
          <w:p>
            <w:pPr>
              <w:pStyle w:val="Compact"/>
            </w:pPr>
            <w:r>
              <w:t xml:space="preserve">Within forest</w:t>
            </w:r>
          </w:p>
        </w:tc>
        <w:tc>
          <w:tcPr/>
          <w:p>
            <w:pPr>
              <w:pStyle w:val="Compact"/>
            </w:pPr>
            <w:r>
              <w:t xml:space="preserve">The partner is in the same forest</w:t>
            </w:r>
          </w:p>
        </w:tc>
      </w:tr>
      <w:tr>
        <w:tc>
          <w:tcPr/>
          <w:p>
            <w:pPr>
              <w:pStyle w:val="Compact"/>
            </w:pPr>
            <w:r>
              <w:rPr>
                <w:rStyle w:val="VerbatimChar"/>
              </w:rPr>
              <w:t xml:space="preserve">0x40</w:t>
            </w:r>
          </w:p>
        </w:tc>
        <w:tc>
          <w:tcPr/>
          <w:p>
            <w:pPr>
              <w:pStyle w:val="Compact"/>
            </w:pPr>
            <w:r>
              <w:t xml:space="preserve">Treat as external</w:t>
            </w:r>
          </w:p>
        </w:tc>
        <w:tc>
          <w:tcPr/>
          <w:p>
            <w:pPr>
              <w:pStyle w:val="Compact"/>
            </w:pPr>
            <w:r>
              <w:t xml:space="preserve">A forest trust filtered as if it were external</w:t>
            </w:r>
          </w:p>
        </w:tc>
      </w:tr>
    </w:tbl>
    <w:p>
      <w:pPr>
        <w:pStyle w:val="BodyText"/>
      </w:pPr>
      <w:r>
        <w:t xml:space="preserve">The values come from the Active Directory technical specification, which also defines later bits for AES keys, RC4, PIM trusts and TGT delegation control.</w:t>
      </w:r>
      <w:r>
        <w:rPr>
          <w:rStyle w:val="FootnoteReference"/>
        </w:rPr>
        <w:footnoteReference w:id="730"/>
      </w:r>
      <w:r>
        <w:t xml:space="preserve"> </w:t>
      </w:r>
      <w:r>
        <w:t xml:space="preserve">Record the raw value as well as the decoded list, so that bits added later aren’t lost.</w:t>
      </w:r>
    </w:p>
    <w:bookmarkStart w:id="734" w:name="direction-and-posture"/>
    <w:p>
      <w:pPr>
        <w:pStyle w:val="Heading3"/>
      </w:pPr>
      <w:r>
        <w:t xml:space="preserve">Direction and posture</w:t>
      </w:r>
    </w:p>
    <w:p>
      <w:pPr>
        <w:pStyle w:val="FirstParagraph"/>
      </w:pPr>
      <w:r>
        <w:t xml:space="preserve">Trust direction is relative, and access flows the opposite way to trust: members of the trusted domain can reach resources in the trusting domain. Seen from one domain, an inbound (incoming) trust lets this domain’s users reach resources in the partner, and an outbound (outgoing) trust lets the partner’s users reach resources here.</w:t>
      </w:r>
      <w:r>
        <w:rPr>
          <w:rStyle w:val="FootnoteReference"/>
        </w:rPr>
        <w:footnoteReference w:id="732"/>
      </w:r>
      <w:r>
        <w:t xml:space="preserve"> </w:t>
      </w:r>
      <w:r>
        <w:t xml:space="preserve">The source’s direction analysis had this reversed: it said an inbound trust lets users</w:t>
      </w:r>
      <w:r>
        <w:t xml:space="preserve"> </w:t>
      </w:r>
      <w:r>
        <w:rPr>
          <w:i/>
          <w:iCs/>
        </w:rPr>
        <w:t xml:space="preserve">of the partner</w:t>
      </w:r>
      <w:r>
        <w:t xml:space="preserve"> </w:t>
      </w:r>
      <w:r>
        <w:t xml:space="preserve">authenticate here. For each trust, the assessment states plainly which side’s users can reach which side’s resources, then rates the posture: selective authentication on is hardened, SID filtering on is standard, neither is a finding.</w:t>
      </w:r>
    </w:p>
    <w:bookmarkEnd w:id="734"/>
    <w:bookmarkStart w:id="739" w:name="verification"/>
    <w:p>
      <w:pPr>
        <w:pStyle w:val="Heading3"/>
      </w:pPr>
      <w:r>
        <w:t xml:space="preserve">Verification</w:t>
      </w:r>
    </w:p>
    <w:p>
      <w:pPr>
        <w:pStyle w:val="FirstParagraph"/>
      </w:pPr>
      <w:r>
        <w:t xml:space="preserve">The source’s verification called</w:t>
      </w:r>
      <w:r>
        <w:t xml:space="preserve"> </w:t>
      </w:r>
      <w:r>
        <w:rPr>
          <w:rStyle w:val="VerbatimChar"/>
        </w:rPr>
        <w:t xml:space="preserve">Test-ADTrust</w:t>
      </w:r>
      <w:r>
        <w:t xml:space="preserve">, which isn’t a cmdlet in the ActiveDirectory module.</w:t>
      </w:r>
      <w:r>
        <w:rPr>
          <w:rStyle w:val="FootnoteReference"/>
        </w:rPr>
        <w:footnoteReference w:id="735"/>
      </w:r>
      <w:r>
        <w:t xml:space="preserve"> </w:t>
      </w:r>
      <w:r>
        <w:t xml:space="preserve">Use</w:t>
      </w:r>
      <w:r>
        <w:t xml:space="preserve"> </w:t>
      </w:r>
      <w:r>
        <w:rPr>
          <w:rStyle w:val="VerbatimChar"/>
        </w:rPr>
        <w:t xml:space="preserve">netdom trust &lt;trusting domain&gt; /domain:&lt;trusted domain&gt; /verify</w:t>
      </w:r>
      <w:r>
        <w:t xml:space="preserve">, which verifies the secure channel secrets for the trust, or</w:t>
      </w:r>
      <w:r>
        <w:t xml:space="preserve"> </w:t>
      </w:r>
      <w:r>
        <w:rPr>
          <w:rStyle w:val="VerbatimChar"/>
        </w:rPr>
        <w:t xml:space="preserve">netdom query trust /verify</w:t>
      </w:r>
      <w:r>
        <w:t xml:space="preserve"> </w:t>
      </w:r>
      <w:r>
        <w:t xml:space="preserve">to check every outbound trust.</w:t>
      </w:r>
      <w:r>
        <w:rPr>
          <w:rStyle w:val="FootnoteReference"/>
        </w:rPr>
        <w:footnoteReference w:id="736"/>
      </w:r>
      <w:r>
        <w:t xml:space="preserve"> </w:t>
      </w:r>
      <w:r>
        <w:t xml:space="preserve">Both need administrative credentials for accurate results, so verification runs as its own elevated step, not inside the scheduled collection.</w:t>
      </w:r>
    </w:p>
    <w:p>
      <w:pPr>
        <w:pStyle w:val="BodyText"/>
      </w:pPr>
      <w:r>
        <w:t xml:space="preserve">Forest trusts often record partner relationships that will need a cloud equivalent. In Entra ID, the partner relationship is governed by cross-tenant access settings, which control inbound and outbound B2B collaboration and B2B direct connect with other Microsoft Entra organizations.</w:t>
      </w:r>
      <w:r>
        <w:rPr>
          <w:rStyle w:val="FootnoteReference"/>
        </w:rPr>
        <w:footnoteReference w:id="737"/>
      </w:r>
      <w:r>
        <w:t xml:space="preserve"> </w:t>
      </w:r>
      <w:r>
        <w:t xml:space="preserve">A forest trust doesn’t convert into a cross-tenant setting; it identifies a partner whose access has to be redesigned.</w:t>
      </w:r>
    </w:p>
    <w:bookmarkEnd w:id="739"/>
    <w:bookmarkEnd w:id="740"/>
    <w:bookmarkStart w:id="751" w:name="the-assessment-pipeline"/>
    <w:p>
      <w:pPr>
        <w:pStyle w:val="Heading2"/>
      </w:pPr>
      <w:bookmarkStart w:id="1450" w:name="_Toc00001450"/>
      <w:r>
        <w:t xml:space="preserve">The assessment pipeline</w:t>
      </w:r>
      <w:bookmarkEnd w:id="1450"/>
    </w:p>
    <w:bookmarkStart w:id="744" w:name="fig-ch08-assessment-pipeline"/>
    <w:p>
      <w:pPr>
        <w:pStyle w:val="CaptionedFigure"/>
      </w:pPr>
      <w:r>
        <w:drawing>
          <wp:inline>
            <wp:extent cx="5334000" cy="5523883"/>
            <wp:effectExtent b="0" l="0" r="0" t="0"/>
            <wp:docPr descr="The assessment pipeline: one orchestrator, eight collectors, a hashed manifest, and a versioned repository that raises issues and starts planning." title="" id="742" name="Picture"/>
            <a:graphic>
              <a:graphicData uri="http://schemas.openxmlformats.org/drawingml/2006/picture">
                <pic:pic>
                  <pic:nvPicPr>
                    <pic:cNvPr descr="/home/runner/work/modernization-workbook/modernization-workbook/docs/images/diagrams/b02-identity/png/ch08-assessment-pipeline.png" id="743" name="Picture"/>
                    <pic:cNvPicPr>
                      <a:picLocks noChangeArrowheads="1" noChangeAspect="1"/>
                    </pic:cNvPicPr>
                  </pic:nvPicPr>
                  <pic:blipFill>
                    <a:blip r:embed="rId741"/>
                    <a:stretch>
                      <a:fillRect/>
                    </a:stretch>
                  </pic:blipFill>
                  <pic:spPr bwMode="auto">
                    <a:xfrm>
                      <a:off x="0" y="0"/>
                      <a:ext cx="5334000" cy="5523883"/>
                    </a:xfrm>
                    <a:prstGeom prst="rect">
                      <a:avLst/>
                    </a:prstGeom>
                    <a:noFill/>
                    <a:ln w="9525">
                      <a:noFill/>
                      <a:headEnd/>
                      <a:tailEnd/>
                    </a:ln>
                  </pic:spPr>
                </pic:pic>
              </a:graphicData>
            </a:graphic>
          </wp:inline>
        </w:drawing>
      </w:r>
    </w:p>
    <w:p>
      <w:pPr>
        <w:pStyle w:val="ImageCaption"/>
      </w:pPr>
      <w:r>
        <w:t xml:space="preserve">The assessment pipeline: one orchestrator, eight collectors, a hashed manifest, and a versioned repository that raises issues and starts planning.</w:t>
      </w:r>
    </w:p>
    <w:bookmarkEnd w:id="744"/>
    <w:bookmarkStart w:id="745" w:name="orchestration"/>
    <w:p>
      <w:pPr>
        <w:pStyle w:val="Heading3"/>
      </w:pPr>
      <w:r>
        <w:t xml:space="preserve">Orchestration</w:t>
      </w:r>
    </w:p>
    <w:p>
      <w:pPr>
        <w:pStyle w:val="FirstParagraph"/>
      </w:pPr>
      <w:r>
        <w:rPr>
          <w:rStyle w:val="VerbatimChar"/>
        </w:rPr>
        <w:t xml:space="preserve">Invoke-FMPADAssessment</w:t>
      </w:r>
      <w:r>
        <w:t xml:space="preserve"> </w:t>
      </w:r>
      <w:r>
        <w:t xml:space="preserve">runs the collectors in a fixed order: topology, OUs, GPOs, DNS, AD CS, computers, users and groups, trusts. It then writes</w:t>
      </w:r>
      <w:r>
        <w:t xml:space="preserve"> </w:t>
      </w:r>
      <w:r>
        <w:rPr>
          <w:rStyle w:val="VerbatimChar"/>
        </w:rPr>
        <w:t xml:space="preserve">AssessmentManifest.json</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Content</w:t>
            </w:r>
          </w:p>
        </w:tc>
      </w:tr>
      <w:tr>
        <w:tc>
          <w:tcPr/>
          <w:p>
            <w:pPr>
              <w:pStyle w:val="Compact"/>
            </w:pPr>
            <w:r>
              <w:rPr>
                <w:rStyle w:val="VerbatimChar"/>
              </w:rPr>
              <w:t xml:space="preserve">AssessmentId</w:t>
            </w:r>
          </w:p>
        </w:tc>
        <w:tc>
          <w:tcPr/>
          <w:p>
            <w:pPr>
              <w:pStyle w:val="Compact"/>
            </w:pPr>
            <w:r>
              <w:t xml:space="preserve">A new GUID for the run</w:t>
            </w:r>
          </w:p>
        </w:tc>
      </w:tr>
      <w:tr>
        <w:tc>
          <w:tcPr/>
          <w:p>
            <w:pPr>
              <w:pStyle w:val="Compact"/>
            </w:pPr>
            <w:r>
              <w:rPr>
                <w:rStyle w:val="VerbatimChar"/>
              </w:rPr>
              <w:t xml:space="preserve">Domain</w:t>
            </w:r>
            <w:r>
              <w:t xml:space="preserve">,</w:t>
            </w:r>
            <w:r>
              <w:t xml:space="preserve"> </w:t>
            </w:r>
            <w:r>
              <w:rPr>
                <w:rStyle w:val="VerbatimChar"/>
              </w:rPr>
              <w:t xml:space="preserve">ComputerName</w:t>
            </w:r>
            <w:r>
              <w:t xml:space="preserve">,</w:t>
            </w:r>
            <w:r>
              <w:t xml:space="preserve"> </w:t>
            </w:r>
            <w:r>
              <w:rPr>
                <w:rStyle w:val="VerbatimChar"/>
              </w:rPr>
              <w:t xml:space="preserve">ExecutedBy</w:t>
            </w:r>
          </w:p>
        </w:tc>
        <w:tc>
          <w:tcPr/>
          <w:p>
            <w:pPr>
              <w:pStyle w:val="Compact"/>
            </w:pPr>
            <w:r>
              <w:t xml:space="preserve">Where, on what host, and as whom it ran</w:t>
            </w:r>
          </w:p>
        </w:tc>
      </w:tr>
      <w:tr>
        <w:tc>
          <w:tcPr/>
          <w:p>
            <w:pPr>
              <w:pStyle w:val="Compact"/>
            </w:pPr>
            <w:r>
              <w:rPr>
                <w:rStyle w:val="VerbatimChar"/>
              </w:rPr>
              <w:t xml:space="preserve">StartTime</w:t>
            </w:r>
            <w:r>
              <w:t xml:space="preserve">,</w:t>
            </w:r>
            <w:r>
              <w:t xml:space="preserve"> </w:t>
            </w:r>
            <w:r>
              <w:rPr>
                <w:rStyle w:val="VerbatimChar"/>
              </w:rPr>
              <w:t xml:space="preserve">EndTime</w:t>
            </w:r>
            <w:r>
              <w:t xml:space="preserve">,</w:t>
            </w:r>
            <w:r>
              <w:t xml:space="preserve"> </w:t>
            </w:r>
            <w:r>
              <w:rPr>
                <w:rStyle w:val="VerbatimChar"/>
              </w:rPr>
              <w:t xml:space="preserve">DurationMinutes</w:t>
            </w:r>
          </w:p>
        </w:tc>
        <w:tc>
          <w:tcPr/>
          <w:p>
            <w:pPr>
              <w:pStyle w:val="Compact"/>
            </w:pPr>
            <w:r>
              <w:t xml:space="preserve">The execution window, in ISO 8601</w:t>
            </w:r>
          </w:p>
        </w:tc>
      </w:tr>
      <w:tr>
        <w:tc>
          <w:tcPr/>
          <w:p>
            <w:pPr>
              <w:pStyle w:val="Compact"/>
            </w:pPr>
            <w:r>
              <w:rPr>
                <w:rStyle w:val="VerbatimChar"/>
              </w:rPr>
              <w:t xml:space="preserve">StaleThresholdDays</w:t>
            </w:r>
          </w:p>
        </w:tc>
        <w:tc>
          <w:tcPr/>
          <w:p>
            <w:pPr>
              <w:pStyle w:val="Compact"/>
            </w:pPr>
            <w:r>
              <w:t xml:space="preserve">The threshold the run used</w:t>
            </w:r>
          </w:p>
        </w:tc>
      </w:tr>
      <w:tr>
        <w:tc>
          <w:tcPr/>
          <w:p>
            <w:pPr>
              <w:pStyle w:val="Compact"/>
            </w:pPr>
            <w:r>
              <w:rPr>
                <w:rStyle w:val="VerbatimChar"/>
              </w:rPr>
              <w:t xml:space="preserve">FileCount</w:t>
            </w:r>
            <w:r>
              <w:t xml:space="preserve">,</w:t>
            </w:r>
            <w:r>
              <w:t xml:space="preserve"> </w:t>
            </w:r>
            <w:r>
              <w:rPr>
                <w:rStyle w:val="VerbatimChar"/>
              </w:rPr>
              <w:t xml:space="preserve">Files</w:t>
            </w:r>
          </w:p>
        </w:tc>
        <w:tc>
          <w:tcPr/>
          <w:p>
            <w:pPr>
              <w:pStyle w:val="Compact"/>
            </w:pPr>
            <w:r>
              <w:t xml:space="preserve">Every output file with relative path, size, last write time and SHA-256 hash</w:t>
            </w:r>
          </w:p>
        </w:tc>
      </w:tr>
    </w:tbl>
    <w:p>
      <w:pPr>
        <w:pStyle w:val="BodyText"/>
      </w:pPr>
      <w:r>
        <w:t xml:space="preserve">The manifest is what makes a run evidence. Anyone holding the repository can recompute the hashes and show that no artifact changed after collection.</w:t>
      </w:r>
    </w:p>
    <w:bookmarkEnd w:id="745"/>
    <w:bookmarkStart w:id="746" w:name="from-artifact-to-plan"/>
    <w:p>
      <w:pPr>
        <w:pStyle w:val="Heading3"/>
      </w:pPr>
      <w:r>
        <w:t xml:space="preserve">From artifact to plan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Artifact</w:t>
            </w:r>
          </w:p>
        </w:tc>
        <w:tc>
          <w:tcPr/>
          <w:p>
            <w:pPr>
              <w:pStyle w:val="Compact"/>
            </w:pPr>
            <w:r>
              <w:t xml:space="preserve">Consumed by</w:t>
            </w:r>
          </w:p>
        </w:tc>
        <w:tc>
          <w:tcPr/>
          <w:p>
            <w:pPr>
              <w:pStyle w:val="Compact"/>
            </w:pPr>
            <w:r>
              <w:t xml:space="preserve">Use</w:t>
            </w:r>
          </w:p>
        </w:tc>
      </w:tr>
      <w:tr>
        <w:tc>
          <w:tcPr/>
          <w:p>
            <w:pPr>
              <w:pStyle w:val="Compact"/>
            </w:pPr>
            <w:r>
              <w:rPr>
                <w:rStyle w:val="VerbatimChar"/>
              </w:rPr>
              <w:t xml:space="preserve">GPOInventory.json</w:t>
            </w:r>
            <w:r>
              <w:t xml:space="preserve">,</w:t>
            </w:r>
            <w:r>
              <w:t xml:space="preserve"> </w:t>
            </w:r>
            <w:r>
              <w:rPr>
                <w:rStyle w:val="VerbatimChar"/>
              </w:rPr>
              <w:t xml:space="preserve">GPOSettingsDecomposed.json</w:t>
            </w:r>
            <w:r>
              <w:t xml:space="preserve">,</w:t>
            </w:r>
            <w:r>
              <w:t xml:space="preserve"> </w:t>
            </w:r>
            <w:r>
              <w:rPr>
                <w:rStyle w:val="VerbatimChar"/>
              </w:rPr>
              <w:t xml:space="preserve">&lt;GUID&gt;.xml</w:t>
            </w:r>
          </w:p>
        </w:tc>
        <w:tc>
          <w:tcPr/>
          <w:p>
            <w:pPr>
              <w:pStyle w:val="Compact"/>
            </w:pPr>
            <w:r>
              <w:t xml:space="preserve">GPO-to-Intune migration plan</w:t>
            </w:r>
          </w:p>
        </w:tc>
        <w:tc>
          <w:tcPr/>
          <w:p>
            <w:pPr>
              <w:pStyle w:val="Compact"/>
            </w:pPr>
            <w:r>
              <w:t xml:space="preserve">Group Policy analytics import and Settings Catalog design</w:t>
            </w:r>
          </w:p>
        </w:tc>
      </w:tr>
      <w:tr>
        <w:tc>
          <w:tcPr/>
          <w:p>
            <w:pPr>
              <w:pStyle w:val="Compact"/>
            </w:pPr>
            <w:r>
              <w:rPr>
                <w:rStyle w:val="VerbatimChar"/>
              </w:rPr>
              <w:t xml:space="preserve">ComputerInventory.json</w:t>
            </w:r>
            <w:r>
              <w:t xml:space="preserve">,</w:t>
            </w:r>
            <w:r>
              <w:t xml:space="preserve"> </w:t>
            </w:r>
            <w:r>
              <w:rPr>
                <w:rStyle w:val="VerbatimChar"/>
              </w:rPr>
              <w:t xml:space="preserve">ComputersByOS.csv</w:t>
            </w:r>
          </w:p>
        </w:tc>
        <w:tc>
          <w:tcPr/>
          <w:p>
            <w:pPr>
              <w:pStyle w:val="Compact"/>
            </w:pPr>
            <w:r>
              <w:t xml:space="preserve">Device modernization plan</w:t>
            </w:r>
          </w:p>
        </w:tc>
        <w:tc>
          <w:tcPr/>
          <w:p>
            <w:pPr>
              <w:pStyle w:val="Compact"/>
            </w:pPr>
            <w:r>
              <w:t xml:space="preserve">Entra join, hybrid join, Arc or retire, per device</w:t>
            </w:r>
          </w:p>
        </w:tc>
      </w:tr>
      <w:tr>
        <w:tc>
          <w:tcPr/>
          <w:p>
            <w:pPr>
              <w:pStyle w:val="Compact"/>
            </w:pPr>
            <w:r>
              <w:rPr>
                <w:rStyle w:val="VerbatimChar"/>
              </w:rPr>
              <w:t xml:space="preserve">DNSInventory.json</w:t>
            </w:r>
          </w:p>
        </w:tc>
        <w:tc>
          <w:tcPr/>
          <w:p>
            <w:pPr>
              <w:pStyle w:val="Compact"/>
            </w:pPr>
            <w:r>
              <w:t xml:space="preserve">DNS modernization plan</w:t>
            </w:r>
          </w:p>
        </w:tc>
        <w:tc>
          <w:tcPr/>
          <w:p>
            <w:pPr>
              <w:pStyle w:val="Compact"/>
            </w:pPr>
            <w:r>
              <w:t xml:space="preserve">Zones and forwarders mapped to the target design</w:t>
            </w:r>
          </w:p>
        </w:tc>
      </w:tr>
      <w:tr>
        <w:tc>
          <w:tcPr/>
          <w:p>
            <w:pPr>
              <w:pStyle w:val="Compact"/>
            </w:pPr>
            <w:r>
              <w:rPr>
                <w:rStyle w:val="VerbatimChar"/>
              </w:rPr>
              <w:t xml:space="preserve">PKIInventory.json</w:t>
            </w:r>
            <w:r>
              <w:t xml:space="preserve">,</w:t>
            </w:r>
            <w:r>
              <w:t xml:space="preserve"> </w:t>
            </w:r>
            <w:r>
              <w:rPr>
                <w:rStyle w:val="VerbatimChar"/>
              </w:rPr>
              <w:t xml:space="preserve">PKISecurityReport.json</w:t>
            </w:r>
          </w:p>
        </w:tc>
        <w:tc>
          <w:tcPr/>
          <w:p>
            <w:pPr>
              <w:pStyle w:val="Compact"/>
            </w:pPr>
            <w:r>
              <w:t xml:space="preserve">PKI modernization plan</w:t>
            </w:r>
          </w:p>
        </w:tc>
        <w:tc>
          <w:tcPr/>
          <w:p>
            <w:pPr>
              <w:pStyle w:val="Compact"/>
            </w:pPr>
            <w:r>
              <w:t xml:space="preserve">CBA readiness and ESC remediation</w:t>
            </w:r>
          </w:p>
        </w:tc>
      </w:tr>
      <w:tr>
        <w:tc>
          <w:tcPr/>
          <w:p>
            <w:pPr>
              <w:pStyle w:val="Compact"/>
            </w:pPr>
            <w:r>
              <w:rPr>
                <w:rStyle w:val="VerbatimChar"/>
              </w:rPr>
              <w:t xml:space="preserve">OUHierarchy.json</w:t>
            </w:r>
            <w:r>
              <w:t xml:space="preserve">,</w:t>
            </w:r>
            <w:r>
              <w:t xml:space="preserve"> </w:t>
            </w:r>
            <w:r>
              <w:rPr>
                <w:rStyle w:val="VerbatimChar"/>
              </w:rPr>
              <w:t xml:space="preserve">OUDelegations.json</w:t>
            </w:r>
          </w:p>
        </w:tc>
        <w:tc>
          <w:tcPr/>
          <w:p>
            <w:pPr>
              <w:pStyle w:val="Compact"/>
            </w:pPr>
            <w:r>
              <w:t xml:space="preserve">Attribute and delegation design</w:t>
            </w:r>
          </w:p>
        </w:tc>
        <w:tc>
          <w:tcPr/>
          <w:p>
            <w:pPr>
              <w:pStyle w:val="Compact"/>
            </w:pPr>
            <w:r>
              <w:t xml:space="preserve">OU targeting converted to attributes, dynamic groups and administrative units</w:t>
            </w:r>
          </w:p>
        </w:tc>
      </w:tr>
      <w:tr>
        <w:tc>
          <w:tcPr/>
          <w:p>
            <w:pPr>
              <w:pStyle w:val="Compact"/>
            </w:pPr>
            <w:r>
              <w:rPr>
                <w:rStyle w:val="VerbatimChar"/>
              </w:rPr>
              <w:t xml:space="preserve">TrustMap.json</w:t>
            </w:r>
          </w:p>
        </w:tc>
        <w:tc>
          <w:tcPr/>
          <w:p>
            <w:pPr>
              <w:pStyle w:val="Compact"/>
            </w:pPr>
            <w:r>
              <w:t xml:space="preserve">Partner access plan</w:t>
            </w:r>
          </w:p>
        </w:tc>
        <w:tc>
          <w:tcPr/>
          <w:p>
            <w:pPr>
              <w:pStyle w:val="Compact"/>
            </w:pPr>
            <w:r>
              <w:t xml:space="preserve">Partners whose access needs a B2B or cross-tenant design</w:t>
            </w:r>
          </w:p>
        </w:tc>
      </w:tr>
      <w:tr>
        <w:tc>
          <w:tcPr/>
          <w:p>
            <w:pPr>
              <w:pStyle w:val="Compact"/>
            </w:pPr>
            <w:r>
              <w:rPr>
                <w:rStyle w:val="VerbatimChar"/>
              </w:rPr>
              <w:t xml:space="preserve">UserInventory.json</w:t>
            </w:r>
            <w:r>
              <w:t xml:space="preserve">,</w:t>
            </w:r>
            <w:r>
              <w:t xml:space="preserve"> </w:t>
            </w:r>
            <w:r>
              <w:rPr>
                <w:rStyle w:val="VerbatimChar"/>
              </w:rPr>
              <w:t xml:space="preserve">GroupInventory.json</w:t>
            </w:r>
            <w:r>
              <w:t xml:space="preserve">,</w:t>
            </w:r>
            <w:r>
              <w:t xml:space="preserve"> </w:t>
            </w:r>
            <w:r>
              <w:rPr>
                <w:rStyle w:val="VerbatimChar"/>
              </w:rPr>
              <w:t xml:space="preserve">PrivilegedUsers.csv</w:t>
            </w:r>
          </w:p>
        </w:tc>
        <w:tc>
          <w:tcPr/>
          <w:p>
            <w:pPr>
              <w:pStyle w:val="Compact"/>
            </w:pPr>
            <w:r>
              <w:t xml:space="preserve">Identity design</w:t>
            </w:r>
          </w:p>
        </w:tc>
        <w:tc>
          <w:tcPr/>
          <w:p>
            <w:pPr>
              <w:pStyle w:val="Compact"/>
            </w:pPr>
            <w:r>
              <w:t xml:space="preserve">Group structure, PIM role assignments, access review scopes</w:t>
            </w:r>
          </w:p>
        </w:tc>
      </w:tr>
      <w:tr>
        <w:tc>
          <w:tcPr/>
          <w:p>
            <w:pPr>
              <w:pStyle w:val="Compact"/>
            </w:pPr>
            <w:r>
              <w:rPr>
                <w:rStyle w:val="VerbatimChar"/>
              </w:rPr>
              <w:t xml:space="preserve">ServiceAccounts.csv</w:t>
            </w:r>
          </w:p>
        </w:tc>
        <w:tc>
          <w:tcPr/>
          <w:p>
            <w:pPr>
              <w:pStyle w:val="Compact"/>
            </w:pPr>
            <w:r>
              <w:t xml:space="preserve">Service account plan</w:t>
            </w:r>
          </w:p>
        </w:tc>
        <w:tc>
          <w:tcPr/>
          <w:p>
            <w:pPr>
              <w:pStyle w:val="Compact"/>
            </w:pPr>
            <w:r>
              <w:t xml:space="preserve">gMSA or dMSA on premises; workload identities in the cloud</w:t>
            </w:r>
          </w:p>
        </w:tc>
      </w:tr>
    </w:tbl>
    <w:bookmarkEnd w:id="746"/>
    <w:bookmarkStart w:id="750" w:name="drift"/>
    <w:p>
      <w:pPr>
        <w:pStyle w:val="Heading3"/>
      </w:pPr>
      <w:r>
        <w:t xml:space="preserve">Drift</w:t>
      </w:r>
    </w:p>
    <w:p>
      <w:pPr>
        <w:pStyle w:val="FirstParagraph"/>
      </w:pPr>
      <w:r>
        <w:t xml:space="preserve">Run the assessment on a schedule (the reference design is weekly) and compare each run with the last.</w:t>
      </w:r>
      <w:r>
        <w:t xml:space="preserve"> </w:t>
      </w:r>
      <w:r>
        <w:rPr>
          <w:rStyle w:val="VerbatimChar"/>
        </w:rPr>
        <w:t xml:space="preserve">Compare-FMPAssessments</w:t>
      </w:r>
      <w:r>
        <w:t xml:space="preserve"> </w:t>
      </w:r>
      <w:r>
        <w:t xml:space="preserve">compares the key JSON files by hash and reports which changed. A changed hash says</w:t>
      </w:r>
      <w:r>
        <w:t xml:space="preserve"> </w:t>
      </w:r>
      <w:r>
        <w:rPr>
          <w:i/>
          <w:iCs/>
        </w:rPr>
        <w:t xml:space="preserve">that</w:t>
      </w:r>
      <w:r>
        <w:t xml:space="preserve"> </w:t>
      </w:r>
      <w:r>
        <w:t xml:space="preserve">something changed; to say</w:t>
      </w:r>
      <w:r>
        <w:t xml:space="preserve"> </w:t>
      </w:r>
      <w:r>
        <w:rPr>
          <w:i/>
          <w:iCs/>
        </w:rPr>
        <w:t xml:space="preserve">what</w:t>
      </w:r>
      <w:r>
        <w:t xml:space="preserve">, compare the parsed objects by a stable key (GUID or SID), which Appendix B shows for the computer, user, group and GPO inventories. Exclude timestamps from the comparison, or every file will look changed on every run.</w:t>
      </w:r>
    </w:p>
    <w:p>
      <w:pPr>
        <w:pStyle w:val="BodyText"/>
      </w:pPr>
      <w:r>
        <w:t xml:space="preserve">Schedule the run under a gMSA so no password is stored. Group MSAs support Task Scheduler tasks, and Microsoft’s own on-demand assessments can run their scheduled task as an sMSA or gMSA; Microsoft recommends caching the account on the collection host with</w:t>
      </w:r>
      <w:r>
        <w:t xml:space="preserve"> </w:t>
      </w:r>
      <w:r>
        <w:rPr>
          <w:rStyle w:val="VerbatimChar"/>
        </w:rPr>
        <w:t xml:space="preserve">Install-ADServiceAccount</w:t>
      </w:r>
      <w:r>
        <w:t xml:space="preserve"> </w:t>
      </w:r>
      <w:r>
        <w:t xml:space="preserve">first, to prove the host can retrieve its password.</w:t>
      </w:r>
      <w:r>
        <w:rPr>
          <w:rStyle w:val="FootnoteReference"/>
        </w:rPr>
        <w:footnoteReference w:id="747"/>
      </w:r>
      <w:r>
        <w:rPr>
          <w:rStyle w:val="FootnoteReference"/>
        </w:rPr>
        <w:footnoteReference w:id="748"/>
      </w:r>
    </w:p>
    <w:bookmarkEnd w:id="750"/>
    <w:bookmarkEnd w:id="751"/>
    <w:bookmarkStart w:id="757" w:name="git-integration-for-assessment-data"/>
    <w:p>
      <w:pPr>
        <w:pStyle w:val="Heading2"/>
      </w:pPr>
      <w:bookmarkStart w:id="1451" w:name="_Toc00001451"/>
      <w:r>
        <w:t xml:space="preserve">Git integration for assessment data</w:t>
      </w:r>
      <w:bookmarkEnd w:id="1451"/>
    </w:p>
    <w:p>
      <w:pPr>
        <w:pStyle w:val="FirstParagraph"/>
      </w:pPr>
      <w:r>
        <w:t xml:space="preserve">The repository is the system of record for assessment history. The reference design uses Gitea’s REST API at</w:t>
      </w:r>
      <w:r>
        <w:t xml:space="preserve"> </w:t>
      </w:r>
      <w:r>
        <w:rPr>
          <w:rStyle w:val="VerbatimChar"/>
        </w:rPr>
        <w:t xml:space="preserve">/api/v1</w:t>
      </w:r>
      <w:r>
        <w:t xml:space="preserve">, authenticated with an API token in an</w:t>
      </w:r>
      <w:r>
        <w:t xml:space="preserve"> </w:t>
      </w:r>
      <w:r>
        <w:rPr>
          <w:rStyle w:val="VerbatimChar"/>
        </w:rPr>
        <w:t xml:space="preserve">Authorization: token &lt;value&gt;</w:t>
      </w:r>
      <w:r>
        <w:t xml:space="preserve"> </w:t>
      </w:r>
      <w:r>
        <w:t xml:space="preserve">header.</w:t>
      </w:r>
      <w:r>
        <w:rPr>
          <w:rStyle w:val="FootnoteReference"/>
        </w:rPr>
        <w:footnoteReference w:id="752"/>
      </w:r>
      <w:r>
        <w:t xml:space="preserve"> </w:t>
      </w:r>
      <w:r>
        <w:t xml:space="preserve">Gitea’s API specification marks the older</w:t>
      </w:r>
      <w:r>
        <w:t xml:space="preserve"> </w:t>
      </w:r>
      <w:r>
        <w:rPr>
          <w:rStyle w:val="VerbatimChar"/>
        </w:rPr>
        <w:t xml:space="preserve">token</w:t>
      </w:r>
      <w:r>
        <w:t xml:space="preserve"> </w:t>
      </w:r>
      <w:r>
        <w:t xml:space="preserve">and</w:t>
      </w:r>
      <w:r>
        <w:t xml:space="preserve"> </w:t>
      </w:r>
      <w:r>
        <w:rPr>
          <w:rStyle w:val="VerbatimChar"/>
        </w:rPr>
        <w:t xml:space="preserve">access_token</w:t>
      </w:r>
      <w:r>
        <w:t xml:space="preserve"> </w:t>
      </w:r>
      <w:r>
        <w:t xml:space="preserve">query parameters as deprecated, so don’t use them; they also put the secret in URLs and logs.</w:t>
      </w:r>
      <w:r>
        <w:rPr>
          <w:rStyle w:val="FootnoteReference"/>
        </w:rPr>
        <w:footnoteReference w:id="754"/>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Purpose</w:t>
            </w:r>
          </w:p>
        </w:tc>
        <w:tc>
          <w:tcPr/>
          <w:p>
            <w:pPr>
              <w:pStyle w:val="Compact"/>
            </w:pPr>
            <w:r>
              <w:t xml:space="preserve">Endpoint</w:t>
            </w:r>
          </w:p>
        </w:tc>
        <w:tc>
          <w:tcPr/>
          <w:p>
            <w:pPr>
              <w:pStyle w:val="Compact"/>
            </w:pPr>
            <w:r>
              <w:t xml:space="preserve">Notes</w:t>
            </w:r>
          </w:p>
        </w:tc>
      </w:tr>
      <w:tr>
        <w:tc>
          <w:tcPr/>
          <w:p>
            <w:pPr>
              <w:pStyle w:val="Compact"/>
            </w:pPr>
            <w:r>
              <w:t xml:space="preserve">Create a branch per run</w:t>
            </w:r>
          </w:p>
        </w:tc>
        <w:tc>
          <w:tcPr/>
          <w:p>
            <w:pPr>
              <w:pStyle w:val="Compact"/>
            </w:pPr>
            <w:r>
              <w:rPr>
                <w:rStyle w:val="VerbatimChar"/>
              </w:rPr>
              <w:t xml:space="preserve">POST /repos/{owner}/{repo}/branches</w:t>
            </w:r>
          </w:p>
        </w:tc>
        <w:tc>
          <w:tcPr/>
          <w:p>
            <w:pPr>
              <w:pStyle w:val="Compact"/>
            </w:pPr>
            <w:r>
              <w:rPr>
                <w:rStyle w:val="VerbatimChar"/>
              </w:rPr>
              <w:t xml:space="preserve">new_branch_name</w:t>
            </w:r>
            <w:r>
              <w:t xml:space="preserve"> </w:t>
            </w:r>
            <w:r>
              <w:t xml:space="preserve">plus</w:t>
            </w:r>
            <w:r>
              <w:t xml:space="preserve"> </w:t>
            </w:r>
            <w:r>
              <w:rPr>
                <w:rStyle w:val="VerbatimChar"/>
              </w:rPr>
              <w:t xml:space="preserve">old_ref_name</w:t>
            </w:r>
            <w:r>
              <w:t xml:space="preserve">;</w:t>
            </w:r>
            <w:r>
              <w:t xml:space="preserve"> </w:t>
            </w:r>
            <w:r>
              <w:rPr>
                <w:rStyle w:val="VerbatimChar"/>
              </w:rPr>
              <w:t xml:space="preserve">old_branch_name</w:t>
            </w:r>
            <w:r>
              <w:t xml:space="preserve"> </w:t>
            </w:r>
            <w:r>
              <w:t xml:space="preserve">is deprecated</w:t>
            </w:r>
          </w:p>
        </w:tc>
      </w:tr>
      <w:tr>
        <w:tc>
          <w:tcPr/>
          <w:p>
            <w:pPr>
              <w:pStyle w:val="Compact"/>
            </w:pPr>
            <w:r>
              <w:t xml:space="preserve">Commit a whole run at once</w:t>
            </w:r>
          </w:p>
        </w:tc>
        <w:tc>
          <w:tcPr/>
          <w:p>
            <w:pPr>
              <w:pStyle w:val="Compact"/>
            </w:pPr>
            <w:r>
              <w:rPr>
                <w:rStyle w:val="VerbatimChar"/>
              </w:rPr>
              <w:t xml:space="preserve">POST /repos/{owner}/{repo}/contents</w:t>
            </w:r>
          </w:p>
        </w:tc>
        <w:tc>
          <w:tcPr/>
          <w:p>
            <w:pPr>
              <w:pStyle w:val="Compact"/>
            </w:pPr>
            <w:r>
              <w:rPr>
                <w:rStyle w:val="VerbatimChar"/>
              </w:rPr>
              <w:t xml:space="preserve">files</w:t>
            </w:r>
            <w:r>
              <w:t xml:space="preserve"> </w:t>
            </w:r>
            <w:r>
              <w:t xml:space="preserve">is a list of operations (</w:t>
            </w:r>
            <w:r>
              <w:rPr>
                <w:rStyle w:val="VerbatimChar"/>
              </w:rPr>
              <w:t xml:space="preserve">create</w:t>
            </w:r>
            <w:r>
              <w:t xml:space="preserve">,</w:t>
            </w:r>
            <w:r>
              <w:t xml:space="preserve"> </w:t>
            </w:r>
            <w:r>
              <w:rPr>
                <w:rStyle w:val="VerbatimChar"/>
              </w:rPr>
              <w:t xml:space="preserve">update</w:t>
            </w:r>
            <w:r>
              <w:t xml:space="preserve">,</w:t>
            </w:r>
            <w:r>
              <w:t xml:space="preserve"> </w:t>
            </w:r>
            <w:r>
              <w:rPr>
                <w:rStyle w:val="VerbatimChar"/>
              </w:rPr>
              <w:t xml:space="preserve">upload</w:t>
            </w:r>
            <w:r>
              <w:t xml:space="preserve">,</w:t>
            </w:r>
            <w:r>
              <w:t xml:space="preserve"> </w:t>
            </w:r>
            <w:r>
              <w:rPr>
                <w:rStyle w:val="VerbatimChar"/>
              </w:rPr>
              <w:t xml:space="preserve">delete</w:t>
            </w:r>
            <w:r>
              <w:t xml:space="preserve">,</w:t>
            </w:r>
            <w:r>
              <w:t xml:space="preserve"> </w:t>
            </w:r>
            <w:r>
              <w:rPr>
                <w:rStyle w:val="VerbatimChar"/>
              </w:rPr>
              <w:t xml:space="preserve">rename</w:t>
            </w:r>
            <w:r>
              <w:t xml:space="preserve">), each with base64 content</w:t>
            </w:r>
          </w:p>
        </w:tc>
      </w:tr>
      <w:tr>
        <w:tc>
          <w:tcPr/>
          <w:p>
            <w:pPr>
              <w:pStyle w:val="Compact"/>
            </w:pPr>
            <w:r>
              <w:t xml:space="preserve">Create or update one file</w:t>
            </w:r>
          </w:p>
        </w:tc>
        <w:tc>
          <w:tcPr/>
          <w:p>
            <w:pPr>
              <w:pStyle w:val="Compact"/>
            </w:pPr>
            <w:r>
              <w:rPr>
                <w:rStyle w:val="VerbatimChar"/>
              </w:rPr>
              <w:t xml:space="preserve">POST</w:t>
            </w:r>
            <w:r>
              <w:t xml:space="preserve"> </w:t>
            </w:r>
            <w:r>
              <w:t xml:space="preserve">or</w:t>
            </w:r>
            <w:r>
              <w:t xml:space="preserve"> </w:t>
            </w:r>
            <w:r>
              <w:rPr>
                <w:rStyle w:val="VerbatimChar"/>
              </w:rPr>
              <w:t xml:space="preserve">PUT /repos/{owner}/{repo}/contents/{filepath}</w:t>
            </w:r>
          </w:p>
        </w:tc>
        <w:tc>
          <w:tcPr/>
          <w:p>
            <w:pPr>
              <w:pStyle w:val="Compact"/>
            </w:pPr>
            <w:r>
              <w:rPr>
                <w:rStyle w:val="VerbatimChar"/>
              </w:rPr>
              <w:t xml:space="preserve">PUT</w:t>
            </w:r>
            <w:r>
              <w:t xml:space="preserve"> </w:t>
            </w:r>
            <w:r>
              <w:t xml:space="preserve">needs the existing blob</w:t>
            </w:r>
            <w:r>
              <w:t xml:space="preserve"> </w:t>
            </w:r>
            <w:r>
              <w:rPr>
                <w:rStyle w:val="VerbatimChar"/>
              </w:rPr>
              <w:t xml:space="preserve">sha</w:t>
            </w:r>
            <w:r>
              <w:t xml:space="preserve"> </w:t>
            </w:r>
            <w:r>
              <w:t xml:space="preserve">to update a file</w:t>
            </w:r>
          </w:p>
        </w:tc>
      </w:tr>
      <w:tr>
        <w:tc>
          <w:tcPr/>
          <w:p>
            <w:pPr>
              <w:pStyle w:val="Compact"/>
            </w:pPr>
            <w:r>
              <w:t xml:space="preserve">Raise a finding</w:t>
            </w:r>
          </w:p>
        </w:tc>
        <w:tc>
          <w:tcPr/>
          <w:p>
            <w:pPr>
              <w:pStyle w:val="Compact"/>
            </w:pPr>
            <w:r>
              <w:rPr>
                <w:rStyle w:val="VerbatimChar"/>
              </w:rPr>
              <w:t xml:space="preserve">POST /repos/{owner}/{repo}/issues</w:t>
            </w:r>
          </w:p>
        </w:tc>
        <w:tc>
          <w:tcPr/>
          <w:p>
            <w:pPr>
              <w:pStyle w:val="Compact"/>
            </w:pPr>
            <w:r>
              <w:rPr>
                <w:rStyle w:val="VerbatimChar"/>
              </w:rPr>
              <w:t xml:space="preserve">labels</w:t>
            </w:r>
            <w:r>
              <w:t xml:space="preserve"> </w:t>
            </w:r>
            <w:r>
              <w:t xml:space="preserve">is a list of label IDs, not names</w:t>
            </w:r>
          </w:p>
        </w:tc>
      </w:tr>
      <w:tr>
        <w:tc>
          <w:tcPr/>
          <w:p>
            <w:pPr>
              <w:pStyle w:val="Compact"/>
            </w:pPr>
            <w:r>
              <w:t xml:space="preserve">Start downstream automation</w:t>
            </w:r>
          </w:p>
        </w:tc>
        <w:tc>
          <w:tcPr/>
          <w:p>
            <w:pPr>
              <w:pStyle w:val="Compact"/>
            </w:pPr>
            <w:r>
              <w:rPr>
                <w:rStyle w:val="VerbatimChar"/>
              </w:rPr>
              <w:t xml:space="preserve">POST /repos/{owner}/{repo}/hooks</w:t>
            </w:r>
          </w:p>
        </w:tc>
        <w:tc>
          <w:tcPr/>
          <w:p>
            <w:pPr>
              <w:pStyle w:val="Compact"/>
            </w:pPr>
            <w:r>
              <w:rPr>
                <w:rStyle w:val="VerbatimChar"/>
              </w:rPr>
              <w:t xml:space="preserve">type</w:t>
            </w:r>
            <w:r>
              <w:t xml:space="preserve">,</w:t>
            </w:r>
            <w:r>
              <w:t xml:space="preserve"> </w:t>
            </w:r>
            <w:r>
              <w:rPr>
                <w:rStyle w:val="VerbatimChar"/>
              </w:rPr>
              <w:t xml:space="preserve">config</w:t>
            </w:r>
            <w:r>
              <w:t xml:space="preserve"> </w:t>
            </w:r>
            <w:r>
              <w:t xml:space="preserve">with</w:t>
            </w:r>
            <w:r>
              <w:t xml:space="preserve"> </w:t>
            </w:r>
            <w:r>
              <w:rPr>
                <w:rStyle w:val="VerbatimChar"/>
              </w:rPr>
              <w:t xml:space="preserve">url</w:t>
            </w:r>
            <w:r>
              <w:t xml:space="preserve"> </w:t>
            </w:r>
            <w:r>
              <w:t xml:space="preserve">and</w:t>
            </w:r>
            <w:r>
              <w:t xml:space="preserve"> </w:t>
            </w:r>
            <w:r>
              <w:rPr>
                <w:rStyle w:val="VerbatimChar"/>
              </w:rPr>
              <w:t xml:space="preserve">content_type</w:t>
            </w:r>
            <w:r>
              <w:t xml:space="preserve">,</w:t>
            </w:r>
            <w:r>
              <w:t xml:space="preserve"> </w:t>
            </w:r>
            <w:r>
              <w:rPr>
                <w:rStyle w:val="VerbatimChar"/>
              </w:rPr>
              <w:t xml:space="preserve">events</w:t>
            </w:r>
            <w:r>
              <w:t xml:space="preserve">,</w:t>
            </w:r>
            <w:r>
              <w:t xml:space="preserve"> </w:t>
            </w:r>
            <w:r>
              <w:rPr>
                <w:rStyle w:val="VerbatimChar"/>
              </w:rPr>
              <w:t xml:space="preserve">branch_filter</w:t>
            </w:r>
          </w:p>
        </w:tc>
      </w:tr>
    </w:tbl>
    <w:p>
      <w:pPr>
        <w:pStyle w:val="BodyText"/>
      </w:pPr>
      <w:r>
        <w:t xml:space="preserve">All of these are from Gitea’s published API specification.</w:t>
      </w:r>
      <w:r>
        <w:rPr>
          <w:rStyle w:val="FootnoteReference"/>
        </w:rPr>
        <w:footnoteReference w:id="756"/>
      </w:r>
      <w:r>
        <w:t xml:space="preserve"> </w:t>
      </w:r>
      <w:r>
        <w:t xml:space="preserve">Two corrections to the source code follow from it. First, the source created issues with an empty label list and a comment that IDs</w:t>
      </w:r>
      <w:r>
        <w:t xml:space="preserve"> </w:t>
      </w:r>
      <w:r>
        <w:t xml:space="preserve">“would be resolved here”</w:t>
      </w:r>
      <w:r>
        <w:t xml:space="preserve">; resolve label names to IDs with</w:t>
      </w:r>
      <w:r>
        <w:t xml:space="preserve"> </w:t>
      </w:r>
      <w:r>
        <w:rPr>
          <w:rStyle w:val="VerbatimChar"/>
        </w:rPr>
        <w:t xml:space="preserve">GET /repos/{owner}/{repo}/labels</w:t>
      </w:r>
      <w:r>
        <w:t xml:space="preserve"> </w:t>
      </w:r>
      <w:r>
        <w:t xml:space="preserve">first, or the labels are silently dropped. Second, the source committed a run one file per API call, which produces hundreds of commits per run. The multi-file</w:t>
      </w:r>
      <w:r>
        <w:t xml:space="preserve"> </w:t>
      </w:r>
      <w:r>
        <w:rPr>
          <w:rStyle w:val="VerbatimChar"/>
        </w:rPr>
        <w:t xml:space="preserve">contents</w:t>
      </w:r>
      <w:r>
        <w:t xml:space="preserve"> </w:t>
      </w:r>
      <w:r>
        <w:t xml:space="preserve">endpoint commits the whole run, manifest included, as one commit, which is what makes</w:t>
      </w:r>
      <w:r>
        <w:t xml:space="preserve"> </w:t>
      </w:r>
      <w:r>
        <w:t xml:space="preserve">“one run, one commit”</w:t>
      </w:r>
      <w:r>
        <w:t xml:space="preserve"> </w:t>
      </w:r>
      <w:r>
        <w:t xml:space="preserve">true.</w:t>
      </w:r>
    </w:p>
    <w:p>
      <w:pPr>
        <w:pStyle w:val="BodyText"/>
      </w:pPr>
      <w:r>
        <w:t xml:space="preserve">The local-clone alternative (</w:t>
      </w:r>
      <w:r>
        <w:rPr>
          <w:rStyle w:val="VerbatimChar"/>
        </w:rPr>
        <w:t xml:space="preserve">git add</w:t>
      </w:r>
      <w:r>
        <w:t xml:space="preserve">,</w:t>
      </w:r>
      <w:r>
        <w:t xml:space="preserve"> </w:t>
      </w:r>
      <w:r>
        <w:rPr>
          <w:rStyle w:val="VerbatimChar"/>
        </w:rPr>
        <w:t xml:space="preserve">git commit</w:t>
      </w:r>
      <w:r>
        <w:t xml:space="preserve">,</w:t>
      </w:r>
      <w:r>
        <w:t xml:space="preserve"> </w:t>
      </w:r>
      <w:r>
        <w:rPr>
          <w:rStyle w:val="VerbatimChar"/>
        </w:rPr>
        <w:t xml:space="preserve">git push</w:t>
      </w:r>
      <w:r>
        <w:t xml:space="preserve">) works as well and is simpler on a host that already has Git. Either way, the commit message names the domain and the run timestamp, and the branch is</w:t>
      </w:r>
      <w:r>
        <w:t xml:space="preserve"> </w:t>
      </w:r>
      <w:r>
        <w:rPr>
          <w:rStyle w:val="VerbatimChar"/>
        </w:rPr>
        <w:t xml:space="preserve">assessment/&lt;domain&gt;/&lt;timestamp&gt;</w:t>
      </w:r>
      <w:r>
        <w:t xml:space="preserve">.</w:t>
      </w:r>
    </w:p>
    <w:p>
      <w:pPr>
        <w:pStyle w:val="BodyText"/>
      </w:pPr>
      <w:r>
        <w:t xml:space="preserve">Raise issues automatically for two classes of finding only: critical PKI patterns and unconstrained delegation on non-domain-controller accounts. Everything else goes to the planning documents, not the issue tracker. Webhook secrets are generated once and stored with the receiving automation, not regenerated on each run.</w:t>
      </w:r>
    </w:p>
    <w:bookmarkEnd w:id="757"/>
    <w:bookmarkStart w:id="769" w:name="security-and-least-privilege"/>
    <w:p>
      <w:pPr>
        <w:pStyle w:val="Heading2"/>
      </w:pPr>
      <w:bookmarkStart w:id="1452" w:name="_Toc00001452"/>
      <w:r>
        <w:t xml:space="preserve">Security and least privilege</w:t>
      </w:r>
      <w:bookmarkEnd w:id="1452"/>
    </w:p>
    <w:p>
      <w:pPr>
        <w:pStyle w:val="FirstParagraph"/>
      </w:pPr>
      <w:r>
        <w:t xml:space="preserve">Assessment data is sensitive. It contains the forest’s topology, its privileged account list, its delegation configuration and its PKI weaknesses: a map for an attacker. Treat the output tree and the repository accordingly.</w:t>
      </w:r>
    </w:p>
    <w:bookmarkStart w:id="760" w:name="the-assessment-account"/>
    <w:p>
      <w:pPr>
        <w:pStyle w:val="Heading3"/>
      </w:pPr>
      <w:r>
        <w:t xml:space="preserve">The assessment account</w:t>
      </w:r>
    </w:p>
    <w:p>
      <w:pPr>
        <w:pStyle w:val="FirstParagraph"/>
      </w:pPr>
      <w:r>
        <w:t xml:space="preserve">The program’s design is a group managed service account,</w:t>
      </w:r>
      <w:r>
        <w:t xml:space="preserve"> </w:t>
      </w:r>
      <w:r>
        <w:rPr>
          <w:rStyle w:val="VerbatimChar"/>
        </w:rPr>
        <w:t xml:space="preserve">svc-fmp-assess$</w:t>
      </w:r>
      <w:r>
        <w:t xml:space="preserve">, with delegated read rights and nothing more:</w:t>
      </w:r>
    </w:p>
    <w:p>
      <w:pPr>
        <w:pStyle w:val="Compact"/>
        <w:numPr>
          <w:ilvl w:val="0"/>
          <w:numId w:val="1043"/>
        </w:numPr>
      </w:pPr>
      <w:r>
        <w:t xml:space="preserve">Read on the domain naming contexts and the configuration partition (default for authenticated users).</w:t>
      </w:r>
    </w:p>
    <w:p>
      <w:pPr>
        <w:pStyle w:val="Compact"/>
        <w:numPr>
          <w:ilvl w:val="0"/>
          <w:numId w:val="1043"/>
        </w:numPr>
      </w:pPr>
      <w:r>
        <w:t xml:space="preserve">Read-permissions rights on OUs whose ACLs aren’t readable by default.</w:t>
      </w:r>
    </w:p>
    <w:p>
      <w:pPr>
        <w:pStyle w:val="Compact"/>
        <w:numPr>
          <w:ilvl w:val="0"/>
          <w:numId w:val="1043"/>
        </w:numPr>
      </w:pPr>
      <w:r>
        <w:t xml:space="preserve">Read on GPOs and SYSVOL, and GPO backup rights through Group Policy Management delegation.</w:t>
      </w:r>
    </w:p>
    <w:p>
      <w:pPr>
        <w:pStyle w:val="Compact"/>
        <w:numPr>
          <w:ilvl w:val="0"/>
          <w:numId w:val="1043"/>
        </w:numPr>
      </w:pPr>
      <w:r>
        <w:t xml:space="preserve">Read on each DNS server, delegated on the server object; not DnsAdmins.</w:t>
      </w:r>
      <w:r>
        <w:rPr>
          <w:rStyle w:val="FootnoteReference"/>
        </w:rPr>
        <w:footnoteReference w:id="758"/>
      </w:r>
    </w:p>
    <w:p>
      <w:pPr>
        <w:pStyle w:val="Compact"/>
        <w:numPr>
          <w:ilvl w:val="0"/>
          <w:numId w:val="1043"/>
        </w:numPr>
      </w:pPr>
      <w:r>
        <w:t xml:space="preserve">Read on the Public Key Services containers and each CA.</w:t>
      </w:r>
    </w:p>
    <w:p>
      <w:pPr>
        <w:pStyle w:val="FirstParagraph"/>
      </w:pPr>
      <w:r>
        <w:t xml:space="preserve">The source created a user account with a password typed at a prompt, and then scheduled the task under a gMSA of the same name. Use the gMSA throughout. Create it with</w:t>
      </w:r>
      <w:r>
        <w:t xml:space="preserve"> </w:t>
      </w:r>
      <w:r>
        <w:rPr>
          <w:rStyle w:val="VerbatimChar"/>
        </w:rPr>
        <w:t xml:space="preserve">New-ADServiceAccount -PrincipalsAllowedToRetrieveManagedPassword &lt;host&gt;$</w:t>
      </w:r>
      <w:r>
        <w:t xml:space="preserve">, after confirming a KDS root key exists with</w:t>
      </w:r>
      <w:r>
        <w:t xml:space="preserve"> </w:t>
      </w:r>
      <w:r>
        <w:rPr>
          <w:rStyle w:val="VerbatimChar"/>
        </w:rPr>
        <w:t xml:space="preserve">Get-KdsRootKey</w:t>
      </w:r>
      <w:r>
        <w:t xml:space="preserve">.</w:t>
      </w:r>
      <w:r>
        <w:rPr>
          <w:rStyle w:val="FootnoteReference"/>
        </w:rPr>
        <w:footnoteReference w:id="759"/>
      </w:r>
      <w:r>
        <w:t xml:space="preserve"> </w:t>
      </w:r>
      <w:r>
        <w:t xml:space="preserve">For interactive runs, use</w:t>
      </w:r>
      <w:r>
        <w:t xml:space="preserve"> </w:t>
      </w:r>
      <w:r>
        <w:rPr>
          <w:rStyle w:val="VerbatimChar"/>
        </w:rPr>
        <w:t xml:space="preserve">Get-Credential</w:t>
      </w:r>
      <w:r>
        <w:t xml:space="preserve">; never store a password in a script or a text file.</w:t>
      </w:r>
    </w:p>
    <w:p>
      <w:pPr>
        <w:pStyle w:val="BodyText"/>
      </w:pPr>
      <w:r>
        <w:t xml:space="preserve">The source also read the Gitea token from a plain text file. Store it in the Windows credential store or a secrets vault the host can reach, scoped to the one repository, and rotate it.</w:t>
      </w:r>
    </w:p>
    <w:bookmarkEnd w:id="760"/>
    <w:bookmarkStart w:id="767" w:name="network-paths"/>
    <w:p>
      <w:pPr>
        <w:pStyle w:val="Heading3"/>
      </w:pPr>
      <w:r>
        <w:t xml:space="preserve">Network paths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Protocol</w:t>
            </w:r>
          </w:p>
        </w:tc>
        <w:tc>
          <w:tcPr/>
          <w:p>
            <w:pPr>
              <w:pStyle w:val="Compact"/>
            </w:pPr>
            <w:r>
              <w:t xml:space="preserve">Port</w:t>
            </w:r>
          </w:p>
        </w:tc>
        <w:tc>
          <w:tcPr/>
          <w:p>
            <w:pPr>
              <w:pStyle w:val="Compact"/>
            </w:pPr>
            <w:r>
              <w:t xml:space="preserve">From the assessment host to</w:t>
            </w:r>
          </w:p>
        </w:tc>
        <w:tc>
          <w:tcPr/>
          <w:p>
            <w:pPr>
              <w:pStyle w:val="Compact"/>
            </w:pPr>
            <w:r>
              <w:t xml:space="preserve">Purpose</w:t>
            </w:r>
          </w:p>
        </w:tc>
      </w:tr>
      <w:tr>
        <w:tc>
          <w:tcPr/>
          <w:p>
            <w:pPr>
              <w:pStyle w:val="Compact"/>
            </w:pPr>
            <w:r>
              <w:t xml:space="preserve">ADWS</w:t>
            </w:r>
          </w:p>
        </w:tc>
        <w:tc>
          <w:tcPr/>
          <w:p>
            <w:pPr>
              <w:pStyle w:val="Compact"/>
            </w:pPr>
            <w:r>
              <w:t xml:space="preserve">TCP 9389</w:t>
            </w:r>
          </w:p>
        </w:tc>
        <w:tc>
          <w:tcPr/>
          <w:p>
            <w:pPr>
              <w:pStyle w:val="Compact"/>
            </w:pPr>
            <w:r>
              <w:t xml:space="preserve">Domain controllers</w:t>
            </w:r>
          </w:p>
        </w:tc>
        <w:tc>
          <w:tcPr/>
          <w:p>
            <w:pPr>
              <w:pStyle w:val="Compact"/>
            </w:pPr>
            <w:r>
              <w:t xml:space="preserve">All ActiveDirectory module cmdlets</w:t>
            </w:r>
          </w:p>
        </w:tc>
      </w:tr>
      <w:tr>
        <w:tc>
          <w:tcPr/>
          <w:p>
            <w:pPr>
              <w:pStyle w:val="Compact"/>
            </w:pPr>
            <w:r>
              <w:t xml:space="preserve">LDAP / LDAPS</w:t>
            </w:r>
          </w:p>
        </w:tc>
        <w:tc>
          <w:tcPr/>
          <w:p>
            <w:pPr>
              <w:pStyle w:val="Compact"/>
            </w:pPr>
            <w:r>
              <w:t xml:space="preserve">TCP 389 / 636</w:t>
            </w:r>
          </w:p>
        </w:tc>
        <w:tc>
          <w:tcPr/>
          <w:p>
            <w:pPr>
              <w:pStyle w:val="Compact"/>
            </w:pPr>
            <w:r>
              <w:t xml:space="preserve">Domain controllers</w:t>
            </w:r>
          </w:p>
        </w:tc>
        <w:tc>
          <w:tcPr/>
          <w:p>
            <w:pPr>
              <w:pStyle w:val="Compact"/>
            </w:pPr>
            <w:r>
              <w:t xml:space="preserve">Direct LDAP queries and</w:t>
            </w:r>
            <w:r>
              <w:t xml:space="preserve"> </w:t>
            </w:r>
            <w:r>
              <w:rPr>
                <w:rStyle w:val="VerbatimChar"/>
              </w:rPr>
              <w:t xml:space="preserve">certutil -ADCA</w:t>
            </w:r>
          </w:p>
        </w:tc>
      </w:tr>
      <w:tr>
        <w:tc>
          <w:tcPr/>
          <w:p>
            <w:pPr>
              <w:pStyle w:val="Compact"/>
            </w:pPr>
            <w:r>
              <w:t xml:space="preserve">Global catalog</w:t>
            </w:r>
          </w:p>
        </w:tc>
        <w:tc>
          <w:tcPr/>
          <w:p>
            <w:pPr>
              <w:pStyle w:val="Compact"/>
            </w:pPr>
            <w:r>
              <w:t xml:space="preserve">TCP 3268 / 3269</w:t>
            </w:r>
          </w:p>
        </w:tc>
        <w:tc>
          <w:tcPr/>
          <w:p>
            <w:pPr>
              <w:pStyle w:val="Compact"/>
            </w:pPr>
            <w:r>
              <w:t xml:space="preserve">Global catalogs</w:t>
            </w:r>
          </w:p>
        </w:tc>
        <w:tc>
          <w:tcPr/>
          <w:p>
            <w:pPr>
              <w:pStyle w:val="Compact"/>
            </w:pPr>
            <w:r>
              <w:t xml:space="preserve">Forest-wide searches</w:t>
            </w:r>
          </w:p>
        </w:tc>
      </w:tr>
      <w:tr>
        <w:tc>
          <w:tcPr/>
          <w:p>
            <w:pPr>
              <w:pStyle w:val="Compact"/>
            </w:pPr>
            <w:r>
              <w:t xml:space="preserve">Kerberos</w:t>
            </w:r>
          </w:p>
        </w:tc>
        <w:tc>
          <w:tcPr/>
          <w:p>
            <w:pPr>
              <w:pStyle w:val="Compact"/>
            </w:pPr>
            <w:r>
              <w:t xml:space="preserve">TCP/UDP 88</w:t>
            </w:r>
          </w:p>
        </w:tc>
        <w:tc>
          <w:tcPr/>
          <w:p>
            <w:pPr>
              <w:pStyle w:val="Compact"/>
            </w:pPr>
            <w:r>
              <w:t xml:space="preserve">Domain controllers</w:t>
            </w:r>
          </w:p>
        </w:tc>
        <w:tc>
          <w:tcPr/>
          <w:p>
            <w:pPr>
              <w:pStyle w:val="Compact"/>
            </w:pPr>
            <w:r>
              <w:t xml:space="preserve">Authentication</w:t>
            </w:r>
          </w:p>
        </w:tc>
      </w:tr>
      <w:tr>
        <w:tc>
          <w:tcPr/>
          <w:p>
            <w:pPr>
              <w:pStyle w:val="Compact"/>
            </w:pPr>
            <w:r>
              <w:t xml:space="preserve">DNS</w:t>
            </w:r>
          </w:p>
        </w:tc>
        <w:tc>
          <w:tcPr/>
          <w:p>
            <w:pPr>
              <w:pStyle w:val="Compact"/>
            </w:pPr>
            <w:r>
              <w:t xml:space="preserve">TCP/UDP 53</w:t>
            </w:r>
          </w:p>
        </w:tc>
        <w:tc>
          <w:tcPr/>
          <w:p>
            <w:pPr>
              <w:pStyle w:val="Compact"/>
            </w:pPr>
            <w:r>
              <w:t xml:space="preserve">DNS servers</w:t>
            </w:r>
          </w:p>
        </w:tc>
        <w:tc>
          <w:tcPr/>
          <w:p>
            <w:pPr>
              <w:pStyle w:val="Compact"/>
            </w:pPr>
            <w:r>
              <w:t xml:space="preserve">Name resolution and SRV checks</w:t>
            </w:r>
          </w:p>
        </w:tc>
      </w:tr>
      <w:tr>
        <w:tc>
          <w:tcPr/>
          <w:p>
            <w:pPr>
              <w:pStyle w:val="Compact"/>
            </w:pPr>
            <w:r>
              <w:t xml:space="preserve">SMB</w:t>
            </w:r>
          </w:p>
        </w:tc>
        <w:tc>
          <w:tcPr/>
          <w:p>
            <w:pPr>
              <w:pStyle w:val="Compact"/>
            </w:pPr>
            <w:r>
              <w:t xml:space="preserve">TCP 445</w:t>
            </w:r>
          </w:p>
        </w:tc>
        <w:tc>
          <w:tcPr/>
          <w:p>
            <w:pPr>
              <w:pStyle w:val="Compact"/>
            </w:pPr>
            <w:r>
              <w:t xml:space="preserve">Domain controllers</w:t>
            </w:r>
          </w:p>
        </w:tc>
        <w:tc>
          <w:tcPr/>
          <w:p>
            <w:pPr>
              <w:pStyle w:val="Compact"/>
            </w:pPr>
            <w:r>
              <w:t xml:space="preserve">SYSVOL reads for GPO reports</w:t>
            </w:r>
          </w:p>
        </w:tc>
      </w:tr>
      <w:tr>
        <w:tc>
          <w:tcPr/>
          <w:p>
            <w:pPr>
              <w:pStyle w:val="Compact"/>
            </w:pPr>
            <w:r>
              <w:t xml:space="preserve">RPC</w:t>
            </w:r>
          </w:p>
        </w:tc>
        <w:tc>
          <w:tcPr/>
          <w:p>
            <w:pPr>
              <w:pStyle w:val="Compact"/>
            </w:pPr>
            <w:r>
              <w:t xml:space="preserve">TCP 135 plus 49152–65535</w:t>
            </w:r>
          </w:p>
        </w:tc>
        <w:tc>
          <w:tcPr/>
          <w:p>
            <w:pPr>
              <w:pStyle w:val="Compact"/>
            </w:pPr>
            <w:r>
              <w:t xml:space="preserve">Domain controllers, CAs, DNS servers</w:t>
            </w:r>
          </w:p>
        </w:tc>
        <w:tc>
          <w:tcPr/>
          <w:p>
            <w:pPr>
              <w:pStyle w:val="Compact"/>
            </w:pPr>
            <w:r>
              <w:t xml:space="preserve">GPO,</w:t>
            </w:r>
            <w:r>
              <w:t xml:space="preserve"> </w:t>
            </w:r>
            <w:r>
              <w:rPr>
                <w:rStyle w:val="VerbatimChar"/>
              </w:rPr>
              <w:t xml:space="preserve">certutil</w:t>
            </w:r>
            <w:r>
              <w:t xml:space="preserve"> </w:t>
            </w:r>
            <w:r>
              <w:t xml:space="preserve">and</w:t>
            </w:r>
            <w:r>
              <w:t xml:space="preserve"> </w:t>
            </w:r>
            <w:r>
              <w:rPr>
                <w:rStyle w:val="VerbatimChar"/>
              </w:rPr>
              <w:t xml:space="preserve">netdom</w:t>
            </w:r>
            <w:r>
              <w:t xml:space="preserve"> </w:t>
            </w:r>
            <w:r>
              <w:t xml:space="preserve">operations</w:t>
            </w:r>
          </w:p>
        </w:tc>
      </w:tr>
      <w:tr>
        <w:tc>
          <w:tcPr/>
          <w:p>
            <w:pPr>
              <w:pStyle w:val="Compact"/>
            </w:pPr>
            <w:r>
              <w:t xml:space="preserve">WinRM</w:t>
            </w:r>
          </w:p>
        </w:tc>
        <w:tc>
          <w:tcPr/>
          <w:p>
            <w:pPr>
              <w:pStyle w:val="Compact"/>
            </w:pPr>
            <w:r>
              <w:t xml:space="preserve">TCP 5985 / 5986</w:t>
            </w:r>
          </w:p>
        </w:tc>
        <w:tc>
          <w:tcPr/>
          <w:p>
            <w:pPr>
              <w:pStyle w:val="Compact"/>
            </w:pPr>
            <w:r>
              <w:t xml:space="preserve">DNS servers, CAs</w:t>
            </w:r>
          </w:p>
        </w:tc>
        <w:tc>
          <w:tcPr/>
          <w:p>
            <w:pPr>
              <w:pStyle w:val="Compact"/>
            </w:pPr>
            <w:r>
              <w:t xml:space="preserve">PowerShell remoting, HTTP and HTTPS</w:t>
            </w:r>
          </w:p>
        </w:tc>
      </w:tr>
    </w:tbl>
    <w:p>
      <w:pPr>
        <w:pStyle w:val="BodyText"/>
      </w:pPr>
      <w:r>
        <w:t xml:space="preserve">The source table left out ADWS, which is the port the ActiveDirectory module actually uses: its cmdlets connect to ADWS on 9389, and ADWS queries the directory on their behalf.</w:t>
      </w:r>
      <w:r>
        <w:rPr>
          <w:rStyle w:val="FootnoteReference"/>
        </w:rPr>
        <w:footnoteReference w:id="761"/>
      </w:r>
      <w:r>
        <w:t xml:space="preserve"> </w:t>
      </w:r>
      <w:r>
        <w:t xml:space="preserve">It also left out SMB. The other ports are as Microsoft lists them for Active Directory and for PowerShell remoting.</w:t>
      </w:r>
      <w:r>
        <w:rPr>
          <w:rStyle w:val="FootnoteReference"/>
        </w:rPr>
        <w:footnoteReference w:id="763"/>
      </w:r>
      <w:r>
        <w:rPr>
          <w:rStyle w:val="FootnoteReference"/>
        </w:rPr>
        <w:footnoteReference w:id="765"/>
      </w:r>
    </w:p>
    <w:bookmarkEnd w:id="767"/>
    <w:bookmarkStart w:id="768" w:name="handling"/>
    <w:p>
      <w:pPr>
        <w:pStyle w:val="Heading3"/>
      </w:pPr>
      <w:r>
        <w:t xml:space="preserve">Handling</w:t>
      </w:r>
    </w:p>
    <w:p>
      <w:pPr>
        <w:pStyle w:val="FirstParagraph"/>
      </w:pPr>
      <w:r>
        <w:t xml:space="preserve">The program’s design rules for the data:</w:t>
      </w:r>
    </w:p>
    <w:p>
      <w:pPr>
        <w:pStyle w:val="Compact"/>
        <w:numPr>
          <w:ilvl w:val="0"/>
          <w:numId w:val="1044"/>
        </w:numPr>
      </w:pPr>
      <w:r>
        <w:t xml:space="preserve">Store the output tree on an encrypted volume, and the Gitea data directory likewise.</w:t>
      </w:r>
    </w:p>
    <w:p>
      <w:pPr>
        <w:pStyle w:val="Compact"/>
        <w:numPr>
          <w:ilvl w:val="0"/>
          <w:numId w:val="1044"/>
        </w:numPr>
      </w:pPr>
      <w:r>
        <w:t xml:space="preserve">Restrict the repository to the assessment team and the plan owners; it’s not a general engineering repository.</w:t>
      </w:r>
    </w:p>
    <w:p>
      <w:pPr>
        <w:pStyle w:val="Compact"/>
        <w:numPr>
          <w:ilvl w:val="0"/>
          <w:numId w:val="1044"/>
        </w:numPr>
      </w:pPr>
      <w:r>
        <w:t xml:space="preserve">Keep runs for at least 12 months, archive older runs, and delete runs older than 36 months unless a legal hold applies.</w:t>
      </w:r>
    </w:p>
    <w:p>
      <w:pPr>
        <w:pStyle w:val="Compact"/>
        <w:numPr>
          <w:ilvl w:val="0"/>
          <w:numId w:val="1044"/>
        </w:numPr>
      </w:pPr>
      <w:r>
        <w:t xml:space="preserve">Log every run to the Windows Application log under the source</w:t>
      </w:r>
      <w:r>
        <w:t xml:space="preserve"> </w:t>
      </w:r>
      <w:r>
        <w:rPr>
          <w:rStyle w:val="VerbatimChar"/>
        </w:rPr>
        <w:t xml:space="preserve">FMPAssessment</w:t>
      </w:r>
      <w:r>
        <w:t xml:space="preserve"> </w:t>
      </w:r>
      <w:r>
        <w:t xml:space="preserve">and to</w:t>
      </w:r>
      <w:r>
        <w:t xml:space="preserve"> </w:t>
      </w:r>
      <w:r>
        <w:rPr>
          <w:rStyle w:val="VerbatimChar"/>
        </w:rPr>
        <w:t xml:space="preserve">D:\FMP\Logs\Assessment.log</w:t>
      </w:r>
      <w:r>
        <w:t xml:space="preserve">.</w:t>
      </w:r>
    </w:p>
    <w:p>
      <w:pPr>
        <w:pStyle w:val="Compact"/>
        <w:numPr>
          <w:ilvl w:val="0"/>
          <w:numId w:val="1044"/>
        </w:numPr>
      </w:pPr>
      <w:r>
        <w:t xml:space="preserve">Sign the module and run it under an</w:t>
      </w:r>
      <w:r>
        <w:t xml:space="preserve"> </w:t>
      </w:r>
      <w:r>
        <w:rPr>
          <w:rStyle w:val="VerbatimChar"/>
        </w:rPr>
        <w:t xml:space="preserve">AllSigned</w:t>
      </w:r>
      <w:r>
        <w:t xml:space="preserve"> </w:t>
      </w:r>
      <w:r>
        <w:t xml:space="preserve">or</w:t>
      </w:r>
      <w:r>
        <w:t xml:space="preserve"> </w:t>
      </w:r>
      <w:r>
        <w:rPr>
          <w:rStyle w:val="VerbatimChar"/>
        </w:rPr>
        <w:t xml:space="preserve">RemoteSigned</w:t>
      </w:r>
      <w:r>
        <w:t xml:space="preserve"> </w:t>
      </w:r>
      <w:r>
        <w:t xml:space="preserve">policy, rather than the source’s</w:t>
      </w:r>
      <w:r>
        <w:t xml:space="preserve"> </w:t>
      </w:r>
      <w:r>
        <w:rPr>
          <w:rStyle w:val="VerbatimChar"/>
        </w:rPr>
        <w:t xml:space="preserve">-ExecutionPolicy Bypass</w:t>
      </w:r>
      <w:r>
        <w:t xml:space="preserve">.</w:t>
      </w:r>
    </w:p>
    <w:bookmarkEnd w:id="768"/>
    <w:bookmarkEnd w:id="769"/>
    <w:bookmarkStart w:id="775" w:name="troubleshooting"/>
    <w:p>
      <w:pPr>
        <w:pStyle w:val="Heading2"/>
      </w:pPr>
      <w:bookmarkStart w:id="1453" w:name="_Toc00001453"/>
      <w:r>
        <w:t xml:space="preserve">Troubleshooting</w:t>
      </w:r>
      <w:bookmarkEnd w:id="1453"/>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Symptom</w:t>
            </w:r>
          </w:p>
        </w:tc>
        <w:tc>
          <w:tcPr/>
          <w:p>
            <w:pPr>
              <w:pStyle w:val="Compact"/>
            </w:pPr>
            <w:r>
              <w:t xml:space="preserve">Likely cause</w:t>
            </w:r>
          </w:p>
        </w:tc>
        <w:tc>
          <w:tcPr/>
          <w:p>
            <w:pPr>
              <w:pStyle w:val="Compact"/>
            </w:pPr>
            <w:r>
              <w:t xml:space="preserve">Resolution</w:t>
            </w:r>
          </w:p>
        </w:tc>
      </w:tr>
      <w:tr>
        <w:tc>
          <w:tcPr/>
          <w:p>
            <w:pPr>
              <w:pStyle w:val="Compact"/>
            </w:pPr>
            <w:r>
              <w:rPr>
                <w:rStyle w:val="VerbatimChar"/>
              </w:rPr>
              <w:t xml:space="preserve">Get-ADForest</w:t>
            </w:r>
            <w:r>
              <w:t xml:space="preserve">: unable to find a default server with Active Directory Web Services running</w:t>
            </w:r>
          </w:p>
        </w:tc>
        <w:tc>
          <w:tcPr/>
          <w:p>
            <w:pPr>
              <w:pStyle w:val="Compact"/>
            </w:pPr>
            <w:r>
              <w:t xml:space="preserve">Host can’t reach a DC on TCP 9389, or ADWS is stopped</w:t>
            </w:r>
          </w:p>
        </w:tc>
        <w:tc>
          <w:tcPr/>
          <w:p>
            <w:pPr>
              <w:pStyle w:val="Compact"/>
            </w:pPr>
            <w:r>
              <w:rPr>
                <w:rStyle w:val="VerbatimChar"/>
              </w:rPr>
              <w:t xml:space="preserve">Test-NetConnection &lt;DC&gt; -Port 9389</w:t>
            </w:r>
            <w:r>
              <w:t xml:space="preserve">; start ADWS on the DC; target a DC with</w:t>
            </w:r>
            <w:r>
              <w:t xml:space="preserve"> </w:t>
            </w:r>
            <w:r>
              <w:rPr>
                <w:rStyle w:val="VerbatimChar"/>
              </w:rPr>
              <w:t xml:space="preserve">-Server</w:t>
            </w:r>
            <w:r>
              <w:rPr>
                <w:rStyle w:val="FootnoteReference"/>
              </w:rPr>
              <w:footnoteReference w:id="770"/>
            </w:r>
          </w:p>
        </w:tc>
      </w:tr>
      <w:tr>
        <w:tc>
          <w:tcPr/>
          <w:p>
            <w:pPr>
              <w:pStyle w:val="Compact"/>
            </w:pPr>
            <w:r>
              <w:rPr>
                <w:rStyle w:val="VerbatimChar"/>
              </w:rPr>
              <w:t xml:space="preserve">The term 'Get-ADForest' is not recognized</w:t>
            </w:r>
          </w:p>
        </w:tc>
        <w:tc>
          <w:tcPr/>
          <w:p>
            <w:pPr>
              <w:pStyle w:val="Compact"/>
            </w:pPr>
            <w:r>
              <w:t xml:space="preserve">ActiveDirectory module not installed</w:t>
            </w:r>
          </w:p>
        </w:tc>
        <w:tc>
          <w:tcPr/>
          <w:p>
            <w:pPr>
              <w:pStyle w:val="Compact"/>
            </w:pPr>
            <w:r>
              <w:t xml:space="preserve">Run</w:t>
            </w:r>
            <w:r>
              <w:t xml:space="preserve"> </w:t>
            </w:r>
            <w:r>
              <w:rPr>
                <w:rStyle w:val="VerbatimChar"/>
              </w:rPr>
              <w:t xml:space="preserve">Test-FMPPrerequisites</w:t>
            </w:r>
            <w:r>
              <w:t xml:space="preserve">; install the RSAT capability or feature</w:t>
            </w:r>
          </w:p>
        </w:tc>
      </w:tr>
      <w:tr>
        <w:tc>
          <w:tcPr/>
          <w:p>
            <w:pPr>
              <w:pStyle w:val="Compact"/>
            </w:pPr>
            <w:r>
              <w:rPr>
                <w:rStyle w:val="VerbatimChar"/>
              </w:rPr>
              <w:t xml:space="preserve">Get-GPOReport</w:t>
            </w:r>
            <w:r>
              <w:t xml:space="preserve">: access is denied</w:t>
            </w:r>
          </w:p>
        </w:tc>
        <w:tc>
          <w:tcPr/>
          <w:p>
            <w:pPr>
              <w:pStyle w:val="Compact"/>
            </w:pPr>
            <w:r>
              <w:t xml:space="preserve">Account lacks read on the GPO or SYSVOL</w:t>
            </w:r>
          </w:p>
        </w:tc>
        <w:tc>
          <w:tcPr/>
          <w:p>
            <w:pPr>
              <w:pStyle w:val="Compact"/>
            </w:pPr>
            <w:r>
              <w:t xml:space="preserve">Check</w:t>
            </w:r>
            <w:r>
              <w:t xml:space="preserve"> </w:t>
            </w:r>
            <w:r>
              <w:rPr>
                <w:rStyle w:val="VerbatimChar"/>
              </w:rPr>
              <w:t xml:space="preserve">\\&lt;domain&gt;\SYSVOL</w:t>
            </w:r>
            <w:r>
              <w:t xml:space="preserve"> </w:t>
            </w:r>
            <w:r>
              <w:t xml:space="preserve">access; grant read through GPMC delegation</w:t>
            </w:r>
          </w:p>
        </w:tc>
      </w:tr>
      <w:tr>
        <w:tc>
          <w:tcPr/>
          <w:p>
            <w:pPr>
              <w:pStyle w:val="Compact"/>
            </w:pPr>
            <w:r>
              <w:rPr>
                <w:rStyle w:val="VerbatimChar"/>
              </w:rPr>
              <w:t xml:space="preserve">Get-DnsServerZone</w:t>
            </w:r>
            <w:r>
              <w:t xml:space="preserve">: the RPC server is unavailable, or WinRM errors</w:t>
            </w:r>
          </w:p>
        </w:tc>
        <w:tc>
          <w:tcPr/>
          <w:p>
            <w:pPr>
              <w:pStyle w:val="Compact"/>
            </w:pPr>
            <w:r>
              <w:t xml:space="preserve">Remote management blocked to the DNS server</w:t>
            </w:r>
          </w:p>
        </w:tc>
        <w:tc>
          <w:tcPr/>
          <w:p>
            <w:pPr>
              <w:pStyle w:val="Compact"/>
            </w:pPr>
            <w:r>
              <w:rPr>
                <w:rStyle w:val="VerbatimChar"/>
              </w:rPr>
              <w:t xml:space="preserve">Test-WSMan &lt;server&gt;</w:t>
            </w:r>
            <w:r>
              <w:t xml:space="preserve">; enable remoting on the server; open the WinRM rule</w:t>
            </w:r>
          </w:p>
        </w:tc>
      </w:tr>
      <w:tr>
        <w:tc>
          <w:tcPr/>
          <w:p>
            <w:pPr>
              <w:pStyle w:val="Compact"/>
            </w:pPr>
            <w:r>
              <w:t xml:space="preserve">No CA found</w:t>
            </w:r>
          </w:p>
        </w:tc>
        <w:tc>
          <w:tcPr/>
          <w:p>
            <w:pPr>
              <w:pStyle w:val="Compact"/>
            </w:pPr>
            <w:r>
              <w:t xml:space="preserve">No enterprise CA in the forest, or no read on Public Key Services</w:t>
            </w:r>
          </w:p>
        </w:tc>
        <w:tc>
          <w:tcPr/>
          <w:p>
            <w:pPr>
              <w:pStyle w:val="Compact"/>
            </w:pPr>
            <w:r>
              <w:rPr>
                <w:rStyle w:val="VerbatimChar"/>
              </w:rPr>
              <w:t xml:space="preserve">certutil -ADCA</w:t>
            </w:r>
            <w:r>
              <w:t xml:space="preserve">; read</w:t>
            </w:r>
            <w:r>
              <w:t xml:space="preserve"> </w:t>
            </w:r>
            <w:r>
              <w:rPr>
                <w:rStyle w:val="VerbatimChar"/>
              </w:rPr>
              <w:t xml:space="preserve">CN=Enrollment Services</w:t>
            </w:r>
            <w:r>
              <w:t xml:space="preserve"> </w:t>
            </w:r>
            <w:r>
              <w:t xml:space="preserve">with</w:t>
            </w:r>
            <w:r>
              <w:t xml:space="preserve"> </w:t>
            </w:r>
            <w:r>
              <w:rPr>
                <w:rStyle w:val="VerbatimChar"/>
              </w:rPr>
              <w:t xml:space="preserve">Get-ADObject</w:t>
            </w:r>
          </w:p>
        </w:tc>
      </w:tr>
      <w:tr>
        <w:tc>
          <w:tcPr/>
          <w:p>
            <w:pPr>
              <w:pStyle w:val="Compact"/>
            </w:pPr>
            <w:r>
              <w:t xml:space="preserve">Large queries time out or return partial results</w:t>
            </w:r>
          </w:p>
        </w:tc>
        <w:tc>
          <w:tcPr/>
          <w:p>
            <w:pPr>
              <w:pStyle w:val="Compact"/>
            </w:pPr>
            <w:r>
              <w:t xml:space="preserve">Directory limits on page size or value ranges</w:t>
            </w:r>
          </w:p>
        </w:tc>
        <w:tc>
          <w:tcPr/>
          <w:p>
            <w:pPr>
              <w:pStyle w:val="Compact"/>
            </w:pPr>
            <w:r>
              <w:t xml:space="preserve">Scope with</w:t>
            </w:r>
            <w:r>
              <w:t xml:space="preserve"> </w:t>
            </w:r>
            <w:r>
              <w:rPr>
                <w:rStyle w:val="VerbatimChar"/>
              </w:rPr>
              <w:t xml:space="preserve">-SearchBase</w:t>
            </w:r>
            <w:r>
              <w:t xml:space="preserve">, set</w:t>
            </w:r>
            <w:r>
              <w:t xml:space="preserve"> </w:t>
            </w:r>
            <w:r>
              <w:rPr>
                <w:rStyle w:val="VerbatimChar"/>
              </w:rPr>
              <w:t xml:space="preserve">-ResultPageSize</w:t>
            </w:r>
            <w:r>
              <w:t xml:space="preserve">; don’t raise LDAP policy limits</w:t>
            </w:r>
          </w:p>
        </w:tc>
      </w:tr>
      <w:tr>
        <w:tc>
          <w:tcPr/>
          <w:p>
            <w:pPr>
              <w:pStyle w:val="Compact"/>
            </w:pPr>
            <w:r>
              <w:t xml:space="preserve">Cross-domain failures</w:t>
            </w:r>
          </w:p>
        </w:tc>
        <w:tc>
          <w:tcPr/>
          <w:p>
            <w:pPr>
              <w:pStyle w:val="Compact"/>
            </w:pPr>
            <w:r>
              <w:t xml:space="preserve">Trust not verified, or selective authentication blocks the account</w:t>
            </w:r>
          </w:p>
        </w:tc>
        <w:tc>
          <w:tcPr/>
          <w:p>
            <w:pPr>
              <w:pStyle w:val="Compact"/>
            </w:pPr>
            <w:r>
              <w:rPr>
                <w:rStyle w:val="VerbatimChar"/>
              </w:rPr>
              <w:t xml:space="preserve">netdom trust ... /verify</w:t>
            </w:r>
            <w:r>
              <w:t xml:space="preserve">; check the trust’s attributes; pass</w:t>
            </w:r>
            <w:r>
              <w:t xml:space="preserve"> </w:t>
            </w:r>
            <w:r>
              <w:rPr>
                <w:rStyle w:val="VerbatimChar"/>
              </w:rPr>
              <w:t xml:space="preserve">-Credential</w:t>
            </w:r>
          </w:p>
        </w:tc>
      </w:tr>
    </w:tbl>
    <w:p>
      <w:pPr>
        <w:pStyle w:val="BodyText"/>
      </w:pPr>
      <w:r>
        <w:t xml:space="preserve">Two of the source’s resolutions were unsafe and are removed. Setting</w:t>
      </w:r>
      <w:r>
        <w:t xml:space="preserve"> </w:t>
      </w:r>
      <w:r>
        <w:rPr>
          <w:rStyle w:val="VerbatimChar"/>
        </w:rPr>
        <w:t xml:space="preserve">TrustedHosts</w:t>
      </w:r>
      <w:r>
        <w:t xml:space="preserve"> </w:t>
      </w:r>
      <w:r>
        <w:t xml:space="preserve">to a domain wildcard tells the WinRM client to send credentials to hosts it hasn’t authenticated; in a domain, Kerberos authentication doesn’t need</w:t>
      </w:r>
      <w:r>
        <w:t xml:space="preserve"> </w:t>
      </w:r>
      <w:r>
        <w:rPr>
          <w:rStyle w:val="VerbatimChar"/>
        </w:rPr>
        <w:t xml:space="preserve">TrustedHosts</w:t>
      </w:r>
      <w:r>
        <w:t xml:space="preserve"> </w:t>
      </w:r>
      <w:r>
        <w:t xml:space="preserve">at all.</w:t>
      </w:r>
      <w:r>
        <w:rPr>
          <w:rStyle w:val="FootnoteReference"/>
        </w:rPr>
        <w:footnoteReference w:id="771"/>
      </w:r>
      <w:r>
        <w:t xml:space="preserve"> </w:t>
      </w:r>
      <w:r>
        <w:t xml:space="preserve">Raising LDAP</w:t>
      </w:r>
      <w:r>
        <w:t xml:space="preserve"> </w:t>
      </w:r>
      <w:r>
        <w:rPr>
          <w:rStyle w:val="VerbatimChar"/>
        </w:rPr>
        <w:t xml:space="preserve">MaxPageSize</w:t>
      </w:r>
      <w:r>
        <w:t xml:space="preserve"> </w:t>
      </w:r>
      <w:r>
        <w:t xml:space="preserve">with</w:t>
      </w:r>
      <w:r>
        <w:t xml:space="preserve"> </w:t>
      </w:r>
      <w:r>
        <w:rPr>
          <w:rStyle w:val="VerbatimChar"/>
        </w:rPr>
        <w:t xml:space="preserve">ntdsutil</w:t>
      </w:r>
      <w:r>
        <w:t xml:space="preserve"> </w:t>
      </w:r>
      <w:r>
        <w:t xml:space="preserve">changes a forest-wide protection whose default is 1,000 records; Microsoft documents raising it only temporarily, for a specific recovery, and restoring it afterwards.</w:t>
      </w:r>
      <w:r>
        <w:rPr>
          <w:rStyle w:val="FootnoteReference"/>
        </w:rPr>
        <w:footnoteReference w:id="773"/>
      </w:r>
    </w:p>
    <w:bookmarkEnd w:id="775"/>
    <w:bookmarkStart w:id="776" w:name="output-schema-reference"/>
    <w:p>
      <w:pPr>
        <w:pStyle w:val="Heading2"/>
      </w:pPr>
      <w:bookmarkStart w:id="1454" w:name="_Toc00001454"/>
      <w:r>
        <w:t xml:space="preserve">Output schema reference</w:t>
      </w:r>
      <w:bookmarkEnd w:id="1454"/>
    </w:p>
    <w:p>
      <w:pPr>
        <w:pStyle w:val="FirstParagraph"/>
      </w:pPr>
      <w:r>
        <w:t xml:space="preserve">Every JSON file is either a root object with an</w:t>
      </w:r>
      <w:r>
        <w:t xml:space="preserve"> </w:t>
      </w:r>
      <w:r>
        <w:rPr>
          <w:rStyle w:val="VerbatimChar"/>
        </w:rPr>
        <w:t xml:space="preserve">AssessmentTimestamp</w:t>
      </w:r>
      <w:r>
        <w:t xml:space="preserve"> </w:t>
      </w:r>
      <w:r>
        <w:t xml:space="preserve">and named arrays, or an array of objects. Field-level schemas and examples are in Appendix B.</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File</w:t>
            </w:r>
          </w:p>
        </w:tc>
        <w:tc>
          <w:tcPr/>
          <w:p>
            <w:pPr>
              <w:pStyle w:val="Compact"/>
            </w:pPr>
            <w:r>
              <w:t xml:space="preserve">Root</w:t>
            </w:r>
          </w:p>
        </w:tc>
        <w:tc>
          <w:tcPr/>
          <w:p>
            <w:pPr>
              <w:pStyle w:val="Compact"/>
            </w:pPr>
            <w:r>
              <w:t xml:space="preserve">Primary contents</w:t>
            </w:r>
          </w:p>
        </w:tc>
      </w:tr>
      <w:tr>
        <w:tc>
          <w:tcPr/>
          <w:p>
            <w:pPr>
              <w:pStyle w:val="Compact"/>
            </w:pPr>
            <w:r>
              <w:rPr>
                <w:rStyle w:val="VerbatimChar"/>
              </w:rPr>
              <w:t xml:space="preserve">ForestTopology.json</w:t>
            </w:r>
          </w:p>
        </w:tc>
        <w:tc>
          <w:tcPr/>
          <w:p>
            <w:pPr>
              <w:pStyle w:val="Compact"/>
            </w:pPr>
            <w:r>
              <w:t xml:space="preserve">Object</w:t>
            </w:r>
          </w:p>
        </w:tc>
        <w:tc>
          <w:tcPr/>
          <w:p>
            <w:pPr>
              <w:pStyle w:val="Compact"/>
            </w:pPr>
            <w:r>
              <w:rPr>
                <w:rStyle w:val="VerbatimChar"/>
              </w:rPr>
              <w:t xml:space="preserve">Forest</w:t>
            </w:r>
            <w:r>
              <w:t xml:space="preserve">,</w:t>
            </w:r>
            <w:r>
              <w:t xml:space="preserve"> </w:t>
            </w:r>
            <w:r>
              <w:rPr>
                <w:rStyle w:val="VerbatimChar"/>
              </w:rPr>
              <w:t xml:space="preserve">Domains[]</w:t>
            </w:r>
            <w:r>
              <w:t xml:space="preserve">,</w:t>
            </w:r>
            <w:r>
              <w:t xml:space="preserve"> </w:t>
            </w:r>
            <w:r>
              <w:rPr>
                <w:rStyle w:val="VerbatimChar"/>
              </w:rPr>
              <w:t xml:space="preserve">DomainControllers[]</w:t>
            </w:r>
            <w:r>
              <w:t xml:space="preserve">,</w:t>
            </w:r>
            <w:r>
              <w:t xml:space="preserve"> </w:t>
            </w:r>
            <w:r>
              <w:rPr>
                <w:rStyle w:val="VerbatimChar"/>
              </w:rPr>
              <w:t xml:space="preserve">Sites[]</w:t>
            </w:r>
            <w:r>
              <w:t xml:space="preserve">,</w:t>
            </w:r>
            <w:r>
              <w:t xml:space="preserve"> </w:t>
            </w:r>
            <w:r>
              <w:rPr>
                <w:rStyle w:val="VerbatimChar"/>
              </w:rPr>
              <w:t xml:space="preserve">SiteLinks[]</w:t>
            </w:r>
            <w:r>
              <w:t xml:space="preserve">,</w:t>
            </w:r>
            <w:r>
              <w:t xml:space="preserve"> </w:t>
            </w:r>
            <w:r>
              <w:rPr>
                <w:rStyle w:val="VerbatimChar"/>
              </w:rPr>
              <w:t xml:space="preserve">Subnets[]</w:t>
            </w:r>
            <w:r>
              <w:t xml:space="preserve">,</w:t>
            </w:r>
            <w:r>
              <w:t xml:space="preserve"> </w:t>
            </w:r>
            <w:r>
              <w:rPr>
                <w:rStyle w:val="VerbatimChar"/>
              </w:rPr>
              <w:t xml:space="preserve">FSMORoles[]</w:t>
            </w:r>
          </w:p>
        </w:tc>
      </w:tr>
      <w:tr>
        <w:tc>
          <w:tcPr/>
          <w:p>
            <w:pPr>
              <w:pStyle w:val="Compact"/>
            </w:pPr>
            <w:r>
              <w:rPr>
                <w:rStyle w:val="VerbatimChar"/>
              </w:rPr>
              <w:t xml:space="preserve">OUHierarchy.json</w:t>
            </w:r>
          </w:p>
        </w:tc>
        <w:tc>
          <w:tcPr/>
          <w:p>
            <w:pPr>
              <w:pStyle w:val="Compact"/>
            </w:pPr>
            <w:r>
              <w:t xml:space="preserve">Array of nodes</w:t>
            </w:r>
          </w:p>
        </w:tc>
        <w:tc>
          <w:tcPr/>
          <w:p>
            <w:pPr>
              <w:pStyle w:val="Compact"/>
            </w:pPr>
            <w:r>
              <w:t xml:space="preserve">Name, DN, description, linked GPOs, object counts,</w:t>
            </w:r>
            <w:r>
              <w:t xml:space="preserve"> </w:t>
            </w:r>
            <w:r>
              <w:rPr>
                <w:rStyle w:val="VerbatimChar"/>
              </w:rPr>
              <w:t xml:space="preserve">Children[]</w:t>
            </w:r>
          </w:p>
        </w:tc>
      </w:tr>
      <w:tr>
        <w:tc>
          <w:tcPr/>
          <w:p>
            <w:pPr>
              <w:pStyle w:val="Compact"/>
            </w:pPr>
            <w:r>
              <w:rPr>
                <w:rStyle w:val="VerbatimChar"/>
              </w:rPr>
              <w:t xml:space="preserve">GPOInventory.json</w:t>
            </w:r>
          </w:p>
        </w:tc>
        <w:tc>
          <w:tcPr/>
          <w:p>
            <w:pPr>
              <w:pStyle w:val="Compact"/>
            </w:pPr>
            <w:r>
              <w:t xml:space="preserve">Array</w:t>
            </w:r>
          </w:p>
        </w:tc>
        <w:tc>
          <w:tcPr/>
          <w:p>
            <w:pPr>
              <w:pStyle w:val="Compact"/>
            </w:pPr>
            <w:r>
              <w:t xml:space="preserve">Display name, ID,</w:t>
            </w:r>
            <w:r>
              <w:t xml:space="preserve"> </w:t>
            </w:r>
            <w:r>
              <w:rPr>
                <w:rStyle w:val="VerbatimChar"/>
              </w:rPr>
              <w:t xml:space="preserve">GpoStatus</w:t>
            </w:r>
            <w:r>
              <w:t xml:space="preserve">, times, owner, WMI filter</w:t>
            </w:r>
          </w:p>
        </w:tc>
      </w:tr>
      <w:tr>
        <w:tc>
          <w:tcPr/>
          <w:p>
            <w:pPr>
              <w:pStyle w:val="Compact"/>
            </w:pPr>
            <w:r>
              <w:rPr>
                <w:rStyle w:val="VerbatimChar"/>
              </w:rPr>
              <w:t xml:space="preserve">DNSInventory.json</w:t>
            </w:r>
          </w:p>
        </w:tc>
        <w:tc>
          <w:tcPr/>
          <w:p>
            <w:pPr>
              <w:pStyle w:val="Compact"/>
            </w:pPr>
            <w:r>
              <w:t xml:space="preserve">Object</w:t>
            </w:r>
          </w:p>
        </w:tc>
        <w:tc>
          <w:tcPr/>
          <w:p>
            <w:pPr>
              <w:pStyle w:val="Compact"/>
            </w:pPr>
            <w:r>
              <w:rPr>
                <w:rStyle w:val="VerbatimChar"/>
              </w:rPr>
              <w:t xml:space="preserve">DnsServer</w:t>
            </w:r>
            <w:r>
              <w:t xml:space="preserve">,</w:t>
            </w:r>
            <w:r>
              <w:t xml:space="preserve"> </w:t>
            </w:r>
            <w:r>
              <w:rPr>
                <w:rStyle w:val="VerbatimChar"/>
              </w:rPr>
              <w:t xml:space="preserve">Zones[]</w:t>
            </w:r>
            <w:r>
              <w:t xml:space="preserve">,</w:t>
            </w:r>
            <w:r>
              <w:t xml:space="preserve"> </w:t>
            </w:r>
            <w:r>
              <w:rPr>
                <w:rStyle w:val="VerbatimChar"/>
              </w:rPr>
              <w:t xml:space="preserve">Scavenging</w:t>
            </w:r>
            <w:r>
              <w:t xml:space="preserve">,</w:t>
            </w:r>
            <w:r>
              <w:t xml:space="preserve"> </w:t>
            </w:r>
            <w:r>
              <w:rPr>
                <w:rStyle w:val="VerbatimChar"/>
              </w:rPr>
              <w:t xml:space="preserve">Forwarders</w:t>
            </w:r>
          </w:p>
        </w:tc>
      </w:tr>
      <w:tr>
        <w:tc>
          <w:tcPr/>
          <w:p>
            <w:pPr>
              <w:pStyle w:val="Compact"/>
            </w:pPr>
            <w:r>
              <w:rPr>
                <w:rStyle w:val="VerbatimChar"/>
              </w:rPr>
              <w:t xml:space="preserve">PKIInventory.json</w:t>
            </w:r>
          </w:p>
        </w:tc>
        <w:tc>
          <w:tcPr/>
          <w:p>
            <w:pPr>
              <w:pStyle w:val="Compact"/>
            </w:pPr>
            <w:r>
              <w:t xml:space="preserve">Object</w:t>
            </w:r>
          </w:p>
        </w:tc>
        <w:tc>
          <w:tcPr/>
          <w:p>
            <w:pPr>
              <w:pStyle w:val="Compact"/>
            </w:pPr>
            <w:r>
              <w:rPr>
                <w:rStyle w:val="VerbatimChar"/>
              </w:rPr>
              <w:t xml:space="preserve">CertificationAuthorities[]</w:t>
            </w:r>
            <w:r>
              <w:t xml:space="preserve">,</w:t>
            </w:r>
            <w:r>
              <w:t xml:space="preserve"> </w:t>
            </w:r>
            <w:r>
              <w:rPr>
                <w:rStyle w:val="VerbatimChar"/>
              </w:rPr>
              <w:t xml:space="preserve">CertificateTemplates[]</w:t>
            </w:r>
          </w:p>
        </w:tc>
      </w:tr>
      <w:tr>
        <w:tc>
          <w:tcPr/>
          <w:p>
            <w:pPr>
              <w:pStyle w:val="Compact"/>
            </w:pPr>
            <w:r>
              <w:rPr>
                <w:rStyle w:val="VerbatimChar"/>
              </w:rPr>
              <w:t xml:space="preserve">PKISecurityReport.json</w:t>
            </w:r>
          </w:p>
        </w:tc>
        <w:tc>
          <w:tcPr/>
          <w:p>
            <w:pPr>
              <w:pStyle w:val="Compact"/>
            </w:pPr>
            <w:r>
              <w:t xml:space="preserve">Array</w:t>
            </w:r>
          </w:p>
        </w:tc>
        <w:tc>
          <w:tcPr/>
          <w:p>
            <w:pPr>
              <w:pStyle w:val="Compact"/>
            </w:pPr>
            <w:r>
              <w:t xml:space="preserve">Finding, severity, template or CA, description, remediation</w:t>
            </w:r>
          </w:p>
        </w:tc>
      </w:tr>
      <w:tr>
        <w:tc>
          <w:tcPr/>
          <w:p>
            <w:pPr>
              <w:pStyle w:val="Compact"/>
            </w:pPr>
            <w:r>
              <w:rPr>
                <w:rStyle w:val="VerbatimChar"/>
              </w:rPr>
              <w:t xml:space="preserve">ComputerInventory.json</w:t>
            </w:r>
          </w:p>
        </w:tc>
        <w:tc>
          <w:tcPr/>
          <w:p>
            <w:pPr>
              <w:pStyle w:val="Compact"/>
            </w:pPr>
            <w:r>
              <w:t xml:space="preserve">Array</w:t>
            </w:r>
          </w:p>
        </w:tc>
        <w:tc>
          <w:tcPr/>
          <w:p>
            <w:pPr>
              <w:pStyle w:val="Compact"/>
            </w:pPr>
            <w:r>
              <w:t xml:space="preserve">Name, DNS name, OS, enabled, last logon, SPNs, delegation</w:t>
            </w:r>
          </w:p>
        </w:tc>
      </w:tr>
      <w:tr>
        <w:tc>
          <w:tcPr/>
          <w:p>
            <w:pPr>
              <w:pStyle w:val="Compact"/>
            </w:pPr>
            <w:r>
              <w:rPr>
                <w:rStyle w:val="VerbatimChar"/>
              </w:rPr>
              <w:t xml:space="preserve">UserInventory.json</w:t>
            </w:r>
          </w:p>
        </w:tc>
        <w:tc>
          <w:tcPr/>
          <w:p>
            <w:pPr>
              <w:pStyle w:val="Compact"/>
            </w:pPr>
            <w:r>
              <w:t xml:space="preserve">Array</w:t>
            </w:r>
          </w:p>
        </w:tc>
        <w:tc>
          <w:tcPr/>
          <w:p>
            <w:pPr>
              <w:pStyle w:val="Compact"/>
            </w:pPr>
            <w:r>
              <w:t xml:space="preserve">sAMAccountName, UPN, enabled, last logon,</w:t>
            </w:r>
            <w:r>
              <w:t xml:space="preserve"> </w:t>
            </w:r>
            <w:r>
              <w:rPr>
                <w:rStyle w:val="VerbatimChar"/>
              </w:rPr>
              <w:t xml:space="preserve">adminCount</w:t>
            </w:r>
            <w:r>
              <w:t xml:space="preserve">,</w:t>
            </w:r>
            <w:r>
              <w:t xml:space="preserve"> </w:t>
            </w:r>
            <w:r>
              <w:rPr>
                <w:rStyle w:val="VerbatimChar"/>
              </w:rPr>
              <w:t xml:space="preserve">MemberOf</w:t>
            </w:r>
          </w:p>
        </w:tc>
      </w:tr>
      <w:tr>
        <w:tc>
          <w:tcPr/>
          <w:p>
            <w:pPr>
              <w:pStyle w:val="Compact"/>
            </w:pPr>
            <w:r>
              <w:rPr>
                <w:rStyle w:val="VerbatimChar"/>
              </w:rPr>
              <w:t xml:space="preserve">GroupInventory.json</w:t>
            </w:r>
          </w:p>
        </w:tc>
        <w:tc>
          <w:tcPr/>
          <w:p>
            <w:pPr>
              <w:pStyle w:val="Compact"/>
            </w:pPr>
            <w:r>
              <w:t xml:space="preserve">Array</w:t>
            </w:r>
          </w:p>
        </w:tc>
        <w:tc>
          <w:tcPr/>
          <w:p>
            <w:pPr>
              <w:pStyle w:val="Compact"/>
            </w:pPr>
            <w:r>
              <w:t xml:space="preserve">sAMAccountName, category, scope, direct member count, empty flag</w:t>
            </w:r>
          </w:p>
        </w:tc>
      </w:tr>
      <w:tr>
        <w:tc>
          <w:tcPr/>
          <w:p>
            <w:pPr>
              <w:pStyle w:val="Compact"/>
            </w:pPr>
            <w:r>
              <w:rPr>
                <w:rStyle w:val="VerbatimChar"/>
              </w:rPr>
              <w:t xml:space="preserve">TrustMap.json</w:t>
            </w:r>
          </w:p>
        </w:tc>
        <w:tc>
          <w:tcPr/>
          <w:p>
            <w:pPr>
              <w:pStyle w:val="Compact"/>
            </w:pPr>
            <w:r>
              <w:t xml:space="preserve">Object</w:t>
            </w:r>
          </w:p>
        </w:tc>
        <w:tc>
          <w:tcPr/>
          <w:p>
            <w:pPr>
              <w:pStyle w:val="Compact"/>
            </w:pPr>
            <w:r>
              <w:rPr>
                <w:rStyle w:val="VerbatimChar"/>
              </w:rPr>
              <w:t xml:space="preserve">Domain</w:t>
            </w:r>
            <w:r>
              <w:t xml:space="preserve">,</w:t>
            </w:r>
            <w:r>
              <w:t xml:space="preserve"> </w:t>
            </w:r>
            <w:r>
              <w:rPr>
                <w:rStyle w:val="VerbatimChar"/>
              </w:rPr>
              <w:t xml:space="preserve">TrustCount</w:t>
            </w:r>
            <w:r>
              <w:t xml:space="preserve">,</w:t>
            </w:r>
            <w:r>
              <w:t xml:space="preserve"> </w:t>
            </w:r>
            <w:r>
              <w:rPr>
                <w:rStyle w:val="VerbatimChar"/>
              </w:rPr>
              <w:t xml:space="preserve">Trusts[]</w:t>
            </w:r>
          </w:p>
        </w:tc>
      </w:tr>
      <w:tr>
        <w:tc>
          <w:tcPr/>
          <w:p>
            <w:pPr>
              <w:pStyle w:val="Compact"/>
            </w:pPr>
            <w:r>
              <w:rPr>
                <w:rStyle w:val="VerbatimChar"/>
              </w:rPr>
              <w:t xml:space="preserve">AssessmentManifest.json</w:t>
            </w:r>
          </w:p>
        </w:tc>
        <w:tc>
          <w:tcPr/>
          <w:p>
            <w:pPr>
              <w:pStyle w:val="Compact"/>
            </w:pPr>
            <w:r>
              <w:t xml:space="preserve">Object</w:t>
            </w:r>
          </w:p>
        </w:tc>
        <w:tc>
          <w:tcPr/>
          <w:p>
            <w:pPr>
              <w:pStyle w:val="Compact"/>
            </w:pPr>
            <w:r>
              <w:t xml:space="preserve">Run identity and window,</w:t>
            </w:r>
            <w:r>
              <w:t xml:space="preserve"> </w:t>
            </w:r>
            <w:r>
              <w:rPr>
                <w:rStyle w:val="VerbatimChar"/>
              </w:rPr>
              <w:t xml:space="preserve">Files[]</w:t>
            </w:r>
            <w:r>
              <w:t xml:space="preserve"> </w:t>
            </w:r>
            <w:r>
              <w:t xml:space="preserve">with SHA-256 hashes</w:t>
            </w:r>
          </w:p>
        </w:tc>
      </w:tr>
    </w:tbl>
    <w:bookmarkEnd w:id="776"/>
    <w:bookmarkStart w:id="778" w:name="quick-reference"/>
    <w:p>
      <w:pPr>
        <w:pStyle w:val="Heading2"/>
      </w:pPr>
      <w:bookmarkStart w:id="1455" w:name="_Toc00001455"/>
      <w:r>
        <w:t xml:space="preserve">Quick reference</w:t>
      </w:r>
      <w:bookmarkEnd w:id="1455"/>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Function</w:t>
            </w:r>
          </w:p>
        </w:tc>
        <w:tc>
          <w:tcPr/>
          <w:p>
            <w:pPr>
              <w:pStyle w:val="Compact"/>
            </w:pPr>
            <w:r>
              <w:t xml:space="preserve">Purpose</w:t>
            </w:r>
          </w:p>
        </w:tc>
        <w:tc>
          <w:tcPr/>
          <w:p>
            <w:pPr>
              <w:pStyle w:val="Compact"/>
            </w:pPr>
            <w:r>
              <w:t xml:space="preserve">Main output</w:t>
            </w:r>
          </w:p>
        </w:tc>
      </w:tr>
      <w:tr>
        <w:tc>
          <w:tcPr/>
          <w:p>
            <w:pPr>
              <w:pStyle w:val="Compact"/>
            </w:pPr>
            <w:r>
              <w:rPr>
                <w:rStyle w:val="VerbatimChar"/>
              </w:rPr>
              <w:t xml:space="preserve">Test-FMPPrerequisites</w:t>
            </w:r>
          </w:p>
        </w:tc>
        <w:tc>
          <w:tcPr/>
          <w:p>
            <w:pPr>
              <w:pStyle w:val="Compact"/>
            </w:pPr>
            <w:r>
              <w:t xml:space="preserve">Check OS, modules, connectivity, output root</w:t>
            </w:r>
          </w:p>
        </w:tc>
        <w:tc>
          <w:tcPr/>
          <w:p>
            <w:pPr>
              <w:pStyle w:val="Compact"/>
            </w:pPr>
            <w:r>
              <w:t xml:space="preserve">Pass or fail table</w:t>
            </w:r>
          </w:p>
        </w:tc>
      </w:tr>
      <w:tr>
        <w:tc>
          <w:tcPr/>
          <w:p>
            <w:pPr>
              <w:pStyle w:val="Compact"/>
            </w:pPr>
            <w:r>
              <w:rPr>
                <w:rStyle w:val="VerbatimChar"/>
              </w:rPr>
              <w:t xml:space="preserve">Get-FMPForestTopology</w:t>
            </w:r>
          </w:p>
        </w:tc>
        <w:tc>
          <w:tcPr/>
          <w:p>
            <w:pPr>
              <w:pStyle w:val="Compact"/>
            </w:pPr>
            <w:r>
              <w:t xml:space="preserve">Forest, domains, DCs, sites, roles</w:t>
            </w:r>
          </w:p>
        </w:tc>
        <w:tc>
          <w:tcPr/>
          <w:p>
            <w:pPr>
              <w:pStyle w:val="Compact"/>
            </w:pPr>
            <w:r>
              <w:rPr>
                <w:rStyle w:val="VerbatimChar"/>
              </w:rPr>
              <w:t xml:space="preserve">ForestTopology.json</w:t>
            </w:r>
          </w:p>
        </w:tc>
      </w:tr>
      <w:tr>
        <w:tc>
          <w:tcPr/>
          <w:p>
            <w:pPr>
              <w:pStyle w:val="Compact"/>
            </w:pPr>
            <w:r>
              <w:rPr>
                <w:rStyle w:val="VerbatimChar"/>
              </w:rPr>
              <w:t xml:space="preserve">Get-FMPOUHierarchy</w:t>
            </w:r>
          </w:p>
        </w:tc>
        <w:tc>
          <w:tcPr/>
          <w:p>
            <w:pPr>
              <w:pStyle w:val="Compact"/>
            </w:pPr>
            <w:r>
              <w:t xml:space="preserve">OU tree, links, delegations</w:t>
            </w:r>
          </w:p>
        </w:tc>
        <w:tc>
          <w:tcPr/>
          <w:p>
            <w:pPr>
              <w:pStyle w:val="Compact"/>
            </w:pPr>
            <w:r>
              <w:rPr>
                <w:rStyle w:val="VerbatimChar"/>
              </w:rPr>
              <w:t xml:space="preserve">OUHierarchy.json</w:t>
            </w:r>
            <w:r>
              <w:t xml:space="preserve">,</w:t>
            </w:r>
            <w:r>
              <w:t xml:space="preserve"> </w:t>
            </w:r>
            <w:r>
              <w:rPr>
                <w:rStyle w:val="VerbatimChar"/>
              </w:rPr>
              <w:t xml:space="preserve">OUFlatList.csv</w:t>
            </w:r>
          </w:p>
        </w:tc>
      </w:tr>
      <w:tr>
        <w:tc>
          <w:tcPr/>
          <w:p>
            <w:pPr>
              <w:pStyle w:val="Compact"/>
            </w:pPr>
            <w:r>
              <w:rPr>
                <w:rStyle w:val="VerbatimChar"/>
              </w:rPr>
              <w:t xml:space="preserve">Get-FMPGPOInventory</w:t>
            </w:r>
          </w:p>
        </w:tc>
        <w:tc>
          <w:tcPr/>
          <w:p>
            <w:pPr>
              <w:pStyle w:val="Compact"/>
            </w:pPr>
            <w:r>
              <w:t xml:space="preserve">GPO inventory, reports, links, permissions, backup</w:t>
            </w:r>
          </w:p>
        </w:tc>
        <w:tc>
          <w:tcPr/>
          <w:p>
            <w:pPr>
              <w:pStyle w:val="Compact"/>
            </w:pPr>
            <w:r>
              <w:rPr>
                <w:rStyle w:val="VerbatimChar"/>
              </w:rPr>
              <w:t xml:space="preserve">GPOInventory.json</w:t>
            </w:r>
            <w:r>
              <w:t xml:space="preserve">, XML and HTML</w:t>
            </w:r>
          </w:p>
        </w:tc>
      </w:tr>
      <w:tr>
        <w:tc>
          <w:tcPr/>
          <w:p>
            <w:pPr>
              <w:pStyle w:val="Compact"/>
            </w:pPr>
            <w:r>
              <w:rPr>
                <w:rStyle w:val="VerbatimChar"/>
              </w:rPr>
              <w:t xml:space="preserve">Get-FMPDNSAssessment</w:t>
            </w:r>
          </w:p>
        </w:tc>
        <w:tc>
          <w:tcPr/>
          <w:p>
            <w:pPr>
              <w:pStyle w:val="Compact"/>
            </w:pPr>
            <w:r>
              <w:t xml:space="preserve">Zones, forwarders, DNSSEC, scavenging</w:t>
            </w:r>
          </w:p>
        </w:tc>
        <w:tc>
          <w:tcPr/>
          <w:p>
            <w:pPr>
              <w:pStyle w:val="Compact"/>
            </w:pPr>
            <w:r>
              <w:rPr>
                <w:rStyle w:val="VerbatimChar"/>
              </w:rPr>
              <w:t xml:space="preserve">DNSInventory.json</w:t>
            </w:r>
          </w:p>
        </w:tc>
      </w:tr>
      <w:tr>
        <w:tc>
          <w:tcPr/>
          <w:p>
            <w:pPr>
              <w:pStyle w:val="Compact"/>
            </w:pPr>
            <w:r>
              <w:rPr>
                <w:rStyle w:val="VerbatimChar"/>
              </w:rPr>
              <w:t xml:space="preserve">Get-FMPPKIAssessment</w:t>
            </w:r>
          </w:p>
        </w:tc>
        <w:tc>
          <w:tcPr/>
          <w:p>
            <w:pPr>
              <w:pStyle w:val="Compact"/>
            </w:pPr>
            <w:r>
              <w:t xml:space="preserve">CAs, templates, escalation patterns</w:t>
            </w:r>
          </w:p>
        </w:tc>
        <w:tc>
          <w:tcPr/>
          <w:p>
            <w:pPr>
              <w:pStyle w:val="Compact"/>
            </w:pPr>
            <w:r>
              <w:rPr>
                <w:rStyle w:val="VerbatimChar"/>
              </w:rPr>
              <w:t xml:space="preserve">PKIInventory.json</w:t>
            </w:r>
            <w:r>
              <w:t xml:space="preserve">,</w:t>
            </w:r>
            <w:r>
              <w:t xml:space="preserve"> </w:t>
            </w:r>
            <w:r>
              <w:rPr>
                <w:rStyle w:val="VerbatimChar"/>
              </w:rPr>
              <w:t xml:space="preserve">PKISecurityReport.json</w:t>
            </w:r>
          </w:p>
        </w:tc>
      </w:tr>
      <w:tr>
        <w:tc>
          <w:tcPr/>
          <w:p>
            <w:pPr>
              <w:pStyle w:val="Compact"/>
            </w:pPr>
            <w:r>
              <w:rPr>
                <w:rStyle w:val="VerbatimChar"/>
              </w:rPr>
              <w:t xml:space="preserve">Get-FMPComputerInventory</w:t>
            </w:r>
          </w:p>
        </w:tc>
        <w:tc>
          <w:tcPr/>
          <w:p>
            <w:pPr>
              <w:pStyle w:val="Compact"/>
            </w:pPr>
            <w:r>
              <w:t xml:space="preserve">Computers, OS, staleness, delegation</w:t>
            </w:r>
          </w:p>
        </w:tc>
        <w:tc>
          <w:tcPr/>
          <w:p>
            <w:pPr>
              <w:pStyle w:val="Compact"/>
            </w:pPr>
            <w:r>
              <w:rPr>
                <w:rStyle w:val="VerbatimChar"/>
              </w:rPr>
              <w:t xml:space="preserve">ComputerInventory.json</w:t>
            </w:r>
            <w:r>
              <w:t xml:space="preserve">, CSVs</w:t>
            </w:r>
          </w:p>
        </w:tc>
      </w:tr>
      <w:tr>
        <w:tc>
          <w:tcPr/>
          <w:p>
            <w:pPr>
              <w:pStyle w:val="Compact"/>
            </w:pPr>
            <w:r>
              <w:rPr>
                <w:rStyle w:val="VerbatimChar"/>
              </w:rPr>
              <w:t xml:space="preserve">Get-FMPUserInventory</w:t>
            </w:r>
          </w:p>
        </w:tc>
        <w:tc>
          <w:tcPr/>
          <w:p>
            <w:pPr>
              <w:pStyle w:val="Compact"/>
            </w:pPr>
            <w:r>
              <w:t xml:space="preserve">Users, privileged accounts, service accounts</w:t>
            </w:r>
          </w:p>
        </w:tc>
        <w:tc>
          <w:tcPr/>
          <w:p>
            <w:pPr>
              <w:pStyle w:val="Compact"/>
            </w:pPr>
            <w:r>
              <w:rPr>
                <w:rStyle w:val="VerbatimChar"/>
              </w:rPr>
              <w:t xml:space="preserve">UserInventory.json</w:t>
            </w:r>
            <w:r>
              <w:t xml:space="preserve">, CSVs</w:t>
            </w:r>
          </w:p>
        </w:tc>
      </w:tr>
      <w:tr>
        <w:tc>
          <w:tcPr/>
          <w:p>
            <w:pPr>
              <w:pStyle w:val="Compact"/>
            </w:pPr>
            <w:r>
              <w:rPr>
                <w:rStyle w:val="VerbatimChar"/>
              </w:rPr>
              <w:t xml:space="preserve">Get-FMPGroupInventory</w:t>
            </w:r>
          </w:p>
        </w:tc>
        <w:tc>
          <w:tcPr/>
          <w:p>
            <w:pPr>
              <w:pStyle w:val="Compact"/>
            </w:pPr>
            <w:r>
              <w:t xml:space="preserve">Groups, empty and circular nesting</w:t>
            </w:r>
          </w:p>
        </w:tc>
        <w:tc>
          <w:tcPr/>
          <w:p>
            <w:pPr>
              <w:pStyle w:val="Compact"/>
            </w:pPr>
            <w:r>
              <w:rPr>
                <w:rStyle w:val="VerbatimChar"/>
              </w:rPr>
              <w:t xml:space="preserve">GroupInventory.json</w:t>
            </w:r>
          </w:p>
        </w:tc>
      </w:tr>
      <w:tr>
        <w:tc>
          <w:tcPr/>
          <w:p>
            <w:pPr>
              <w:pStyle w:val="Compact"/>
            </w:pPr>
            <w:r>
              <w:rPr>
                <w:rStyle w:val="VerbatimChar"/>
              </w:rPr>
              <w:t xml:space="preserve">Get-FMPTrustMap</w:t>
            </w:r>
          </w:p>
        </w:tc>
        <w:tc>
          <w:tcPr/>
          <w:p>
            <w:pPr>
              <w:pStyle w:val="Compact"/>
            </w:pPr>
            <w:r>
              <w:t xml:space="preserve">Trusts and posture</w:t>
            </w:r>
          </w:p>
        </w:tc>
        <w:tc>
          <w:tcPr/>
          <w:p>
            <w:pPr>
              <w:pStyle w:val="Compact"/>
            </w:pPr>
            <w:r>
              <w:rPr>
                <w:rStyle w:val="VerbatimChar"/>
              </w:rPr>
              <w:t xml:space="preserve">TrustMap.json</w:t>
            </w:r>
          </w:p>
        </w:tc>
      </w:tr>
      <w:tr>
        <w:tc>
          <w:tcPr/>
          <w:p>
            <w:pPr>
              <w:pStyle w:val="Compact"/>
            </w:pPr>
            <w:r>
              <w:rPr>
                <w:rStyle w:val="VerbatimChar"/>
              </w:rPr>
              <w:t xml:space="preserve">Invoke-FMPADAssessment</w:t>
            </w:r>
          </w:p>
        </w:tc>
        <w:tc>
          <w:tcPr/>
          <w:p>
            <w:pPr>
              <w:pStyle w:val="Compact"/>
            </w:pPr>
            <w:r>
              <w:t xml:space="preserve">Run all collectors and write the manifest</w:t>
            </w:r>
          </w:p>
        </w:tc>
        <w:tc>
          <w:tcPr/>
          <w:p>
            <w:pPr>
              <w:pStyle w:val="Compact"/>
            </w:pPr>
            <w:r>
              <w:t xml:space="preserve">All files plus</w:t>
            </w:r>
            <w:r>
              <w:t xml:space="preserve"> </w:t>
            </w:r>
            <w:r>
              <w:rPr>
                <w:rStyle w:val="VerbatimChar"/>
              </w:rPr>
              <w:t xml:space="preserve">AssessmentManifest.json</w:t>
            </w:r>
          </w:p>
        </w:tc>
      </w:tr>
      <w:tr>
        <w:tc>
          <w:tcPr/>
          <w:p>
            <w:pPr>
              <w:pStyle w:val="Compact"/>
            </w:pPr>
            <w:r>
              <w:rPr>
                <w:rStyle w:val="VerbatimChar"/>
              </w:rPr>
              <w:t xml:space="preserve">Compare-FMPAssessments</w:t>
            </w:r>
          </w:p>
        </w:tc>
        <w:tc>
          <w:tcPr/>
          <w:p>
            <w:pPr>
              <w:pStyle w:val="Compact"/>
            </w:pPr>
            <w:r>
              <w:t xml:space="preserve">Compare two runs</w:t>
            </w:r>
          </w:p>
        </w:tc>
        <w:tc>
          <w:tcPr/>
          <w:p>
            <w:pPr>
              <w:pStyle w:val="Compact"/>
            </w:pPr>
            <w:r>
              <w:t xml:space="preserve">Drift report</w:t>
            </w:r>
          </w:p>
        </w:tc>
      </w:tr>
      <w:tr>
        <w:tc>
          <w:tcPr/>
          <w:p>
            <w:pPr>
              <w:pStyle w:val="Compact"/>
            </w:pPr>
            <w:r>
              <w:rPr>
                <w:rStyle w:val="VerbatimChar"/>
              </w:rPr>
              <w:t xml:space="preserve">Push-FMPAssessmentToGitea</w:t>
            </w:r>
          </w:p>
        </w:tc>
        <w:tc>
          <w:tcPr/>
          <w:p>
            <w:pPr>
              <w:pStyle w:val="Compact"/>
            </w:pPr>
            <w:r>
              <w:t xml:space="preserve">Commit a run as one commit on a run branch</w:t>
            </w:r>
          </w:p>
        </w:tc>
        <w:tc>
          <w:tcPr/>
          <w:p>
            <w:pPr>
              <w:pStyle w:val="Compact"/>
            </w:pPr>
            <w:r>
              <w:t xml:space="preserve">API response</w:t>
            </w:r>
          </w:p>
        </w:tc>
      </w:tr>
      <w:tr>
        <w:tc>
          <w:tcPr/>
          <w:p>
            <w:pPr>
              <w:pStyle w:val="Compact"/>
            </w:pPr>
            <w:r>
              <w:rPr>
                <w:rStyle w:val="VerbatimChar"/>
              </w:rPr>
              <w:t xml:space="preserve">New-FMPSecurityIssue</w:t>
            </w:r>
            <w:r>
              <w:t xml:space="preserve">,</w:t>
            </w:r>
            <w:r>
              <w:t xml:space="preserve"> </w:t>
            </w:r>
            <w:r>
              <w:rPr>
                <w:rStyle w:val="VerbatimChar"/>
              </w:rPr>
              <w:t xml:space="preserve">Invoke-FMPFindingIssues</w:t>
            </w:r>
          </w:p>
        </w:tc>
        <w:tc>
          <w:tcPr/>
          <w:p>
            <w:pPr>
              <w:pStyle w:val="Compact"/>
            </w:pPr>
            <w:r>
              <w:t xml:space="preserve">Raise issues for critical findings</w:t>
            </w:r>
          </w:p>
        </w:tc>
        <w:tc>
          <w:tcPr/>
          <w:p>
            <w:pPr>
              <w:pStyle w:val="Compact"/>
            </w:pPr>
            <w:r>
              <w:t xml:space="preserve">Issue URLs</w:t>
            </w:r>
          </w:p>
        </w:tc>
      </w:tr>
    </w:tbl>
    <w:bookmarkStart w:id="777" w:name="run-checklist"/>
    <w:p>
      <w:pPr>
        <w:pStyle w:val="Heading3"/>
      </w:pPr>
      <w:r>
        <w:t xml:space="preserve">Run checklist</w:t>
      </w:r>
    </w:p>
    <w:p>
      <w:pPr>
        <w:pStyle w:val="Compact"/>
        <w:numPr>
          <w:ilvl w:val="0"/>
          <w:numId w:val="1045"/>
        </w:numPr>
      </w:pPr>
      <w:r>
        <w:t xml:space="preserve">Run</w:t>
      </w:r>
      <w:r>
        <w:t xml:space="preserve"> </w:t>
      </w:r>
      <w:r>
        <w:rPr>
          <w:rStyle w:val="VerbatimChar"/>
        </w:rPr>
        <w:t xml:space="preserve">Test-FMPPrerequisites</w:t>
      </w:r>
      <w:r>
        <w:t xml:space="preserve"> </w:t>
      </w:r>
      <w:r>
        <w:t xml:space="preserve">and resolve every failure.</w:t>
      </w:r>
    </w:p>
    <w:p>
      <w:pPr>
        <w:pStyle w:val="Compact"/>
        <w:numPr>
          <w:ilvl w:val="0"/>
          <w:numId w:val="1045"/>
        </w:numPr>
      </w:pPr>
      <w:r>
        <w:t xml:space="preserve">Confirm the gMSA is installed on the host and holds only the delegated rights above.</w:t>
      </w:r>
    </w:p>
    <w:p>
      <w:pPr>
        <w:pStyle w:val="Compact"/>
        <w:numPr>
          <w:ilvl w:val="0"/>
          <w:numId w:val="1045"/>
        </w:numPr>
      </w:pPr>
      <w:r>
        <w:rPr>
          <w:rStyle w:val="VerbatimChar"/>
        </w:rPr>
        <w:t xml:space="preserve">Import-Module FMPADAssessment</w:t>
      </w:r>
      <w:r>
        <w:t xml:space="preserve">.</w:t>
      </w:r>
    </w:p>
    <w:p>
      <w:pPr>
        <w:pStyle w:val="Compact"/>
        <w:numPr>
          <w:ilvl w:val="0"/>
          <w:numId w:val="1045"/>
        </w:numPr>
      </w:pPr>
      <w:r>
        <w:rPr>
          <w:rStyle w:val="VerbatimChar"/>
        </w:rPr>
        <w:t xml:space="preserve">Invoke-FMPADAssessment -Domain &lt;domain&gt; -OutputPath D:\FMP\Assessment -StaleThresholdDays 90</w:t>
      </w:r>
      <w:r>
        <w:t xml:space="preserve">.</w:t>
      </w:r>
    </w:p>
    <w:p>
      <w:pPr>
        <w:pStyle w:val="Compact"/>
        <w:numPr>
          <w:ilvl w:val="0"/>
          <w:numId w:val="1045"/>
        </w:numPr>
      </w:pPr>
      <w:r>
        <w:t xml:space="preserve">Open</w:t>
      </w:r>
      <w:r>
        <w:t xml:space="preserve"> </w:t>
      </w:r>
      <w:r>
        <w:rPr>
          <w:rStyle w:val="VerbatimChar"/>
        </w:rPr>
        <w:t xml:space="preserve">AssessmentManifest.json</w:t>
      </w:r>
      <w:r>
        <w:t xml:space="preserve">; check the file count and spot-check hashes.</w:t>
      </w:r>
    </w:p>
    <w:p>
      <w:pPr>
        <w:pStyle w:val="Compact"/>
        <w:numPr>
          <w:ilvl w:val="0"/>
          <w:numId w:val="1045"/>
        </w:numPr>
      </w:pPr>
      <w:r>
        <w:t xml:space="preserve">Review</w:t>
      </w:r>
      <w:r>
        <w:t xml:space="preserve"> </w:t>
      </w:r>
      <w:r>
        <w:rPr>
          <w:rStyle w:val="VerbatimChar"/>
        </w:rPr>
        <w:t xml:space="preserve">PKISecurityReport.json</w:t>
      </w:r>
      <w:r>
        <w:t xml:space="preserve"> </w:t>
      </w:r>
      <w:r>
        <w:t xml:space="preserve">and</w:t>
      </w:r>
      <w:r>
        <w:t xml:space="preserve"> </w:t>
      </w:r>
      <w:r>
        <w:rPr>
          <w:rStyle w:val="VerbatimChar"/>
        </w:rPr>
        <w:t xml:space="preserve">DelegationReport.csv</w:t>
      </w:r>
      <w:r>
        <w:t xml:space="preserve">.</w:t>
      </w:r>
    </w:p>
    <w:p>
      <w:pPr>
        <w:pStyle w:val="Compact"/>
        <w:numPr>
          <w:ilvl w:val="0"/>
          <w:numId w:val="1045"/>
        </w:numPr>
      </w:pPr>
      <w:r>
        <w:t xml:space="preserve">Review</w:t>
      </w:r>
      <w:r>
        <w:t xml:space="preserve"> </w:t>
      </w:r>
      <w:r>
        <w:rPr>
          <w:rStyle w:val="VerbatimChar"/>
        </w:rPr>
        <w:t xml:space="preserve">StaleComputers.csv</w:t>
      </w:r>
      <w:r>
        <w:t xml:space="preserve"> </w:t>
      </w:r>
      <w:r>
        <w:t xml:space="preserve">and the stale and orphaned user counts.</w:t>
      </w:r>
    </w:p>
    <w:p>
      <w:pPr>
        <w:pStyle w:val="Compact"/>
        <w:numPr>
          <w:ilvl w:val="0"/>
          <w:numId w:val="1045"/>
        </w:numPr>
      </w:pPr>
      <w:r>
        <w:t xml:space="preserve">Run trust verification as a separate elevated step.</w:t>
      </w:r>
    </w:p>
    <w:p>
      <w:pPr>
        <w:pStyle w:val="Compact"/>
        <w:numPr>
          <w:ilvl w:val="0"/>
          <w:numId w:val="1045"/>
        </w:numPr>
      </w:pPr>
      <w:r>
        <w:t xml:space="preserve">Commit the run to its branch with</w:t>
      </w:r>
      <w:r>
        <w:t xml:space="preserve"> </w:t>
      </w:r>
      <w:r>
        <w:rPr>
          <w:rStyle w:val="VerbatimChar"/>
        </w:rPr>
        <w:t xml:space="preserve">Push-FMPAssessmentToGitea</w:t>
      </w:r>
      <w:r>
        <w:t xml:space="preserve">.</w:t>
      </w:r>
    </w:p>
    <w:p>
      <w:pPr>
        <w:pStyle w:val="Compact"/>
        <w:numPr>
          <w:ilvl w:val="0"/>
          <w:numId w:val="1045"/>
        </w:numPr>
      </w:pPr>
      <w:r>
        <w:t xml:space="preserve">Raise issues for critical findings with</w:t>
      </w:r>
      <w:r>
        <w:t xml:space="preserve"> </w:t>
      </w:r>
      <w:r>
        <w:rPr>
          <w:rStyle w:val="VerbatimChar"/>
        </w:rPr>
        <w:t xml:space="preserve">Invoke-FMPFindingIssues</w:t>
      </w:r>
      <w:r>
        <w:t xml:space="preserve">.</w:t>
      </w:r>
    </w:p>
    <w:p>
      <w:pPr>
        <w:pStyle w:val="Compact"/>
        <w:numPr>
          <w:ilvl w:val="0"/>
          <w:numId w:val="1045"/>
        </w:numPr>
      </w:pPr>
      <w:r>
        <w:t xml:space="preserve">On recurring runs, compare with the previous baseline using</w:t>
      </w:r>
      <w:r>
        <w:t xml:space="preserve"> </w:t>
      </w:r>
      <w:r>
        <w:rPr>
          <w:rStyle w:val="VerbatimChar"/>
        </w:rPr>
        <w:t xml:space="preserve">Compare-FMPAssessments</w:t>
      </w:r>
      <w:r>
        <w:t xml:space="preserve">.</w:t>
      </w:r>
    </w:p>
    <w:p>
      <w:pPr>
        <w:pStyle w:val="Compact"/>
        <w:numPr>
          <w:ilvl w:val="0"/>
          <w:numId w:val="1045"/>
        </w:numPr>
      </w:pPr>
      <w:r>
        <w:t xml:space="preserve">Archive runs past the retention period.</w:t>
      </w:r>
    </w:p>
    <w:bookmarkEnd w:id="777"/>
    <w:bookmarkEnd w:id="778"/>
    <w:bookmarkStart w:id="779" w:name="continue-the-book-7"/>
    <w:p>
      <w:pPr>
        <w:pStyle w:val="Heading2"/>
      </w:pPr>
      <w:bookmarkStart w:id="1456" w:name="_Toc00001456"/>
      <w:r>
        <w:t xml:space="preserve">Continue the book</w:t>
      </w:r>
      <w:bookmarkEnd w:id="1456"/>
    </w:p>
    <w:p>
      <w:pPr>
        <w:pStyle w:val="FirstParagraph"/>
      </w:pPr>
      <w:r>
        <w:t xml:space="preserve">← Previous: Chapter 07 — Read-Only Discovery · Book index · Next: Chapter 09 — Building the Entra ID Target →</w:t>
      </w:r>
    </w:p>
    <w:bookmarkEnd w:id="779"/>
    <w:bookmarkEnd w:id="780"/>
    <w:bookmarkStart w:id="959" w:name="chapter-09-building-the-entra-id-target"/>
    <w:p>
      <w:pPr>
        <w:pStyle w:val="Heading1"/>
      </w:pPr>
      <w:bookmarkStart w:id="1457" w:name="_Toc00001457"/>
      <w:r>
        <w:t xml:space="preserve">Chapter 09 — Building the Entra ID Target</w:t>
      </w:r>
      <w:bookmarkEnd w:id="1457"/>
    </w:p>
    <w:p>
      <w:pPr>
        <w:pStyle w:val="FirstParagraph"/>
      </w:pPr>
      <w:r>
        <w:rPr>
          <w:i/>
          <w:iCs/>
        </w:rPr>
        <w:t xml:space="preserve">In Active Directory, where an object sits decides what applies to it; in Entra ID, what an object says about itself decides, so the target has to be built from attributes, not copied from containers.</w:t>
      </w:r>
    </w:p>
    <w:bookmarkStart w:id="781" w:name="in-this-chapter-8"/>
    <w:p>
      <w:pPr>
        <w:pStyle w:val="Heading2"/>
      </w:pPr>
      <w:bookmarkStart w:id="1458" w:name="_Toc00001458"/>
      <w:r>
        <w:t xml:space="preserve">In this chapter</w:t>
      </w:r>
      <w:bookmarkEnd w:id="1458"/>
    </w:p>
    <w:p>
      <w:pPr>
        <w:pStyle w:val="FirstParagraph"/>
      </w:pPr>
      <w:r>
        <w:t xml:space="preserve">How each Active Directory object class and administrative construct maps to a Microsoft Entra ID construct, and which license tier each governance feature needs. The two decisions that shape the hybrid period: which sync engine to run and how users sign in. How to migrate groups and service accounts, how to rebuild privileged access on Privileged Identity Management (PIM), and the persona-based Conditional Access framework that replaces Group Policy logon restrictions. Chapter 10 covers governance, authentication modernization, monitoring, and the migration playbook.</w:t>
      </w:r>
    </w:p>
    <w:bookmarkEnd w:id="781"/>
    <w:bookmarkStart w:id="784" w:name="purpose-and-scope"/>
    <w:p>
      <w:pPr>
        <w:pStyle w:val="Heading2"/>
      </w:pPr>
      <w:bookmarkStart w:id="1459" w:name="_Toc00001459"/>
      <w:r>
        <w:t xml:space="preserve">Purpose and scope</w:t>
      </w:r>
      <w:bookmarkEnd w:id="1459"/>
    </w:p>
    <w:p>
      <w:pPr>
        <w:pStyle w:val="FirstParagraph"/>
      </w:pPr>
      <w:r>
        <w:t xml:space="preserve">This chapter and the next are the program’s technical reference for moving the full identity lifecycle from on-premises Active Directory Domain Services (AD DS) to Microsoft Entra ID. They’re written for the architects who plan and run that move. The scope covers every object class and governance construct that makes up an Active Directory identity model:</w:t>
      </w:r>
    </w:p>
    <w:p>
      <w:pPr>
        <w:pStyle w:val="Compact"/>
        <w:numPr>
          <w:ilvl w:val="0"/>
          <w:numId w:val="1046"/>
        </w:numPr>
      </w:pPr>
      <w:r>
        <w:t xml:space="preserve">User objects: attributes, UPN routing, security identifiers (SIDs), group memberships, OU placement, and lifecycle state.</w:t>
      </w:r>
    </w:p>
    <w:p>
      <w:pPr>
        <w:pStyle w:val="Compact"/>
        <w:numPr>
          <w:ilvl w:val="0"/>
          <w:numId w:val="1046"/>
        </w:numPr>
      </w:pPr>
      <w:r>
        <w:t xml:space="preserve">Security and distribution groups: scope, nesting patterns, mail enablement, and dynamic membership.</w:t>
      </w:r>
    </w:p>
    <w:p>
      <w:pPr>
        <w:pStyle w:val="Compact"/>
        <w:numPr>
          <w:ilvl w:val="0"/>
          <w:numId w:val="1046"/>
        </w:numPr>
      </w:pPr>
      <w:r>
        <w:t xml:space="preserve">Service accounts: traditional user-object service accounts, managed service accounts (MSAs), and group managed service accounts (gMSAs).</w:t>
      </w:r>
    </w:p>
    <w:p>
      <w:pPr>
        <w:pStyle w:val="Compact"/>
        <w:numPr>
          <w:ilvl w:val="0"/>
          <w:numId w:val="1046"/>
        </w:numPr>
      </w:pPr>
      <w:r>
        <w:t xml:space="preserve">Privileged access: AdminSDHolder-protected groups, delegation models, and tiered administration.</w:t>
      </w:r>
    </w:p>
    <w:p>
      <w:pPr>
        <w:pStyle w:val="Compact"/>
        <w:numPr>
          <w:ilvl w:val="0"/>
          <w:numId w:val="1046"/>
        </w:numPr>
      </w:pPr>
      <w:r>
        <w:t xml:space="preserve">Conditional Access, replacing Group Policy logon restrictions with policy-driven cloud controls.</w:t>
      </w:r>
    </w:p>
    <w:p>
      <w:pPr>
        <w:pStyle w:val="Compact"/>
        <w:numPr>
          <w:ilvl w:val="0"/>
          <w:numId w:val="1046"/>
        </w:numPr>
      </w:pPr>
      <w:r>
        <w:t xml:space="preserve">Identity governance: access reviews, entitlement management, lifecycle workflows, and compliance attestation.</w:t>
      </w:r>
    </w:p>
    <w:p>
      <w:pPr>
        <w:pStyle w:val="FirstParagraph"/>
      </w:pPr>
      <w:r>
        <w:t xml:space="preserve">The environment is the one this workbook assumes throughout: a Microsoft 365 Government Community Cloud (GCC) tenant. GCC uses the worldwide Microsoft Graph and Azure portal endpoints (</w:t>
      </w:r>
      <w:r>
        <w:rPr>
          <w:rStyle w:val="VerbatimChar"/>
        </w:rPr>
        <w:t xml:space="preserve">https://graph.microsoft.com</w:t>
      </w:r>
      <w:r>
        <w:t xml:space="preserve">), not the separate</w:t>
      </w:r>
      <w:r>
        <w:t xml:space="preserve"> </w:t>
      </w:r>
      <w:r>
        <w:rPr>
          <w:rStyle w:val="VerbatimChar"/>
        </w:rPr>
        <w:t xml:space="preserve">graph.microsoft.us</w:t>
      </w:r>
      <w:r>
        <w:t xml:space="preserve"> </w:t>
      </w:r>
      <w:r>
        <w:t xml:space="preserve">endpoints that GCC High and DoD use.</w:t>
      </w:r>
      <w:r>
        <w:rPr>
          <w:rStyle w:val="FootnoteReference"/>
        </w:rPr>
        <w:footnoteReference w:id="782"/>
      </w:r>
      <w:r>
        <w:t xml:space="preserve"> </w:t>
      </w:r>
      <w:r>
        <w:t xml:space="preserve">Some features reach GCC later than the commercial service or differ there, so check each feature against the Microsoft 365 Government service descriptions before you plan around it. Azure infrastructure and platform services are out of scope unless the text calls one out and says why.</w:t>
      </w:r>
    </w:p>
    <w:p>
      <w:pPr>
        <w:pStyle w:val="BodyText"/>
      </w:pPr>
      <w:r>
        <w:t xml:space="preserve">The chapters assume:</w:t>
      </w:r>
    </w:p>
    <w:p>
      <w:pPr>
        <w:pStyle w:val="Compact"/>
        <w:numPr>
          <w:ilvl w:val="0"/>
          <w:numId w:val="1047"/>
        </w:numPr>
      </w:pPr>
      <w:r>
        <w:t xml:space="preserve">A GCC tenant with at least Microsoft Entra ID P2, and Microsoft Entra ID Governance for the features that need it (see the licensing table below).</w:t>
      </w:r>
    </w:p>
    <w:p>
      <w:pPr>
        <w:pStyle w:val="Compact"/>
        <w:numPr>
          <w:ilvl w:val="0"/>
          <w:numId w:val="1047"/>
        </w:numPr>
      </w:pPr>
      <w:r>
        <w:t xml:space="preserve">One or more source forests at Windows Server 2016 forest functional level or later, already inventoried with the read-only tools in Chapter 07 and Chapter 08.</w:t>
      </w:r>
    </w:p>
    <w:p>
      <w:pPr>
        <w:pStyle w:val="Compact"/>
        <w:numPr>
          <w:ilvl w:val="0"/>
          <w:numId w:val="1047"/>
        </w:numPr>
      </w:pPr>
      <w:r>
        <w:t xml:space="preserve">A Git repository for configuration as code and drift detection. The program’s reference build uses Gitea, but any Git host works.</w:t>
      </w:r>
    </w:p>
    <w:p>
      <w:pPr>
        <w:pStyle w:val="Compact"/>
        <w:numPr>
          <w:ilvl w:val="0"/>
          <w:numId w:val="1047"/>
        </w:numPr>
      </w:pPr>
      <w:r>
        <w:t xml:space="preserve">PowerShell examples written against the Microsoft Graph PowerShell SDK v2 and the</w:t>
      </w:r>
      <w:r>
        <w:t xml:space="preserve"> </w:t>
      </w:r>
      <w:r>
        <w:rPr>
          <w:rStyle w:val="VerbatimChar"/>
        </w:rPr>
        <w:t xml:space="preserve">ActiveDirectory</w:t>
      </w:r>
      <w:r>
        <w:t xml:space="preserve"> </w:t>
      </w:r>
      <w:r>
        <w:t xml:space="preserve">module. The retired MSOnline and AzureAD modules aren’t used anywhere; see Appendix C for the retirement dates.</w:t>
      </w:r>
    </w:p>
    <w:p>
      <w:pPr>
        <w:pStyle w:val="Compact"/>
        <w:numPr>
          <w:ilvl w:val="0"/>
          <w:numId w:val="1047"/>
        </w:numPr>
      </w:pPr>
      <w:r>
        <w:t xml:space="preserve">Read access in both directories: a delegated read account in Active Directory and Global Reader (at minimum) in the tenant. Write steps name the narrower role they need.</w:t>
      </w:r>
    </w:p>
    <w:bookmarkEnd w:id="784"/>
    <w:bookmarkStart w:id="800" w:name="Xf6af10fb97f818a6f399abff256347d009d9439"/>
    <w:p>
      <w:pPr>
        <w:pStyle w:val="Heading2"/>
      </w:pPr>
      <w:bookmarkStart w:id="1460" w:name="_Toc00001460"/>
      <w:r>
        <w:t xml:space="preserve">Decomposing the Active Directory identity landscape</w:t>
      </w:r>
      <w:bookmarkEnd w:id="1460"/>
    </w:p>
    <w:p>
      <w:pPr>
        <w:pStyle w:val="FirstParagraph"/>
      </w:pPr>
      <w:r>
        <w:t xml:space="preserve">Before any object moves, break the Active Directory identity model into its component object types. Each one has its own migration path, attribute mapping, and Entra ID equivalent. The figure summarizes the decomposition; the sections after it work through each row.</w:t>
      </w:r>
    </w:p>
    <w:bookmarkStart w:id="788" w:name="fig-ch09-ad-to-entra-objects"/>
    <w:p>
      <w:pPr>
        <w:pStyle w:val="CaptionedFigure"/>
      </w:pPr>
      <w:r>
        <w:drawing>
          <wp:inline>
            <wp:extent cx="5334000" cy="2515219"/>
            <wp:effectExtent b="0" l="0" r="0" t="0"/>
            <wp:docPr descr="Each Active Directory object class maps to a Microsoft Entra ID construct; placement-driven policy becomes attribute-driven policy." title="" id="786" name="Picture"/>
            <a:graphic>
              <a:graphicData uri="http://schemas.openxmlformats.org/drawingml/2006/picture">
                <pic:pic>
                  <pic:nvPicPr>
                    <pic:cNvPr descr="/home/runner/work/modernization-workbook/modernization-workbook/docs/images/diagrams/b02-identity/png/ch09-ad-to-entra-objects.png" id="787" name="Picture"/>
                    <pic:cNvPicPr>
                      <a:picLocks noChangeArrowheads="1" noChangeAspect="1"/>
                    </pic:cNvPicPr>
                  </pic:nvPicPr>
                  <pic:blipFill>
                    <a:blip r:embed="rId785"/>
                    <a:stretch>
                      <a:fillRect/>
                    </a:stretch>
                  </pic:blipFill>
                  <pic:spPr bwMode="auto">
                    <a:xfrm>
                      <a:off x="0" y="0"/>
                      <a:ext cx="5334000" cy="2515219"/>
                    </a:xfrm>
                    <a:prstGeom prst="rect">
                      <a:avLst/>
                    </a:prstGeom>
                    <a:noFill/>
                    <a:ln w="9525">
                      <a:noFill/>
                      <a:headEnd/>
                      <a:tailEnd/>
                    </a:ln>
                  </pic:spPr>
                </pic:pic>
              </a:graphicData>
            </a:graphic>
          </wp:inline>
        </w:drawing>
      </w:r>
    </w:p>
    <w:p>
      <w:pPr>
        <w:pStyle w:val="ImageCaption"/>
      </w:pPr>
      <w:r>
        <w:t xml:space="preserve">Each Active Directory object class maps to a Microsoft Entra ID construct; placement-driven policy becomes attribute-driven policy.</w:t>
      </w:r>
    </w:p>
    <w:bookmarkEnd w:id="788"/>
    <w:bookmarkStart w:id="793" w:name="user-objects"/>
    <w:p>
      <w:pPr>
        <w:pStyle w:val="Heading3"/>
      </w:pPr>
      <w:r>
        <w:t xml:space="preserve">User objects</w:t>
      </w:r>
    </w:p>
    <w:p>
      <w:pPr>
        <w:pStyle w:val="FirstParagraph"/>
      </w:pPr>
      <w:r>
        <w:t xml:space="preserve">User objects are the foundational identity type. Each one carries the attributes that define credentials, organizational placement, group membership, and authorization scope. Five dimensions drive the migration:</w:t>
      </w:r>
    </w:p>
    <w:p>
      <w:pPr>
        <w:pStyle w:val="Compact"/>
        <w:numPr>
          <w:ilvl w:val="0"/>
          <w:numId w:val="1048"/>
        </w:numPr>
      </w:pPr>
      <w:r>
        <w:rPr>
          <w:b/>
          <w:bCs/>
        </w:rPr>
        <w:t xml:space="preserve">userPrincipalName (UPN).</w:t>
      </w:r>
      <w:r>
        <w:t xml:space="preserve"> </w:t>
      </w:r>
      <w:r>
        <w:t xml:space="preserve">The UPN suffix must be a domain verified in the tenant. If it isn’t, sync doesn’t fail; Entra ID builds a substitute UPN from the mail nickname and the tenant’s initial</w:t>
      </w:r>
      <w:r>
        <w:t xml:space="preserve"> </w:t>
      </w:r>
      <w:r>
        <w:rPr>
          <w:rStyle w:val="VerbatimChar"/>
        </w:rPr>
        <w:t xml:space="preserve">onmicrosoft.com</w:t>
      </w:r>
      <w:r>
        <w:t xml:space="preserve"> </w:t>
      </w:r>
      <w:r>
        <w:t xml:space="preserve">domain, which is rarely what anyone wants.</w:t>
      </w:r>
      <w:r>
        <w:rPr>
          <w:rStyle w:val="FootnoteReference"/>
        </w:rPr>
        <w:footnoteReference w:id="789"/>
      </w:r>
      <w:r>
        <w:t xml:space="preserve"> </w:t>
      </w:r>
      <w:r>
        <w:t xml:space="preserve">Non-routable suffixes such as</w:t>
      </w:r>
      <w:r>
        <w:t xml:space="preserve"> </w:t>
      </w:r>
      <w:r>
        <w:rPr>
          <w:rStyle w:val="VerbatimChar"/>
        </w:rPr>
        <w:t xml:space="preserve">.local</w:t>
      </w:r>
      <w:r>
        <w:t xml:space="preserve"> </w:t>
      </w:r>
      <w:r>
        <w:t xml:space="preserve">need remediation before sync (see</w:t>
      </w:r>
      <w:r>
        <w:t xml:space="preserve"> </w:t>
      </w:r>
      <w:hyperlink w:anchor="upn-suffixes-and-alternate-login-id">
        <w:r>
          <w:rPr>
            <w:rStyle w:val="Hyperlink"/>
          </w:rPr>
          <w:t xml:space="preserve">UPN suffixes and alternate login ID</w:t>
        </w:r>
      </w:hyperlink>
      <w:r>
        <w:t xml:space="preserve">).</w:t>
      </w:r>
    </w:p>
    <w:p>
      <w:pPr>
        <w:pStyle w:val="Compact"/>
        <w:numPr>
          <w:ilvl w:val="0"/>
          <w:numId w:val="1048"/>
        </w:numPr>
      </w:pPr>
      <w:r>
        <w:rPr>
          <w:b/>
          <w:bCs/>
        </w:rPr>
        <w:t xml:space="preserve">objectSid.</w:t>
      </w:r>
      <w:r>
        <w:t xml:space="preserve"> </w:t>
      </w:r>
      <w:r>
        <w:t xml:space="preserve">Entra ID doesn’t use SIDs for its own authorization. The on-premises SID is carried in</w:t>
      </w:r>
      <w:r>
        <w:t xml:space="preserve"> </w:t>
      </w:r>
      <w:r>
        <w:rPr>
          <w:rStyle w:val="VerbatimChar"/>
        </w:rPr>
        <w:t xml:space="preserve">onPremisesSecurityIdentifier</w:t>
      </w:r>
      <w:r>
        <w:t xml:space="preserve">, which must be unique in the tenant; a duplicate raises an</w:t>
      </w:r>
      <w:r>
        <w:t xml:space="preserve"> </w:t>
      </w:r>
      <w:r>
        <w:rPr>
          <w:rStyle w:val="VerbatimChar"/>
        </w:rPr>
        <w:t xml:space="preserve">AttributeValueMustBeUnique</w:t>
      </w:r>
      <w:r>
        <w:t xml:space="preserve"> </w:t>
      </w:r>
      <w:r>
        <w:t xml:space="preserve">error during provisioning.</w:t>
      </w:r>
      <w:r>
        <w:rPr>
          <w:rStyle w:val="FootnoteReference"/>
        </w:rPr>
        <w:footnoteReference w:id="791"/>
      </w:r>
    </w:p>
    <w:p>
      <w:pPr>
        <w:pStyle w:val="Compact"/>
        <w:numPr>
          <w:ilvl w:val="0"/>
          <w:numId w:val="1048"/>
        </w:numPr>
      </w:pPr>
      <w:r>
        <w:rPr>
          <w:b/>
          <w:bCs/>
        </w:rPr>
        <w:t xml:space="preserve">memberOf.</w:t>
      </w:r>
      <w:r>
        <w:t xml:space="preserve"> </w:t>
      </w:r>
      <w:r>
        <w:t xml:space="preserve">Memberships arrive with group sync. Nested memberships behave differently in Entra ID (see</w:t>
      </w:r>
      <w:r>
        <w:t xml:space="preserve"> </w:t>
      </w:r>
      <w:hyperlink w:anchor="nested-groups">
        <w:r>
          <w:rPr>
            <w:rStyle w:val="Hyperlink"/>
          </w:rPr>
          <w:t xml:space="preserve">Nested groups</w:t>
        </w:r>
      </w:hyperlink>
      <w:r>
        <w:t xml:space="preserve">).</w:t>
      </w:r>
    </w:p>
    <w:p>
      <w:pPr>
        <w:pStyle w:val="Compact"/>
        <w:numPr>
          <w:ilvl w:val="0"/>
          <w:numId w:val="1048"/>
        </w:numPr>
      </w:pPr>
      <w:r>
        <w:rPr>
          <w:b/>
          <w:bCs/>
        </w:rPr>
        <w:t xml:space="preserve">OU placement.</w:t>
      </w:r>
      <w:r>
        <w:t xml:space="preserve"> </w:t>
      </w:r>
      <w:r>
        <w:t xml:space="preserve">OUs decide which Group Policy Objects apply and who can administer the object. Entra ID has no OU; administrative units take the delegation role, and groups take the policy-targeting role.</w:t>
      </w:r>
    </w:p>
    <w:p>
      <w:pPr>
        <w:pStyle w:val="Compact"/>
        <w:numPr>
          <w:ilvl w:val="0"/>
          <w:numId w:val="1048"/>
        </w:numPr>
      </w:pPr>
      <w:r>
        <w:rPr>
          <w:b/>
          <w:bCs/>
        </w:rPr>
        <w:t xml:space="preserve">Attribute richness.</w:t>
      </w:r>
      <w:r>
        <w:t xml:space="preserve"> </w:t>
      </w:r>
      <w:r>
        <w:t xml:space="preserve">Entra ID maps a subset of AD attributes natively and carries</w:t>
      </w:r>
      <w:r>
        <w:t xml:space="preserve"> </w:t>
      </w:r>
      <w:r>
        <w:rPr>
          <w:rStyle w:val="VerbatimChar"/>
        </w:rPr>
        <w:t xml:space="preserve">extensionAttribute1</w:t>
      </w:r>
      <w:r>
        <w:t xml:space="preserve"> </w:t>
      </w:r>
      <w:r>
        <w:t xml:space="preserve">through</w:t>
      </w:r>
      <w:r>
        <w:t xml:space="preserve"> </w:t>
      </w:r>
      <w:r>
        <w:rPr>
          <w:rStyle w:val="VerbatimChar"/>
        </w:rPr>
        <w:t xml:space="preserve">15</w:t>
      </w:r>
      <w:r>
        <w:t xml:space="preserve"> </w:t>
      </w:r>
      <w:r>
        <w:t xml:space="preserve">in</w:t>
      </w:r>
      <w:r>
        <w:t xml:space="preserve"> </w:t>
      </w:r>
      <w:r>
        <w:rPr>
          <w:rStyle w:val="VerbatimChar"/>
        </w:rPr>
        <w:t xml:space="preserve">onPremisesExtensionAttributes</w:t>
      </w:r>
      <w:r>
        <w:t xml:space="preserve">. Custom data beyond that needs directory extensions.</w:t>
      </w:r>
    </w:p>
    <w:p>
      <w:pPr>
        <w:pStyle w:val="FirstParagraph"/>
      </w:pPr>
      <w:r>
        <w:t xml:space="preserve">The core user attribute mapping is in the following table. The full reference, including the program’s assignments for the fifteen extension attributes, is in Appendix C.</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AD attribute</w:t>
            </w:r>
          </w:p>
        </w:tc>
        <w:tc>
          <w:tcPr/>
          <w:p>
            <w:pPr>
              <w:pStyle w:val="Compact"/>
            </w:pPr>
            <w:r>
              <w:t xml:space="preserve">Microsoft Graph user property</w:t>
            </w:r>
          </w:p>
        </w:tc>
        <w:tc>
          <w:tcPr/>
          <w:p>
            <w:pPr>
              <w:pStyle w:val="Compact"/>
            </w:pPr>
            <w:r>
              <w:t xml:space="preserve">Notes</w:t>
            </w:r>
          </w:p>
        </w:tc>
      </w:tr>
      <w:tr>
        <w:tc>
          <w:tcPr/>
          <w:p>
            <w:pPr>
              <w:pStyle w:val="Compact"/>
            </w:pPr>
            <w:r>
              <w:rPr>
                <w:rStyle w:val="VerbatimChar"/>
              </w:rPr>
              <w:t xml:space="preserve">sAMAccountName</w:t>
            </w:r>
          </w:p>
        </w:tc>
        <w:tc>
          <w:tcPr/>
          <w:p>
            <w:pPr>
              <w:pStyle w:val="Compact"/>
            </w:pPr>
            <w:r>
              <w:rPr>
                <w:rStyle w:val="VerbatimChar"/>
              </w:rPr>
              <w:t xml:space="preserve">onPremisesSamAccountName</w:t>
            </w:r>
          </w:p>
        </w:tc>
        <w:tc>
          <w:tcPr/>
          <w:p>
            <w:pPr>
              <w:pStyle w:val="Compact"/>
            </w:pPr>
            <w:r>
              <w:t xml:space="preserve">Read-only in Entra ID for synced users</w:t>
            </w:r>
          </w:p>
        </w:tc>
      </w:tr>
      <w:tr>
        <w:tc>
          <w:tcPr/>
          <w:p>
            <w:pPr>
              <w:pStyle w:val="Compact"/>
            </w:pPr>
            <w:r>
              <w:rPr>
                <w:rStyle w:val="VerbatimChar"/>
              </w:rPr>
              <w:t xml:space="preserve">userPrincipalName</w:t>
            </w:r>
          </w:p>
        </w:tc>
        <w:tc>
          <w:tcPr/>
          <w:p>
            <w:pPr>
              <w:pStyle w:val="Compact"/>
            </w:pPr>
            <w:r>
              <w:rPr>
                <w:rStyle w:val="VerbatimChar"/>
              </w:rPr>
              <w:t xml:space="preserve">userPrincipalName</w:t>
            </w:r>
          </w:p>
        </w:tc>
        <w:tc>
          <w:tcPr/>
          <w:p>
            <w:pPr>
              <w:pStyle w:val="Compact"/>
            </w:pPr>
            <w:r>
              <w:t xml:space="preserve">Suffix must be a verified domain; the sign-in name</w:t>
            </w:r>
          </w:p>
        </w:tc>
      </w:tr>
      <w:tr>
        <w:tc>
          <w:tcPr/>
          <w:p>
            <w:pPr>
              <w:pStyle w:val="Compact"/>
            </w:pPr>
            <w:r>
              <w:rPr>
                <w:rStyle w:val="VerbatimChar"/>
              </w:rPr>
              <w:t xml:space="preserve">objectSid</w:t>
            </w:r>
          </w:p>
        </w:tc>
        <w:tc>
          <w:tcPr/>
          <w:p>
            <w:pPr>
              <w:pStyle w:val="Compact"/>
            </w:pPr>
            <w:r>
              <w:rPr>
                <w:rStyle w:val="VerbatimChar"/>
              </w:rPr>
              <w:t xml:space="preserve">onPremisesSecurityIdentifier</w:t>
            </w:r>
          </w:p>
        </w:tc>
        <w:tc>
          <w:tcPr/>
          <w:p>
            <w:pPr>
              <w:pStyle w:val="Compact"/>
            </w:pPr>
            <w:r>
              <w:t xml:space="preserve">Must be unique in the tenant</w:t>
            </w:r>
          </w:p>
        </w:tc>
      </w:tr>
      <w:tr>
        <w:tc>
          <w:tcPr/>
          <w:p>
            <w:pPr>
              <w:pStyle w:val="Compact"/>
            </w:pPr>
            <w:r>
              <w:rPr>
                <w:rStyle w:val="VerbatimChar"/>
              </w:rPr>
              <w:t xml:space="preserve">mail</w:t>
            </w:r>
          </w:p>
        </w:tc>
        <w:tc>
          <w:tcPr/>
          <w:p>
            <w:pPr>
              <w:pStyle w:val="Compact"/>
            </w:pPr>
            <w:r>
              <w:rPr>
                <w:rStyle w:val="VerbatimChar"/>
              </w:rPr>
              <w:t xml:space="preserve">mail</w:t>
            </w:r>
          </w:p>
        </w:tc>
        <w:tc>
          <w:tcPr/>
          <w:p>
            <w:pPr>
              <w:pStyle w:val="Compact"/>
            </w:pPr>
            <w:r>
              <w:t xml:space="preserve">Primary SMTP address</w:t>
            </w:r>
          </w:p>
        </w:tc>
      </w:tr>
      <w:tr>
        <w:tc>
          <w:tcPr/>
          <w:p>
            <w:pPr>
              <w:pStyle w:val="Compact"/>
            </w:pPr>
            <w:r>
              <w:rPr>
                <w:rStyle w:val="VerbatimChar"/>
              </w:rPr>
              <w:t xml:space="preserve">displayName</w:t>
            </w:r>
            <w:r>
              <w:t xml:space="preserve">,</w:t>
            </w:r>
            <w:r>
              <w:t xml:space="preserve"> </w:t>
            </w:r>
            <w:r>
              <w:rPr>
                <w:rStyle w:val="VerbatimChar"/>
              </w:rPr>
              <w:t xml:space="preserve">givenName</w:t>
            </w:r>
            <w:r>
              <w:t xml:space="preserve">,</w:t>
            </w:r>
            <w:r>
              <w:t xml:space="preserve"> </w:t>
            </w:r>
            <w:r>
              <w:rPr>
                <w:rStyle w:val="VerbatimChar"/>
              </w:rPr>
              <w:t xml:space="preserve">sn</w:t>
            </w:r>
          </w:p>
        </w:tc>
        <w:tc>
          <w:tcPr/>
          <w:p>
            <w:pPr>
              <w:pStyle w:val="Compact"/>
            </w:pPr>
            <w:r>
              <w:rPr>
                <w:rStyle w:val="VerbatimChar"/>
              </w:rPr>
              <w:t xml:space="preserve">displayName</w:t>
            </w:r>
            <w:r>
              <w:t xml:space="preserve">,</w:t>
            </w:r>
            <w:r>
              <w:t xml:space="preserve"> </w:t>
            </w:r>
            <w:r>
              <w:rPr>
                <w:rStyle w:val="VerbatimChar"/>
              </w:rPr>
              <w:t xml:space="preserve">givenName</w:t>
            </w:r>
            <w:r>
              <w:t xml:space="preserve">,</w:t>
            </w:r>
            <w:r>
              <w:t xml:space="preserve"> </w:t>
            </w:r>
            <w:r>
              <w:rPr>
                <w:rStyle w:val="VerbatimChar"/>
              </w:rPr>
              <w:t xml:space="preserve">surname</w:t>
            </w:r>
          </w:p>
        </w:tc>
        <w:tc>
          <w:tcPr/>
          <w:p>
            <w:pPr>
              <w:pStyle w:val="Compact"/>
            </w:pPr>
            <w:r>
              <w:t xml:space="preserve">Direct mapping</w:t>
            </w:r>
          </w:p>
        </w:tc>
      </w:tr>
      <w:tr>
        <w:tc>
          <w:tcPr/>
          <w:p>
            <w:pPr>
              <w:pStyle w:val="Compact"/>
            </w:pPr>
            <w:r>
              <w:rPr>
                <w:rStyle w:val="VerbatimChar"/>
              </w:rPr>
              <w:t xml:space="preserve">department</w:t>
            </w:r>
            <w:r>
              <w:t xml:space="preserve">,</w:t>
            </w:r>
            <w:r>
              <w:t xml:space="preserve"> </w:t>
            </w:r>
            <w:r>
              <w:rPr>
                <w:rStyle w:val="VerbatimChar"/>
              </w:rPr>
              <w:t xml:space="preserve">title</w:t>
            </w:r>
          </w:p>
        </w:tc>
        <w:tc>
          <w:tcPr/>
          <w:p>
            <w:pPr>
              <w:pStyle w:val="Compact"/>
            </w:pPr>
            <w:r>
              <w:rPr>
                <w:rStyle w:val="VerbatimChar"/>
              </w:rPr>
              <w:t xml:space="preserve">department</w:t>
            </w:r>
            <w:r>
              <w:t xml:space="preserve">,</w:t>
            </w:r>
            <w:r>
              <w:t xml:space="preserve"> </w:t>
            </w:r>
            <w:r>
              <w:rPr>
                <w:rStyle w:val="VerbatimChar"/>
              </w:rPr>
              <w:t xml:space="preserve">jobTitle</w:t>
            </w:r>
          </w:p>
        </w:tc>
        <w:tc>
          <w:tcPr/>
          <w:p>
            <w:pPr>
              <w:pStyle w:val="Compact"/>
            </w:pPr>
            <w:r>
              <w:t xml:space="preserve">Direct mapping; both usable in dynamic group rules</w:t>
            </w:r>
          </w:p>
        </w:tc>
      </w:tr>
      <w:tr>
        <w:tc>
          <w:tcPr/>
          <w:p>
            <w:pPr>
              <w:pStyle w:val="Compact"/>
            </w:pPr>
            <w:r>
              <w:rPr>
                <w:rStyle w:val="VerbatimChar"/>
              </w:rPr>
              <w:t xml:space="preserve">manager</w:t>
            </w:r>
            <w:r>
              <w:t xml:space="preserve"> </w:t>
            </w:r>
            <w:r>
              <w:t xml:space="preserve">(DN)</w:t>
            </w:r>
          </w:p>
        </w:tc>
        <w:tc>
          <w:tcPr/>
          <w:p>
            <w:pPr>
              <w:pStyle w:val="Compact"/>
            </w:pPr>
            <w:r>
              <w:rPr>
                <w:rStyle w:val="VerbatimChar"/>
              </w:rPr>
              <w:t xml:space="preserve">manager</w:t>
            </w:r>
            <w:r>
              <w:t xml:space="preserve"> </w:t>
            </w:r>
            <w:r>
              <w:t xml:space="preserve">(relationship)</w:t>
            </w:r>
          </w:p>
        </w:tc>
        <w:tc>
          <w:tcPr/>
          <w:p>
            <w:pPr>
              <w:pStyle w:val="Compact"/>
            </w:pPr>
            <w:r>
              <w:t xml:space="preserve">Resolved as a relationship, not an attribute</w:t>
            </w:r>
          </w:p>
        </w:tc>
      </w:tr>
      <w:tr>
        <w:tc>
          <w:tcPr/>
          <w:p>
            <w:pPr>
              <w:pStyle w:val="Compact"/>
            </w:pPr>
            <w:r>
              <w:rPr>
                <w:rStyle w:val="VerbatimChar"/>
              </w:rPr>
              <w:t xml:space="preserve">memberOf</w:t>
            </w:r>
          </w:p>
        </w:tc>
        <w:tc>
          <w:tcPr/>
          <w:p>
            <w:pPr>
              <w:pStyle w:val="Compact"/>
            </w:pPr>
            <w:r>
              <w:rPr>
                <w:rStyle w:val="VerbatimChar"/>
              </w:rPr>
              <w:t xml:space="preserve">memberOf</w:t>
            </w:r>
            <w:r>
              <w:t xml:space="preserve"> </w:t>
            </w:r>
            <w:r>
              <w:t xml:space="preserve">(relationship)</w:t>
            </w:r>
          </w:p>
        </w:tc>
        <w:tc>
          <w:tcPr/>
          <w:p>
            <w:pPr>
              <w:pStyle w:val="Compact"/>
            </w:pPr>
            <w:r>
              <w:t xml:space="preserve">Resolved by the sync engine</w:t>
            </w:r>
          </w:p>
        </w:tc>
      </w:tr>
      <w:tr>
        <w:tc>
          <w:tcPr/>
          <w:p>
            <w:pPr>
              <w:pStyle w:val="Compact"/>
            </w:pPr>
            <w:r>
              <w:rPr>
                <w:rStyle w:val="VerbatimChar"/>
              </w:rPr>
              <w:t xml:space="preserve">extensionAttribute1</w:t>
            </w:r>
            <w:r>
              <w:t xml:space="preserve">–</w:t>
            </w:r>
            <w:r>
              <w:rPr>
                <w:rStyle w:val="VerbatimChar"/>
              </w:rPr>
              <w:t xml:space="preserve">15</w:t>
            </w:r>
          </w:p>
        </w:tc>
        <w:tc>
          <w:tcPr/>
          <w:p>
            <w:pPr>
              <w:pStyle w:val="Compact"/>
            </w:pPr>
            <w:r>
              <w:rPr>
                <w:rStyle w:val="VerbatimChar"/>
              </w:rPr>
              <w:t xml:space="preserve">onPremisesExtensionAttributes</w:t>
            </w:r>
          </w:p>
        </w:tc>
        <w:tc>
          <w:tcPr/>
          <w:p>
            <w:pPr>
              <w:pStyle w:val="Compact"/>
            </w:pPr>
            <w:r>
              <w:t xml:space="preserve">Program-assigned meanings in Appendix C</w:t>
            </w:r>
          </w:p>
        </w:tc>
      </w:tr>
      <w:tr>
        <w:tc>
          <w:tcPr/>
          <w:p>
            <w:pPr>
              <w:pStyle w:val="Compact"/>
            </w:pPr>
            <w:r>
              <w:rPr>
                <w:rStyle w:val="VerbatimChar"/>
              </w:rPr>
              <w:t xml:space="preserve">userAccountControl</w:t>
            </w:r>
          </w:p>
        </w:tc>
        <w:tc>
          <w:tcPr/>
          <w:p>
            <w:pPr>
              <w:pStyle w:val="Compact"/>
            </w:pPr>
            <w:r>
              <w:rPr>
                <w:rStyle w:val="VerbatimChar"/>
              </w:rPr>
              <w:t xml:space="preserve">accountEnabled</w:t>
            </w:r>
          </w:p>
        </w:tc>
        <w:tc>
          <w:tcPr/>
          <w:p>
            <w:pPr>
              <w:pStyle w:val="Compact"/>
            </w:pPr>
            <w:r>
              <w:t xml:space="preserve">The disabled bit becomes a Boolean</w:t>
            </w:r>
          </w:p>
        </w:tc>
      </w:tr>
      <w:tr>
        <w:tc>
          <w:tcPr/>
          <w:p>
            <w:pPr>
              <w:pStyle w:val="Compact"/>
            </w:pPr>
            <w:r>
              <w:rPr>
                <w:rStyle w:val="VerbatimChar"/>
              </w:rPr>
              <w:t xml:space="preserve">pwdLastSet</w:t>
            </w:r>
          </w:p>
        </w:tc>
        <w:tc>
          <w:tcPr/>
          <w:p>
            <w:pPr>
              <w:pStyle w:val="Compact"/>
            </w:pPr>
            <w:r>
              <w:rPr>
                <w:rStyle w:val="VerbatimChar"/>
              </w:rPr>
              <w:t xml:space="preserve">lastPasswordChangeDateTime</w:t>
            </w:r>
          </w:p>
        </w:tc>
        <w:tc>
          <w:tcPr/>
          <w:p>
            <w:pPr>
              <w:pStyle w:val="Compact"/>
            </w:pPr>
            <w:r>
              <w:t xml:space="preserve">Password age</w:t>
            </w:r>
          </w:p>
        </w:tc>
      </w:tr>
      <w:tr>
        <w:tc>
          <w:tcPr/>
          <w:p>
            <w:pPr>
              <w:pStyle w:val="Compact"/>
            </w:pPr>
            <w:r>
              <w:rPr>
                <w:rStyle w:val="VerbatimChar"/>
              </w:rPr>
              <w:t xml:space="preserve">whenCreated</w:t>
            </w:r>
          </w:p>
        </w:tc>
        <w:tc>
          <w:tcPr/>
          <w:p>
            <w:pPr>
              <w:pStyle w:val="Compact"/>
            </w:pPr>
            <w:r>
              <w:rPr>
                <w:rStyle w:val="VerbatimChar"/>
              </w:rPr>
              <w:t xml:space="preserve">createdDateTime</w:t>
            </w:r>
          </w:p>
        </w:tc>
        <w:tc>
          <w:tcPr/>
          <w:p>
            <w:pPr>
              <w:pStyle w:val="Compact"/>
            </w:pPr>
            <w:r>
              <w:t xml:space="preserve">The date the object reached Entra ID, not the AD creation date</w:t>
            </w:r>
          </w:p>
        </w:tc>
      </w:tr>
    </w:tbl>
    <w:bookmarkEnd w:id="793"/>
    <w:bookmarkStart w:id="794" w:name="security-groups"/>
    <w:p>
      <w:pPr>
        <w:pStyle w:val="Heading3"/>
      </w:pPr>
      <w:r>
        <w:t xml:space="preserve">Security groups</w:t>
      </w:r>
    </w:p>
    <w:p>
      <w:pPr>
        <w:pStyle w:val="FirstParagraph"/>
      </w:pPr>
      <w:r>
        <w:t xml:space="preserve">Active Directory security groups are the authorization backbone. AD classifies them by scope (domain local, global, universal) and by type (security, distribution). The AGDLP pattern (accounts into global groups, global groups into domain local groups, domain local groups onto permissions) and its multi-domain variant AGUDLP define the canonical AD group architecture. Entra ID has no group scope, so each scope maps to the same target with a different migration path.</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AD group scope</w:t>
            </w:r>
          </w:p>
        </w:tc>
        <w:tc>
          <w:tcPr/>
          <w:p>
            <w:pPr>
              <w:pStyle w:val="Compact"/>
            </w:pPr>
            <w:r>
              <w:t xml:space="preserve">Nesting capability</w:t>
            </w:r>
          </w:p>
        </w:tc>
        <w:tc>
          <w:tcPr/>
          <w:p>
            <w:pPr>
              <w:pStyle w:val="Compact"/>
            </w:pPr>
            <w:r>
              <w:t xml:space="preserve">Entra ID equivalent</w:t>
            </w:r>
          </w:p>
        </w:tc>
        <w:tc>
          <w:tcPr/>
          <w:p>
            <w:pPr>
              <w:pStyle w:val="Compact"/>
            </w:pPr>
            <w:r>
              <w:t xml:space="preserve">Migration path</w:t>
            </w:r>
          </w:p>
        </w:tc>
      </w:tr>
      <w:tr>
        <w:tc>
          <w:tcPr/>
          <w:p>
            <w:pPr>
              <w:pStyle w:val="Compact"/>
            </w:pPr>
            <w:r>
              <w:t xml:space="preserve">Domain local</w:t>
            </w:r>
          </w:p>
        </w:tc>
        <w:tc>
          <w:tcPr/>
          <w:p>
            <w:pPr>
              <w:pStyle w:val="Compact"/>
            </w:pPr>
            <w:r>
              <w:t xml:space="preserve">Can contain global and universal groups from any domain</w:t>
            </w:r>
          </w:p>
        </w:tc>
        <w:tc>
          <w:tcPr/>
          <w:p>
            <w:pPr>
              <w:pStyle w:val="Compact"/>
            </w:pPr>
            <w:r>
              <w:t xml:space="preserve">Security group (assigned)</w:t>
            </w:r>
          </w:p>
        </w:tc>
        <w:tc>
          <w:tcPr/>
          <w:p>
            <w:pPr>
              <w:pStyle w:val="Compact"/>
            </w:pPr>
            <w:r>
              <w:t xml:space="preserve">Sync or recreate as cloud-only; flatten if nested</w:t>
            </w:r>
          </w:p>
        </w:tc>
      </w:tr>
      <w:tr>
        <w:tc>
          <w:tcPr/>
          <w:p>
            <w:pPr>
              <w:pStyle w:val="Compact"/>
            </w:pPr>
            <w:r>
              <w:t xml:space="preserve">Global</w:t>
            </w:r>
          </w:p>
        </w:tc>
        <w:tc>
          <w:tcPr/>
          <w:p>
            <w:pPr>
              <w:pStyle w:val="Compact"/>
            </w:pPr>
            <w:r>
              <w:t xml:space="preserve">Can contain users and global groups from the same domain only</w:t>
            </w:r>
          </w:p>
        </w:tc>
        <w:tc>
          <w:tcPr/>
          <w:p>
            <w:pPr>
              <w:pStyle w:val="Compact"/>
            </w:pPr>
            <w:r>
              <w:t xml:space="preserve">Security group (assigned or dynamic)</w:t>
            </w:r>
          </w:p>
        </w:tc>
        <w:tc>
          <w:tcPr/>
          <w:p>
            <w:pPr>
              <w:pStyle w:val="Compact"/>
            </w:pPr>
            <w:r>
              <w:t xml:space="preserve">Sync; evaluate for dynamic membership</w:t>
            </w:r>
          </w:p>
        </w:tc>
      </w:tr>
      <w:tr>
        <w:tc>
          <w:tcPr/>
          <w:p>
            <w:pPr>
              <w:pStyle w:val="Compact"/>
            </w:pPr>
            <w:r>
              <w:t xml:space="preserve">Universal</w:t>
            </w:r>
          </w:p>
        </w:tc>
        <w:tc>
          <w:tcPr/>
          <w:p>
            <w:pPr>
              <w:pStyle w:val="Compact"/>
            </w:pPr>
            <w:r>
              <w:t xml:space="preserve">Can contain users and groups from any domain in the forest</w:t>
            </w:r>
          </w:p>
        </w:tc>
        <w:tc>
          <w:tcPr/>
          <w:p>
            <w:pPr>
              <w:pStyle w:val="Compact"/>
            </w:pPr>
            <w:r>
              <w:t xml:space="preserve">Security group (assigned)</w:t>
            </w:r>
          </w:p>
        </w:tc>
        <w:tc>
          <w:tcPr/>
          <w:p>
            <w:pPr>
              <w:pStyle w:val="Compact"/>
            </w:pPr>
            <w:r>
              <w:t xml:space="preserve">Sync; the preferred scope for multi-domain forests</w:t>
            </w:r>
          </w:p>
        </w:tc>
      </w:tr>
    </w:tbl>
    <w:bookmarkEnd w:id="794"/>
    <w:bookmarkStart w:id="795" w:name="distribution-groups"/>
    <w:p>
      <w:pPr>
        <w:pStyle w:val="Heading3"/>
      </w:pPr>
      <w:r>
        <w:t xml:space="preserve">Distribution groups</w:t>
      </w:r>
    </w:p>
    <w:p>
      <w:pPr>
        <w:pStyle w:val="FirstParagraph"/>
      </w:pPr>
      <w:r>
        <w:t xml:space="preserve">Distribution groups route mail. They’re either mail-enabled security groups, which do both jobs, or pure distribution groups. In the cloud they become mail-enabled security groups or distribution groups managed through Exchange Online.</w:t>
      </w:r>
    </w:p>
    <w:p>
      <w:pPr>
        <w:pStyle w:val="Compact"/>
        <w:numPr>
          <w:ilvl w:val="0"/>
          <w:numId w:val="1049"/>
        </w:numPr>
      </w:pPr>
      <w:r>
        <w:t xml:space="preserve">Mail-enabled security groups sync from AD and keep both their security and mail functions in Exchange Online.</w:t>
      </w:r>
    </w:p>
    <w:p>
      <w:pPr>
        <w:pStyle w:val="Compact"/>
        <w:numPr>
          <w:ilvl w:val="0"/>
          <w:numId w:val="1049"/>
        </w:numPr>
      </w:pPr>
      <w:r>
        <w:t xml:space="preserve">On-premises dynamic distribution groups don’t sync. Recreate them in Exchange Online as dynamic distribution groups, which use OPATH filter syntax.</w:t>
      </w:r>
    </w:p>
    <w:p>
      <w:pPr>
        <w:pStyle w:val="Compact"/>
        <w:numPr>
          <w:ilvl w:val="0"/>
          <w:numId w:val="1049"/>
        </w:numPr>
      </w:pPr>
      <w:r>
        <w:t xml:space="preserve">For each distribution group, decide whether it should become a Microsoft 365 group instead, to gain a shared mailbox, calendar, and file storage.</w:t>
      </w:r>
    </w:p>
    <w:bookmarkEnd w:id="795"/>
    <w:bookmarkStart w:id="796" w:name="service-accounts-1"/>
    <w:p>
      <w:pPr>
        <w:pStyle w:val="Heading3"/>
      </w:pPr>
      <w:r>
        <w:t xml:space="preserve">Service accounts</w:t>
      </w:r>
    </w:p>
    <w:p>
      <w:pPr>
        <w:pStyle w:val="FirstParagraph"/>
      </w:pPr>
      <w:r>
        <w:t xml:space="preserve">Service accounts are a critical identity class that is often under-governed. They come in three forms in Active Directory, each with a different path to Entra ID. The detailed migration matrix is in</w:t>
      </w:r>
      <w:r>
        <w:t xml:space="preserve"> </w:t>
      </w:r>
      <w:hyperlink w:anchor="modernizing-service-accounts">
        <w:r>
          <w:rPr>
            <w:rStyle w:val="Hyperlink"/>
          </w:rPr>
          <w:t xml:space="preserve">Modernizing service accounts</w:t>
        </w:r>
      </w:hyperlink>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AD service account type</w:t>
            </w:r>
          </w:p>
        </w:tc>
        <w:tc>
          <w:tcPr/>
          <w:p>
            <w:pPr>
              <w:pStyle w:val="Compact"/>
            </w:pPr>
            <w:r>
              <w:t xml:space="preserve">Characteristics</w:t>
            </w:r>
          </w:p>
        </w:tc>
        <w:tc>
          <w:tcPr/>
          <w:p>
            <w:pPr>
              <w:pStyle w:val="Compact"/>
            </w:pPr>
            <w:r>
              <w:t xml:space="preserve">Entra ID target</w:t>
            </w:r>
          </w:p>
        </w:tc>
        <w:tc>
          <w:tcPr/>
          <w:p>
            <w:pPr>
              <w:pStyle w:val="Compact"/>
            </w:pPr>
            <w:r>
              <w:t xml:space="preserve">Risk profile</w:t>
            </w:r>
          </w:p>
        </w:tc>
      </w:tr>
      <w:tr>
        <w:tc>
          <w:tcPr/>
          <w:p>
            <w:pPr>
              <w:pStyle w:val="Compact"/>
            </w:pPr>
            <w:r>
              <w:t xml:space="preserve">Traditional (user object, often an</w:t>
            </w:r>
            <w:r>
              <w:t xml:space="preserve"> </w:t>
            </w:r>
            <w:r>
              <w:rPr>
                <w:rStyle w:val="VerbatimChar"/>
              </w:rPr>
              <w:t xml:space="preserve">svc-</w:t>
            </w:r>
            <w:r>
              <w:t xml:space="preserve"> </w:t>
            </w:r>
            <w:r>
              <w:t xml:space="preserve">prefix)</w:t>
            </w:r>
          </w:p>
        </w:tc>
        <w:tc>
          <w:tcPr/>
          <w:p>
            <w:pPr>
              <w:pStyle w:val="Compact"/>
            </w:pPr>
            <w:r>
              <w:t xml:space="preserve">Password-based, often</w:t>
            </w:r>
            <w:r>
              <w:t xml:space="preserve"> </w:t>
            </w:r>
            <w:r>
              <w:t xml:space="preserve">“password never expires,”</w:t>
            </w:r>
            <w:r>
              <w:t xml:space="preserve"> </w:t>
            </w:r>
            <w:r>
              <w:t xml:space="preserve">often allowed to log on interactively</w:t>
            </w:r>
          </w:p>
        </w:tc>
        <w:tc>
          <w:tcPr/>
          <w:p>
            <w:pPr>
              <w:pStyle w:val="Compact"/>
            </w:pPr>
            <w:r>
              <w:t xml:space="preserve">Application registration with a certificate or federated credential; managed identity where the workload runs in Azure</w:t>
            </w:r>
          </w:p>
        </w:tc>
        <w:tc>
          <w:tcPr/>
          <w:p>
            <w:pPr>
              <w:pStyle w:val="Compact"/>
            </w:pPr>
            <w:r>
              <w:t xml:space="preserve">High: static credentials, often over-privileged</w:t>
            </w:r>
          </w:p>
        </w:tc>
      </w:tr>
      <w:tr>
        <w:tc>
          <w:tcPr/>
          <w:p>
            <w:pPr>
              <w:pStyle w:val="Compact"/>
            </w:pPr>
            <w:r>
              <w:t xml:space="preserve">Managed service account (MSA)</w:t>
            </w:r>
          </w:p>
        </w:tc>
        <w:tc>
          <w:tcPr/>
          <w:p>
            <w:pPr>
              <w:pStyle w:val="Compact"/>
            </w:pPr>
            <w:r>
              <w:t xml:space="preserve">Automatically managed password, bound to one server</w:t>
            </w:r>
          </w:p>
        </w:tc>
        <w:tc>
          <w:tcPr/>
          <w:p>
            <w:pPr>
              <w:pStyle w:val="Compact"/>
            </w:pPr>
            <w:r>
              <w:t xml:space="preserve">gMSA on-premises; managed identity if the workload moves to Azure</w:t>
            </w:r>
          </w:p>
        </w:tc>
        <w:tc>
          <w:tcPr/>
          <w:p>
            <w:pPr>
              <w:pStyle w:val="Compact"/>
            </w:pPr>
            <w:r>
              <w:t xml:space="preserve">Medium: server-scoped, little governance visibility</w:t>
            </w:r>
          </w:p>
        </w:tc>
      </w:tr>
      <w:tr>
        <w:tc>
          <w:tcPr/>
          <w:p>
            <w:pPr>
              <w:pStyle w:val="Compact"/>
            </w:pPr>
            <w:r>
              <w:t xml:space="preserve">Group managed service account (gMSA)</w:t>
            </w:r>
          </w:p>
        </w:tc>
        <w:tc>
          <w:tcPr/>
          <w:p>
            <w:pPr>
              <w:pStyle w:val="Compact"/>
            </w:pPr>
            <w:r>
              <w:t xml:space="preserve">Automatically managed password, usable by several servers</w:t>
            </w:r>
          </w:p>
        </w:tc>
        <w:tc>
          <w:tcPr/>
          <w:p>
            <w:pPr>
              <w:pStyle w:val="Compact"/>
            </w:pPr>
            <w:r>
              <w:t xml:space="preserve">Retain for on-premises Kerberos workloads; workload identity federation when the workload moves</w:t>
            </w:r>
          </w:p>
        </w:tc>
        <w:tc>
          <w:tcPr/>
          <w:p>
            <w:pPr>
              <w:pStyle w:val="Compact"/>
            </w:pPr>
            <w:r>
              <w:t xml:space="preserve">Medium: better than traditional, still AD-dependent</w:t>
            </w:r>
          </w:p>
        </w:tc>
      </w:tr>
    </w:tbl>
    <w:bookmarkEnd w:id="796"/>
    <w:bookmarkStart w:id="797" w:name="computer-objects-1"/>
    <w:p>
      <w:pPr>
        <w:pStyle w:val="Heading3"/>
      </w:pPr>
      <w:r>
        <w:t xml:space="preserve">Computer objects</w:t>
      </w:r>
    </w:p>
    <w:p>
      <w:pPr>
        <w:pStyle w:val="FirstParagraph"/>
      </w:pPr>
      <w:r>
        <w:t xml:space="preserve">Computer objects represent domain-joined devices. Their path runs from domain joined, to Microsoft Entra hybrid joined, to Microsoft Entra joined. This chapter covers devices only where they meet identity governance, such as device-based Conditional Access and device compliance as an access signal. The device estate and the services it depends on are in Chapter 04.</w:t>
      </w:r>
    </w:p>
    <w:bookmarkEnd w:id="797"/>
    <w:bookmarkStart w:id="799" w:name="organizational-units"/>
    <w:p>
      <w:pPr>
        <w:pStyle w:val="Heading3"/>
      </w:pPr>
      <w:r>
        <w:t xml:space="preserve">Organizational units</w:t>
      </w:r>
    </w:p>
    <w:p>
      <w:pPr>
        <w:pStyle w:val="FirstParagraph"/>
      </w:pPr>
      <w:r>
        <w:t xml:space="preserve">OUs serve three governance functions in Active Directory: Group Policy scoping, administrative delegation, and logical organization. Entra ID has no OU construct; each function moves somewhere different.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AD OU function</w:t>
            </w:r>
          </w:p>
        </w:tc>
        <w:tc>
          <w:tcPr/>
          <w:p>
            <w:pPr>
              <w:pStyle w:val="Compact"/>
            </w:pPr>
            <w:r>
              <w:t xml:space="preserve">Entra ID equivalent</w:t>
            </w:r>
          </w:p>
        </w:tc>
        <w:tc>
          <w:tcPr/>
          <w:p>
            <w:pPr>
              <w:pStyle w:val="Compact"/>
            </w:pPr>
            <w:r>
              <w:t xml:space="preserve">Implementation notes</w:t>
            </w:r>
          </w:p>
        </w:tc>
      </w:tr>
      <w:tr>
        <w:tc>
          <w:tcPr/>
          <w:p>
            <w:pPr>
              <w:pStyle w:val="Compact"/>
            </w:pPr>
            <w:r>
              <w:t xml:space="preserve">Group Policy scoping</w:t>
            </w:r>
          </w:p>
        </w:tc>
        <w:tc>
          <w:tcPr/>
          <w:p>
            <w:pPr>
              <w:pStyle w:val="Compact"/>
            </w:pPr>
            <w:r>
              <w:t xml:space="preserve">Conditional Access policies and Intune configuration profiles</w:t>
            </w:r>
          </w:p>
        </w:tc>
        <w:tc>
          <w:tcPr/>
          <w:p>
            <w:pPr>
              <w:pStyle w:val="Compact"/>
            </w:pPr>
            <w:r>
              <w:t xml:space="preserve">Target by group membership, not container</w:t>
            </w:r>
          </w:p>
        </w:tc>
      </w:tr>
      <w:tr>
        <w:tc>
          <w:tcPr/>
          <w:p>
            <w:pPr>
              <w:pStyle w:val="Compact"/>
            </w:pPr>
            <w:r>
              <w:t xml:space="preserve">Administrative delegation</w:t>
            </w:r>
          </w:p>
        </w:tc>
        <w:tc>
          <w:tcPr/>
          <w:p>
            <w:pPr>
              <w:pStyle w:val="Compact"/>
            </w:pPr>
            <w:r>
              <w:t xml:space="preserve">Administrative units (AUs)</w:t>
            </w:r>
          </w:p>
        </w:tc>
        <w:tc>
          <w:tcPr/>
          <w:p>
            <w:pPr>
              <w:pStyle w:val="Compact"/>
            </w:pPr>
            <w:r>
              <w:t xml:space="preserve">Creating AUs is free; each AU-scoped administrator needs Entra ID P1. Dynamic AU membership needs P1 for each member.</w:t>
            </w:r>
            <w:r>
              <w:rPr>
                <w:rStyle w:val="FootnoteReference"/>
              </w:rPr>
              <w:footnoteReference w:id="798"/>
            </w:r>
          </w:p>
        </w:tc>
      </w:tr>
      <w:tr>
        <w:tc>
          <w:tcPr/>
          <w:p>
            <w:pPr>
              <w:pStyle w:val="Compact"/>
            </w:pPr>
            <w:r>
              <w:t xml:space="preserve">Logical organization</w:t>
            </w:r>
          </w:p>
        </w:tc>
        <w:tc>
          <w:tcPr/>
          <w:p>
            <w:pPr>
              <w:pStyle w:val="Compact"/>
            </w:pPr>
            <w:r>
              <w:t xml:space="preserve">Dynamic groups and attributes</w:t>
            </w:r>
          </w:p>
        </w:tc>
        <w:tc>
          <w:tcPr/>
          <w:p>
            <w:pPr>
              <w:pStyle w:val="Compact"/>
            </w:pPr>
            <w:r>
              <w:t xml:space="preserve">Attribute-driven grouping replaces the container hierarchy</w:t>
            </w:r>
          </w:p>
        </w:tc>
      </w:tr>
    </w:tbl>
    <w:p>
      <w:pPr>
        <w:pStyle w:val="BodyText"/>
      </w:pPr>
      <w:r>
        <w:t xml:space="preserve">Chapter 05 works through the delegation design in detail.</w:t>
      </w:r>
    </w:p>
    <w:bookmarkEnd w:id="799"/>
    <w:bookmarkEnd w:id="800"/>
    <w:bookmarkStart w:id="801" w:name="Xb957b4484d44a19ba2d6f1252c5527fdc729431"/>
    <w:p>
      <w:pPr>
        <w:pStyle w:val="Heading2"/>
      </w:pPr>
      <w:bookmarkStart w:id="1461" w:name="_Toc00001461"/>
      <w:r>
        <w:t xml:space="preserve">Design principle: placement versus attributes</w:t>
      </w:r>
      <w:bookmarkEnd w:id="1461"/>
    </w:p>
    <w:p>
      <w:pPr>
        <w:pStyle w:val="FirstParagraph"/>
      </w:pPr>
      <w:r>
        <w:t xml:space="preserve">Entra ID inverts the Active Directory governance model. In AD,</w:t>
      </w:r>
      <w:r>
        <w:t xml:space="preserve"> </w:t>
      </w:r>
      <w:r>
        <w:rPr>
          <w:i/>
          <w:iCs/>
        </w:rPr>
        <w:t xml:space="preserve">placement</w:t>
      </w:r>
      <w:r>
        <w:t xml:space="preserve"> </w:t>
      </w:r>
      <w:r>
        <w:t xml:space="preserve">determines policy: an object’s OU decides which Group Policy Objects apply. In Entra ID,</w:t>
      </w:r>
      <w:r>
        <w:t xml:space="preserve"> </w:t>
      </w:r>
      <w:r>
        <w:rPr>
          <w:i/>
          <w:iCs/>
        </w:rPr>
        <w:t xml:space="preserve">attributes</w:t>
      </w:r>
      <w:r>
        <w:t xml:space="preserve"> </w:t>
      </w:r>
      <w:r>
        <w:t xml:space="preserve">determine policy: an object’s properties decide its group memberships, and memberships decide which policies apply. This inversion is the most important architectural idea in the migration, and it’s why attribute quality (Chapter 08) gates everything that follows.</w:t>
      </w:r>
    </w:p>
    <w:bookmarkEnd w:id="801"/>
    <w:bookmarkStart w:id="807" w:name="adminsdholder-and-protected-groups"/>
    <w:p>
      <w:pPr>
        <w:pStyle w:val="Heading3"/>
      </w:pPr>
      <w:r>
        <w:t xml:space="preserve">AdminSDHolder and protected groups</w:t>
      </w:r>
    </w:p>
    <w:p>
      <w:pPr>
        <w:pStyle w:val="FirstParagraph"/>
      </w:pPr>
      <w:r>
        <w:t xml:space="preserve">Active Directory protects members of its most privileged groups with the AdminSDHolder object. Every 60 minutes by default, the Security Descriptor Propagator (SDProp) process on the PDC emulator compares the permissions on each protected account and group with the permissions on the domain’s AdminSDHolder object, and resets any that differ.</w:t>
      </w:r>
      <w:r>
        <w:rPr>
          <w:rStyle w:val="FootnoteReference"/>
        </w:rPr>
        <w:footnoteReference w:id="802"/>
      </w:r>
      <w:r>
        <w:t xml:space="preserve"> </w:t>
      </w:r>
      <w:r>
        <w:t xml:space="preserve">On current Windows Server versions the protected accounts and groups are:</w:t>
      </w:r>
      <w:r>
        <w:rPr>
          <w:rStyle w:val="FootnoteReference"/>
        </w:rPr>
        <w:footnoteReference w:id="803"/>
      </w:r>
    </w:p>
    <w:p>
      <w:pPr>
        <w:pStyle w:val="Compact"/>
        <w:numPr>
          <w:ilvl w:val="0"/>
          <w:numId w:val="1050"/>
        </w:numPr>
      </w:pPr>
      <w:r>
        <w:t xml:space="preserve">Account Operators</w:t>
      </w:r>
    </w:p>
    <w:p>
      <w:pPr>
        <w:pStyle w:val="Compact"/>
        <w:numPr>
          <w:ilvl w:val="0"/>
          <w:numId w:val="1050"/>
        </w:numPr>
      </w:pPr>
      <w:r>
        <w:t xml:space="preserve">Administrator (the built-in account)</w:t>
      </w:r>
    </w:p>
    <w:p>
      <w:pPr>
        <w:pStyle w:val="Compact"/>
        <w:numPr>
          <w:ilvl w:val="0"/>
          <w:numId w:val="1050"/>
        </w:numPr>
      </w:pPr>
      <w:r>
        <w:t xml:space="preserve">Administrators</w:t>
      </w:r>
    </w:p>
    <w:p>
      <w:pPr>
        <w:pStyle w:val="Compact"/>
        <w:numPr>
          <w:ilvl w:val="0"/>
          <w:numId w:val="1050"/>
        </w:numPr>
      </w:pPr>
      <w:r>
        <w:t xml:space="preserve">Backup Operators</w:t>
      </w:r>
    </w:p>
    <w:p>
      <w:pPr>
        <w:pStyle w:val="Compact"/>
        <w:numPr>
          <w:ilvl w:val="0"/>
          <w:numId w:val="1050"/>
        </w:numPr>
      </w:pPr>
      <w:r>
        <w:t xml:space="preserve">Domain Admins</w:t>
      </w:r>
    </w:p>
    <w:p>
      <w:pPr>
        <w:pStyle w:val="Compact"/>
        <w:numPr>
          <w:ilvl w:val="0"/>
          <w:numId w:val="1050"/>
        </w:numPr>
      </w:pPr>
      <w:r>
        <w:t xml:space="preserve">Domain Controllers</w:t>
      </w:r>
    </w:p>
    <w:p>
      <w:pPr>
        <w:pStyle w:val="Compact"/>
        <w:numPr>
          <w:ilvl w:val="0"/>
          <w:numId w:val="1050"/>
        </w:numPr>
      </w:pPr>
      <w:r>
        <w:t xml:space="preserve">Enterprise Admins</w:t>
      </w:r>
    </w:p>
    <w:p>
      <w:pPr>
        <w:pStyle w:val="Compact"/>
        <w:numPr>
          <w:ilvl w:val="0"/>
          <w:numId w:val="1050"/>
        </w:numPr>
      </w:pPr>
      <w:r>
        <w:t xml:space="preserve">Enterprise Key Admins</w:t>
      </w:r>
    </w:p>
    <w:p>
      <w:pPr>
        <w:pStyle w:val="Compact"/>
        <w:numPr>
          <w:ilvl w:val="0"/>
          <w:numId w:val="1050"/>
        </w:numPr>
      </w:pPr>
      <w:r>
        <w:t xml:space="preserve">Key Admins</w:t>
      </w:r>
    </w:p>
    <w:p>
      <w:pPr>
        <w:pStyle w:val="Compact"/>
        <w:numPr>
          <w:ilvl w:val="0"/>
          <w:numId w:val="1050"/>
        </w:numPr>
      </w:pPr>
      <w:r>
        <w:t xml:space="preserve">krbtgt</w:t>
      </w:r>
    </w:p>
    <w:p>
      <w:pPr>
        <w:pStyle w:val="Compact"/>
        <w:numPr>
          <w:ilvl w:val="0"/>
          <w:numId w:val="1050"/>
        </w:numPr>
      </w:pPr>
      <w:r>
        <w:t xml:space="preserve">Print Operators</w:t>
      </w:r>
    </w:p>
    <w:p>
      <w:pPr>
        <w:pStyle w:val="Compact"/>
        <w:numPr>
          <w:ilvl w:val="0"/>
          <w:numId w:val="1050"/>
        </w:numPr>
      </w:pPr>
      <w:r>
        <w:t xml:space="preserve">Read-only Domain Controllers</w:t>
      </w:r>
    </w:p>
    <w:p>
      <w:pPr>
        <w:pStyle w:val="Compact"/>
        <w:numPr>
          <w:ilvl w:val="0"/>
          <w:numId w:val="1050"/>
        </w:numPr>
      </w:pPr>
      <w:r>
        <w:t xml:space="preserve">Replicator</w:t>
      </w:r>
    </w:p>
    <w:p>
      <w:pPr>
        <w:pStyle w:val="Compact"/>
        <w:numPr>
          <w:ilvl w:val="0"/>
          <w:numId w:val="1050"/>
        </w:numPr>
      </w:pPr>
      <w:r>
        <w:t xml:space="preserve">Schema Admins</w:t>
      </w:r>
    </w:p>
    <w:p>
      <w:pPr>
        <w:pStyle w:val="Compact"/>
        <w:numPr>
          <w:ilvl w:val="0"/>
          <w:numId w:val="1050"/>
        </w:numPr>
      </w:pPr>
      <w:r>
        <w:t xml:space="preserve">Server Operators</w:t>
      </w:r>
    </w:p>
    <w:p>
      <w:pPr>
        <w:pStyle w:val="FirstParagraph"/>
      </w:pPr>
      <w:r>
        <w:t xml:space="preserve">Cert Publishers was protected only in Windows 2000 SP4 through Windows Server 2003 and isn’t on the current list.</w:t>
      </w:r>
      <w:r>
        <w:rPr>
          <w:rStyle w:val="FootnoteReference"/>
        </w:rPr>
        <w:footnoteReference w:id="804"/>
      </w:r>
      <w:r>
        <w:t xml:space="preserve"> </w:t>
      </w:r>
      <w:r>
        <w:t xml:space="preserve">Any account with direct or transitive membership in a protected group gets</w:t>
      </w:r>
      <w:r>
        <w:t xml:space="preserve"> </w:t>
      </w:r>
      <w:r>
        <w:rPr>
          <w:rStyle w:val="VerbatimChar"/>
        </w:rPr>
        <w:t xml:space="preserve">adminCount</w:t>
      </w:r>
      <w:r>
        <w:t xml:space="preserve"> </w:t>
      </w:r>
      <w:r>
        <w:t xml:space="preserve">set to 1, and the flag stays set after the account leaves the group, so</w:t>
      </w:r>
      <w:r>
        <w:t xml:space="preserve"> </w:t>
      </w:r>
      <w:r>
        <w:rPr>
          <w:rStyle w:val="VerbatimChar"/>
        </w:rPr>
        <w:t xml:space="preserve">adminCount</w:t>
      </w:r>
      <w:r>
        <w:t xml:space="preserve"> </w:t>
      </w:r>
      <w:r>
        <w:t xml:space="preserve">overstates current privilege. Treat it as a lead to investigate, not a finding.</w:t>
      </w:r>
    </w:p>
    <w:p>
      <w:pPr>
        <w:pStyle w:val="BodyText"/>
      </w:pPr>
      <w:r>
        <w:t xml:space="preserve">Entra ID has no AdminSDHolder. The nearest controls are Privileged Identity Management, which makes role assignments eligible and time-bound instead of standing, and protected actions, which require a Conditional Access authentication context before specific high-impact permissions can be used.</w:t>
      </w:r>
      <w:r>
        <w:rPr>
          <w:rStyle w:val="FootnoteReference"/>
        </w:rPr>
        <w:footnoteReference w:id="805"/>
      </w:r>
      <w:r>
        <w:t xml:space="preserve"> </w:t>
      </w:r>
      <w:r>
        <w:t xml:space="preserve">Neither copies AdminSDHolder’s behavior; together they serve its purpose, which is keeping privileged access from drifting quietly. The mapping from AD privileged groups to Entra roles is in</w:t>
      </w:r>
      <w:r>
        <w:t xml:space="preserve"> </w:t>
      </w:r>
      <w:hyperlink w:anchor="privileged-access">
        <w:r>
          <w:rPr>
            <w:rStyle w:val="Hyperlink"/>
          </w:rPr>
          <w:t xml:space="preserve">Privileged access</w:t>
        </w:r>
      </w:hyperlink>
      <w:r>
        <w:t xml:space="preserve">.</w:t>
      </w:r>
    </w:p>
    <w:bookmarkEnd w:id="807"/>
    <w:bookmarkStart w:id="823" w:name="the-entra-id-identity-architecture"/>
    <w:p>
      <w:pPr>
        <w:pStyle w:val="Heading2"/>
      </w:pPr>
      <w:bookmarkStart w:id="1462" w:name="_Toc00001462"/>
      <w:r>
        <w:t xml:space="preserve">The Entra ID identity architecture</w:t>
      </w:r>
      <w:bookmarkEnd w:id="1462"/>
    </w:p>
    <w:bookmarkStart w:id="810" w:name="the-object-model"/>
    <w:p>
      <w:pPr>
        <w:pStyle w:val="Heading3"/>
      </w:pPr>
      <w:r>
        <w:t xml:space="preserve">The object model</w:t>
      </w:r>
    </w:p>
    <w:p>
      <w:pPr>
        <w:pStyle w:val="FirstParagraph"/>
      </w:pPr>
      <w:r>
        <w:t xml:space="preserve">Entra ID is a flat, attribute-driven directory, where Active Directory is hierarchical and container-based. These object types make up the target architecture.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Object type</w:t>
            </w:r>
          </w:p>
        </w:tc>
        <w:tc>
          <w:tcPr/>
          <w:p>
            <w:pPr>
              <w:pStyle w:val="Compact"/>
            </w:pPr>
            <w:r>
              <w:t xml:space="preserve">Description</w:t>
            </w:r>
          </w:p>
        </w:tc>
        <w:tc>
          <w:tcPr/>
          <w:p>
            <w:pPr>
              <w:pStyle w:val="Compact"/>
            </w:pPr>
            <w:r>
              <w:t xml:space="preserve">AD equivalent</w:t>
            </w:r>
          </w:p>
        </w:tc>
        <w:tc>
          <w:tcPr/>
          <w:p>
            <w:pPr>
              <w:pStyle w:val="Compact"/>
            </w:pPr>
            <w:r>
              <w:t xml:space="preserve">Source of authority</w:t>
            </w:r>
          </w:p>
        </w:tc>
      </w:tr>
      <w:tr>
        <w:tc>
          <w:tcPr/>
          <w:p>
            <w:pPr>
              <w:pStyle w:val="Compact"/>
            </w:pPr>
            <w:r>
              <w:t xml:space="preserve">User</w:t>
            </w:r>
          </w:p>
        </w:tc>
        <w:tc>
          <w:tcPr/>
          <w:p>
            <w:pPr>
              <w:pStyle w:val="Compact"/>
            </w:pPr>
            <w:r>
              <w:t xml:space="preserve">Human identity with credentials and profile attributes</w:t>
            </w:r>
          </w:p>
        </w:tc>
        <w:tc>
          <w:tcPr/>
          <w:p>
            <w:pPr>
              <w:pStyle w:val="Compact"/>
            </w:pPr>
            <w:r>
              <w:t xml:space="preserve">User object</w:t>
            </w:r>
          </w:p>
        </w:tc>
        <w:tc>
          <w:tcPr/>
          <w:p>
            <w:pPr>
              <w:pStyle w:val="Compact"/>
            </w:pPr>
            <w:r>
              <w:t xml:space="preserve">Synced from AD, or cloud-only</w:t>
            </w:r>
          </w:p>
        </w:tc>
      </w:tr>
      <w:tr>
        <w:tc>
          <w:tcPr/>
          <w:p>
            <w:pPr>
              <w:pStyle w:val="Compact"/>
            </w:pPr>
            <w:r>
              <w:t xml:space="preserve">Security group</w:t>
            </w:r>
          </w:p>
        </w:tc>
        <w:tc>
          <w:tcPr/>
          <w:p>
            <w:pPr>
              <w:pStyle w:val="Compact"/>
            </w:pPr>
            <w:r>
              <w:t xml:space="preserve">Authorization group; assigned or dynamic membership</w:t>
            </w:r>
          </w:p>
        </w:tc>
        <w:tc>
          <w:tcPr/>
          <w:p>
            <w:pPr>
              <w:pStyle w:val="Compact"/>
            </w:pPr>
            <w:r>
              <w:t xml:space="preserve">Security group (all scopes)</w:t>
            </w:r>
          </w:p>
        </w:tc>
        <w:tc>
          <w:tcPr/>
          <w:p>
            <w:pPr>
              <w:pStyle w:val="Compact"/>
            </w:pPr>
            <w:r>
              <w:t xml:space="preserve">Synced or cloud-only</w:t>
            </w:r>
          </w:p>
        </w:tc>
      </w:tr>
      <w:tr>
        <w:tc>
          <w:tcPr/>
          <w:p>
            <w:pPr>
              <w:pStyle w:val="Compact"/>
            </w:pPr>
            <w:r>
              <w:t xml:space="preserve">Microsoft 365 group</w:t>
            </w:r>
          </w:p>
        </w:tc>
        <w:tc>
          <w:tcPr/>
          <w:p>
            <w:pPr>
              <w:pStyle w:val="Compact"/>
            </w:pPr>
            <w:r>
              <w:t xml:space="preserve">Collaboration group with mailbox, calendar, files, Planner, and Teams</w:t>
            </w:r>
          </w:p>
        </w:tc>
        <w:tc>
          <w:tcPr/>
          <w:p>
            <w:pPr>
              <w:pStyle w:val="Compact"/>
            </w:pPr>
            <w:r>
              <w:t xml:space="preserve">None</w:t>
            </w:r>
          </w:p>
        </w:tc>
        <w:tc>
          <w:tcPr/>
          <w:p>
            <w:pPr>
              <w:pStyle w:val="Compact"/>
            </w:pPr>
            <w:r>
              <w:t xml:space="preserve">Cloud-only</w:t>
            </w:r>
          </w:p>
        </w:tc>
      </w:tr>
      <w:tr>
        <w:tc>
          <w:tcPr/>
          <w:p>
            <w:pPr>
              <w:pStyle w:val="Compact"/>
            </w:pPr>
            <w:r>
              <w:t xml:space="preserve">Mail-enabled security group</w:t>
            </w:r>
          </w:p>
        </w:tc>
        <w:tc>
          <w:tcPr/>
          <w:p>
            <w:pPr>
              <w:pStyle w:val="Compact"/>
            </w:pPr>
            <w:r>
              <w:t xml:space="preserve">Security group with an Exchange Online address</w:t>
            </w:r>
          </w:p>
        </w:tc>
        <w:tc>
          <w:tcPr/>
          <w:p>
            <w:pPr>
              <w:pStyle w:val="Compact"/>
            </w:pPr>
            <w:r>
              <w:t xml:space="preserve">Mail-enabled security group</w:t>
            </w:r>
          </w:p>
        </w:tc>
        <w:tc>
          <w:tcPr/>
          <w:p>
            <w:pPr>
              <w:pStyle w:val="Compact"/>
            </w:pPr>
            <w:r>
              <w:t xml:space="preserve">Synced or cloud-only</w:t>
            </w:r>
          </w:p>
        </w:tc>
      </w:tr>
      <w:tr>
        <w:tc>
          <w:tcPr/>
          <w:p>
            <w:pPr>
              <w:pStyle w:val="Compact"/>
            </w:pPr>
            <w:r>
              <w:t xml:space="preserve">Distribution group</w:t>
            </w:r>
          </w:p>
        </w:tc>
        <w:tc>
          <w:tcPr/>
          <w:p>
            <w:pPr>
              <w:pStyle w:val="Compact"/>
            </w:pPr>
            <w:r>
              <w:t xml:space="preserve">Mail routing without a security function</w:t>
            </w:r>
          </w:p>
        </w:tc>
        <w:tc>
          <w:tcPr/>
          <w:p>
            <w:pPr>
              <w:pStyle w:val="Compact"/>
            </w:pPr>
            <w:r>
              <w:t xml:space="preserve">Distribution group</w:t>
            </w:r>
          </w:p>
        </w:tc>
        <w:tc>
          <w:tcPr/>
          <w:p>
            <w:pPr>
              <w:pStyle w:val="Compact"/>
            </w:pPr>
            <w:r>
              <w:t xml:space="preserve">Synced or cloud-only</w:t>
            </w:r>
          </w:p>
        </w:tc>
      </w:tr>
      <w:tr>
        <w:tc>
          <w:tcPr/>
          <w:p>
            <w:pPr>
              <w:pStyle w:val="Compact"/>
            </w:pPr>
            <w:r>
              <w:t xml:space="preserve">Administrative unit</w:t>
            </w:r>
          </w:p>
        </w:tc>
        <w:tc>
          <w:tcPr/>
          <w:p>
            <w:pPr>
              <w:pStyle w:val="Compact"/>
            </w:pPr>
            <w:r>
              <w:t xml:space="preserve">Scope for delegated administration</w:t>
            </w:r>
          </w:p>
        </w:tc>
        <w:tc>
          <w:tcPr/>
          <w:p>
            <w:pPr>
              <w:pStyle w:val="Compact"/>
            </w:pPr>
            <w:r>
              <w:t xml:space="preserve">Organizational unit (delegation function)</w:t>
            </w:r>
          </w:p>
        </w:tc>
        <w:tc>
          <w:tcPr/>
          <w:p>
            <w:pPr>
              <w:pStyle w:val="Compact"/>
            </w:pPr>
            <w:r>
              <w:t xml:space="preserve">Cloud-only</w:t>
            </w:r>
          </w:p>
        </w:tc>
      </w:tr>
      <w:tr>
        <w:tc>
          <w:tcPr/>
          <w:p>
            <w:pPr>
              <w:pStyle w:val="Compact"/>
            </w:pPr>
            <w:r>
              <w:t xml:space="preserve">Application registration</w:t>
            </w:r>
          </w:p>
        </w:tc>
        <w:tc>
          <w:tcPr/>
          <w:p>
            <w:pPr>
              <w:pStyle w:val="Compact"/>
            </w:pPr>
            <w:r>
              <w:t xml:space="preserve">Application definition: credentials, permissions, redirect URIs</w:t>
            </w:r>
          </w:p>
        </w:tc>
        <w:tc>
          <w:tcPr/>
          <w:p>
            <w:pPr>
              <w:pStyle w:val="Compact"/>
            </w:pPr>
            <w:r>
              <w:t xml:space="preserve">None</w:t>
            </w:r>
          </w:p>
        </w:tc>
        <w:tc>
          <w:tcPr/>
          <w:p>
            <w:pPr>
              <w:pStyle w:val="Compact"/>
            </w:pPr>
            <w:r>
              <w:t xml:space="preserve">Cloud-only</w:t>
            </w:r>
          </w:p>
        </w:tc>
      </w:tr>
      <w:tr>
        <w:tc>
          <w:tcPr/>
          <w:p>
            <w:pPr>
              <w:pStyle w:val="Compact"/>
            </w:pPr>
            <w:r>
              <w:t xml:space="preserve">Service principal</w:t>
            </w:r>
          </w:p>
        </w:tc>
        <w:tc>
          <w:tcPr/>
          <w:p>
            <w:pPr>
              <w:pStyle w:val="Compact"/>
            </w:pPr>
            <w:r>
              <w:t xml:space="preserve">The application’s instance and identity in a tenant</w:t>
            </w:r>
          </w:p>
        </w:tc>
        <w:tc>
          <w:tcPr/>
          <w:p>
            <w:pPr>
              <w:pStyle w:val="Compact"/>
            </w:pPr>
            <w:r>
              <w:t xml:space="preserve">Service account (functional)</w:t>
            </w:r>
          </w:p>
        </w:tc>
        <w:tc>
          <w:tcPr/>
          <w:p>
            <w:pPr>
              <w:pStyle w:val="Compact"/>
            </w:pPr>
            <w:r>
              <w:t xml:space="preserve">Created from an application registration or a gallery app</w:t>
            </w:r>
          </w:p>
        </w:tc>
      </w:tr>
      <w:tr>
        <w:tc>
          <w:tcPr/>
          <w:p>
            <w:pPr>
              <w:pStyle w:val="Compact"/>
            </w:pPr>
            <w:r>
              <w:t xml:space="preserve">Managed identity</w:t>
            </w:r>
          </w:p>
        </w:tc>
        <w:tc>
          <w:tcPr/>
          <w:p>
            <w:pPr>
              <w:pStyle w:val="Compact"/>
            </w:pPr>
            <w:r>
              <w:t xml:space="preserve">Identity for an Azure resource; Azure manages its credentials</w:t>
            </w:r>
          </w:p>
        </w:tc>
        <w:tc>
          <w:tcPr/>
          <w:p>
            <w:pPr>
              <w:pStyle w:val="Compact"/>
            </w:pPr>
            <w:r>
              <w:t xml:space="preserve">gMSA (functional)</w:t>
            </w:r>
          </w:p>
        </w:tc>
        <w:tc>
          <w:tcPr/>
          <w:p>
            <w:pPr>
              <w:pStyle w:val="Compact"/>
            </w:pPr>
            <w:r>
              <w:t xml:space="preserve">Created with an Azure resource, or as a standalone Azure resource</w:t>
            </w:r>
          </w:p>
        </w:tc>
      </w:tr>
    </w:tbl>
    <w:p>
      <w:pPr>
        <w:pStyle w:val="BodyText"/>
      </w:pPr>
      <w:r>
        <w:t xml:space="preserve">Managed identities come in two types. A system-assigned identity is created with an Azure resource, shares that resource’s lifecycle, and can’t be shared. A user-assigned identity is a standalone Azure resource that can be assigned to several resources and must be deleted explicitly; Microsoft recommends user-assigned identities for most scenarios.</w:t>
      </w:r>
      <w:r>
        <w:rPr>
          <w:rStyle w:val="FootnoteReference"/>
        </w:rPr>
        <w:footnoteReference w:id="808"/>
      </w:r>
      <w:r>
        <w:t xml:space="preserve"> </w:t>
      </w:r>
      <w:r>
        <w:t xml:space="preserve">Either way, a managed identity is a special type of service principal, and it exists only for workloads that run on Azure resources.</w:t>
      </w:r>
    </w:p>
    <w:bookmarkEnd w:id="810"/>
    <w:bookmarkStart w:id="812" w:name="tenant-boundary-and-forest-boundary"/>
    <w:p>
      <w:pPr>
        <w:pStyle w:val="Heading3"/>
      </w:pPr>
      <w:r>
        <w:t xml:space="preserve">Tenant boundary and forest boundary</w:t>
      </w:r>
    </w:p>
    <w:p>
      <w:pPr>
        <w:pStyle w:val="FirstParagraph"/>
      </w:pPr>
      <w:r>
        <w:t xml:space="preserve">The tenant is the security and administrative boundary. It’s analogous to an AD forest, not a domain.</w:t>
      </w:r>
    </w:p>
    <w:p>
      <w:pPr>
        <w:pStyle w:val="Compact"/>
        <w:numPr>
          <w:ilvl w:val="0"/>
          <w:numId w:val="1051"/>
        </w:numPr>
      </w:pPr>
      <w:r>
        <w:t xml:space="preserve">One tenant is one trust boundary. There are no domain trusts inside it.</w:t>
      </w:r>
    </w:p>
    <w:p>
      <w:pPr>
        <w:pStyle w:val="Compact"/>
        <w:numPr>
          <w:ilvl w:val="0"/>
          <w:numId w:val="1051"/>
        </w:numPr>
      </w:pPr>
      <w:r>
        <w:t xml:space="preserve">Cross-tenant access is governed by B2B collaboration, B2B direct connect, and cross-tenant access settings, which take the place of forest trusts (Chapter 10).</w:t>
      </w:r>
    </w:p>
    <w:p>
      <w:pPr>
        <w:pStyle w:val="Compact"/>
        <w:numPr>
          <w:ilvl w:val="0"/>
          <w:numId w:val="1051"/>
        </w:numPr>
      </w:pPr>
      <w:r>
        <w:t xml:space="preserve">A tenant has no domain hierarchy. Verified domains are routing suffixes for sign-in names and mail, not security boundaries.</w:t>
      </w:r>
    </w:p>
    <w:p>
      <w:pPr>
        <w:pStyle w:val="Compact"/>
        <w:numPr>
          <w:ilvl w:val="0"/>
          <w:numId w:val="1051"/>
        </w:numPr>
      </w:pPr>
      <w:r>
        <w:t xml:space="preserve">Several forests can sync into one tenant. Microsoft Entra Connect Sync handles connected forests from one server; Microsoft Entra Cloud Sync also handles disconnected forests, with agents in each.</w:t>
      </w:r>
      <w:r>
        <w:rPr>
          <w:rStyle w:val="FootnoteReference"/>
        </w:rPr>
        <w:footnoteReference w:id="811"/>
      </w:r>
    </w:p>
    <w:bookmarkEnd w:id="812"/>
    <w:bookmarkStart w:id="822" w:name="licensing-for-governance-features"/>
    <w:p>
      <w:pPr>
        <w:pStyle w:val="Heading3"/>
      </w:pPr>
      <w:r>
        <w:t xml:space="preserve">Licensing for governance features</w:t>
      </w:r>
    </w:p>
    <w:p>
      <w:pPr>
        <w:pStyle w:val="FirstParagraph"/>
      </w:pPr>
      <w:r>
        <w:t xml:space="preserve">Governance features are gated by license tier, and the tiers changed when Microsoft moved most governance capability into Microsoft Entra ID Governance. As of October 2026, access reviews and entitlement management require Entra ID Governance for the member users involved, with only some capabilities still operating under P2.</w:t>
      </w:r>
      <w:r>
        <w:rPr>
          <w:rStyle w:val="FootnoteReference"/>
        </w:rPr>
        <w:footnoteReference w:id="813"/>
      </w:r>
      <w:r>
        <w:t xml:space="preserve"> </w:t>
      </w:r>
      <w:r>
        <w:t xml:space="preserve">Plan on Governance licensing for every user who requests access packages, reviews access, or is reviewed.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Feature</w:t>
            </w:r>
          </w:p>
        </w:tc>
        <w:tc>
          <w:tcPr/>
          <w:p>
            <w:pPr>
              <w:pStyle w:val="Compact"/>
            </w:pPr>
            <w:r>
              <w:t xml:space="preserve">Free</w:t>
            </w:r>
          </w:p>
        </w:tc>
        <w:tc>
          <w:tcPr/>
          <w:p>
            <w:pPr>
              <w:pStyle w:val="Compact"/>
            </w:pPr>
            <w:r>
              <w:t xml:space="preserve">P1</w:t>
            </w:r>
          </w:p>
        </w:tc>
        <w:tc>
          <w:tcPr/>
          <w:p>
            <w:pPr>
              <w:pStyle w:val="Compact"/>
            </w:pPr>
            <w:r>
              <w:t xml:space="preserve">P2</w:t>
            </w:r>
          </w:p>
        </w:tc>
        <w:tc>
          <w:tcPr/>
          <w:p>
            <w:pPr>
              <w:pStyle w:val="Compact"/>
            </w:pPr>
            <w:r>
              <w:t xml:space="preserve">Entra ID Governance</w:t>
            </w:r>
          </w:p>
        </w:tc>
      </w:tr>
      <w:tr>
        <w:tc>
          <w:tcPr/>
          <w:p>
            <w:pPr>
              <w:pStyle w:val="Compact"/>
            </w:pPr>
            <w:r>
              <w:t xml:space="preserve">User and group management</w:t>
            </w:r>
          </w:p>
        </w:tc>
        <w:tc>
          <w:tcPr/>
          <w:p>
            <w:pPr>
              <w:pStyle w:val="Compact"/>
            </w:pPr>
            <w:r>
              <w:t xml:space="preserve">Yes</w:t>
            </w:r>
          </w:p>
        </w:tc>
        <w:tc>
          <w:tcPr/>
          <w:p>
            <w:pPr>
              <w:pStyle w:val="Compact"/>
            </w:pPr>
            <w:r>
              <w:t xml:space="preserve">Yes</w:t>
            </w:r>
          </w:p>
        </w:tc>
        <w:tc>
          <w:tcPr/>
          <w:p>
            <w:pPr>
              <w:pStyle w:val="Compact"/>
            </w:pPr>
            <w:r>
              <w:t xml:space="preserve">Yes</w:t>
            </w:r>
          </w:p>
        </w:tc>
        <w:tc>
          <w:tcPr/>
          <w:p>
            <w:pPr>
              <w:pStyle w:val="Compact"/>
            </w:pPr>
            <w:r>
              <w:t xml:space="preserve">Yes</w:t>
            </w:r>
          </w:p>
        </w:tc>
      </w:tr>
      <w:tr>
        <w:tc>
          <w:tcPr/>
          <w:p>
            <w:pPr>
              <w:pStyle w:val="Compact"/>
            </w:pPr>
            <w:r>
              <w:t xml:space="preserve">Conditional Access</w:t>
            </w:r>
          </w:p>
        </w:tc>
        <w:tc>
          <w:tcPr/>
          <w:p>
            <w:pPr>
              <w:pStyle w:val="Compact"/>
            </w:pPr>
          </w:p>
        </w:tc>
        <w:tc>
          <w:tcPr/>
          <w:p>
            <w:pPr>
              <w:pStyle w:val="Compact"/>
            </w:pPr>
            <w:r>
              <w:t xml:space="preserve">Yes</w:t>
            </w:r>
          </w:p>
        </w:tc>
        <w:tc>
          <w:tcPr/>
          <w:p>
            <w:pPr>
              <w:pStyle w:val="Compact"/>
            </w:pPr>
            <w:r>
              <w:t xml:space="preserve">Yes</w:t>
            </w:r>
          </w:p>
        </w:tc>
        <w:tc>
          <w:tcPr/>
          <w:p>
            <w:pPr>
              <w:pStyle w:val="Compact"/>
            </w:pPr>
            <w:r>
              <w:t xml:space="preserve">Yes</w:t>
            </w:r>
          </w:p>
        </w:tc>
      </w:tr>
      <w:tr>
        <w:tc>
          <w:tcPr/>
          <w:p>
            <w:pPr>
              <w:pStyle w:val="Compact"/>
            </w:pPr>
            <w:r>
              <w:t xml:space="preserve">Dynamic membership groups (P1 per unique member)</w:t>
            </w:r>
            <w:r>
              <w:rPr>
                <w:rStyle w:val="FootnoteReference"/>
              </w:rPr>
              <w:footnoteReference w:id="814"/>
            </w:r>
          </w:p>
        </w:tc>
        <w:tc>
          <w:tcPr/>
          <w:p>
            <w:pPr>
              <w:pStyle w:val="Compact"/>
            </w:pPr>
          </w:p>
        </w:tc>
        <w:tc>
          <w:tcPr/>
          <w:p>
            <w:pPr>
              <w:pStyle w:val="Compact"/>
            </w:pPr>
            <w:r>
              <w:t xml:space="preserve">Yes</w:t>
            </w:r>
          </w:p>
        </w:tc>
        <w:tc>
          <w:tcPr/>
          <w:p>
            <w:pPr>
              <w:pStyle w:val="Compact"/>
            </w:pPr>
            <w:r>
              <w:t xml:space="preserve">Yes</w:t>
            </w:r>
          </w:p>
        </w:tc>
        <w:tc>
          <w:tcPr/>
          <w:p>
            <w:pPr>
              <w:pStyle w:val="Compact"/>
            </w:pPr>
            <w:r>
              <w:t xml:space="preserve">Yes</w:t>
            </w:r>
          </w:p>
        </w:tc>
      </w:tr>
      <w:tr>
        <w:tc>
          <w:tcPr/>
          <w:p>
            <w:pPr>
              <w:pStyle w:val="Compact"/>
            </w:pPr>
            <w:r>
              <w:t xml:space="preserve">Administrative units (P1 per AU administrator)</w:t>
            </w:r>
          </w:p>
        </w:tc>
        <w:tc>
          <w:tcPr/>
          <w:p>
            <w:pPr>
              <w:pStyle w:val="Compact"/>
            </w:pPr>
            <w:r>
              <w:t xml:space="preserve">Create only</w:t>
            </w:r>
          </w:p>
        </w:tc>
        <w:tc>
          <w:tcPr/>
          <w:p>
            <w:pPr>
              <w:pStyle w:val="Compact"/>
            </w:pPr>
            <w:r>
              <w:t xml:space="preserve">Yes</w:t>
            </w:r>
          </w:p>
        </w:tc>
        <w:tc>
          <w:tcPr/>
          <w:p>
            <w:pPr>
              <w:pStyle w:val="Compact"/>
            </w:pPr>
            <w:r>
              <w:t xml:space="preserve">Yes</w:t>
            </w:r>
          </w:p>
        </w:tc>
        <w:tc>
          <w:tcPr/>
          <w:p>
            <w:pPr>
              <w:pStyle w:val="Compact"/>
            </w:pPr>
            <w:r>
              <w:t xml:space="preserve">Yes</w:t>
            </w:r>
          </w:p>
        </w:tc>
      </w:tr>
      <w:tr>
        <w:tc>
          <w:tcPr/>
          <w:p>
            <w:pPr>
              <w:pStyle w:val="Compact"/>
            </w:pPr>
            <w:r>
              <w:t xml:space="preserve">Group provisioning to AD with Cloud Sync</w:t>
            </w:r>
          </w:p>
        </w:tc>
        <w:tc>
          <w:tcPr/>
          <w:p>
            <w:pPr>
              <w:pStyle w:val="Compact"/>
            </w:pPr>
          </w:p>
        </w:tc>
        <w:tc>
          <w:tcPr/>
          <w:p>
            <w:pPr>
              <w:pStyle w:val="Compact"/>
            </w:pPr>
            <w:r>
              <w:t xml:space="preserve">Yes</w:t>
            </w:r>
          </w:p>
        </w:tc>
        <w:tc>
          <w:tcPr/>
          <w:p>
            <w:pPr>
              <w:pStyle w:val="Compact"/>
            </w:pPr>
            <w:r>
              <w:t xml:space="preserve">Yes</w:t>
            </w:r>
          </w:p>
        </w:tc>
        <w:tc>
          <w:tcPr/>
          <w:p>
            <w:pPr>
              <w:pStyle w:val="Compact"/>
            </w:pPr>
            <w:r>
              <w:t xml:space="preserve">Yes</w:t>
            </w:r>
          </w:p>
        </w:tc>
      </w:tr>
      <w:tr>
        <w:tc>
          <w:tcPr/>
          <w:p>
            <w:pPr>
              <w:pStyle w:val="Compact"/>
            </w:pPr>
            <w:r>
              <w:t xml:space="preserve">Cross-tenant synchronization of users (same cloud)</w:t>
            </w:r>
          </w:p>
        </w:tc>
        <w:tc>
          <w:tcPr/>
          <w:p>
            <w:pPr>
              <w:pStyle w:val="Compact"/>
            </w:pPr>
          </w:p>
        </w:tc>
        <w:tc>
          <w:tcPr/>
          <w:p>
            <w:pPr>
              <w:pStyle w:val="Compact"/>
            </w:pPr>
            <w:r>
              <w:t xml:space="preserve">Yes</w:t>
            </w:r>
          </w:p>
        </w:tc>
        <w:tc>
          <w:tcPr/>
          <w:p>
            <w:pPr>
              <w:pStyle w:val="Compact"/>
            </w:pPr>
            <w:r>
              <w:t xml:space="preserve">Yes</w:t>
            </w:r>
          </w:p>
        </w:tc>
        <w:tc>
          <w:tcPr/>
          <w:p>
            <w:pPr>
              <w:pStyle w:val="Compact"/>
            </w:pPr>
            <w:r>
              <w:t xml:space="preserve">Yes</w:t>
            </w:r>
          </w:p>
        </w:tc>
      </w:tr>
      <w:tr>
        <w:tc>
          <w:tcPr/>
          <w:p>
            <w:pPr>
              <w:pStyle w:val="Compact"/>
            </w:pPr>
            <w:r>
              <w:t xml:space="preserve">Risk-based Conditional Access (ID Protection)</w:t>
            </w:r>
          </w:p>
        </w:tc>
        <w:tc>
          <w:tcPr/>
          <w:p>
            <w:pPr>
              <w:pStyle w:val="Compact"/>
            </w:pPr>
          </w:p>
        </w:tc>
        <w:tc>
          <w:tcPr/>
          <w:p>
            <w:pPr>
              <w:pStyle w:val="Compact"/>
            </w:pPr>
          </w:p>
        </w:tc>
        <w:tc>
          <w:tcPr/>
          <w:p>
            <w:pPr>
              <w:pStyle w:val="Compact"/>
            </w:pPr>
            <w:r>
              <w:t xml:space="preserve">Yes</w:t>
            </w:r>
          </w:p>
        </w:tc>
        <w:tc>
          <w:tcPr/>
          <w:p>
            <w:pPr>
              <w:pStyle w:val="Compact"/>
            </w:pPr>
            <w:r>
              <w:t xml:space="preserve">Not included; the Entra Suite adds ID Protection</w:t>
            </w:r>
          </w:p>
        </w:tc>
      </w:tr>
      <w:tr>
        <w:tc>
          <w:tcPr/>
          <w:p>
            <w:pPr>
              <w:pStyle w:val="Compact"/>
            </w:pPr>
            <w:r>
              <w:t xml:space="preserve">Privileged Identity Management, including PIM for Groups</w:t>
            </w:r>
          </w:p>
        </w:tc>
        <w:tc>
          <w:tcPr/>
          <w:p>
            <w:pPr>
              <w:pStyle w:val="Compact"/>
            </w:pPr>
          </w:p>
        </w:tc>
        <w:tc>
          <w:tcPr/>
          <w:p>
            <w:pPr>
              <w:pStyle w:val="Compact"/>
            </w:pPr>
          </w:p>
        </w:tc>
        <w:tc>
          <w:tcPr/>
          <w:p>
            <w:pPr>
              <w:pStyle w:val="Compact"/>
            </w:pPr>
            <w:r>
              <w:t xml:space="preserve">Yes</w:t>
            </w:r>
          </w:p>
        </w:tc>
        <w:tc>
          <w:tcPr/>
          <w:p>
            <w:pPr>
              <w:pStyle w:val="Compact"/>
            </w:pPr>
            <w:r>
              <w:t xml:space="preserve">Yes</w:t>
            </w:r>
          </w:p>
        </w:tc>
      </w:tr>
      <w:tr>
        <w:tc>
          <w:tcPr/>
          <w:p>
            <w:pPr>
              <w:pStyle w:val="Compact"/>
            </w:pPr>
            <w:r>
              <w:t xml:space="preserve">Access reviews</w:t>
            </w:r>
          </w:p>
        </w:tc>
        <w:tc>
          <w:tcPr/>
          <w:p>
            <w:pPr>
              <w:pStyle w:val="Compact"/>
            </w:pPr>
          </w:p>
        </w:tc>
        <w:tc>
          <w:tcPr/>
          <w:p>
            <w:pPr>
              <w:pStyle w:val="Compact"/>
            </w:pPr>
          </w:p>
        </w:tc>
        <w:tc>
          <w:tcPr/>
          <w:p>
            <w:pPr>
              <w:pStyle w:val="Compact"/>
            </w:pPr>
            <w:r>
              <w:t xml:space="preserve">Some capabilities</w:t>
            </w:r>
          </w:p>
        </w:tc>
        <w:tc>
          <w:tcPr/>
          <w:p>
            <w:pPr>
              <w:pStyle w:val="Compact"/>
            </w:pPr>
            <w:r>
              <w:t xml:space="preserve">Yes</w:t>
            </w:r>
          </w:p>
        </w:tc>
      </w:tr>
      <w:tr>
        <w:tc>
          <w:tcPr/>
          <w:p>
            <w:pPr>
              <w:pStyle w:val="Compact"/>
            </w:pPr>
            <w:r>
              <w:t xml:space="preserve">Entitlement management (access packages)</w:t>
            </w:r>
          </w:p>
        </w:tc>
        <w:tc>
          <w:tcPr/>
          <w:p>
            <w:pPr>
              <w:pStyle w:val="Compact"/>
            </w:pPr>
          </w:p>
        </w:tc>
        <w:tc>
          <w:tcPr/>
          <w:p>
            <w:pPr>
              <w:pStyle w:val="Compact"/>
            </w:pPr>
          </w:p>
        </w:tc>
        <w:tc>
          <w:tcPr/>
          <w:p>
            <w:pPr>
              <w:pStyle w:val="Compact"/>
            </w:pPr>
            <w:r>
              <w:t xml:space="preserve">Some capabilities</w:t>
            </w:r>
          </w:p>
        </w:tc>
        <w:tc>
          <w:tcPr/>
          <w:p>
            <w:pPr>
              <w:pStyle w:val="Compact"/>
            </w:pPr>
            <w:r>
              <w:t xml:space="preserve">Yes</w:t>
            </w:r>
          </w:p>
        </w:tc>
      </w:tr>
      <w:tr>
        <w:tc>
          <w:tcPr/>
          <w:p>
            <w:pPr>
              <w:pStyle w:val="Compact"/>
            </w:pPr>
            <w:r>
              <w:t xml:space="preserve">Lifecycle Workflows</w:t>
            </w:r>
          </w:p>
        </w:tc>
        <w:tc>
          <w:tcPr/>
          <w:p>
            <w:pPr>
              <w:pStyle w:val="Compact"/>
            </w:pPr>
          </w:p>
        </w:tc>
        <w:tc>
          <w:tcPr/>
          <w:p>
            <w:pPr>
              <w:pStyle w:val="Compact"/>
            </w:pPr>
          </w:p>
        </w:tc>
        <w:tc>
          <w:tcPr/>
          <w:p>
            <w:pPr>
              <w:pStyle w:val="Compact"/>
            </w:pPr>
          </w:p>
        </w:tc>
        <w:tc>
          <w:tcPr/>
          <w:p>
            <w:pPr>
              <w:pStyle w:val="Compact"/>
            </w:pPr>
            <w:r>
              <w:t xml:space="preserve">Yes</w:t>
            </w:r>
          </w:p>
        </w:tc>
      </w:tr>
      <w:tr>
        <w:tc>
          <w:tcPr/>
          <w:p>
            <w:pPr>
              <w:pStyle w:val="Compact"/>
            </w:pPr>
            <w:r>
              <w:t xml:space="preserve">Cross-tenant synchronization of groups</w:t>
            </w:r>
          </w:p>
        </w:tc>
        <w:tc>
          <w:tcPr/>
          <w:p>
            <w:pPr>
              <w:pStyle w:val="Compact"/>
            </w:pPr>
          </w:p>
        </w:tc>
        <w:tc>
          <w:tcPr/>
          <w:p>
            <w:pPr>
              <w:pStyle w:val="Compact"/>
            </w:pPr>
          </w:p>
        </w:tc>
        <w:tc>
          <w:tcPr/>
          <w:p>
            <w:pPr>
              <w:pStyle w:val="Compact"/>
            </w:pPr>
          </w:p>
        </w:tc>
        <w:tc>
          <w:tcPr/>
          <w:p>
            <w:pPr>
              <w:pStyle w:val="Compact"/>
            </w:pPr>
            <w:r>
              <w:t xml:space="preserve">Yes</w:t>
            </w:r>
          </w:p>
        </w:tc>
      </w:tr>
      <w:tr>
        <w:tc>
          <w:tcPr/>
          <w:p>
            <w:pPr>
              <w:pStyle w:val="Compact"/>
            </w:pPr>
            <w:r>
              <w:t xml:space="preserve">Conditional Access for workload identities</w:t>
            </w:r>
          </w:p>
        </w:tc>
        <w:tc>
          <w:tcPr/>
          <w:p>
            <w:pPr>
              <w:pStyle w:val="Compact"/>
            </w:pPr>
            <w:r>
              <w:t xml:space="preserve">Separate Workload ID Premium license</w:t>
            </w:r>
          </w:p>
        </w:tc>
        <w:tc>
          <w:tcPr/>
          <w:p>
            <w:pPr>
              <w:pStyle w:val="Compact"/>
            </w:pPr>
          </w:p>
        </w:tc>
        <w:tc>
          <w:tcPr/>
          <w:p>
            <w:pPr>
              <w:pStyle w:val="Compact"/>
            </w:pPr>
          </w:p>
        </w:tc>
        <w:tc>
          <w:tcPr/>
          <w:p>
            <w:pPr>
              <w:pStyle w:val="Compact"/>
            </w:pPr>
          </w:p>
        </w:tc>
      </w:tr>
    </w:tbl>
    <w:p>
      <w:pPr>
        <w:pStyle w:val="BodyText"/>
      </w:pPr>
      <w:r>
        <w:t xml:space="preserve">The table draws on Microsoft’s licensing reference.</w:t>
      </w:r>
      <w:r>
        <w:rPr>
          <w:rStyle w:val="FootnoteReference"/>
        </w:rPr>
        <w:footnoteReference w:id="816"/>
      </w:r>
      <w:r>
        <w:t xml:space="preserve"> </w:t>
      </w:r>
      <w:r>
        <w:t xml:space="preserve">A few packaging points matter for planning:</w:t>
      </w:r>
    </w:p>
    <w:p>
      <w:pPr>
        <w:pStyle w:val="Compact"/>
        <w:numPr>
          <w:ilvl w:val="0"/>
          <w:numId w:val="1052"/>
        </w:numPr>
      </w:pPr>
      <w:r>
        <w:t xml:space="preserve">Entra ID P1 is included in Microsoft 365 E3 and E5; P2 is included in E5.</w:t>
      </w:r>
      <w:r>
        <w:rPr>
          <w:rStyle w:val="FootnoteReference"/>
        </w:rPr>
        <w:footnoteReference w:id="817"/>
      </w:r>
      <w:r>
        <w:t xml:space="preserve"> </w:t>
      </w:r>
      <w:r>
        <w:t xml:space="preserve">Government G3 and G5 plans carry the equivalent service plans.</w:t>
      </w:r>
    </w:p>
    <w:p>
      <w:pPr>
        <w:pStyle w:val="Compact"/>
        <w:numPr>
          <w:ilvl w:val="0"/>
          <w:numId w:val="1052"/>
        </w:numPr>
      </w:pPr>
      <w:r>
        <w:t xml:space="preserve">Entra ID Governance requires a P1 or P2 prerequisite in the tenant. Government SKUs (Microsoft Entra ID Governance for Government, and a Governance add-on for P2 for Government) are available in GCC.</w:t>
      </w:r>
      <w:r>
        <w:rPr>
          <w:rStyle w:val="FootnoteReference"/>
        </w:rPr>
        <w:footnoteReference w:id="818"/>
      </w:r>
    </w:p>
    <w:p>
      <w:pPr>
        <w:pStyle w:val="Compact"/>
        <w:numPr>
          <w:ilvl w:val="0"/>
          <w:numId w:val="1052"/>
        </w:numPr>
      </w:pPr>
      <w:r>
        <w:t xml:space="preserve">The Microsoft Entra Suite bundles Private Access, Internet Access, ID Governance, ID Protection, and Verified ID, for P1 and P2 customers.</w:t>
      </w:r>
      <w:r>
        <w:rPr>
          <w:rStyle w:val="FootnoteReference"/>
        </w:rPr>
        <w:footnoteReference w:id="819"/>
      </w:r>
    </w:p>
    <w:p>
      <w:pPr>
        <w:pStyle w:val="Compact"/>
        <w:numPr>
          <w:ilvl w:val="0"/>
          <w:numId w:val="1052"/>
        </w:numPr>
      </w:pPr>
      <w:r>
        <w:t xml:space="preserve">Risk-based Conditional Access policies require P2.</w:t>
      </w:r>
      <w:r>
        <w:rPr>
          <w:rStyle w:val="FootnoteReference"/>
        </w:rPr>
        <w:footnoteReference w:id="820"/>
      </w:r>
    </w:p>
    <w:bookmarkEnd w:id="822"/>
    <w:bookmarkEnd w:id="823"/>
    <w:bookmarkStart w:id="824" w:name="licensing-assumption"/>
    <w:p>
      <w:pPr>
        <w:pStyle w:val="Heading2"/>
      </w:pPr>
      <w:bookmarkStart w:id="1463" w:name="_Toc00001463"/>
      <w:r>
        <w:t xml:space="preserve">Licensing assumption</w:t>
      </w:r>
      <w:bookmarkEnd w:id="1463"/>
    </w:p>
    <w:p>
      <w:pPr>
        <w:pStyle w:val="FirstParagraph"/>
      </w:pPr>
      <w:r>
        <w:t xml:space="preserve">These chapters assume P2 for every user and Entra ID Governance for the populations that use access packages, access reviews, and Lifecycle Workflows. Confirm GCC availability for each feature in the Microsoft 365 Government service description; GCC rollout can lag the commercial service.</w:t>
      </w:r>
    </w:p>
    <w:bookmarkEnd w:id="824"/>
    <w:bookmarkStart w:id="832" w:name="dynamic-group-rule-syntax"/>
    <w:p>
      <w:pPr>
        <w:pStyle w:val="Heading3"/>
      </w:pPr>
      <w:r>
        <w:t xml:space="preserve">Dynamic group rule syntax</w:t>
      </w:r>
    </w:p>
    <w:p>
      <w:pPr>
        <w:pStyle w:val="FirstParagraph"/>
      </w:pPr>
      <w:r>
        <w:t xml:space="preserve">Dynamic groups compute membership from user or device attributes. Rules use operators such as</w:t>
      </w:r>
      <w:r>
        <w:t xml:space="preserve"> </w:t>
      </w:r>
      <w:r>
        <w:rPr>
          <w:rStyle w:val="VerbatimChar"/>
        </w:rPr>
        <w:t xml:space="preserve">-eq</w:t>
      </w:r>
      <w:r>
        <w:t xml:space="preserve">,</w:t>
      </w:r>
      <w:r>
        <w:t xml:space="preserve"> </w:t>
      </w:r>
      <w:r>
        <w:rPr>
          <w:rStyle w:val="VerbatimChar"/>
        </w:rPr>
        <w:t xml:space="preserve">-ne</w:t>
      </w:r>
      <w:r>
        <w:t xml:space="preserve">,</w:t>
      </w:r>
      <w:r>
        <w:t xml:space="preserve"> </w:t>
      </w:r>
      <w:r>
        <w:rPr>
          <w:rStyle w:val="VerbatimChar"/>
        </w:rPr>
        <w:t xml:space="preserve">-startsWith</w:t>
      </w:r>
      <w:r>
        <w:t xml:space="preserve">,</w:t>
      </w:r>
      <w:r>
        <w:t xml:space="preserve"> </w:t>
      </w:r>
      <w:r>
        <w:rPr>
          <w:rStyle w:val="VerbatimChar"/>
        </w:rPr>
        <w:t xml:space="preserve">-notStartsWith</w:t>
      </w:r>
      <w:r>
        <w:t xml:space="preserve">,</w:t>
      </w:r>
      <w:r>
        <w:t xml:space="preserve"> </w:t>
      </w:r>
      <w:r>
        <w:rPr>
          <w:rStyle w:val="VerbatimChar"/>
        </w:rPr>
        <w:t xml:space="preserve">-contains</w:t>
      </w:r>
      <w:r>
        <w:t xml:space="preserve">,</w:t>
      </w:r>
      <w:r>
        <w:t xml:space="preserve"> </w:t>
      </w:r>
      <w:r>
        <w:rPr>
          <w:rStyle w:val="VerbatimChar"/>
        </w:rPr>
        <w:t xml:space="preserve">-notContains</w:t>
      </w:r>
      <w:r>
        <w:t xml:space="preserve">,</w:t>
      </w:r>
      <w:r>
        <w:t xml:space="preserve"> </w:t>
      </w:r>
      <w:r>
        <w:rPr>
          <w:rStyle w:val="VerbatimChar"/>
        </w:rPr>
        <w:t xml:space="preserve">-match</w:t>
      </w:r>
      <w:r>
        <w:t xml:space="preserve">,</w:t>
      </w:r>
      <w:r>
        <w:t xml:space="preserve"> </w:t>
      </w:r>
      <w:r>
        <w:rPr>
          <w:rStyle w:val="VerbatimChar"/>
        </w:rPr>
        <w:t xml:space="preserve">-notMatch</w:t>
      </w:r>
      <w:r>
        <w:t xml:space="preserve">,</w:t>
      </w:r>
      <w:r>
        <w:t xml:space="preserve"> </w:t>
      </w:r>
      <w:r>
        <w:rPr>
          <w:rStyle w:val="VerbatimChar"/>
        </w:rPr>
        <w:t xml:space="preserve">-in</w:t>
      </w:r>
      <w:r>
        <w:t xml:space="preserve">, and</w:t>
      </w:r>
      <w:r>
        <w:t xml:space="preserve"> </w:t>
      </w:r>
      <w:r>
        <w:rPr>
          <w:rStyle w:val="VerbatimChar"/>
        </w:rPr>
        <w:t xml:space="preserve">-notIn</w:t>
      </w:r>
      <w:r>
        <w:t xml:space="preserve">, and they can be combined with</w:t>
      </w:r>
      <w:r>
        <w:t xml:space="preserve"> </w:t>
      </w:r>
      <w:r>
        <w:rPr>
          <w:rStyle w:val="VerbatimChar"/>
        </w:rPr>
        <w:t xml:space="preserve">-and</w:t>
      </w:r>
      <w:r>
        <w:t xml:space="preserve"> </w:t>
      </w:r>
      <w:r>
        <w:t xml:space="preserve">and</w:t>
      </w:r>
      <w:r>
        <w:t xml:space="preserve"> </w:t>
      </w:r>
      <w:r>
        <w:rPr>
          <w:rStyle w:val="VerbatimChar"/>
        </w:rPr>
        <w:t xml:space="preserve">-or</w:t>
      </w:r>
      <w:r>
        <w:t xml:space="preserve">.</w:t>
      </w:r>
      <w:r>
        <w:rPr>
          <w:rStyle w:val="FootnoteReference"/>
        </w:rPr>
        <w:footnoteReference w:id="825"/>
      </w:r>
      <w:r>
        <w:t xml:space="preserve"> </w:t>
      </w:r>
      <w:r>
        <w:t xml:space="preserve">A department group looks like this:</w:t>
      </w:r>
    </w:p>
    <w:p>
      <w:pPr>
        <w:pStyle w:val="SourceCode"/>
      </w:pPr>
      <w:r>
        <w:rPr>
          <w:rStyle w:val="VerbatimChar"/>
        </w:rPr>
        <w:t xml:space="preserve">(user.department -eq "Finance") -and (user.accountEnabled -eq true)</w:t>
      </w:r>
    </w:p>
    <w:p>
      <w:pPr>
        <w:pStyle w:val="FirstParagraph"/>
      </w:pPr>
      <w:r>
        <w:t xml:space="preserve">Three cautions apply:</w:t>
      </w:r>
    </w:p>
    <w:p>
      <w:pPr>
        <w:pStyle w:val="Compact"/>
        <w:numPr>
          <w:ilvl w:val="0"/>
          <w:numId w:val="1053"/>
        </w:numPr>
      </w:pPr>
      <w:r>
        <w:rPr>
          <w:b/>
          <w:bCs/>
        </w:rPr>
        <w:t xml:space="preserve">Membership isn’t instant.</w:t>
      </w:r>
      <w:r>
        <w:t xml:space="preserve"> </w:t>
      </w:r>
      <w:r>
        <w:t xml:space="preserve">When an attribute changes, Entra ID re-evaluates the dynamic group rules in the directory, and membership changes don’t appear immediately.</w:t>
      </w:r>
      <w:r>
        <w:rPr>
          <w:rStyle w:val="FootnoteReference"/>
        </w:rPr>
        <w:footnoteReference w:id="827"/>
      </w:r>
      <w:r>
        <w:t xml:space="preserve"> </w:t>
      </w:r>
      <w:r>
        <w:t xml:space="preserve">Plan for that delay where a dynamic group gates access to a critical resource.</w:t>
      </w:r>
    </w:p>
    <w:p>
      <w:pPr>
        <w:pStyle w:val="Compact"/>
        <w:numPr>
          <w:ilvl w:val="0"/>
          <w:numId w:val="1053"/>
        </w:numPr>
      </w:pPr>
      <w:r>
        <w:rPr>
          <w:b/>
          <w:bCs/>
        </w:rPr>
        <w:t xml:space="preserve">Attribute write permissions are a security boundary.</w:t>
      </w:r>
      <w:r>
        <w:t xml:space="preserve"> </w:t>
      </w:r>
      <w:r>
        <w:t xml:space="preserve">A dynamic group is only as trustworthy as the controls on the attributes it reads. Some on-premises attributes can be self-writable; audit write permissions, at the source and in Entra ID, for every attribute used in a security-sensitive rule.</w:t>
      </w:r>
      <w:r>
        <w:rPr>
          <w:rStyle w:val="FootnoteReference"/>
        </w:rPr>
        <w:footnoteReference w:id="829"/>
      </w:r>
    </w:p>
    <w:p>
      <w:pPr>
        <w:pStyle w:val="Compact"/>
        <w:numPr>
          <w:ilvl w:val="0"/>
          <w:numId w:val="1053"/>
        </w:numPr>
      </w:pPr>
      <w:r>
        <w:rPr>
          <w:b/>
          <w:bCs/>
        </w:rPr>
        <w:t xml:space="preserve">Don’t build on</w:t>
      </w:r>
      <w:r>
        <w:rPr>
          <w:b/>
          <w:bCs/>
        </w:rPr>
        <w:t xml:space="preserve"> </w:t>
      </w:r>
      <w:r>
        <w:rPr>
          <w:rStyle w:val="VerbatimChar"/>
          <w:b/>
          <w:bCs/>
        </w:rPr>
        <w:t xml:space="preserve">memberOf</w:t>
      </w:r>
      <w:r>
        <w:rPr>
          <w:b/>
          <w:bCs/>
        </w:rPr>
        <w:t xml:space="preserve">.</w:t>
      </w:r>
      <w:r>
        <w:t xml:space="preserve"> </w:t>
      </w:r>
      <w:r>
        <w:t xml:space="preserve">The preview</w:t>
      </w:r>
      <w:r>
        <w:t xml:space="preserve"> </w:t>
      </w:r>
      <w:r>
        <w:rPr>
          <w:rStyle w:val="VerbatimChar"/>
        </w:rPr>
        <w:t xml:space="preserve">memberOf</w:t>
      </w:r>
      <w:r>
        <w:t xml:space="preserve"> </w:t>
      </w:r>
      <w:r>
        <w:t xml:space="preserve">operator lets a dynamic group include members of other groups, but Microsoft is ending the preview: after November 3, 2026, dynamic groups, dynamic administrative units, and access package auto-assignment policies that use it stop updating and freeze in their last state.</w:t>
      </w:r>
      <w:r>
        <w:rPr>
          <w:rStyle w:val="FootnoteReference"/>
        </w:rPr>
        <w:footnoteReference w:id="830"/>
      </w:r>
      <w:r>
        <w:t xml:space="preserve"> </w:t>
      </w:r>
      <w:r>
        <w:t xml:space="preserve">Replace any</w:t>
      </w:r>
      <w:r>
        <w:t xml:space="preserve"> </w:t>
      </w:r>
      <w:r>
        <w:rPr>
          <w:rStyle w:val="VerbatimChar"/>
        </w:rPr>
        <w:t xml:space="preserve">memberOf</w:t>
      </w:r>
      <w:r>
        <w:t xml:space="preserve"> </w:t>
      </w:r>
      <w:r>
        <w:t xml:space="preserve">rule before then.</w:t>
      </w:r>
    </w:p>
    <w:bookmarkEnd w:id="832"/>
    <w:bookmarkStart w:id="839" w:name="choosing-and-configuring-the-sync-engine"/>
    <w:p>
      <w:pPr>
        <w:pStyle w:val="Heading2"/>
      </w:pPr>
      <w:bookmarkStart w:id="1464" w:name="_Toc00001464"/>
      <w:r>
        <w:t xml:space="preserve">Choosing and configuring the sync engine</w:t>
      </w:r>
      <w:bookmarkEnd w:id="1464"/>
    </w:p>
    <w:bookmarkStart w:id="838" w:name="cloud-sync-or-connect-sync"/>
    <w:p>
      <w:pPr>
        <w:pStyle w:val="Heading3"/>
      </w:pPr>
      <w:r>
        <w:t xml:space="preserve">Cloud Sync or Connect Sync</w:t>
      </w:r>
    </w:p>
    <w:p>
      <w:pPr>
        <w:pStyle w:val="FirstParagraph"/>
      </w:pPr>
      <w:r>
        <w:t xml:space="preserve">Microsoft offers two engines for hybrid identity sync. Microsoft Entra Connect Sync is the long-standing, full-featured engine that runs on a Windows Server. Microsoft Entra Cloud Sync is a lightweight provisioning agent with its configuration held in the cloud. Microsoft now describes Cloud Sync as its strategic direction: new sync and provisioning features are built primarily on it, and it’s the recommended path for most organizations.</w:t>
      </w:r>
      <w:r>
        <w:rPr>
          <w:rStyle w:val="FootnoteReference"/>
        </w:rPr>
        <w:footnoteReference w:id="833"/>
      </w:r>
    </w:p>
    <w:p>
      <w:pPr>
        <w:pStyle w:val="BodyText"/>
      </w:pPr>
      <w:r>
        <w:t xml:space="preserve">The program’s comparison draws on Microsoft’s decision guide (as of its October 2026 revision):</w:t>
      </w:r>
      <w:r>
        <w:rPr>
          <w:rStyle w:val="FootnoteReference"/>
        </w:rPr>
        <w:footnoteReference w:id="834"/>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Connect Sync</w:t>
            </w:r>
          </w:p>
        </w:tc>
        <w:tc>
          <w:tcPr/>
          <w:p>
            <w:pPr>
              <w:pStyle w:val="Compact"/>
            </w:pPr>
            <w:r>
              <w:t xml:space="preserve">Cloud Sync</w:t>
            </w:r>
          </w:p>
        </w:tc>
      </w:tr>
      <w:tr>
        <w:tc>
          <w:tcPr/>
          <w:p>
            <w:pPr>
              <w:pStyle w:val="Compact"/>
            </w:pPr>
            <w:r>
              <w:t xml:space="preserve">Deployment</w:t>
            </w:r>
          </w:p>
        </w:tc>
        <w:tc>
          <w:tcPr/>
          <w:p>
            <w:pPr>
              <w:pStyle w:val="Compact"/>
            </w:pPr>
            <w:r>
              <w:t xml:space="preserve">On-premises Windows Server</w:t>
            </w:r>
          </w:p>
        </w:tc>
        <w:tc>
          <w:tcPr/>
          <w:p>
            <w:pPr>
              <w:pStyle w:val="Compact"/>
            </w:pPr>
            <w:r>
              <w:t xml:space="preserve">Lightweight agents; can run on existing domain controllers or standalone servers</w:t>
            </w:r>
          </w:p>
        </w:tc>
      </w:tr>
      <w:tr>
        <w:tc>
          <w:tcPr/>
          <w:p>
            <w:pPr>
              <w:pStyle w:val="Compact"/>
            </w:pPr>
            <w:r>
              <w:t xml:space="preserve">Connected multi-forest</w:t>
            </w:r>
          </w:p>
        </w:tc>
        <w:tc>
          <w:tcPr/>
          <w:p>
            <w:pPr>
              <w:pStyle w:val="Compact"/>
            </w:pPr>
            <w:r>
              <w:t xml:space="preserve">Yes</w:t>
            </w:r>
          </w:p>
        </w:tc>
        <w:tc>
          <w:tcPr/>
          <w:p>
            <w:pPr>
              <w:pStyle w:val="Compact"/>
            </w:pPr>
            <w:r>
              <w:t xml:space="preserve">Yes</w:t>
            </w:r>
          </w:p>
        </w:tc>
      </w:tr>
      <w:tr>
        <w:tc>
          <w:tcPr/>
          <w:p>
            <w:pPr>
              <w:pStyle w:val="Compact"/>
            </w:pPr>
            <w:r>
              <w:t xml:space="preserve">Disconnected forests (mergers and acquisitions)</w:t>
            </w:r>
          </w:p>
        </w:tc>
        <w:tc>
          <w:tcPr/>
          <w:p>
            <w:pPr>
              <w:pStyle w:val="Compact"/>
            </w:pPr>
            <w:r>
              <w:t xml:space="preserve">No</w:t>
            </w:r>
          </w:p>
        </w:tc>
        <w:tc>
          <w:tcPr/>
          <w:p>
            <w:pPr>
              <w:pStyle w:val="Compact"/>
            </w:pPr>
            <w:r>
              <w:t xml:space="preserve">Yes</w:t>
            </w:r>
          </w:p>
        </w:tc>
      </w:tr>
      <w:tr>
        <w:tc>
          <w:tcPr/>
          <w:p>
            <w:pPr>
              <w:pStyle w:val="Compact"/>
            </w:pPr>
            <w:r>
              <w:t xml:space="preserve">High availability</w:t>
            </w:r>
          </w:p>
        </w:tc>
        <w:tc>
          <w:tcPr/>
          <w:p>
            <w:pPr>
              <w:pStyle w:val="Compact"/>
            </w:pPr>
            <w:r>
              <w:t xml:space="preserve">One active server; a staging server as standby</w:t>
            </w:r>
          </w:p>
        </w:tc>
        <w:tc>
          <w:tcPr/>
          <w:p>
            <w:pPr>
              <w:pStyle w:val="Compact"/>
            </w:pPr>
            <w:r>
              <w:t xml:space="preserve">Multiple active agents with automatic failover</w:t>
            </w:r>
          </w:p>
        </w:tc>
      </w:tr>
      <w:tr>
        <w:tc>
          <w:tcPr/>
          <w:p>
            <w:pPr>
              <w:pStyle w:val="Compact"/>
            </w:pPr>
            <w:r>
              <w:t xml:space="preserve">Scale per AD domain</w:t>
            </w:r>
          </w:p>
        </w:tc>
        <w:tc>
          <w:tcPr/>
          <w:p>
            <w:pPr>
              <w:pStyle w:val="Compact"/>
            </w:pPr>
            <w:r>
              <w:t xml:space="preserve">No stated limit</w:t>
            </w:r>
          </w:p>
        </w:tc>
        <w:tc>
          <w:tcPr/>
          <w:p>
            <w:pPr>
              <w:pStyle w:val="Compact"/>
            </w:pPr>
            <w:r>
              <w:t xml:space="preserve">Up to 150,000 objects</w:t>
            </w:r>
          </w:p>
        </w:tc>
      </w:tr>
      <w:tr>
        <w:tc>
          <w:tcPr/>
          <w:p>
            <w:pPr>
              <w:pStyle w:val="Compact"/>
            </w:pPr>
            <w:r>
              <w:t xml:space="preserve">Group size</w:t>
            </w:r>
          </w:p>
        </w:tc>
        <w:tc>
          <w:tcPr/>
          <w:p>
            <w:pPr>
              <w:pStyle w:val="Compact"/>
            </w:pPr>
            <w:r>
              <w:t xml:space="preserve">Up to 250,000 members</w:t>
            </w:r>
          </w:p>
        </w:tc>
        <w:tc>
          <w:tcPr/>
          <w:p>
            <w:pPr>
              <w:pStyle w:val="Compact"/>
            </w:pPr>
            <w:r>
              <w:t xml:space="preserve">Up to 50,000 members</w:t>
            </w:r>
          </w:p>
        </w:tc>
      </w:tr>
      <w:tr>
        <w:tc>
          <w:tcPr/>
          <w:p>
            <w:pPr>
              <w:pStyle w:val="Compact"/>
            </w:pPr>
            <w:r>
              <w:t xml:space="preserve">Password hash sync and password writeback</w:t>
            </w:r>
          </w:p>
        </w:tc>
        <w:tc>
          <w:tcPr/>
          <w:p>
            <w:pPr>
              <w:pStyle w:val="Compact"/>
            </w:pPr>
            <w:r>
              <w:t xml:space="preserve">Yes</w:t>
            </w:r>
          </w:p>
        </w:tc>
        <w:tc>
          <w:tcPr/>
          <w:p>
            <w:pPr>
              <w:pStyle w:val="Compact"/>
            </w:pPr>
            <w:r>
              <w:t xml:space="preserve">Yes</w:t>
            </w:r>
          </w:p>
        </w:tc>
      </w:tr>
      <w:tr>
        <w:tc>
          <w:tcPr/>
          <w:p>
            <w:pPr>
              <w:pStyle w:val="Compact"/>
            </w:pPr>
            <w:r>
              <w:t xml:space="preserve">Exchange hybrid writeback</w:t>
            </w:r>
          </w:p>
        </w:tc>
        <w:tc>
          <w:tcPr/>
          <w:p>
            <w:pPr>
              <w:pStyle w:val="Compact"/>
            </w:pPr>
            <w:r>
              <w:t xml:space="preserve">Yes</w:t>
            </w:r>
          </w:p>
        </w:tc>
        <w:tc>
          <w:tcPr/>
          <w:p>
            <w:pPr>
              <w:pStyle w:val="Compact"/>
            </w:pPr>
            <w:r>
              <w:t xml:space="preserve">Yes</w:t>
            </w:r>
          </w:p>
        </w:tc>
      </w:tr>
      <w:tr>
        <w:tc>
          <w:tcPr/>
          <w:p>
            <w:pPr>
              <w:pStyle w:val="Compact"/>
            </w:pPr>
            <w:r>
              <w:t xml:space="preserve">Device sync for hybrid join</w:t>
            </w:r>
          </w:p>
        </w:tc>
        <w:tc>
          <w:tcPr/>
          <w:p>
            <w:pPr>
              <w:pStyle w:val="Compact"/>
            </w:pPr>
            <w:r>
              <w:t xml:space="preserve">Yes</w:t>
            </w:r>
          </w:p>
        </w:tc>
        <w:tc>
          <w:tcPr/>
          <w:p>
            <w:pPr>
              <w:pStyle w:val="Compact"/>
            </w:pPr>
            <w:r>
              <w:t xml:space="preserve">Yes (enabled separately)</w:t>
            </w:r>
          </w:p>
        </w:tc>
      </w:tr>
      <w:tr>
        <w:tc>
          <w:tcPr/>
          <w:p>
            <w:pPr>
              <w:pStyle w:val="Compact"/>
            </w:pPr>
            <w:r>
              <w:t xml:space="preserve">OU-based filtering</w:t>
            </w:r>
          </w:p>
        </w:tc>
        <w:tc>
          <w:tcPr/>
          <w:p>
            <w:pPr>
              <w:pStyle w:val="Compact"/>
            </w:pPr>
            <w:r>
              <w:t xml:space="preserve">Yes</w:t>
            </w:r>
          </w:p>
        </w:tc>
        <w:tc>
          <w:tcPr/>
          <w:p>
            <w:pPr>
              <w:pStyle w:val="Compact"/>
            </w:pPr>
            <w:r>
              <w:t xml:space="preserve">Yes</w:t>
            </w:r>
          </w:p>
        </w:tc>
      </w:tr>
      <w:tr>
        <w:tc>
          <w:tcPr/>
          <w:p>
            <w:pPr>
              <w:pStyle w:val="Compact"/>
            </w:pPr>
            <w:r>
              <w:t xml:space="preserve">Attribute-based filtering</w:t>
            </w:r>
          </w:p>
        </w:tc>
        <w:tc>
          <w:tcPr/>
          <w:p>
            <w:pPr>
              <w:pStyle w:val="Compact"/>
            </w:pPr>
            <w:r>
              <w:t xml:space="preserve">Yes</w:t>
            </w:r>
          </w:p>
        </w:tc>
        <w:tc>
          <w:tcPr/>
          <w:p>
            <w:pPr>
              <w:pStyle w:val="Compact"/>
            </w:pPr>
            <w:r>
              <w:t xml:space="preserve">Limited</w:t>
            </w:r>
          </w:p>
        </w:tc>
      </w:tr>
      <w:tr>
        <w:tc>
          <w:tcPr/>
          <w:p>
            <w:pPr>
              <w:pStyle w:val="Compact"/>
            </w:pPr>
            <w:r>
              <w:t xml:space="preserve">Advanced sync rules</w:t>
            </w:r>
          </w:p>
        </w:tc>
        <w:tc>
          <w:tcPr/>
          <w:p>
            <w:pPr>
              <w:pStyle w:val="Compact"/>
            </w:pPr>
            <w:r>
              <w:t xml:space="preserve">Yes (sync rules editor)</w:t>
            </w:r>
          </w:p>
        </w:tc>
        <w:tc>
          <w:tcPr/>
          <w:p>
            <w:pPr>
              <w:pStyle w:val="Compact"/>
            </w:pPr>
            <w:r>
              <w:t xml:space="preserve">No (expression builder only)</w:t>
            </w:r>
          </w:p>
        </w:tc>
      </w:tr>
      <w:tr>
        <w:tc>
          <w:tcPr/>
          <w:p>
            <w:pPr>
              <w:pStyle w:val="Compact"/>
            </w:pPr>
            <w:r>
              <w:t xml:space="preserve">Cross-forest references; merging attributes across domains</w:t>
            </w:r>
          </w:p>
        </w:tc>
        <w:tc>
          <w:tcPr/>
          <w:p>
            <w:pPr>
              <w:pStyle w:val="Compact"/>
            </w:pPr>
            <w:r>
              <w:t xml:space="preserve">Yes</w:t>
            </w:r>
          </w:p>
        </w:tc>
        <w:tc>
          <w:tcPr/>
          <w:p>
            <w:pPr>
              <w:pStyle w:val="Compact"/>
            </w:pPr>
            <w:r>
              <w:t xml:space="preserve">No</w:t>
            </w:r>
          </w:p>
        </w:tc>
      </w:tr>
      <w:tr>
        <w:tc>
          <w:tcPr/>
          <w:p>
            <w:pPr>
              <w:pStyle w:val="Compact"/>
            </w:pPr>
            <w:r>
              <w:t xml:space="preserve">Group provisioning from Entra ID to AD</w:t>
            </w:r>
          </w:p>
        </w:tc>
        <w:tc>
          <w:tcPr/>
          <w:p>
            <w:pPr>
              <w:pStyle w:val="Compact"/>
            </w:pPr>
            <w:r>
              <w:t xml:space="preserve">No</w:t>
            </w:r>
          </w:p>
        </w:tc>
        <w:tc>
          <w:tcPr/>
          <w:p>
            <w:pPr>
              <w:pStyle w:val="Compact"/>
            </w:pPr>
            <w:r>
              <w:t xml:space="preserve">Yes</w:t>
            </w:r>
          </w:p>
        </w:tc>
      </w:tr>
      <w:tr>
        <w:tc>
          <w:tcPr/>
          <w:p>
            <w:pPr>
              <w:pStyle w:val="Compact"/>
            </w:pPr>
            <w:r>
              <w:t xml:space="preserve">Device writeback</w:t>
            </w:r>
          </w:p>
        </w:tc>
        <w:tc>
          <w:tcPr/>
          <w:p>
            <w:pPr>
              <w:pStyle w:val="Compact"/>
            </w:pPr>
            <w:r>
              <w:t xml:space="preserve">Yes (discontinued in favor of Cloud Kerberos trust)</w:t>
            </w:r>
          </w:p>
        </w:tc>
        <w:tc>
          <w:tcPr/>
          <w:p>
            <w:pPr>
              <w:pStyle w:val="Compact"/>
            </w:pPr>
            <w:r>
              <w:t xml:space="preserve">No</w:t>
            </w:r>
          </w:p>
        </w:tc>
      </w:tr>
      <w:tr>
        <w:tc>
          <w:tcPr/>
          <w:p>
            <w:pPr>
              <w:pStyle w:val="Compact"/>
            </w:pPr>
            <w:r>
              <w:t xml:space="preserve">Pass-through authentication or AD FS configured by the tool</w:t>
            </w:r>
          </w:p>
        </w:tc>
        <w:tc>
          <w:tcPr/>
          <w:p>
            <w:pPr>
              <w:pStyle w:val="Compact"/>
            </w:pPr>
            <w:r>
              <w:t xml:space="preserve">Yes</w:t>
            </w:r>
          </w:p>
        </w:tc>
        <w:tc>
          <w:tcPr/>
          <w:p>
            <w:pPr>
              <w:pStyle w:val="Compact"/>
            </w:pPr>
            <w:r>
              <w:t xml:space="preserve">No (configured separately; keeps working after migration)</w:t>
            </w:r>
          </w:p>
        </w:tc>
      </w:tr>
      <w:tr>
        <w:tc>
          <w:tcPr/>
          <w:p>
            <w:pPr>
              <w:pStyle w:val="Compact"/>
            </w:pPr>
            <w:r>
              <w:t xml:space="preserve">On-demand provisioning for testing</w:t>
            </w:r>
          </w:p>
        </w:tc>
        <w:tc>
          <w:tcPr/>
          <w:p>
            <w:pPr>
              <w:pStyle w:val="Compact"/>
            </w:pPr>
            <w:r>
              <w:t xml:space="preserve">No</w:t>
            </w:r>
          </w:p>
        </w:tc>
        <w:tc>
          <w:tcPr/>
          <w:p>
            <w:pPr>
              <w:pStyle w:val="Compact"/>
            </w:pPr>
            <w:r>
              <w:t xml:space="preserve">Yes</w:t>
            </w:r>
          </w:p>
        </w:tc>
      </w:tr>
      <w:tr>
        <w:tc>
          <w:tcPr/>
          <w:p>
            <w:pPr>
              <w:pStyle w:val="Compact"/>
            </w:pPr>
            <w:r>
              <w:t xml:space="preserve">US Government clouds</w:t>
            </w:r>
          </w:p>
        </w:tc>
        <w:tc>
          <w:tcPr/>
          <w:p>
            <w:pPr>
              <w:pStyle w:val="Compact"/>
            </w:pPr>
            <w:r>
              <w:t xml:space="preserve">Yes</w:t>
            </w:r>
          </w:p>
        </w:tc>
        <w:tc>
          <w:tcPr/>
          <w:p>
            <w:pPr>
              <w:pStyle w:val="Compact"/>
            </w:pPr>
            <w:r>
              <w:t xml:space="preserve">Yes</w:t>
            </w:r>
          </w:p>
        </w:tc>
      </w:tr>
    </w:tbl>
    <w:p>
      <w:pPr>
        <w:pStyle w:val="BodyText"/>
      </w:pPr>
      <w:r>
        <w:t xml:space="preserve">Two corrections to older guidance matter here. First, Group Writeback v2 in Connect Sync was a preview that Microsoft discontinued on June 30, 2024; Connect Sync is no longer supported for provisioning cloud security groups to AD. Cloud Sync’s group provisioning to AD replaces it, and it can run alongside Connect Sync for that one job. Group Writeback v1 remains only for writing Microsoft 365 groups back to AD.</w:t>
      </w:r>
      <w:r>
        <w:rPr>
          <w:rStyle w:val="FootnoteReference"/>
        </w:rPr>
        <w:footnoteReference w:id="835"/>
      </w:r>
      <w:r>
        <w:t xml:space="preserve"> </w:t>
      </w:r>
      <w:r>
        <w:t xml:space="preserve">Second, Cloud Sync now handles Exchange hybrid writeback, so Exchange hybrid alone no longer forces Connect Sync.</w:t>
      </w:r>
      <w:r>
        <w:rPr>
          <w:rStyle w:val="FootnoteReference"/>
        </w:rPr>
        <w:footnoteReference w:id="837"/>
      </w:r>
    </w:p>
    <w:bookmarkEnd w:id="838"/>
    <w:bookmarkEnd w:id="839"/>
    <w:bookmarkStart w:id="842" w:name="Xad965cba6532b450e18229aad034d26a8892448"/>
    <w:p>
      <w:pPr>
        <w:pStyle w:val="Heading2"/>
      </w:pPr>
      <w:bookmarkStart w:id="1465" w:name="_Toc00001465"/>
      <w:r>
        <w:t xml:space="preserve">Recommendation: Cloud Sync unless a Connect-only requirement applies</w:t>
      </w:r>
      <w:bookmarkEnd w:id="1465"/>
    </w:p>
    <w:p>
      <w:pPr>
        <w:pStyle w:val="FirstParagraph"/>
      </w:pPr>
      <w:r>
        <w:t xml:space="preserve">Use Cloud Sync for new deployments and plan to migrate existing Connect Sync installations to it. Stay on Connect Sync, for now, only where a forest needs something Cloud Sync doesn’t do: more than 150,000 objects in a domain, groups over 50,000 members, advanced sync rules, cross-forest references, or attribute merging across domains. Both engines can run in the same forest with mutually exclusive scopes, which lets you move populations in stages.</w:t>
      </w:r>
      <w:r>
        <w:rPr>
          <w:rStyle w:val="FootnoteReference"/>
        </w:rPr>
        <w:footnoteReference w:id="840"/>
      </w:r>
    </w:p>
    <w:bookmarkEnd w:id="842"/>
    <w:bookmarkStart w:id="846" w:name="fig-ch09-sync-auth-decision"/>
    <w:p>
      <w:pPr>
        <w:pStyle w:val="CaptionedFigure"/>
      </w:pPr>
      <w:r>
        <w:drawing>
          <wp:inline>
            <wp:extent cx="5334000" cy="5408289"/>
            <wp:effectExtent b="0" l="0" r="0" t="0"/>
            <wp:docPr descr="The sync and sign-in decision: Cloud Sync unless a Connect-only requirement applies, password hash sync in every case, pass-through authentication only as a transition, and AD FS as a decommission target." title="" id="844" name="Picture"/>
            <a:graphic>
              <a:graphicData uri="http://schemas.openxmlformats.org/drawingml/2006/picture">
                <pic:pic>
                  <pic:nvPicPr>
                    <pic:cNvPr descr="/home/runner/work/modernization-workbook/modernization-workbook/docs/images/diagrams/b02-identity/png/ch09-sync-auth-decision.png" id="845" name="Picture"/>
                    <pic:cNvPicPr>
                      <a:picLocks noChangeArrowheads="1" noChangeAspect="1"/>
                    </pic:cNvPicPr>
                  </pic:nvPicPr>
                  <pic:blipFill>
                    <a:blip r:embed="rId843"/>
                    <a:stretch>
                      <a:fillRect/>
                    </a:stretch>
                  </pic:blipFill>
                  <pic:spPr bwMode="auto">
                    <a:xfrm>
                      <a:off x="0" y="0"/>
                      <a:ext cx="5334000" cy="5408289"/>
                    </a:xfrm>
                    <a:prstGeom prst="rect">
                      <a:avLst/>
                    </a:prstGeom>
                    <a:noFill/>
                    <a:ln w="9525">
                      <a:noFill/>
                      <a:headEnd/>
                      <a:tailEnd/>
                    </a:ln>
                  </pic:spPr>
                </pic:pic>
              </a:graphicData>
            </a:graphic>
          </wp:inline>
        </w:drawing>
      </w:r>
    </w:p>
    <w:p>
      <w:pPr>
        <w:pStyle w:val="ImageCaption"/>
      </w:pPr>
      <w:r>
        <w:t xml:space="preserve">The sync and sign-in decision: Cloud Sync unless a Connect-only requirement applies, password hash sync in every case, pass-through authentication only as a transition, and AD FS as a decommission target.</w:t>
      </w:r>
    </w:p>
    <w:bookmarkEnd w:id="846"/>
    <w:bookmarkStart w:id="847" w:name="filtering"/>
    <w:p>
      <w:pPr>
        <w:pStyle w:val="Heading3"/>
      </w:pPr>
      <w:r>
        <w:t xml:space="preserve">Filtering</w:t>
      </w:r>
    </w:p>
    <w:p>
      <w:pPr>
        <w:pStyle w:val="FirstParagraph"/>
      </w:pPr>
      <w:r>
        <w:t xml:space="preserve">Filtering decides which AD objects reach Entra ID. Connect Sync applies four methods in this order:</w:t>
      </w:r>
    </w:p>
    <w:p>
      <w:pPr>
        <w:pStyle w:val="Compact"/>
        <w:numPr>
          <w:ilvl w:val="0"/>
          <w:numId w:val="1054"/>
        </w:numPr>
      </w:pPr>
      <w:r>
        <w:rPr>
          <w:b/>
          <w:bCs/>
        </w:rPr>
        <w:t xml:space="preserve">Domain-based.</w:t>
      </w:r>
      <w:r>
        <w:t xml:space="preserve"> </w:t>
      </w:r>
      <w:r>
        <w:t xml:space="preserve">Include or exclude whole domains, such as test or perimeter domains.</w:t>
      </w:r>
    </w:p>
    <w:p>
      <w:pPr>
        <w:pStyle w:val="Compact"/>
        <w:numPr>
          <w:ilvl w:val="0"/>
          <w:numId w:val="1054"/>
        </w:numPr>
      </w:pPr>
      <w:r>
        <w:rPr>
          <w:b/>
          <w:bCs/>
        </w:rPr>
        <w:t xml:space="preserve">OU-based.</w:t>
      </w:r>
      <w:r>
        <w:t xml:space="preserve"> </w:t>
      </w:r>
      <w:r>
        <w:t xml:space="preserve">The most common method. Exclude OUs that hold service accounts, unneeded computer objects, or staging objects. Both engines support it.</w:t>
      </w:r>
    </w:p>
    <w:p>
      <w:pPr>
        <w:pStyle w:val="Compact"/>
        <w:numPr>
          <w:ilvl w:val="0"/>
          <w:numId w:val="1054"/>
        </w:numPr>
      </w:pPr>
      <w:r>
        <w:rPr>
          <w:b/>
          <w:bCs/>
        </w:rPr>
        <w:t xml:space="preserve">Attribute-based.</w:t>
      </w:r>
      <w:r>
        <w:t xml:space="preserve"> </w:t>
      </w:r>
      <w:r>
        <w:t xml:space="preserve">Filter individual objects on attribute values with scoping conditions in sync rules; for example, exclude objects where</w:t>
      </w:r>
      <w:r>
        <w:t xml:space="preserve"> </w:t>
      </w:r>
      <w:r>
        <w:rPr>
          <w:rStyle w:val="VerbatimChar"/>
        </w:rPr>
        <w:t xml:space="preserve">extensionAttribute15</w:t>
      </w:r>
      <w:r>
        <w:t xml:space="preserve"> </w:t>
      </w:r>
      <w:r>
        <w:t xml:space="preserve">equals</w:t>
      </w:r>
      <w:r>
        <w:t xml:space="preserve"> </w:t>
      </w:r>
      <w:r>
        <w:rPr>
          <w:rStyle w:val="VerbatimChar"/>
        </w:rPr>
        <w:t xml:space="preserve">DoNotSync</w:t>
      </w:r>
      <w:r>
        <w:t xml:space="preserve">. Cloud Sync supports only basic attribute filtering.</w:t>
      </w:r>
    </w:p>
    <w:p>
      <w:pPr>
        <w:pStyle w:val="Compact"/>
        <w:numPr>
          <w:ilvl w:val="0"/>
          <w:numId w:val="1054"/>
        </w:numPr>
      </w:pPr>
      <w:r>
        <w:rPr>
          <w:b/>
          <w:bCs/>
        </w:rPr>
        <w:t xml:space="preserve">Group-based.</w:t>
      </w:r>
      <w:r>
        <w:t xml:space="preserve"> </w:t>
      </w:r>
      <w:r>
        <w:t xml:space="preserve">Sync only members of a named group. Use it for pilots only; it doesn’t scale and it makes sync depend on group membership.</w:t>
      </w:r>
    </w:p>
    <w:bookmarkEnd w:id="847"/>
    <w:bookmarkStart w:id="848" w:name="attribute-flow-and-transformations"/>
    <w:p>
      <w:pPr>
        <w:pStyle w:val="Heading3"/>
      </w:pPr>
      <w:r>
        <w:t xml:space="preserve">Attribute flow and transformations</w:t>
      </w:r>
    </w:p>
    <w:p>
      <w:pPr>
        <w:pStyle w:val="FirstParagraph"/>
      </w:pPr>
      <w:r>
        <w:t xml:space="preserve">Attribute flow defines how AD attributes become Entra ID attributes. In Connect Sync, custom sync rules take precedence over the default rules by precedence number; Cloud Sync uses an expression builder for attribute mappings. Three transformations the program commonly needs, shown in Connect Sync’s declarative provisioning expression language: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Scenario</w:t>
            </w:r>
          </w:p>
        </w:tc>
        <w:tc>
          <w:tcPr/>
          <w:p>
            <w:pPr>
              <w:pStyle w:val="Compact"/>
            </w:pPr>
            <w:r>
              <w:t xml:space="preserve">Source expression</w:t>
            </w:r>
          </w:p>
        </w:tc>
        <w:tc>
          <w:tcPr/>
          <w:p>
            <w:pPr>
              <w:pStyle w:val="Compact"/>
            </w:pPr>
            <w:r>
              <w:t xml:space="preserve">Target attribute</w:t>
            </w:r>
          </w:p>
        </w:tc>
        <w:tc>
          <w:tcPr/>
          <w:p>
            <w:pPr>
              <w:pStyle w:val="Compact"/>
            </w:pPr>
            <w:r>
              <w:t xml:space="preserve">Purpose</w:t>
            </w:r>
          </w:p>
        </w:tc>
      </w:tr>
      <w:tr>
        <w:tc>
          <w:tcPr/>
          <w:p>
            <w:pPr>
              <w:pStyle w:val="Compact"/>
            </w:pPr>
            <w:r>
              <w:t xml:space="preserve">UPN construction</w:t>
            </w:r>
          </w:p>
        </w:tc>
        <w:tc>
          <w:tcPr/>
          <w:p>
            <w:pPr>
              <w:pStyle w:val="Compact"/>
            </w:pPr>
            <w:r>
              <w:rPr>
                <w:rStyle w:val="VerbatimChar"/>
              </w:rPr>
              <w:t xml:space="preserve">IIF(IsPresent([userPrincipalName]),IIF(InStr([userPrincipalName],"@contoso.local")&gt;0,Replace([userPrincipalName],"@contoso.local","@contoso.gov"),[userPrincipalName]),Error("UPN required"))</w:t>
            </w:r>
          </w:p>
        </w:tc>
        <w:tc>
          <w:tcPr/>
          <w:p>
            <w:pPr>
              <w:pStyle w:val="Compact"/>
            </w:pPr>
            <w:r>
              <w:rPr>
                <w:rStyle w:val="VerbatimChar"/>
              </w:rPr>
              <w:t xml:space="preserve">userPrincipalName</w:t>
            </w:r>
          </w:p>
        </w:tc>
        <w:tc>
          <w:tcPr/>
          <w:p>
            <w:pPr>
              <w:pStyle w:val="Compact"/>
            </w:pPr>
            <w:r>
              <w:t xml:space="preserve">Replace a non-routable suffix with a verified domain</w:t>
            </w:r>
          </w:p>
        </w:tc>
      </w:tr>
      <w:tr>
        <w:tc>
          <w:tcPr/>
          <w:p>
            <w:pPr>
              <w:pStyle w:val="Compact"/>
            </w:pPr>
            <w:r>
              <w:t xml:space="preserve">Display name normalization</w:t>
            </w:r>
          </w:p>
        </w:tc>
        <w:tc>
          <w:tcPr/>
          <w:p>
            <w:pPr>
              <w:pStyle w:val="Compact"/>
            </w:pPr>
            <w:r>
              <w:rPr>
                <w:rStyle w:val="VerbatimChar"/>
              </w:rPr>
              <w:t xml:space="preserve">IIF(IsPresent([sn]),Join(", ",[sn],[givenName]),[displayName])</w:t>
            </w:r>
          </w:p>
        </w:tc>
        <w:tc>
          <w:tcPr/>
          <w:p>
            <w:pPr>
              <w:pStyle w:val="Compact"/>
            </w:pPr>
            <w:r>
              <w:rPr>
                <w:rStyle w:val="VerbatimChar"/>
              </w:rPr>
              <w:t xml:space="preserve">displayName</w:t>
            </w:r>
          </w:p>
        </w:tc>
        <w:tc>
          <w:tcPr/>
          <w:p>
            <w:pPr>
              <w:pStyle w:val="Compact"/>
            </w:pPr>
            <w:r>
              <w:t xml:space="preserve">Enforce</w:t>
            </w:r>
            <w:r>
              <w:t xml:space="preserve"> </w:t>
            </w:r>
            <w:r>
              <w:t xml:space="preserve">“Last, First”</w:t>
            </w:r>
          </w:p>
        </w:tc>
      </w:tr>
      <w:tr>
        <w:tc>
          <w:tcPr/>
          <w:p>
            <w:pPr>
              <w:pStyle w:val="Compact"/>
            </w:pPr>
            <w:r>
              <w:t xml:space="preserve">Account type classification</w:t>
            </w:r>
          </w:p>
        </w:tc>
        <w:tc>
          <w:tcPr/>
          <w:p>
            <w:pPr>
              <w:pStyle w:val="Compact"/>
            </w:pPr>
            <w:r>
              <w:rPr>
                <w:rStyle w:val="VerbatimChar"/>
              </w:rPr>
              <w:t xml:space="preserve">IIF(CBool(InStr(LCase([distinguishedName]),"ou=service accounts")),"Service","Standard")</w:t>
            </w:r>
          </w:p>
        </w:tc>
        <w:tc>
          <w:tcPr/>
          <w:p>
            <w:pPr>
              <w:pStyle w:val="Compact"/>
            </w:pPr>
            <w:r>
              <w:rPr>
                <w:rStyle w:val="VerbatimChar"/>
              </w:rPr>
              <w:t xml:space="preserve">extensionAttribute10</w:t>
            </w:r>
          </w:p>
        </w:tc>
        <w:tc>
          <w:tcPr/>
          <w:p>
            <w:pPr>
              <w:pStyle w:val="Compact"/>
            </w:pPr>
            <w:r>
              <w:t xml:space="preserve">Classify from OU placement during the transition</w:t>
            </w:r>
          </w:p>
        </w:tc>
      </w:tr>
    </w:tbl>
    <w:p>
      <w:pPr>
        <w:pStyle w:val="BodyText"/>
      </w:pPr>
      <w:r>
        <w:t xml:space="preserve">The third rule is a bridge, not an end state. It derives a classification from placement, which is exactly the AD habit the migration retires. Once the classification is written to the source object, drop the rule.</w:t>
      </w:r>
    </w:p>
    <w:bookmarkEnd w:id="848"/>
    <w:bookmarkStart w:id="851" w:name="staging-mode-and-recovery"/>
    <w:p>
      <w:pPr>
        <w:pStyle w:val="Heading3"/>
      </w:pPr>
      <w:r>
        <w:t xml:space="preserve">Staging mode and recovery</w:t>
      </w:r>
    </w:p>
    <w:p>
      <w:pPr>
        <w:pStyle w:val="FirstParagraph"/>
      </w:pPr>
      <w:r>
        <w:t xml:space="preserve">Connect Sync’s staging mode lets a second server import and synchronize without exporting to Entra ID. It serves three purposes:</w:t>
      </w:r>
    </w:p>
    <w:p>
      <w:pPr>
        <w:pStyle w:val="Compact"/>
        <w:numPr>
          <w:ilvl w:val="0"/>
          <w:numId w:val="1055"/>
        </w:numPr>
      </w:pPr>
      <w:r>
        <w:rPr>
          <w:b/>
          <w:bCs/>
        </w:rPr>
        <w:t xml:space="preserve">Recovery.</w:t>
      </w:r>
      <w:r>
        <w:t xml:space="preserve"> </w:t>
      </w:r>
      <w:r>
        <w:t xml:space="preserve">If the active server fails, disable staging mode on the standby to promote it. Microsoft recommends a staging-mode standby so that password hash sync isn’t down for long.</w:t>
      </w:r>
      <w:r>
        <w:rPr>
          <w:rStyle w:val="FootnoteReference"/>
        </w:rPr>
        <w:footnoteReference w:id="849"/>
      </w:r>
    </w:p>
    <w:p>
      <w:pPr>
        <w:pStyle w:val="Compact"/>
        <w:numPr>
          <w:ilvl w:val="0"/>
          <w:numId w:val="1055"/>
        </w:numPr>
      </w:pPr>
      <w:r>
        <w:rPr>
          <w:b/>
          <w:bCs/>
        </w:rPr>
        <w:t xml:space="preserve">Upgrade validation.</w:t>
      </w:r>
      <w:r>
        <w:t xml:space="preserve"> </w:t>
      </w:r>
      <w:r>
        <w:t xml:space="preserve">Test new sync rules or versions on the staging server before cutting over.</w:t>
      </w:r>
    </w:p>
    <w:p>
      <w:pPr>
        <w:pStyle w:val="Compact"/>
        <w:numPr>
          <w:ilvl w:val="0"/>
          <w:numId w:val="1055"/>
        </w:numPr>
      </w:pPr>
      <w:r>
        <w:rPr>
          <w:b/>
          <w:bCs/>
        </w:rPr>
        <w:t xml:space="preserve">Configuration verification.</w:t>
      </w:r>
      <w:r>
        <w:t xml:space="preserve"> </w:t>
      </w:r>
      <w:r>
        <w:t xml:space="preserve">Compare pending export counts between the active and staging servers to detect configuration drift.</w:t>
      </w:r>
    </w:p>
    <w:p>
      <w:pPr>
        <w:pStyle w:val="FirstParagraph"/>
      </w:pPr>
      <w:r>
        <w:t xml:space="preserve">Cloud Sync has no staging mode. It gets availability from multiple active agents instead.</w:t>
      </w:r>
    </w:p>
    <w:bookmarkEnd w:id="851"/>
    <w:bookmarkStart w:id="853" w:name="Xf0a29568b1852c00204e9742924c0a79e21f92a"/>
    <w:p>
      <w:pPr>
        <w:pStyle w:val="Heading2"/>
      </w:pPr>
      <w:bookmarkStart w:id="1466" w:name="_Toc00001466"/>
      <w:r>
        <w:t xml:space="preserve">One active Connect Sync server per tenant</w:t>
      </w:r>
      <w:bookmarkEnd w:id="1466"/>
    </w:p>
    <w:p>
      <w:pPr>
        <w:pStyle w:val="FirstParagraph"/>
      </w:pPr>
      <w:r>
        <w:t xml:space="preserve">Never run two Connect Sync servers in active (non-staging) mode against the same tenant. Connect Sync supports one active instance; Cloud Sync is the engine that supports multiple active agents.</w:t>
      </w:r>
      <w:r>
        <w:rPr>
          <w:rStyle w:val="FootnoteReference"/>
        </w:rPr>
        <w:footnoteReference w:id="852"/>
      </w:r>
      <w:r>
        <w:t xml:space="preserve"> </w:t>
      </w:r>
      <w:r>
        <w:t xml:space="preserve">Two active Connect servers export conflicting changes that are hard to unwind.</w:t>
      </w:r>
    </w:p>
    <w:bookmarkEnd w:id="853"/>
    <w:bookmarkStart w:id="859" w:name="choosing-the-sign-in-method"/>
    <w:p>
      <w:pPr>
        <w:pStyle w:val="Heading3"/>
      </w:pPr>
      <w:r>
        <w:t xml:space="preserve">Choosing the sign-in method</w:t>
      </w:r>
    </w:p>
    <w:p>
      <w:pPr>
        <w:pStyle w:val="FirstParagraph"/>
      </w:pPr>
      <w:r>
        <w:t xml:space="preserve">The sign-in method decides where passwords are validated. Microsoft’s comparison and the program’s position:</w:t>
      </w:r>
      <w:r>
        <w:rPr>
          <w:rStyle w:val="FootnoteReference"/>
        </w:rPr>
        <w:footnoteReference w:id="854"/>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Criterion</w:t>
            </w:r>
          </w:p>
        </w:tc>
        <w:tc>
          <w:tcPr/>
          <w:p>
            <w:pPr>
              <w:pStyle w:val="Compact"/>
            </w:pPr>
            <w:r>
              <w:t xml:space="preserve">Password hash sync (PHS)</w:t>
            </w:r>
          </w:p>
        </w:tc>
        <w:tc>
          <w:tcPr/>
          <w:p>
            <w:pPr>
              <w:pStyle w:val="Compact"/>
            </w:pPr>
            <w:r>
              <w:t xml:space="preserve">Pass-through authentication (PTA)</w:t>
            </w:r>
          </w:p>
        </w:tc>
        <w:tc>
          <w:tcPr/>
          <w:p>
            <w:pPr>
              <w:pStyle w:val="Compact"/>
            </w:pPr>
            <w:r>
              <w:t xml:space="preserve">Federation (AD FS)</w:t>
            </w:r>
          </w:p>
        </w:tc>
      </w:tr>
      <w:tr>
        <w:tc>
          <w:tcPr/>
          <w:p>
            <w:pPr>
              <w:pStyle w:val="Compact"/>
            </w:pPr>
            <w:r>
              <w:t xml:space="preserve">Where validation happens</w:t>
            </w:r>
          </w:p>
        </w:tc>
        <w:tc>
          <w:tcPr/>
          <w:p>
            <w:pPr>
              <w:pStyle w:val="Compact"/>
            </w:pPr>
            <w:r>
              <w:t xml:space="preserve">In the cloud, against a synchronized hash of the password hash</w:t>
            </w:r>
          </w:p>
        </w:tc>
        <w:tc>
          <w:tcPr/>
          <w:p>
            <w:pPr>
              <w:pStyle w:val="Compact"/>
            </w:pPr>
            <w:r>
              <w:t xml:space="preserve">In the cloud, after a check by an on-premises agent against AD</w:t>
            </w:r>
          </w:p>
        </w:tc>
        <w:tc>
          <w:tcPr/>
          <w:p>
            <w:pPr>
              <w:pStyle w:val="Compact"/>
            </w:pPr>
            <w:r>
              <w:t xml:space="preserve">On-premises</w:t>
            </w:r>
          </w:p>
        </w:tc>
      </w:tr>
      <w:tr>
        <w:tc>
          <w:tcPr/>
          <w:p>
            <w:pPr>
              <w:pStyle w:val="Compact"/>
            </w:pPr>
            <w:r>
              <w:t xml:space="preserve">Extra on-premises infrastructure</w:t>
            </w:r>
          </w:p>
        </w:tc>
        <w:tc>
          <w:tcPr/>
          <w:p>
            <w:pPr>
              <w:pStyle w:val="Compact"/>
            </w:pPr>
            <w:r>
              <w:t xml:space="preserve">None beyond the sync tool</w:t>
            </w:r>
          </w:p>
        </w:tc>
        <w:tc>
          <w:tcPr/>
          <w:p>
            <w:pPr>
              <w:pStyle w:val="Compact"/>
            </w:pPr>
            <w:r>
              <w:t xml:space="preserve">Agent servers; Microsoft recommends at least three in production, treated as Tier 0</w:t>
            </w:r>
            <w:r>
              <w:rPr>
                <w:rStyle w:val="FootnoteReference"/>
              </w:rPr>
              <w:footnoteReference w:id="855"/>
            </w:r>
          </w:p>
        </w:tc>
        <w:tc>
          <w:tcPr/>
          <w:p>
            <w:pPr>
              <w:pStyle w:val="Compact"/>
            </w:pPr>
            <w:r>
              <w:t xml:space="preserve">Two or more AD FS servers and two or more Web Application Proxy servers, load balancing, and certificates</w:t>
            </w:r>
          </w:p>
        </w:tc>
      </w:tr>
      <w:tr>
        <w:tc>
          <w:tcPr/>
          <w:p>
            <w:pPr>
              <w:pStyle w:val="Compact"/>
            </w:pPr>
            <w:r>
              <w:t xml:space="preserve">Survives an on-premises outage</w:t>
            </w:r>
          </w:p>
        </w:tc>
        <w:tc>
          <w:tcPr/>
          <w:p>
            <w:pPr>
              <w:pStyle w:val="Compact"/>
            </w:pPr>
            <w:r>
              <w:t xml:space="preserve">Yes</w:t>
            </w:r>
          </w:p>
        </w:tc>
        <w:tc>
          <w:tcPr/>
          <w:p>
            <w:pPr>
              <w:pStyle w:val="Compact"/>
            </w:pPr>
            <w:r>
              <w:t xml:space="preserve">No</w:t>
            </w:r>
          </w:p>
        </w:tc>
        <w:tc>
          <w:tcPr/>
          <w:p>
            <w:pPr>
              <w:pStyle w:val="Compact"/>
            </w:pPr>
            <w:r>
              <w:t xml:space="preserve">No</w:t>
            </w:r>
          </w:p>
        </w:tc>
      </w:tr>
      <w:tr>
        <w:tc>
          <w:tcPr/>
          <w:p>
            <w:pPr>
              <w:pStyle w:val="Compact"/>
            </w:pPr>
            <w:r>
              <w:t xml:space="preserve">Enforces on-premises account state at sign-in</w:t>
            </w:r>
          </w:p>
        </w:tc>
        <w:tc>
          <w:tcPr/>
          <w:p>
            <w:pPr>
              <w:pStyle w:val="Compact"/>
            </w:pPr>
            <w:r>
              <w:t xml:space="preserve">Not immediately; changes arrive with the next sync</w:t>
            </w:r>
          </w:p>
        </w:tc>
        <w:tc>
          <w:tcPr/>
          <w:p>
            <w:pPr>
              <w:pStyle w:val="Compact"/>
            </w:pPr>
            <w:r>
              <w:t xml:space="preserve">Yes (disabled, locked out, expired, logon hours)</w:t>
            </w:r>
          </w:p>
        </w:tc>
        <w:tc>
          <w:tcPr/>
          <w:p>
            <w:pPr>
              <w:pStyle w:val="Compact"/>
            </w:pPr>
            <w:r>
              <w:t xml:space="preserve">Yes</w:t>
            </w:r>
          </w:p>
        </w:tc>
      </w:tr>
      <w:tr>
        <w:tc>
          <w:tcPr/>
          <w:p>
            <w:pPr>
              <w:pStyle w:val="Compact"/>
            </w:pPr>
            <w:r>
              <w:t xml:space="preserve">Leaked-credential detection</w:t>
            </w:r>
          </w:p>
        </w:tc>
        <w:tc>
          <w:tcPr/>
          <w:p>
            <w:pPr>
              <w:pStyle w:val="Compact"/>
            </w:pPr>
            <w:r>
              <w:t xml:space="preserve">Yes; needs PHS</w:t>
            </w:r>
          </w:p>
        </w:tc>
        <w:tc>
          <w:tcPr/>
          <w:p>
            <w:pPr>
              <w:pStyle w:val="Compact"/>
            </w:pPr>
            <w:r>
              <w:t xml:space="preserve">Only if PHS is also on</w:t>
            </w:r>
          </w:p>
        </w:tc>
        <w:tc>
          <w:tcPr/>
          <w:p>
            <w:pPr>
              <w:pStyle w:val="Compact"/>
            </w:pPr>
            <w:r>
              <w:t xml:space="preserve">Only if PHS is also on</w:t>
            </w:r>
          </w:p>
        </w:tc>
      </w:tr>
      <w:tr>
        <w:tc>
          <w:tcPr/>
          <w:p>
            <w:pPr>
              <w:pStyle w:val="Compact"/>
            </w:pPr>
            <w:r>
              <w:t xml:space="preserve">Single sign-on from domain-joined devices</w:t>
            </w:r>
          </w:p>
        </w:tc>
        <w:tc>
          <w:tcPr/>
          <w:p>
            <w:pPr>
              <w:pStyle w:val="Compact"/>
            </w:pPr>
            <w:r>
              <w:t xml:space="preserve">Entra joined or hybrid joined devices, or Seamless SSO</w:t>
            </w:r>
          </w:p>
        </w:tc>
        <w:tc>
          <w:tcPr/>
          <w:p>
            <w:pPr>
              <w:pStyle w:val="Compact"/>
            </w:pPr>
            <w:r>
              <w:t xml:space="preserve">Same as PHS</w:t>
            </w:r>
          </w:p>
        </w:tc>
        <w:tc>
          <w:tcPr/>
          <w:p>
            <w:pPr>
              <w:pStyle w:val="Compact"/>
            </w:pPr>
            <w:r>
              <w:t xml:space="preserve">Yes</w:t>
            </w:r>
          </w:p>
        </w:tc>
      </w:tr>
      <w:tr>
        <w:tc>
          <w:tcPr/>
          <w:p>
            <w:pPr>
              <w:pStyle w:val="Compact"/>
            </w:pPr>
            <w:r>
              <w:t xml:space="preserve">Program position</w:t>
            </w:r>
          </w:p>
        </w:tc>
        <w:tc>
          <w:tcPr/>
          <w:p>
            <w:pPr>
              <w:pStyle w:val="Compact"/>
            </w:pPr>
            <w:r>
              <w:t xml:space="preserve">Preferred</w:t>
            </w:r>
          </w:p>
        </w:tc>
        <w:tc>
          <w:tcPr/>
          <w:p>
            <w:pPr>
              <w:pStyle w:val="Compact"/>
            </w:pPr>
            <w:r>
              <w:t xml:space="preserve">Transitional</w:t>
            </w:r>
          </w:p>
        </w:tc>
        <w:tc>
          <w:tcPr/>
          <w:p>
            <w:pPr>
              <w:pStyle w:val="Compact"/>
            </w:pPr>
            <w:r>
              <w:t xml:space="preserve">Legacy; decommission target</w:t>
            </w:r>
          </w:p>
        </w:tc>
      </w:tr>
    </w:tbl>
    <w:p>
      <w:pPr>
        <w:pStyle w:val="BodyText"/>
      </w:pPr>
      <w:r>
        <w:t xml:space="preserve">Microsoft recommends PHS for cloud authentication, and recommends enabling it whichever method you choose: it’s the fallback if PTA agents or federation fail, it’s required for ID Protection’s leaked-credential detection, and organizations that had it on recovered from ransomware outages in hours rather than weeks.</w:t>
      </w:r>
      <w:r>
        <w:rPr>
          <w:rStyle w:val="FootnoteReference"/>
        </w:rPr>
        <w:footnoteReference w:id="857"/>
      </w:r>
      <w:r>
        <w:t xml:space="preserve"> </w:t>
      </w:r>
      <w:r>
        <w:t xml:space="preserve">Failover from PTA to PHS isn’t automatic; an administrator switches the sign-in method in the sync tool.</w:t>
      </w:r>
      <w:r>
        <w:rPr>
          <w:rStyle w:val="FootnoteReference"/>
        </w:rPr>
        <w:footnoteReference w:id="858"/>
      </w:r>
    </w:p>
    <w:bookmarkEnd w:id="859"/>
    <w:bookmarkStart w:id="860" w:name="recommendation-phs-everywhere"/>
    <w:p>
      <w:pPr>
        <w:pStyle w:val="Heading2"/>
      </w:pPr>
      <w:bookmarkStart w:id="1467" w:name="_Toc00001467"/>
      <w:r>
        <w:t xml:space="preserve">Recommendation: PHS everywhere</w:t>
      </w:r>
      <w:bookmarkEnd w:id="1467"/>
    </w:p>
    <w:p>
      <w:pPr>
        <w:pStyle w:val="FirstParagraph"/>
      </w:pPr>
      <w:r>
        <w:t xml:space="preserve">PHS is the program’s sign-in method. Where PTA or federation is still in place, turn PHS on anyway so that the fallback and risk detections exist before they’re needed.</w:t>
      </w:r>
    </w:p>
    <w:bookmarkEnd w:id="860"/>
    <w:bookmarkStart w:id="864" w:name="soft-match-and-hard-match"/>
    <w:p>
      <w:pPr>
        <w:pStyle w:val="Heading3"/>
      </w:pPr>
      <w:r>
        <w:t xml:space="preserve">Soft match and hard match</w:t>
      </w:r>
    </w:p>
    <w:p>
      <w:pPr>
        <w:pStyle w:val="FirstParagraph"/>
      </w:pPr>
      <w:r>
        <w:t xml:space="preserve">When the sync engine adds an object that might already exist in the cloud, Entra ID looks for a match in this order:</w:t>
      </w:r>
      <w:r>
        <w:rPr>
          <w:rStyle w:val="FootnoteReference"/>
        </w:rPr>
        <w:footnoteReference w:id="861"/>
      </w:r>
    </w:p>
    <w:p>
      <w:pPr>
        <w:pStyle w:val="Compact"/>
        <w:numPr>
          <w:ilvl w:val="0"/>
          <w:numId w:val="1056"/>
        </w:numPr>
      </w:pPr>
      <w:r>
        <w:rPr>
          <w:b/>
          <w:bCs/>
        </w:rPr>
        <w:t xml:space="preserve">Hard match.</w:t>
      </w:r>
      <w:r>
        <w:t xml:space="preserve"> </w:t>
      </w:r>
      <w:r>
        <w:t xml:space="preserve">The incoming object’s</w:t>
      </w:r>
      <w:r>
        <w:t xml:space="preserve"> </w:t>
      </w:r>
      <w:r>
        <w:rPr>
          <w:rStyle w:val="VerbatimChar"/>
        </w:rPr>
        <w:t xml:space="preserve">sourceAnchor</w:t>
      </w:r>
      <w:r>
        <w:t xml:space="preserve"> </w:t>
      </w:r>
      <w:r>
        <w:t xml:space="preserve">(by default the Base64 form of</w:t>
      </w:r>
      <w:r>
        <w:t xml:space="preserve"> </w:t>
      </w:r>
      <w:r>
        <w:rPr>
          <w:rStyle w:val="VerbatimChar"/>
        </w:rPr>
        <w:t xml:space="preserve">ms-DS-ConsistencyGuid</w:t>
      </w:r>
      <w:r>
        <w:t xml:space="preserve">, or</w:t>
      </w:r>
      <w:r>
        <w:t xml:space="preserve"> </w:t>
      </w:r>
      <w:r>
        <w:rPr>
          <w:rStyle w:val="VerbatimChar"/>
        </w:rPr>
        <w:t xml:space="preserve">objectGUID</w:t>
      </w:r>
      <w:r>
        <w:t xml:space="preserve"> </w:t>
      </w:r>
      <w:r>
        <w:t xml:space="preserve">in some configurations) is compared with the</w:t>
      </w:r>
      <w:r>
        <w:t xml:space="preserve"> </w:t>
      </w:r>
      <w:r>
        <w:rPr>
          <w:rStyle w:val="VerbatimChar"/>
        </w:rPr>
        <w:t xml:space="preserve">onPremisesImmutableId</w:t>
      </w:r>
      <w:r>
        <w:t xml:space="preserve"> </w:t>
      </w:r>
      <w:r>
        <w:t xml:space="preserve">of existing cloud objects. A match makes AD the source of authority for that object.</w:t>
      </w:r>
    </w:p>
    <w:p>
      <w:pPr>
        <w:pStyle w:val="Compact"/>
        <w:numPr>
          <w:ilvl w:val="0"/>
          <w:numId w:val="1056"/>
        </w:numPr>
      </w:pPr>
      <w:r>
        <w:rPr>
          <w:b/>
          <w:bCs/>
        </w:rPr>
        <w:t xml:space="preserve">Soft match.</w:t>
      </w:r>
      <w:r>
        <w:t xml:space="preserve"> </w:t>
      </w:r>
      <w:r>
        <w:t xml:space="preserve">If there’s no hard match, Entra ID compares</w:t>
      </w:r>
      <w:r>
        <w:t xml:space="preserve"> </w:t>
      </w:r>
      <w:r>
        <w:rPr>
          <w:rStyle w:val="VerbatimChar"/>
        </w:rPr>
        <w:t xml:space="preserve">userPrincipalName</w:t>
      </w:r>
      <w:r>
        <w:t xml:space="preserve"> </w:t>
      </w:r>
      <w:r>
        <w:t xml:space="preserve">and the primary SMTP address in</w:t>
      </w:r>
      <w:r>
        <w:t xml:space="preserve"> </w:t>
      </w:r>
      <w:r>
        <w:rPr>
          <w:rStyle w:val="VerbatimChar"/>
        </w:rPr>
        <w:t xml:space="preserve">proxyAddresses</w:t>
      </w:r>
      <w:r>
        <w:t xml:space="preserve">. A soft match only works if the cloud object has no</w:t>
      </w:r>
      <w:r>
        <w:t xml:space="preserve"> </w:t>
      </w:r>
      <w:r>
        <w:rPr>
          <w:rStyle w:val="VerbatimChar"/>
        </w:rPr>
        <w:t xml:space="preserve">onPremisesImmutableId</w:t>
      </w:r>
      <w:r>
        <w:t xml:space="preserve"> </w:t>
      </w:r>
      <w:r>
        <w:t xml:space="preserve">yet; afterward, the</w:t>
      </w:r>
      <w:r>
        <w:t xml:space="preserve"> </w:t>
      </w:r>
      <w:r>
        <w:rPr>
          <w:rStyle w:val="VerbatimChar"/>
        </w:rPr>
        <w:t xml:space="preserve">sourceAnchor</w:t>
      </w:r>
      <w:r>
        <w:t xml:space="preserve"> </w:t>
      </w:r>
      <w:r>
        <w:t xml:space="preserve">is written so later matches are hard.</w:t>
      </w:r>
    </w:p>
    <w:p>
      <w:pPr>
        <w:pStyle w:val="FirstParagraph"/>
      </w:pPr>
      <w:r>
        <w:t xml:space="preserve">Either match overwrites the cloud object’s attributes with the on-premises values, including the password hash under PHS, so clean up AD data first. Microsoft has hardened both paths:</w:t>
      </w:r>
    </w:p>
    <w:p>
      <w:pPr>
        <w:pStyle w:val="Compact"/>
        <w:numPr>
          <w:ilvl w:val="0"/>
          <w:numId w:val="1057"/>
        </w:numPr>
      </w:pPr>
      <w:r>
        <w:t xml:space="preserve">Tenant settings</w:t>
      </w:r>
      <w:r>
        <w:t xml:space="preserve"> </w:t>
      </w:r>
      <w:r>
        <w:rPr>
          <w:rStyle w:val="VerbatimChar"/>
        </w:rPr>
        <w:t xml:space="preserve">BlockSoftMatchEnabled</w:t>
      </w:r>
      <w:r>
        <w:t xml:space="preserve"> </w:t>
      </w:r>
      <w:r>
        <w:t xml:space="preserve">and</w:t>
      </w:r>
      <w:r>
        <w:t xml:space="preserve"> </w:t>
      </w:r>
      <w:r>
        <w:rPr>
          <w:rStyle w:val="VerbatimChar"/>
        </w:rPr>
        <w:t xml:space="preserve">BlockCloudObjectTakeoverThroughHardMatchEnabled</w:t>
      </w:r>
      <w:r>
        <w:t xml:space="preserve"> </w:t>
      </w:r>
      <w:r>
        <w:t xml:space="preserve">disable each match type. Microsoft advises leaving both blocked except during a planned matching window.</w:t>
      </w:r>
      <w:r>
        <w:rPr>
          <w:rStyle w:val="FootnoteReference"/>
        </w:rPr>
        <w:footnoteReference w:id="862"/>
      </w:r>
    </w:p>
    <w:p>
      <w:pPr>
        <w:pStyle w:val="Compact"/>
        <w:numPr>
          <w:ilvl w:val="0"/>
          <w:numId w:val="1057"/>
        </w:numPr>
      </w:pPr>
      <w:r>
        <w:t xml:space="preserve">Since July 1, 2026, Entra ID blocks a hard match when the cloud account already has</w:t>
      </w:r>
      <w:r>
        <w:t xml:space="preserve"> </w:t>
      </w:r>
      <w:r>
        <w:rPr>
          <w:rStyle w:val="VerbatimChar"/>
        </w:rPr>
        <w:t xml:space="preserve">onPremisesObjectIdentifier</w:t>
      </w:r>
      <w:r>
        <w:t xml:space="preserve"> </w:t>
      </w:r>
      <w:r>
        <w:t xml:space="preserve">set, or holds or is eligible for a privileged Entra role. The block is enforced in the cloud, so it applies to both sync engines.</w:t>
      </w:r>
      <w:r>
        <w:rPr>
          <w:rStyle w:val="FootnoteReference"/>
        </w:rPr>
        <w:footnoteReference w:id="863"/>
      </w:r>
      <w:r>
        <w:t xml:space="preserve"> </w:t>
      </w:r>
      <w:r>
        <w:t xml:space="preserve">Don’t plan to take over cloud-only administrator accounts by sync; Microsoft recommends against syncing on-premises accounts onto existing administrative cloud accounts at all.</w:t>
      </w:r>
    </w:p>
    <w:bookmarkEnd w:id="864"/>
    <w:bookmarkStart w:id="870" w:name="upn-suffixes-and-alternate-login-id"/>
    <w:p>
      <w:pPr>
        <w:pStyle w:val="Heading3"/>
      </w:pPr>
      <w:r>
        <w:t xml:space="preserve">UPN suffixes and alternate login ID</w:t>
      </w:r>
    </w:p>
    <w:p>
      <w:pPr>
        <w:pStyle w:val="FirstParagraph"/>
      </w:pPr>
      <w:r>
        <w:t xml:space="preserve">Many forests use non-routable UPN suffixes (</w:t>
      </w:r>
      <w:r>
        <w:rPr>
          <w:rStyle w:val="VerbatimChar"/>
        </w:rPr>
        <w:t xml:space="preserve">contoso.local</w:t>
      </w:r>
      <w:r>
        <w:t xml:space="preserve">) or internal ones (</w:t>
      </w:r>
      <w:r>
        <w:rPr>
          <w:rStyle w:val="VerbatimChar"/>
        </w:rPr>
        <w:t xml:space="preserve">corp.contoso.com</w:t>
      </w:r>
      <w:r>
        <w:t xml:space="preserve">) that can’t be verified in the tenant. The remediation options, in order of preference:</w:t>
      </w:r>
    </w:p>
    <w:p>
      <w:pPr>
        <w:pStyle w:val="Compact"/>
        <w:numPr>
          <w:ilvl w:val="0"/>
          <w:numId w:val="1058"/>
        </w:numPr>
      </w:pPr>
      <w:r>
        <w:rPr>
          <w:b/>
          <w:bCs/>
        </w:rPr>
        <w:t xml:space="preserve">Add a routable UPN suffix to the forest and update user UPNs.</w:t>
      </w:r>
      <w:r>
        <w:t xml:space="preserve"> </w:t>
      </w:r>
      <w:r>
        <w:t xml:space="preserve">This keeps the sign-in name consistent everywhere and is what Microsoft recommends; it also recommends matching the UPN to the primary SMTP address.</w:t>
      </w:r>
      <w:r>
        <w:rPr>
          <w:rStyle w:val="FootnoteReference"/>
        </w:rPr>
        <w:footnoteReference w:id="865"/>
      </w:r>
    </w:p>
    <w:p>
      <w:pPr>
        <w:pStyle w:val="Compact"/>
        <w:numPr>
          <w:ilvl w:val="0"/>
          <w:numId w:val="1058"/>
        </w:numPr>
      </w:pPr>
      <w:r>
        <w:rPr>
          <w:b/>
          <w:bCs/>
        </w:rPr>
        <w:t xml:space="preserve">Transform the UPN during sync</w:t>
      </w:r>
      <w:r>
        <w:t xml:space="preserve"> </w:t>
      </w:r>
      <w:r>
        <w:t xml:space="preserve">with a sync rule (see</w:t>
      </w:r>
      <w:r>
        <w:t xml:space="preserve"> </w:t>
      </w:r>
      <w:hyperlink w:anchor="attribute-flow-and-transformations">
        <w:r>
          <w:rPr>
            <w:rStyle w:val="Hyperlink"/>
          </w:rPr>
          <w:t xml:space="preserve">Attribute flow</w:t>
        </w:r>
      </w:hyperlink>
      <w:r>
        <w:t xml:space="preserve">). AD keeps its UPN; Entra ID gets a constructed one. This creates a permanent mismatch that some applications notice.</w:t>
      </w:r>
    </w:p>
    <w:p>
      <w:pPr>
        <w:pStyle w:val="Compact"/>
        <w:numPr>
          <w:ilvl w:val="0"/>
          <w:numId w:val="1058"/>
        </w:numPr>
      </w:pPr>
      <w:r>
        <w:rPr>
          <w:b/>
          <w:bCs/>
        </w:rPr>
        <w:t xml:space="preserve">Use an alternate login ID.</w:t>
      </w:r>
      <w:r>
        <w:t xml:space="preserve"> </w:t>
      </w:r>
      <w:r>
        <w:t xml:space="preserve">Connect Sync can use another attribute, such as</w:t>
      </w:r>
      <w:r>
        <w:t xml:space="preserve"> </w:t>
      </w:r>
      <w:r>
        <w:rPr>
          <w:rStyle w:val="VerbatimChar"/>
        </w:rPr>
        <w:t xml:space="preserve">mail</w:t>
      </w:r>
      <w:r>
        <w:t xml:space="preserve">, as the Entra ID sign-in name. Microsoft notes that alternate ID isn’t compatible with all Microsoft 365 workloads.</w:t>
      </w:r>
      <w:r>
        <w:rPr>
          <w:rStyle w:val="FootnoteReference"/>
        </w:rPr>
        <w:footnoteReference w:id="867"/>
      </w:r>
      <w:r>
        <w:t xml:space="preserve"> </w:t>
      </w:r>
      <w:r>
        <w:t xml:space="preserve">Separately,</w:t>
      </w:r>
      <w:r>
        <w:t xml:space="preserve"> </w:t>
      </w:r>
      <w:r>
        <w:t xml:space="preserve">“email as an alternate login ID”</w:t>
      </w:r>
      <w:r>
        <w:t xml:space="preserve"> </w:t>
      </w:r>
      <w:r>
        <w:t xml:space="preserve">lets cloud-authenticated users sign in with a proxy address in addition to the UPN; it remains a preview feature as of October 2026.</w:t>
      </w:r>
      <w:r>
        <w:rPr>
          <w:rStyle w:val="FootnoteReference"/>
        </w:rPr>
        <w:footnoteReference w:id="868"/>
      </w:r>
    </w:p>
    <w:p>
      <w:pPr>
        <w:pStyle w:val="FirstParagraph"/>
      </w:pPr>
      <w:r>
        <w:t xml:space="preserve">DNS namespace alignment for new UPN suffixes is covered in the workbook’s network and DNS material.</w:t>
      </w:r>
    </w:p>
    <w:bookmarkEnd w:id="870"/>
    <w:bookmarkStart w:id="890" w:name="migrating-groups"/>
    <w:p>
      <w:pPr>
        <w:pStyle w:val="Heading2"/>
      </w:pPr>
      <w:bookmarkStart w:id="1468" w:name="_Toc00001468"/>
      <w:r>
        <w:t xml:space="preserve">Migrating groups</w:t>
      </w:r>
      <w:bookmarkEnd w:id="1468"/>
    </w:p>
    <w:bookmarkStart w:id="871" w:name="mapping-the-agdlp-tiers"/>
    <w:p>
      <w:pPr>
        <w:pStyle w:val="Heading3"/>
      </w:pPr>
      <w:r>
        <w:t xml:space="preserve">Mapping the AGDLP tiers</w:t>
      </w:r>
    </w:p>
    <w:p>
      <w:pPr>
        <w:pStyle w:val="FirstParagraph"/>
      </w:pPr>
      <w:r>
        <w:t xml:space="preserve">The AGDLP model doesn’t map one-to-one onto Entra ID, which has no scope-based nesting rules. Each tier has its own target.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AGDLP tier</w:t>
            </w:r>
          </w:p>
        </w:tc>
        <w:tc>
          <w:tcPr/>
          <w:p>
            <w:pPr>
              <w:pStyle w:val="Compact"/>
            </w:pPr>
            <w:r>
              <w:t xml:space="preserve">AD implementation</w:t>
            </w:r>
          </w:p>
        </w:tc>
        <w:tc>
          <w:tcPr/>
          <w:p>
            <w:pPr>
              <w:pStyle w:val="Compact"/>
            </w:pPr>
            <w:r>
              <w:t xml:space="preserve">Entra ID equivalent</w:t>
            </w:r>
          </w:p>
        </w:tc>
        <w:tc>
          <w:tcPr/>
          <w:p>
            <w:pPr>
              <w:pStyle w:val="Compact"/>
            </w:pPr>
            <w:r>
              <w:t xml:space="preserve">Migration approach</w:t>
            </w:r>
          </w:p>
        </w:tc>
      </w:tr>
      <w:tr>
        <w:tc>
          <w:tcPr/>
          <w:p>
            <w:pPr>
              <w:pStyle w:val="Compact"/>
            </w:pPr>
            <w:r>
              <w:t xml:space="preserve">A (account)</w:t>
            </w:r>
          </w:p>
        </w:tc>
        <w:tc>
          <w:tcPr/>
          <w:p>
            <w:pPr>
              <w:pStyle w:val="Compact"/>
            </w:pPr>
            <w:r>
              <w:t xml:space="preserve">User objects</w:t>
            </w:r>
          </w:p>
        </w:tc>
        <w:tc>
          <w:tcPr/>
          <w:p>
            <w:pPr>
              <w:pStyle w:val="Compact"/>
            </w:pPr>
            <w:r>
              <w:t xml:space="preserve">Users</w:t>
            </w:r>
          </w:p>
        </w:tc>
        <w:tc>
          <w:tcPr/>
          <w:p>
            <w:pPr>
              <w:pStyle w:val="Compact"/>
            </w:pPr>
            <w:r>
              <w:t xml:space="preserve">Sync</w:t>
            </w:r>
          </w:p>
        </w:tc>
      </w:tr>
      <w:tr>
        <w:tc>
          <w:tcPr/>
          <w:p>
            <w:pPr>
              <w:pStyle w:val="Compact"/>
            </w:pPr>
            <w:r>
              <w:t xml:space="preserve">G (global group)</w:t>
            </w:r>
          </w:p>
        </w:tc>
        <w:tc>
          <w:tcPr/>
          <w:p>
            <w:pPr>
              <w:pStyle w:val="Compact"/>
            </w:pPr>
            <w:r>
              <w:t xml:space="preserve">Global security group of users from one domain</w:t>
            </w:r>
          </w:p>
        </w:tc>
        <w:tc>
          <w:tcPr/>
          <w:p>
            <w:pPr>
              <w:pStyle w:val="Compact"/>
            </w:pPr>
            <w:r>
              <w:t xml:space="preserve">Dynamic security group, or assigned security group</w:t>
            </w:r>
          </w:p>
        </w:tc>
        <w:tc>
          <w:tcPr/>
          <w:p>
            <w:pPr>
              <w:pStyle w:val="Compact"/>
            </w:pPr>
            <w:r>
              <w:t xml:space="preserve">Evaluate for dynamic conversion; sync where membership must stay static</w:t>
            </w:r>
          </w:p>
        </w:tc>
      </w:tr>
      <w:tr>
        <w:tc>
          <w:tcPr/>
          <w:p>
            <w:pPr>
              <w:pStyle w:val="Compact"/>
            </w:pPr>
            <w:r>
              <w:t xml:space="preserve">U (universal group)</w:t>
            </w:r>
          </w:p>
        </w:tc>
        <w:tc>
          <w:tcPr/>
          <w:p>
            <w:pPr>
              <w:pStyle w:val="Compact"/>
            </w:pPr>
            <w:r>
              <w:t xml:space="preserve">Universal group spanning domains</w:t>
            </w:r>
          </w:p>
        </w:tc>
        <w:tc>
          <w:tcPr/>
          <w:p>
            <w:pPr>
              <w:pStyle w:val="Compact"/>
            </w:pPr>
            <w:r>
              <w:t xml:space="preserve">Security group (no scope in Entra ID)</w:t>
            </w:r>
          </w:p>
        </w:tc>
        <w:tc>
          <w:tcPr/>
          <w:p>
            <w:pPr>
              <w:pStyle w:val="Compact"/>
            </w:pPr>
            <w:r>
              <w:t xml:space="preserve">Sync; consider consolidating with G-tier groups</w:t>
            </w:r>
          </w:p>
        </w:tc>
      </w:tr>
      <w:tr>
        <w:tc>
          <w:tcPr/>
          <w:p>
            <w:pPr>
              <w:pStyle w:val="Compact"/>
            </w:pPr>
            <w:r>
              <w:t xml:space="preserve">DL (domain local group)</w:t>
            </w:r>
          </w:p>
        </w:tc>
        <w:tc>
          <w:tcPr/>
          <w:p>
            <w:pPr>
              <w:pStyle w:val="Compact"/>
            </w:pPr>
            <w:r>
              <w:t xml:space="preserve">Group placed on a resource ACL</w:t>
            </w:r>
          </w:p>
        </w:tc>
        <w:tc>
          <w:tcPr/>
          <w:p>
            <w:pPr>
              <w:pStyle w:val="Compact"/>
            </w:pPr>
            <w:r>
              <w:t xml:space="preserve">Security group assigned to an app role or resource</w:t>
            </w:r>
          </w:p>
        </w:tc>
        <w:tc>
          <w:tcPr/>
          <w:p>
            <w:pPr>
              <w:pStyle w:val="Compact"/>
            </w:pPr>
            <w:r>
              <w:t xml:space="preserve">Sync; may collapse into the resource assignment</w:t>
            </w:r>
          </w:p>
        </w:tc>
      </w:tr>
      <w:tr>
        <w:tc>
          <w:tcPr/>
          <w:p>
            <w:pPr>
              <w:pStyle w:val="Compact"/>
            </w:pPr>
            <w:r>
              <w:t xml:space="preserve">P (permission)</w:t>
            </w:r>
          </w:p>
        </w:tc>
        <w:tc>
          <w:tcPr/>
          <w:p>
            <w:pPr>
              <w:pStyle w:val="Compact"/>
            </w:pPr>
            <w:r>
              <w:t xml:space="preserve">NTFS, share, or resource ACL entry</w:t>
            </w:r>
          </w:p>
        </w:tc>
        <w:tc>
          <w:tcPr/>
          <w:p>
            <w:pPr>
              <w:pStyle w:val="Compact"/>
            </w:pPr>
            <w:r>
              <w:t xml:space="preserve">App role assignment, SharePoint permission level, or Entra role</w:t>
            </w:r>
          </w:p>
        </w:tc>
        <w:tc>
          <w:tcPr/>
          <w:p>
            <w:pPr>
              <w:pStyle w:val="Compact"/>
            </w:pPr>
            <w:r>
              <w:t xml:space="preserve">Re-express in the cloud permission model</w:t>
            </w:r>
          </w:p>
        </w:tc>
      </w:tr>
    </w:tbl>
    <w:bookmarkEnd w:id="871"/>
    <w:bookmarkStart w:id="874" w:name="the-per-group-decision"/>
    <w:p>
      <w:pPr>
        <w:pStyle w:val="Heading3"/>
      </w:pPr>
      <w:r>
        <w:t xml:space="preserve">The per-group decision</w:t>
      </w:r>
    </w:p>
    <w:p>
      <w:pPr>
        <w:pStyle w:val="FirstParagraph"/>
      </w:pPr>
      <w:r>
        <w:t xml:space="preserve">Every AD security group needs one of three decisions: keep it synchronized (hybrid), convert it to cloud-only, or retire it. The group’s purpose and dependencies decide which.</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Group characteristic</w:t>
            </w:r>
          </w:p>
        </w:tc>
        <w:tc>
          <w:tcPr/>
          <w:p>
            <w:pPr>
              <w:pStyle w:val="Compact"/>
            </w:pPr>
            <w:r>
              <w:t xml:space="preserve">Decision</w:t>
            </w:r>
          </w:p>
        </w:tc>
        <w:tc>
          <w:tcPr/>
          <w:p>
            <w:pPr>
              <w:pStyle w:val="Compact"/>
            </w:pPr>
            <w:r>
              <w:t xml:space="preserve">Rationale</w:t>
            </w:r>
          </w:p>
        </w:tc>
      </w:tr>
      <w:tr>
        <w:tc>
          <w:tcPr/>
          <w:p>
            <w:pPr>
              <w:pStyle w:val="Compact"/>
            </w:pPr>
            <w:r>
              <w:t xml:space="preserve">Used only for on-premises resource ACLs</w:t>
            </w:r>
          </w:p>
        </w:tc>
        <w:tc>
          <w:tcPr/>
          <w:p>
            <w:pPr>
              <w:pStyle w:val="Compact"/>
            </w:pPr>
            <w:r>
              <w:t xml:space="preserve">Keep in AD; don’t sync</w:t>
            </w:r>
          </w:p>
        </w:tc>
        <w:tc>
          <w:tcPr/>
          <w:p>
            <w:pPr>
              <w:pStyle w:val="Compact"/>
            </w:pPr>
            <w:r>
              <w:t xml:space="preserve">A cloud copy adds nothing</w:t>
            </w:r>
          </w:p>
        </w:tc>
      </w:tr>
      <w:tr>
        <w:tc>
          <w:tcPr/>
          <w:p>
            <w:pPr>
              <w:pStyle w:val="Compact"/>
            </w:pPr>
            <w:r>
              <w:t xml:space="preserve">Used for both on-premises and cloud resources</w:t>
            </w:r>
          </w:p>
        </w:tc>
        <w:tc>
          <w:tcPr/>
          <w:p>
            <w:pPr>
              <w:pStyle w:val="Compact"/>
            </w:pPr>
            <w:r>
              <w:t xml:space="preserve">Synchronize</w:t>
            </w:r>
          </w:p>
        </w:tc>
        <w:tc>
          <w:tcPr/>
          <w:p>
            <w:pPr>
              <w:pStyle w:val="Compact"/>
            </w:pPr>
            <w:r>
              <w:t xml:space="preserve">AD stays the source of authority during the transition</w:t>
            </w:r>
          </w:p>
        </w:tc>
      </w:tr>
      <w:tr>
        <w:tc>
          <w:tcPr/>
          <w:p>
            <w:pPr>
              <w:pStyle w:val="Compact"/>
            </w:pPr>
            <w:r>
              <w:t xml:space="preserve">Used only for cloud resources</w:t>
            </w:r>
          </w:p>
        </w:tc>
        <w:tc>
          <w:tcPr/>
          <w:p>
            <w:pPr>
              <w:pStyle w:val="Compact"/>
            </w:pPr>
            <w:r>
              <w:t xml:space="preserve">Convert to cloud-only</w:t>
            </w:r>
          </w:p>
        </w:tc>
        <w:tc>
          <w:tcPr/>
          <w:p>
            <w:pPr>
              <w:pStyle w:val="Compact"/>
            </w:pPr>
            <w:r>
              <w:t xml:space="preserve">Removes the AD dependency</w:t>
            </w:r>
          </w:p>
        </w:tc>
      </w:tr>
      <w:tr>
        <w:tc>
          <w:tcPr/>
          <w:p>
            <w:pPr>
              <w:pStyle w:val="Compact"/>
            </w:pPr>
            <w:r>
              <w:t xml:space="preserve">Membership follows attributes exactly</w:t>
            </w:r>
          </w:p>
        </w:tc>
        <w:tc>
          <w:tcPr/>
          <w:p>
            <w:pPr>
              <w:pStyle w:val="Compact"/>
            </w:pPr>
            <w:r>
              <w:t xml:space="preserve">Convert to dynamic group</w:t>
            </w:r>
          </w:p>
        </w:tc>
        <w:tc>
          <w:tcPr/>
          <w:p>
            <w:pPr>
              <w:pStyle w:val="Compact"/>
            </w:pPr>
            <w:r>
              <w:t xml:space="preserve">Removes manual membership management</w:t>
            </w:r>
          </w:p>
        </w:tc>
      </w:tr>
      <w:tr>
        <w:tc>
          <w:tcPr/>
          <w:p>
            <w:pPr>
              <w:pStyle w:val="Compact"/>
            </w:pPr>
            <w:r>
              <w:t xml:space="preserve">No members or no resource assignments</w:t>
            </w:r>
          </w:p>
        </w:tc>
        <w:tc>
          <w:tcPr/>
          <w:p>
            <w:pPr>
              <w:pStyle w:val="Compact"/>
            </w:pPr>
            <w:r>
              <w:t xml:space="preserve">Retire</w:t>
            </w:r>
          </w:p>
        </w:tc>
        <w:tc>
          <w:tcPr/>
          <w:p>
            <w:pPr>
              <w:pStyle w:val="Compact"/>
            </w:pPr>
            <w:r>
              <w:t xml:space="preserve">Shrinks the identity surface</w:t>
            </w:r>
          </w:p>
        </w:tc>
      </w:tr>
    </w:tbl>
    <w:p>
      <w:pPr>
        <w:pStyle w:val="BodyText"/>
      </w:pPr>
      <w:r>
        <w:t xml:space="preserve">Where a cloud-only group still has to grant access to an AD-integrated (Kerberos) application, provision it back to AD with Cloud Sync’s group provisioning, which writes cloud security groups to AD as universal groups.</w:t>
      </w:r>
      <w:r>
        <w:rPr>
          <w:rStyle w:val="FootnoteReference"/>
        </w:rPr>
        <w:footnoteReference w:id="872"/>
      </w:r>
    </w:p>
    <w:bookmarkEnd w:id="874"/>
    <w:bookmarkStart w:id="875" w:name="X29eb7303b9e440967c20aae55c25a7fbda399ef"/>
    <w:p>
      <w:pPr>
        <w:pStyle w:val="Heading3"/>
      </w:pPr>
      <w:r>
        <w:t xml:space="preserve">Converting static groups to dynamic groups</w:t>
      </w:r>
    </w:p>
    <w:p>
      <w:pPr>
        <w:pStyle w:val="FirstParagraph"/>
      </w:pPr>
      <w:r>
        <w:t xml:space="preserve">Static AD groups whose membership really follows department, location, or role are candidates for dynamic groups. The conversion:</w:t>
      </w:r>
    </w:p>
    <w:p>
      <w:pPr>
        <w:pStyle w:val="Compact"/>
        <w:numPr>
          <w:ilvl w:val="0"/>
          <w:numId w:val="1059"/>
        </w:numPr>
      </w:pPr>
      <w:r>
        <w:rPr>
          <w:b/>
          <w:bCs/>
        </w:rPr>
        <w:t xml:space="preserve">Analyze current membership.</w:t>
      </w:r>
      <w:r>
        <w:t xml:space="preserve"> </w:t>
      </w:r>
      <w:r>
        <w:t xml:space="preserve">Export the members and find the attributes they share.</w:t>
      </w:r>
    </w:p>
    <w:p>
      <w:pPr>
        <w:pStyle w:val="Compact"/>
        <w:numPr>
          <w:ilvl w:val="0"/>
          <w:numId w:val="1059"/>
        </w:numPr>
      </w:pPr>
      <w:r>
        <w:rPr>
          <w:b/>
          <w:bCs/>
        </w:rPr>
        <w:t xml:space="preserve">Draft the rule</w:t>
      </w:r>
      <w:r>
        <w:t xml:space="preserve"> </w:t>
      </w:r>
      <w:r>
        <w:t xml:space="preserve">from those attributes (see</w:t>
      </w:r>
      <w:r>
        <w:t xml:space="preserve"> </w:t>
      </w:r>
      <w:hyperlink w:anchor="dynamic-group-rule-syntax">
        <w:r>
          <w:rPr>
            <w:rStyle w:val="Hyperlink"/>
          </w:rPr>
          <w:t xml:space="preserve">Dynamic group rule syntax</w:t>
        </w:r>
      </w:hyperlink>
      <w:r>
        <w:t xml:space="preserve">).</w:t>
      </w:r>
    </w:p>
    <w:p>
      <w:pPr>
        <w:pStyle w:val="Compact"/>
        <w:numPr>
          <w:ilvl w:val="0"/>
          <w:numId w:val="1059"/>
        </w:numPr>
      </w:pPr>
      <w:r>
        <w:rPr>
          <w:b/>
          <w:bCs/>
        </w:rPr>
        <w:t xml:space="preserve">Validate coverage.</w:t>
      </w:r>
      <w:r>
        <w:t xml:space="preserve"> </w:t>
      </w:r>
      <w:r>
        <w:t xml:space="preserve">Compare what the rule would return with today’s membership. The admin center’s rule validation helps here.</w:t>
      </w:r>
    </w:p>
    <w:p>
      <w:pPr>
        <w:pStyle w:val="Compact"/>
        <w:numPr>
          <w:ilvl w:val="0"/>
          <w:numId w:val="1059"/>
        </w:numPr>
      </w:pPr>
      <w:r>
        <w:rPr>
          <w:b/>
          <w:bCs/>
        </w:rPr>
        <w:t xml:space="preserve">Handle exceptions.</w:t>
      </w:r>
      <w:r>
        <w:t xml:space="preserve"> </w:t>
      </w:r>
      <w:r>
        <w:t xml:space="preserve">Members who don’t fit need attribute remediation at the source or an explicit, reviewed exception group.</w:t>
      </w:r>
    </w:p>
    <w:p>
      <w:pPr>
        <w:pStyle w:val="Compact"/>
        <w:numPr>
          <w:ilvl w:val="0"/>
          <w:numId w:val="1059"/>
        </w:numPr>
      </w:pPr>
      <w:r>
        <w:rPr>
          <w:b/>
          <w:bCs/>
        </w:rPr>
        <w:t xml:space="preserve">Create the dynamic group</w:t>
      </w:r>
      <w:r>
        <w:t xml:space="preserve"> </w:t>
      </w:r>
      <w:r>
        <w:t xml:space="preserve">and watch membership populate.</w:t>
      </w:r>
    </w:p>
    <w:p>
      <w:pPr>
        <w:pStyle w:val="Compact"/>
        <w:numPr>
          <w:ilvl w:val="0"/>
          <w:numId w:val="1059"/>
        </w:numPr>
      </w:pPr>
      <w:r>
        <w:rPr>
          <w:b/>
          <w:bCs/>
        </w:rPr>
        <w:t xml:space="preserve">Move resource assignments</w:t>
      </w:r>
      <w:r>
        <w:t xml:space="preserve"> </w:t>
      </w:r>
      <w:r>
        <w:t xml:space="preserve">from the synced static group to the dynamic group.</w:t>
      </w:r>
    </w:p>
    <w:p>
      <w:pPr>
        <w:pStyle w:val="Compact"/>
        <w:numPr>
          <w:ilvl w:val="0"/>
          <w:numId w:val="1059"/>
        </w:numPr>
      </w:pPr>
      <w:r>
        <w:rPr>
          <w:b/>
          <w:bCs/>
        </w:rPr>
        <w:t xml:space="preserve">Retire the static group.</w:t>
      </w:r>
      <w:r>
        <w:t xml:space="preserve"> </w:t>
      </w:r>
      <w:r>
        <w:t xml:space="preserve">Take it out of sync scope and archive its membership export.</w:t>
      </w:r>
    </w:p>
    <w:bookmarkEnd w:id="875"/>
    <w:bookmarkStart w:id="883" w:name="nested-groups"/>
    <w:p>
      <w:pPr>
        <w:pStyle w:val="Heading3"/>
      </w:pPr>
      <w:r>
        <w:t xml:space="preserve">Nested groups</w:t>
      </w:r>
    </w:p>
    <w:p>
      <w:pPr>
        <w:pStyle w:val="FirstParagraph"/>
      </w:pPr>
      <w:r>
        <w:t xml:space="preserve">Entra ID security groups can contain other security groups, but nesting works for fewer things than in AD.</w:t>
      </w:r>
      <w:r>
        <w:rPr>
          <w:rStyle w:val="FootnoteReference"/>
        </w:rPr>
        <w:footnoteReference w:id="876"/>
      </w:r>
      <w:r>
        <w:t xml:space="preserve"> </w:t>
      </w:r>
      <w:r>
        <w:t xml:space="preserve">As of October 2026:</w:t>
      </w:r>
    </w:p>
    <w:p>
      <w:pPr>
        <w:pStyle w:val="Compact"/>
        <w:numPr>
          <w:ilvl w:val="0"/>
          <w:numId w:val="1060"/>
        </w:numPr>
      </w:pPr>
      <w:r>
        <w:t xml:space="preserve">Conditional Access and group-scoped policies follow nested members.</w:t>
      </w:r>
      <w:r>
        <w:rPr>
          <w:rStyle w:val="FootnoteReference"/>
        </w:rPr>
        <w:footnoteReference w:id="878"/>
      </w:r>
    </w:p>
    <w:p>
      <w:pPr>
        <w:pStyle w:val="Compact"/>
        <w:numPr>
          <w:ilvl w:val="0"/>
          <w:numId w:val="1060"/>
        </w:numPr>
      </w:pPr>
      <w:r>
        <w:t xml:space="preserve">Group-based assignment to applications doesn’t cascade to nested groups, and group-based licensing doesn’t apply to members of nested groups.</w:t>
      </w:r>
      <w:r>
        <w:rPr>
          <w:rStyle w:val="FootnoteReference"/>
        </w:rPr>
        <w:footnoteReference w:id="880"/>
      </w:r>
    </w:p>
    <w:p>
      <w:pPr>
        <w:pStyle w:val="Compact"/>
        <w:numPr>
          <w:ilvl w:val="0"/>
          <w:numId w:val="1060"/>
        </w:numPr>
      </w:pPr>
      <w:r>
        <w:t xml:space="preserve">Groups can’t be nested into groups synced from AD, into Microsoft 365 groups, into mail-enabled security groups, or into role-assignable groups.</w:t>
      </w:r>
      <w:r>
        <w:rPr>
          <w:rStyle w:val="FootnoteReference"/>
        </w:rPr>
        <w:footnoteReference w:id="881"/>
      </w:r>
    </w:p>
    <w:p>
      <w:pPr>
        <w:pStyle w:val="Compact"/>
        <w:numPr>
          <w:ilvl w:val="0"/>
          <w:numId w:val="1060"/>
        </w:numPr>
      </w:pPr>
      <w:r>
        <w:t xml:space="preserve">Dynamic groups contain only users or only devices, never groups.</w:t>
      </w:r>
      <w:r>
        <w:rPr>
          <w:rStyle w:val="FootnoteReference"/>
        </w:rPr>
        <w:footnoteReference w:id="882"/>
      </w:r>
    </w:p>
    <w:p>
      <w:pPr>
        <w:pStyle w:val="FirstParagraph"/>
      </w:pPr>
      <w:r>
        <w:t xml:space="preserve">So flatten deep AGDLP chains before they become cloud authorization:</w:t>
      </w:r>
    </w:p>
    <w:p>
      <w:pPr>
        <w:pStyle w:val="Compact"/>
        <w:numPr>
          <w:ilvl w:val="0"/>
          <w:numId w:val="1061"/>
        </w:numPr>
      </w:pPr>
      <w:r>
        <w:t xml:space="preserve">Identify the chains: recursively enumerate membership and find chains deeper than one level.</w:t>
      </w:r>
    </w:p>
    <w:p>
      <w:pPr>
        <w:pStyle w:val="Compact"/>
        <w:numPr>
          <w:ilvl w:val="0"/>
          <w:numId w:val="1061"/>
        </w:numPr>
      </w:pPr>
      <w:r>
        <w:t xml:space="preserve">Flatten to direct membership or a dynamic rule that produces the same effective membership.</w:t>
      </w:r>
    </w:p>
    <w:p>
      <w:pPr>
        <w:pStyle w:val="Compact"/>
        <w:numPr>
          <w:ilvl w:val="0"/>
          <w:numId w:val="1061"/>
        </w:numPr>
      </w:pPr>
      <w:r>
        <w:t xml:space="preserve">Record the mapping from the original nesting to the flattened result, for the audit trail.</w:t>
      </w:r>
    </w:p>
    <w:bookmarkEnd w:id="883"/>
    <w:bookmarkStart w:id="887" w:name="microsoft-365-groups"/>
    <w:p>
      <w:pPr>
        <w:pStyle w:val="Heading3"/>
      </w:pPr>
      <w:r>
        <w:t xml:space="preserve">Microsoft 365 groups</w:t>
      </w:r>
    </w:p>
    <w:p>
      <w:pPr>
        <w:pStyle w:val="FirstParagraph"/>
      </w:pPr>
      <w:r>
        <w:t xml:space="preserve">Microsoft 365 groups add collaboration features that AD groups never had: a shared mailbox, calendar, files, Planner, and Teams.</w:t>
      </w:r>
    </w:p>
    <w:p>
      <w:pPr>
        <w:pStyle w:val="Compact"/>
        <w:numPr>
          <w:ilvl w:val="0"/>
          <w:numId w:val="1062"/>
        </w:numPr>
      </w:pPr>
      <w:r>
        <w:t xml:space="preserve">Convert to a Microsoft 365 group when the group needs collaboration features, represents a project or working team, or should be owner-managed.</w:t>
      </w:r>
    </w:p>
    <w:p>
      <w:pPr>
        <w:pStyle w:val="Compact"/>
        <w:numPr>
          <w:ilvl w:val="0"/>
          <w:numId w:val="1062"/>
        </w:numPr>
      </w:pPr>
      <w:r>
        <w:t xml:space="preserve">Don’t convert when the group exists only for authorization or needs to contain other groups; Microsoft 365 groups can contain only users.</w:t>
      </w:r>
      <w:r>
        <w:rPr>
          <w:rStyle w:val="FootnoteReference"/>
        </w:rPr>
        <w:footnoteReference w:id="884"/>
      </w:r>
    </w:p>
    <w:p>
      <w:pPr>
        <w:pStyle w:val="Compact"/>
        <w:numPr>
          <w:ilvl w:val="0"/>
          <w:numId w:val="1062"/>
        </w:numPr>
      </w:pPr>
      <w:r>
        <w:t xml:space="preserve">Govern them with naming conventions (prefixes such as</w:t>
      </w:r>
      <w:r>
        <w:t xml:space="preserve"> </w:t>
      </w:r>
      <w:r>
        <w:rPr>
          <w:rStyle w:val="VerbatimChar"/>
        </w:rPr>
        <w:t xml:space="preserve">GRP-</w:t>
      </w:r>
      <w:r>
        <w:t xml:space="preserve">,</w:t>
      </w:r>
      <w:r>
        <w:t xml:space="preserve"> </w:t>
      </w:r>
      <w:r>
        <w:rPr>
          <w:rStyle w:val="VerbatimChar"/>
        </w:rPr>
        <w:t xml:space="preserve">PRJ-</w:t>
      </w:r>
      <w:r>
        <w:t xml:space="preserve">,</w:t>
      </w:r>
      <w:r>
        <w:t xml:space="preserve"> </w:t>
      </w:r>
      <w:r>
        <w:rPr>
          <w:rStyle w:val="VerbatimChar"/>
        </w:rPr>
        <w:t xml:space="preserve">DEPT-</w:t>
      </w:r>
      <w:r>
        <w:t xml:space="preserve">), an expiration policy, and sensitivity labels.</w:t>
      </w:r>
    </w:p>
    <w:p>
      <w:pPr>
        <w:pStyle w:val="FirstParagraph"/>
      </w:pPr>
      <w:r>
        <w:t xml:space="preserve">The expiration policy deletes groups that owners don’t renew; groups with user activity renew automatically, owners are notified before expiry, and a deleted group can be restored for 30 days. The lifetime is a preset or a custom value of at least 30 days, and only one policy applies across the tenant.</w:t>
      </w:r>
      <w:r>
        <w:rPr>
          <w:rStyle w:val="FootnoteReference"/>
        </w:rPr>
        <w:footnoteReference w:id="885"/>
      </w:r>
      <w:r>
        <w:t xml:space="preserve"> </w:t>
      </w:r>
      <w:r>
        <w:t xml:space="preserve">The program uses 365 days.</w:t>
      </w:r>
    </w:p>
    <w:bookmarkEnd w:id="887"/>
    <w:bookmarkStart w:id="888" w:name="self-service-group-management"/>
    <w:p>
      <w:pPr>
        <w:pStyle w:val="Heading3"/>
      </w:pPr>
      <w:r>
        <w:t xml:space="preserve">Self-service group management</w:t>
      </w:r>
    </w:p>
    <w:p>
      <w:pPr>
        <w:pStyle w:val="FirstParagraph"/>
      </w:pPr>
      <w:r>
        <w:t xml:space="preserve">Entra ID lets group owners manage membership without IT. The program puts three controls around it:</w:t>
      </w:r>
    </w:p>
    <w:p>
      <w:pPr>
        <w:pStyle w:val="Compact"/>
        <w:numPr>
          <w:ilvl w:val="0"/>
          <w:numId w:val="1063"/>
        </w:numPr>
      </w:pPr>
      <w:r>
        <w:t xml:space="preserve">Recurring access reviews of sensitive group membership by owners (licensing in</w:t>
      </w:r>
      <w:r>
        <w:t xml:space="preserve"> </w:t>
      </w:r>
      <w:hyperlink w:anchor="licensing-for-governance-features">
        <w:r>
          <w:rPr>
            <w:rStyle w:val="Hyperlink"/>
          </w:rPr>
          <w:t xml:space="preserve">Licensing for governance features</w:t>
        </w:r>
      </w:hyperlink>
      <w:r>
        <w:t xml:space="preserve">).</w:t>
      </w:r>
    </w:p>
    <w:p>
      <w:pPr>
        <w:pStyle w:val="Compact"/>
        <w:numPr>
          <w:ilvl w:val="0"/>
          <w:numId w:val="1063"/>
        </w:numPr>
      </w:pPr>
      <w:r>
        <w:t xml:space="preserve">An expiration policy for Microsoft 365 groups, as above.</w:t>
      </w:r>
    </w:p>
    <w:p>
      <w:pPr>
        <w:pStyle w:val="Compact"/>
        <w:numPr>
          <w:ilvl w:val="0"/>
          <w:numId w:val="1063"/>
        </w:numPr>
      </w:pPr>
      <w:r>
        <w:t xml:space="preserve">A group naming policy to enforce the conventions.</w:t>
      </w:r>
    </w:p>
    <w:bookmarkEnd w:id="888"/>
    <w:bookmarkStart w:id="889" w:name="X839255332ad4930baf48defa6962794300c88ab"/>
    <w:p>
      <w:pPr>
        <w:pStyle w:val="Heading3"/>
      </w:pPr>
      <w:r>
        <w:t xml:space="preserve">Exporting AD groups and creating cloud groups</w:t>
      </w:r>
    </w:p>
    <w:p>
      <w:pPr>
        <w:pStyle w:val="FirstParagraph"/>
      </w:pPr>
      <w:r>
        <w:t xml:space="preserve">The script exports AD groups with a migration classification, then creates cloud-only security groups for the ones marked as security groups. It reads AD and writes only to Entra ID, and only for groups you select.</w:t>
      </w:r>
    </w:p>
    <w:bookmarkEnd w:id="889"/>
    <w:bookmarkEnd w:id="890"/>
    <w:bookmarkStart w:id="891" w:name="illustrative-code-4"/>
    <w:p>
      <w:pPr>
        <w:pStyle w:val="Heading2"/>
      </w:pPr>
      <w:bookmarkStart w:id="1469" w:name="_Toc00001469"/>
      <w:r>
        <w:t xml:space="preserve">Illustrative code</w:t>
      </w:r>
      <w:bookmarkEnd w:id="1469"/>
    </w:p>
    <w:p>
      <w:pPr>
        <w:pStyle w:val="FirstParagraph"/>
      </w:pPr>
      <w:r>
        <w:t xml:space="preserve">The PowerShell in this chapter is illustrative. It hasn’t been tested against a production forest or tenant. Review it, run the export in a lab first, and run the create step only after the group decisions above are recorded.</w:t>
      </w:r>
    </w:p>
    <w:bookmarkEnd w:id="891"/>
    <w:p>
      <w:pPr>
        <w:pStyle w:val="SourceCode"/>
      </w:pPr>
      <w:r>
        <w:rPr>
          <w:rStyle w:val="CommentTok"/>
        </w:rPr>
        <w:t xml:space="preserve">#Requires -Modules ActiveDirectory, Microsoft.Graph.Groups</w:t>
      </w:r>
      <w:r>
        <w:br/>
      </w:r>
      <w:r>
        <w:rPr>
          <w:rStyle w:val="CommentTok"/>
        </w:rPr>
        <w:t xml:space="preserve"># Federal Modernization Program: export AD groups and create cloud-only security groups.</w:t>
      </w:r>
      <w:r>
        <w:br/>
      </w:r>
      <w:r>
        <w:br/>
      </w:r>
      <w:r>
        <w:rPr>
          <w:rStyle w:val="CommentTok"/>
        </w:rPr>
        <w:t xml:space="preserve"># --- Phase 1: export AD groups ---</w:t>
      </w:r>
      <w:r>
        <w:br/>
      </w:r>
      <w:r>
        <w:rPr>
          <w:rStyle w:val="VariableTok"/>
        </w:rPr>
        <w:t xml:space="preserve">$exportPath</w:t>
      </w:r>
      <w:r>
        <w:rPr>
          <w:rStyle w:val="NormalTok"/>
        </w:rPr>
        <w:t xml:space="preserve"> </w:t>
      </w:r>
      <w:r>
        <w:rPr>
          <w:rStyle w:val="OperatorTok"/>
        </w:rPr>
        <w:t xml:space="preserve">=</w:t>
      </w:r>
      <w:r>
        <w:rPr>
          <w:rStyle w:val="NormalTok"/>
        </w:rPr>
        <w:t xml:space="preserve"> </w:t>
      </w:r>
      <w:r>
        <w:rPr>
          <w:rStyle w:val="StringTok"/>
        </w:rPr>
        <w:t xml:space="preserve">"C:\FMP\Exports\ADGroups_</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w:t>
      </w:r>
      <w:r>
        <w:rPr>
          <w:rStyle w:val="OperatorTok"/>
        </w:rPr>
        <w:t xml:space="preserve">)</w:t>
      </w:r>
      <w:r>
        <w:rPr>
          <w:rStyle w:val="StringTok"/>
        </w:rPr>
        <w:t xml:space="preserve">.json"</w:t>
      </w:r>
      <w:r>
        <w:br/>
      </w:r>
      <w:r>
        <w:br/>
      </w:r>
      <w:r>
        <w:rPr>
          <w:rStyle w:val="VariableTok"/>
        </w:rPr>
        <w:t xml:space="preserve">$adGroups</w:t>
      </w:r>
      <w:r>
        <w:rPr>
          <w:rStyle w:val="NormalTok"/>
        </w:rPr>
        <w:t xml:space="preserve"> </w:t>
      </w:r>
      <w:r>
        <w:rPr>
          <w:rStyle w:val="OperatorTok"/>
        </w:rPr>
        <w:t xml:space="preserve">=</w:t>
      </w:r>
      <w:r>
        <w:rPr>
          <w:rStyle w:val="NormalTok"/>
        </w:rPr>
        <w:t xml:space="preserve"> </w:t>
      </w:r>
      <w:r>
        <w:rPr>
          <w:rStyle w:val="FunctionTok"/>
        </w:rPr>
        <w:t xml:space="preserve">Get-ADGroup</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Properties Description</w:t>
      </w:r>
      <w:r>
        <w:rPr>
          <w:rStyle w:val="OperatorTok"/>
        </w:rPr>
        <w:t xml:space="preserve">,</w:t>
      </w:r>
      <w:r>
        <w:rPr>
          <w:rStyle w:val="NormalTok"/>
        </w:rPr>
        <w:t xml:space="preserve"> GroupScope</w:t>
      </w:r>
      <w:r>
        <w:rPr>
          <w:rStyle w:val="OperatorTok"/>
        </w:rPr>
        <w:t xml:space="preserve">,</w:t>
      </w:r>
      <w:r>
        <w:rPr>
          <w:rStyle w:val="NormalTok"/>
        </w:rPr>
        <w:t xml:space="preserve"> GroupCategory</w:t>
      </w:r>
      <w:r>
        <w:rPr>
          <w:rStyle w:val="OperatorTok"/>
        </w:rPr>
        <w:t xml:space="preserve">,</w:t>
      </w:r>
      <w:r>
        <w:br/>
      </w:r>
      <w:r>
        <w:rPr>
          <w:rStyle w:val="NormalTok"/>
        </w:rPr>
        <w:t xml:space="preserve">        ManagedBy</w:t>
      </w:r>
      <w:r>
        <w:rPr>
          <w:rStyle w:val="OperatorTok"/>
        </w:rPr>
        <w:t xml:space="preserve">,</w:t>
      </w:r>
      <w:r>
        <w:rPr>
          <w:rStyle w:val="NormalTok"/>
        </w:rPr>
        <w:t xml:space="preserve"> Members</w:t>
      </w:r>
      <w:r>
        <w:rPr>
          <w:rStyle w:val="OperatorTok"/>
        </w:rPr>
        <w:t xml:space="preserve">,</w:t>
      </w:r>
      <w:r>
        <w:rPr>
          <w:rStyle w:val="NormalTok"/>
        </w:rPr>
        <w:t xml:space="preserve"> MemberOf</w:t>
      </w:r>
      <w:r>
        <w:rPr>
          <w:rStyle w:val="OperatorTok"/>
        </w:rPr>
        <w:t xml:space="preserve">,</w:t>
      </w:r>
      <w:r>
        <w:rPr>
          <w:rStyle w:val="NormalTok"/>
        </w:rPr>
        <w:t xml:space="preserve"> Mail</w:t>
      </w:r>
      <w:r>
        <w:rPr>
          <w:rStyle w:val="OperatorTok"/>
        </w:rPr>
        <w:t xml:space="preserve">,</w:t>
      </w:r>
      <w:r>
        <w:rPr>
          <w:rStyle w:val="NormalTok"/>
        </w:rPr>
        <w:t xml:space="preserve"> extensionAttribute1</w:t>
      </w:r>
      <w:r>
        <w:rPr>
          <w:rStyle w:val="OperatorTok"/>
        </w:rPr>
        <w:t xml:space="preserve">,</w:t>
      </w:r>
      <w:r>
        <w:rPr>
          <w:rStyle w:val="NormalTok"/>
        </w:rPr>
        <w:t xml:space="preserve"> extensionAttribute2</w:t>
      </w:r>
      <w:r>
        <w:rPr>
          <w:rStyle w:val="OperatorTok"/>
        </w:rPr>
        <w:t xml:space="preserve">,</w:t>
      </w:r>
      <w:r>
        <w:br/>
      </w:r>
      <w:r>
        <w:rPr>
          <w:rStyle w:val="NormalTok"/>
        </w:rPr>
        <w:t xml:space="preserve">        DistinguishedName</w:t>
      </w:r>
      <w:r>
        <w:rPr>
          <w:rStyle w:val="OperatorTok"/>
        </w:rPr>
        <w:t xml:space="preserve">,</w:t>
      </w:r>
      <w:r>
        <w:rPr>
          <w:rStyle w:val="NormalTok"/>
        </w:rPr>
        <w:t xml:space="preserve"> WhenCreated</w:t>
      </w:r>
      <w:r>
        <w:rPr>
          <w:rStyle w:val="OperatorTok"/>
        </w:rPr>
        <w:t xml:space="preserve">,</w:t>
      </w:r>
      <w:r>
        <w:rPr>
          <w:rStyle w:val="NormalTok"/>
        </w:rPr>
        <w:t xml:space="preserve"> WhenChanged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'Name'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'Description'</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Description</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'Scope'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GroupScope</w:t>
      </w:r>
      <w:r>
        <w:rPr>
          <w:rStyle w:val="OperatorTok"/>
        </w:rPr>
        <w:t xml:space="preserve">.</w:t>
      </w:r>
      <w:r>
        <w:rPr>
          <w:rStyle w:val="FunctionTok"/>
        </w:rPr>
        <w:t xml:space="preserve">ToString</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'Category'</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GroupCategory</w:t>
      </w:r>
      <w:r>
        <w:rPr>
          <w:rStyle w:val="OperatorTok"/>
        </w:rPr>
        <w:t xml:space="preserve">.</w:t>
      </w:r>
      <w:r>
        <w:rPr>
          <w:rStyle w:val="FunctionTok"/>
        </w:rPr>
        <w:t xml:space="preserve">ToString</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'ManagedBy'</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ManagedBy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'MemberCount'</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Members</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'NestedGroupCount'</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Members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FunctionTok"/>
        </w:rPr>
        <w:t xml:space="preserve">Get-ADObject</w:t>
      </w:r>
      <w:r>
        <w:rPr>
          <w:rStyle w:val="NormalTok"/>
        </w:rPr>
        <w:t xml:space="preserve"> </w:t>
      </w:r>
      <w:r>
        <w:rPr>
          <w:rStyle w:val="VariableTok"/>
        </w:rPr>
        <w:t xml:space="preserve">$_</w:t>
      </w:r>
      <w:r>
        <w:rPr>
          <w:rStyle w:val="NormalTok"/>
        </w:rPr>
        <w:t xml:space="preserve"> </w:t>
      </w:r>
      <w:r>
        <w:rPr>
          <w:rStyle w:val="OperatorTok"/>
        </w:rPr>
        <w:t xml:space="preserve">-</w:t>
      </w:r>
      <w:r>
        <w:rPr>
          <w:rStyle w:val="NormalTok"/>
        </w:rPr>
        <w:t xml:space="preserve">Properties objectClass</w:t>
      </w:r>
      <w:r>
        <w:rPr>
          <w:rStyle w:val="OperatorTok"/>
        </w:rPr>
        <w:t xml:space="preserve">).</w:t>
      </w:r>
      <w:r>
        <w:rPr>
          <w:rStyle w:val="FunctionTok"/>
        </w:rPr>
        <w:t xml:space="preserve">objectClass</w:t>
      </w:r>
      <w:r>
        <w:rPr>
          <w:rStyle w:val="NormalTok"/>
        </w:rPr>
        <w:t xml:space="preserve"> </w:t>
      </w:r>
      <w:r>
        <w:rPr>
          <w:rStyle w:val="OperatorTok"/>
        </w:rPr>
        <w:t xml:space="preserve">-eq</w:t>
      </w:r>
      <w:r>
        <w:rPr>
          <w:rStyle w:val="NormalTok"/>
        </w:rPr>
        <w:t xml:space="preserve"> </w:t>
      </w:r>
      <w:r>
        <w:rPr>
          <w:rStyle w:val="StringTok"/>
        </w:rPr>
        <w:t xml:space="preserve">'group'</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'Mail'</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Mail</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'OU'</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DistinguishedName</w:t>
      </w:r>
      <w:r>
        <w:rPr>
          <w:rStyle w:val="NormalTok"/>
        </w:rPr>
        <w:t xml:space="preserve"> </w:t>
      </w:r>
      <w:r>
        <w:rPr>
          <w:rStyle w:val="OperatorTok"/>
        </w:rPr>
        <w:t xml:space="preserve">-split</w:t>
      </w:r>
      <w:r>
        <w:rPr>
          <w:rStyle w:val="NormalTok"/>
        </w:rPr>
        <w:t xml:space="preserve"> </w:t>
      </w:r>
      <w:r>
        <w:rPr>
          <w:rStyle w:val="StringTok"/>
        </w:rPr>
        <w:t xml:space="preserve">','</w:t>
      </w:r>
      <w:r>
        <w:rPr>
          <w:rStyle w:val="OperatorTok"/>
        </w:rPr>
        <w:t xml:space="preserve">,</w:t>
      </w:r>
      <w:r>
        <w:rPr>
          <w:rStyle w:val="NormalTok"/>
        </w:rPr>
        <w:t xml:space="preserve"> </w:t>
      </w:r>
      <w:r>
        <w:rPr>
          <w:rStyle w:val="DecValTok"/>
        </w:rPr>
        <w:t xml:space="preserve">2</w:t>
      </w:r>
      <w:r>
        <w:rPr>
          <w:rStyle w:val="OperatorTok"/>
        </w:rPr>
        <w:t xml:space="preserve">)[</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'Created'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WhenCreated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'Modified'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WhenChanged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'MigrationTarget'</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GroupCategory</w:t>
      </w:r>
      <w:r>
        <w:rPr>
          <w:rStyle w:val="NormalTok"/>
        </w:rPr>
        <w:t xml:space="preserve"> </w:t>
      </w:r>
      <w:r>
        <w:rPr>
          <w:rStyle w:val="OperatorTok"/>
        </w:rPr>
        <w:t xml:space="preserve">-eq</w:t>
      </w:r>
      <w:r>
        <w:rPr>
          <w:rStyle w:val="NormalTok"/>
        </w:rPr>
        <w:t xml:space="preserve"> </w:t>
      </w:r>
      <w:r>
        <w:rPr>
          <w:rStyle w:val="StringTok"/>
        </w:rPr>
        <w:t xml:space="preserve">'Distribution'</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'DistributionGroup'</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Members</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rPr>
          <w:rStyle w:val="NormalTok"/>
        </w:rPr>
        <w:t xml:space="preserve"> </w:t>
      </w:r>
      <w:r>
        <w:rPr>
          <w:rStyle w:val="OperatorTok"/>
        </w:rPr>
        <w:t xml:space="preserve">-eq</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'Decommission'</w:t>
      </w:r>
      <w:r>
        <w:rPr>
          <w:rStyle w:val="NormalTok"/>
        </w:rPr>
        <w:t xml:space="preserve"> </w:t>
      </w:r>
      <w:r>
        <w:rPr>
          <w:rStyle w:val="OperatorTok"/>
        </w:rPr>
        <w:t xml:space="preserve">}</w:t>
      </w:r>
      <w:r>
        <w:br/>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'SecurityGroup'</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br/>
      </w:r>
      <w:r>
        <w:rPr>
          <w:rStyle w:val="VariableTok"/>
        </w:rPr>
        <w:t xml:space="preserve">$adGroups</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rPr>
          <w:rStyle w:val="NormalTok"/>
        </w:rPr>
        <w:t xml:space="preserve"> </w:t>
      </w:r>
      <w:r>
        <w:rPr>
          <w:rStyle w:val="OperatorTok"/>
        </w:rPr>
        <w:t xml:space="preserve">|</w:t>
      </w:r>
      <w:r>
        <w:rPr>
          <w:rStyle w:val="NormalTok"/>
        </w:rPr>
        <w:t xml:space="preserve"> </w:t>
      </w:r>
      <w:r>
        <w:rPr>
          <w:rStyle w:val="FunctionTok"/>
        </w:rPr>
        <w:t xml:space="preserve">Out-File</w:t>
      </w:r>
      <w:r>
        <w:rPr>
          <w:rStyle w:val="NormalTok"/>
        </w:rPr>
        <w:t xml:space="preserve"> </w:t>
      </w:r>
      <w:r>
        <w:rPr>
          <w:rStyle w:val="OperatorTok"/>
        </w:rPr>
        <w:t xml:space="preserve">-</w:t>
      </w:r>
      <w:r>
        <w:rPr>
          <w:rStyle w:val="NormalTok"/>
        </w:rPr>
        <w:t xml:space="preserve">FilePath </w:t>
      </w:r>
      <w:r>
        <w:rPr>
          <w:rStyle w:val="VariableTok"/>
        </w:rPr>
        <w:t xml:space="preserve">$exportPath</w:t>
      </w:r>
      <w:r>
        <w:rPr>
          <w:rStyle w:val="NormalTok"/>
        </w:rPr>
        <w:t xml:space="preserve"> </w:t>
      </w:r>
      <w:r>
        <w:rPr>
          <w:rStyle w:val="OperatorTok"/>
        </w:rPr>
        <w:t xml:space="preserve">-</w:t>
      </w:r>
      <w:r>
        <w:rPr>
          <w:rStyle w:val="NormalTok"/>
        </w:rPr>
        <w:t xml:space="preserve">Encoding UTF8</w:t>
      </w:r>
      <w:r>
        <w:br/>
      </w:r>
      <w:r>
        <w:rPr>
          <w:rStyle w:val="FunctionTok"/>
        </w:rPr>
        <w:t xml:space="preserve">Write-Host</w:t>
      </w:r>
      <w:r>
        <w:rPr>
          <w:rStyle w:val="NormalTok"/>
        </w:rPr>
        <w:t xml:space="preserve"> </w:t>
      </w:r>
      <w:r>
        <w:rPr>
          <w:rStyle w:val="StringTok"/>
        </w:rPr>
        <w:t xml:space="preserve">"Exported </w:t>
      </w:r>
      <w:r>
        <w:rPr>
          <w:rStyle w:val="OperatorTok"/>
        </w:rPr>
        <w:t xml:space="preserve">$(</w:t>
      </w:r>
      <w:r>
        <w:rPr>
          <w:rStyle w:val="VariableTok"/>
        </w:rPr>
        <w:t xml:space="preserve">$adGroups</w:t>
      </w:r>
      <w:r>
        <w:rPr>
          <w:rStyle w:val="OperatorTok"/>
        </w:rPr>
        <w:t xml:space="preserve">.</w:t>
      </w:r>
      <w:r>
        <w:rPr>
          <w:rStyle w:val="FunctionTok"/>
        </w:rPr>
        <w:t xml:space="preserve">Count</w:t>
      </w:r>
      <w:r>
        <w:rPr>
          <w:rStyle w:val="OperatorTok"/>
        </w:rPr>
        <w:t xml:space="preserve">)</w:t>
      </w:r>
      <w:r>
        <w:rPr>
          <w:rStyle w:val="StringTok"/>
        </w:rPr>
        <w:t xml:space="preserve"> groups to </w:t>
      </w:r>
      <w:r>
        <w:rPr>
          <w:rStyle w:val="VariableTok"/>
        </w:rPr>
        <w:t xml:space="preserve">$exportPath</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br/>
      </w:r>
      <w:r>
        <w:rPr>
          <w:rStyle w:val="CommentTok"/>
        </w:rPr>
        <w:t xml:space="preserve"># --- Phase 2: create cloud-only security groups (review the export first) ---</w:t>
      </w:r>
      <w:r>
        <w:br/>
      </w:r>
      <w:r>
        <w:rPr>
          <w:rStyle w:val="NormalTok"/>
        </w:rPr>
        <w:t xml:space="preserve">Connect-MgGraph </w:t>
      </w:r>
      <w:r>
        <w:rPr>
          <w:rStyle w:val="OperatorTok"/>
        </w:rPr>
        <w:t xml:space="preserve">-</w:t>
      </w:r>
      <w:r>
        <w:rPr>
          <w:rStyle w:val="NormalTok"/>
        </w:rPr>
        <w:t xml:space="preserve">Scopes </w:t>
      </w:r>
      <w:r>
        <w:rPr>
          <w:rStyle w:val="StringTok"/>
        </w:rPr>
        <w:t xml:space="preserve">'Group.ReadWrite.All'</w:t>
      </w:r>
      <w:r>
        <w:br/>
      </w:r>
      <w:r>
        <w:br/>
      </w:r>
      <w:r>
        <w:rPr>
          <w:rStyle w:val="ControlFlowTok"/>
        </w:rPr>
        <w:t xml:space="preserve">foreach</w:t>
      </w:r>
      <w:r>
        <w:rPr>
          <w:rStyle w:val="NormalTok"/>
        </w:rPr>
        <w:t xml:space="preserve"> </w:t>
      </w:r>
      <w:r>
        <w:rPr>
          <w:rStyle w:val="OperatorTok"/>
        </w:rPr>
        <w:t xml:space="preserve">(</w:t>
      </w:r>
      <w:r>
        <w:rPr>
          <w:rStyle w:val="VariableTok"/>
        </w:rPr>
        <w:t xml:space="preserve">$group</w:t>
      </w:r>
      <w:r>
        <w:rPr>
          <w:rStyle w:val="NormalTok"/>
        </w:rPr>
        <w:t xml:space="preserve"> </w:t>
      </w:r>
      <w:r>
        <w:rPr>
          <w:rStyle w:val="KeywordTok"/>
        </w:rPr>
        <w:t xml:space="preserve">in</w:t>
      </w:r>
      <w:r>
        <w:rPr>
          <w:rStyle w:val="NormalTok"/>
        </w:rPr>
        <w:t xml:space="preserve"> </w:t>
      </w:r>
      <w:r>
        <w:rPr>
          <w:rStyle w:val="OperatorTok"/>
        </w:rPr>
        <w:t xml:space="preserve">(</w:t>
      </w:r>
      <w:r>
        <w:rPr>
          <w:rStyle w:val="VariableTok"/>
        </w:rPr>
        <w:t xml:space="preserve">$adGroups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MigrationTarget </w:t>
      </w:r>
      <w:r>
        <w:rPr>
          <w:rStyle w:val="OperatorTok"/>
        </w:rPr>
        <w:t xml:space="preserve">-eq</w:t>
      </w:r>
      <w:r>
        <w:rPr>
          <w:rStyle w:val="NormalTok"/>
        </w:rPr>
        <w:t xml:space="preserve"> </w:t>
      </w:r>
      <w:r>
        <w:rPr>
          <w:rStyle w:val="StringTok"/>
        </w:rPr>
        <w:t xml:space="preserve">'SecurityGroup'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$params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VariableTok"/>
        </w:rPr>
        <w:t xml:space="preserve">$group</w:t>
      </w:r>
      <w:r>
        <w:rPr>
          <w:rStyle w:val="OperatorTok"/>
        </w:rPr>
        <w:t xml:space="preserve">.</w:t>
      </w:r>
      <w:r>
        <w:rPr>
          <w:rStyle w:val="FunctionTok"/>
        </w:rPr>
        <w:t xml:space="preserve">Name</w:t>
      </w:r>
      <w:r>
        <w:br/>
      </w:r>
      <w:r>
        <w:rPr>
          <w:rStyle w:val="NormalTok"/>
        </w:rPr>
        <w:t xml:space="preserve">        Description     </w:t>
      </w:r>
      <w:r>
        <w:rPr>
          <w:rStyle w:val="OperatorTok"/>
        </w:rPr>
        <w:t xml:space="preserve">=</w:t>
      </w:r>
      <w:r>
        <w:rPr>
          <w:rStyle w:val="NormalTok"/>
        </w:rPr>
        <w:t xml:space="preserve"> </w:t>
      </w:r>
      <w:r>
        <w:rPr>
          <w:rStyle w:val="VariableTok"/>
        </w:rPr>
        <w:t xml:space="preserve">$group</w:t>
      </w:r>
      <w:r>
        <w:rPr>
          <w:rStyle w:val="OperatorTok"/>
        </w:rPr>
        <w:t xml:space="preserve">.</w:t>
      </w:r>
      <w:r>
        <w:rPr>
          <w:rStyle w:val="FunctionTok"/>
        </w:rPr>
        <w:t xml:space="preserve">Description</w:t>
      </w:r>
      <w:r>
        <w:br/>
      </w:r>
      <w:r>
        <w:rPr>
          <w:rStyle w:val="NormalTok"/>
        </w:rPr>
        <w:t xml:space="preserve">        MailEnabled     </w:t>
      </w:r>
      <w:r>
        <w:rPr>
          <w:rStyle w:val="OperatorTok"/>
        </w:rPr>
        <w:t xml:space="preserve">=</w:t>
      </w:r>
      <w:r>
        <w:rPr>
          <w:rStyle w:val="NormalTok"/>
        </w:rPr>
        <w:t xml:space="preserve"> </w:t>
      </w:r>
      <w:r>
        <w:rPr>
          <w:rStyle w:val="VariableTok"/>
        </w:rPr>
        <w:t xml:space="preserve">$false</w:t>
      </w:r>
      <w:r>
        <w:br/>
      </w:r>
      <w:r>
        <w:rPr>
          <w:rStyle w:val="NormalTok"/>
        </w:rPr>
        <w:t xml:space="preserve">        MailNickname    </w:t>
      </w:r>
      <w:r>
        <w:rPr>
          <w:rStyle w:val="OperatorTok"/>
        </w:rPr>
        <w:t xml:space="preserve">=</w:t>
      </w:r>
      <w:r>
        <w:rPr>
          <w:rStyle w:val="NormalTok"/>
        </w:rPr>
        <w:t xml:space="preserve"> </w:t>
      </w:r>
      <w:r>
        <w:rPr>
          <w:rStyle w:val="OperatorTok"/>
        </w:rPr>
        <w:t xml:space="preserve">(</w:t>
      </w:r>
      <w:r>
        <w:rPr>
          <w:rStyle w:val="VariableTok"/>
        </w:rPr>
        <w:t xml:space="preserve">$group</w:t>
      </w:r>
      <w:r>
        <w:rPr>
          <w:rStyle w:val="OperatorTok"/>
        </w:rPr>
        <w:t xml:space="preserve">.</w:t>
      </w:r>
      <w:r>
        <w:rPr>
          <w:rStyle w:val="FunctionTok"/>
        </w:rPr>
        <w:t xml:space="preserve">Name</w:t>
      </w:r>
      <w:r>
        <w:rPr>
          <w:rStyle w:val="NormalTok"/>
        </w:rPr>
        <w:t xml:space="preserve"> </w:t>
      </w:r>
      <w:r>
        <w:rPr>
          <w:rStyle w:val="OperatorTok"/>
        </w:rPr>
        <w:t xml:space="preserve">-replace</w:t>
      </w:r>
      <w:r>
        <w:rPr>
          <w:rStyle w:val="NormalTok"/>
        </w:rPr>
        <w:t xml:space="preserve"> </w:t>
      </w:r>
      <w:r>
        <w:rPr>
          <w:rStyle w:val="StringTok"/>
        </w:rPr>
        <w:t xml:space="preserve">'[^a-zA-Z0-9]'</w:t>
      </w:r>
      <w:r>
        <w:rPr>
          <w:rStyle w:val="OperatorTok"/>
        </w:rPr>
        <w:t xml:space="preserve">,</w:t>
      </w:r>
      <w:r>
        <w:rPr>
          <w:rStyle w:val="NormalTok"/>
        </w:rPr>
        <w:t xml:space="preserve"> </w:t>
      </w:r>
      <w:r>
        <w:rPr>
          <w:rStyle w:val="StringTok"/>
        </w:rPr>
        <w:t xml:space="preserve">''</w:t>
      </w:r>
      <w:r>
        <w:rPr>
          <w:rStyle w:val="OperatorTok"/>
        </w:rPr>
        <w:t xml:space="preserve">).</w:t>
      </w:r>
      <w:r>
        <w:rPr>
          <w:rStyle w:val="FunctionTok"/>
        </w:rPr>
        <w:t xml:space="preserve">ToLower</w:t>
      </w:r>
      <w:r>
        <w:rPr>
          <w:rStyle w:val="OperatorTok"/>
        </w:rPr>
        <w:t xml:space="preserve">()</w:t>
      </w:r>
      <w:r>
        <w:br/>
      </w:r>
      <w:r>
        <w:rPr>
          <w:rStyle w:val="NormalTok"/>
        </w:rPr>
        <w:t xml:space="preserve">        SecurityEnabled </w:t>
      </w:r>
      <w:r>
        <w:rPr>
          <w:rStyle w:val="OperatorTok"/>
        </w:rPr>
        <w:t xml:space="preserve">=</w:t>
      </w:r>
      <w:r>
        <w:rPr>
          <w:rStyle w:val="NormalTok"/>
        </w:rPr>
        <w:t xml:space="preserve"> </w:t>
      </w:r>
      <w:r>
        <w:rPr>
          <w:rStyle w:val="VariableTok"/>
        </w:rPr>
        <w:t xml:space="preserve">$true</w:t>
      </w:r>
      <w:r>
        <w:br/>
      </w:r>
      <w:r>
        <w:rPr>
          <w:rStyle w:val="NormalTok"/>
        </w:rPr>
        <w:t xml:space="preserve">        GroupTypes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try</w:t>
      </w:r>
      <w:r>
        <w:rPr>
          <w:rStyle w:val="NormalTok"/>
        </w:rPr>
        <w:t xml:space="preserve"> </w:t>
      </w:r>
      <w:r>
        <w:rPr>
          <w:rStyle w:val="OperatorTok"/>
        </w:rPr>
        <w:t xml:space="preserve">{</w:t>
      </w:r>
      <w:r>
        <w:br/>
      </w:r>
      <w:r>
        <w:rPr>
          <w:rStyle w:val="NormalTok"/>
        </w:rPr>
        <w:t xml:space="preserve">        </w:t>
      </w:r>
      <w:r>
        <w:rPr>
          <w:rStyle w:val="VariableTok"/>
        </w:rPr>
        <w:t xml:space="preserve">$newGroup</w:t>
      </w:r>
      <w:r>
        <w:rPr>
          <w:rStyle w:val="NormalTok"/>
        </w:rPr>
        <w:t xml:space="preserve"> </w:t>
      </w:r>
      <w:r>
        <w:rPr>
          <w:rStyle w:val="OperatorTok"/>
        </w:rPr>
        <w:t xml:space="preserve">=</w:t>
      </w:r>
      <w:r>
        <w:rPr>
          <w:rStyle w:val="NormalTok"/>
        </w:rPr>
        <w:t xml:space="preserve"> New-MgGroup </w:t>
      </w:r>
      <w:r>
        <w:rPr>
          <w:rStyle w:val="OperatorTok"/>
        </w:rPr>
        <w:t xml:space="preserve">-</w:t>
      </w:r>
      <w:r>
        <w:rPr>
          <w:rStyle w:val="NormalTok"/>
        </w:rPr>
        <w:t xml:space="preserve">BodyParameter </w:t>
      </w:r>
      <w:r>
        <w:rPr>
          <w:rStyle w:val="VariableTok"/>
        </w:rPr>
        <w:t xml:space="preserve">$params</w:t>
      </w:r>
      <w:r>
        <w:br/>
      </w:r>
      <w:r>
        <w:rPr>
          <w:rStyle w:val="NormalTok"/>
        </w:rPr>
        <w:t xml:space="preserve">        </w:t>
      </w:r>
      <w:r>
        <w:rPr>
          <w:rStyle w:val="FunctionTok"/>
        </w:rPr>
        <w:t xml:space="preserve">Write-Host</w:t>
      </w:r>
      <w:r>
        <w:rPr>
          <w:rStyle w:val="NormalTok"/>
        </w:rPr>
        <w:t xml:space="preserve"> </w:t>
      </w:r>
      <w:r>
        <w:rPr>
          <w:rStyle w:val="StringTok"/>
        </w:rPr>
        <w:t xml:space="preserve">"Created group: </w:t>
      </w:r>
      <w:r>
        <w:rPr>
          <w:rStyle w:val="OperatorTok"/>
        </w:rPr>
        <w:t xml:space="preserve">$(</w:t>
      </w:r>
      <w:r>
        <w:rPr>
          <w:rStyle w:val="VariableTok"/>
        </w:rPr>
        <w:t xml:space="preserve">$newGroup</w:t>
      </w:r>
      <w:r>
        <w:rPr>
          <w:rStyle w:val="OperatorTok"/>
        </w:rPr>
        <w:t xml:space="preserve">.</w:t>
      </w:r>
      <w:r>
        <w:rPr>
          <w:rStyle w:val="FunctionTok"/>
        </w:rPr>
        <w:t xml:space="preserve">DisplayName</w:t>
      </w:r>
      <w:r>
        <w:rPr>
          <w:rStyle w:val="OperatorTok"/>
        </w:rPr>
        <w:t xml:space="preserve">)</w:t>
      </w:r>
      <w:r>
        <w:rPr>
          <w:rStyle w:val="StringTok"/>
        </w:rPr>
        <w:t xml:space="preserve"> [</w:t>
      </w:r>
      <w:r>
        <w:rPr>
          <w:rStyle w:val="OperatorTok"/>
        </w:rPr>
        <w:t xml:space="preserve">$(</w:t>
      </w:r>
      <w:r>
        <w:rPr>
          <w:rStyle w:val="VariableTok"/>
        </w:rPr>
        <w:t xml:space="preserve">$newGroup</w:t>
      </w:r>
      <w:r>
        <w:rPr>
          <w:rStyle w:val="OperatorTok"/>
        </w:rPr>
        <w:t xml:space="preserve">.</w:t>
      </w:r>
      <w:r>
        <w:rPr>
          <w:rStyle w:val="FunctionTok"/>
        </w:rPr>
        <w:t xml:space="preserve">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rPr>
          <w:rStyle w:val="NormalTok"/>
        </w:rPr>
        <w:t xml:space="preserve">    </w:t>
      </w:r>
      <w:r>
        <w:rPr>
          <w:rStyle w:val="OperatorTok"/>
        </w:rPr>
        <w:t xml:space="preserve">}</w:t>
      </w:r>
      <w:r>
        <w:br/>
      </w:r>
      <w:r>
        <w:rPr>
          <w:rStyle w:val="NormalTok"/>
        </w:rPr>
        <w:t xml:space="preserve">    </w:t>
      </w:r>
      <w:r>
        <w:rPr>
          <w:rStyle w:val="ControlFlowTok"/>
        </w:rPr>
        <w:t xml:space="preserve">catch</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"Failed to create group </w:t>
      </w:r>
      <w:r>
        <w:rPr>
          <w:rStyle w:val="OperatorTok"/>
        </w:rPr>
        <w:t xml:space="preserve">$(</w:t>
      </w:r>
      <w:r>
        <w:rPr>
          <w:rStyle w:val="VariableTok"/>
        </w:rPr>
        <w:t xml:space="preserve">$group</w:t>
      </w:r>
      <w:r>
        <w:rPr>
          <w:rStyle w:val="OperatorTok"/>
        </w:rPr>
        <w:t xml:space="preserve">.</w:t>
      </w:r>
      <w:r>
        <w:rPr>
          <w:rStyle w:val="FunctionTok"/>
        </w:rPr>
        <w:t xml:space="preserve">Name</w:t>
      </w:r>
      <w:r>
        <w:rPr>
          <w:rStyle w:val="OperatorTok"/>
        </w:rPr>
        <w:t xml:space="preserve">)</w:t>
      </w:r>
      <w:r>
        <w:rPr>
          <w:rStyle w:val="StringTok"/>
        </w:rPr>
        <w:t xml:space="preserve">: </w:t>
      </w:r>
      <w:r>
        <w:rPr>
          <w:rStyle w:val="VariableTok"/>
        </w:rPr>
        <w:t xml:space="preserve">$_</w:t>
      </w:r>
      <w:r>
        <w:rPr>
          <w:rStyle w:val="StringTok"/>
        </w:rPr>
        <w:t xml:space="preserve">"</w:t>
      </w:r>
      <w:r>
        <w:br/>
      </w:r>
      <w:r>
        <w:rPr>
          <w:rStyle w:val="NormalTok"/>
        </w:rPr>
        <w:t xml:space="preserve">    </w:t>
      </w:r>
      <w:r>
        <w:rPr>
          <w:rStyle w:val="OperatorTok"/>
        </w:rPr>
        <w:t xml:space="preserve">}</w:t>
      </w:r>
      <w:r>
        <w:br/>
      </w:r>
      <w:r>
        <w:rPr>
          <w:rStyle w:val="OperatorTok"/>
        </w:rPr>
        <w:t xml:space="preserve">}</w:t>
      </w:r>
      <w:r>
        <w:br/>
      </w:r>
      <w:r>
        <w:br/>
      </w:r>
      <w:r>
        <w:rPr>
          <w:rStyle w:val="NormalTok"/>
        </w:rPr>
        <w:t xml:space="preserve">Disconnect-MgGraph</w:t>
      </w:r>
    </w:p>
    <w:p>
      <w:pPr>
        <w:pStyle w:val="FirstParagraph"/>
      </w:pPr>
      <w:r>
        <w:rPr>
          <w:rStyle w:val="VerbatimChar"/>
        </w:rPr>
        <w:t xml:space="preserve">NestedGroupCount</w:t>
      </w:r>
      <w:r>
        <w:t xml:space="preserve"> </w:t>
      </w:r>
      <w:r>
        <w:t xml:space="preserve">calls</w:t>
      </w:r>
      <w:r>
        <w:t xml:space="preserve"> </w:t>
      </w:r>
      <w:r>
        <w:rPr>
          <w:rStyle w:val="VerbatimChar"/>
        </w:rPr>
        <w:t xml:space="preserve">Get-ADObject</w:t>
      </w:r>
      <w:r>
        <w:t xml:space="preserve"> </w:t>
      </w:r>
      <w:r>
        <w:t xml:space="preserve">once per member, which is slow on large groups; in a big forest, run the export against one OU at a time.</w:t>
      </w:r>
    </w:p>
    <w:bookmarkStart w:id="905" w:name="modernizing-service-accounts"/>
    <w:p>
      <w:pPr>
        <w:pStyle w:val="Heading2"/>
      </w:pPr>
      <w:bookmarkStart w:id="1470" w:name="_Toc00001470"/>
      <w:r>
        <w:t xml:space="preserve">Modernizing service accounts</w:t>
      </w:r>
      <w:bookmarkEnd w:id="1470"/>
    </w:p>
    <w:bookmarkStart w:id="892" w:name="the-migration-path-matrix"/>
    <w:p>
      <w:pPr>
        <w:pStyle w:val="Heading3"/>
      </w:pPr>
      <w:r>
        <w:t xml:space="preserve">The migration path matrix</w:t>
      </w:r>
    </w:p>
    <w:p>
      <w:pPr>
        <w:pStyle w:val="FirstParagraph"/>
      </w:pPr>
      <w:r>
        <w:t xml:space="preserve">Each AD service account maps to an Entra ID construct that depends on where the workload runs. The general rule is to eliminate stored secrets: managed identities for Azure-hosted workloads, workload identity federation for workloads that already have an identity from another trusted issuer, and certificates only where neither applies.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AD account type</w:t>
            </w:r>
          </w:p>
        </w:tc>
        <w:tc>
          <w:tcPr/>
          <w:p>
            <w:pPr>
              <w:pStyle w:val="Compact"/>
            </w:pPr>
            <w:r>
              <w:t xml:space="preserve">Workload location</w:t>
            </w:r>
          </w:p>
        </w:tc>
        <w:tc>
          <w:tcPr/>
          <w:p>
            <w:pPr>
              <w:pStyle w:val="Compact"/>
            </w:pPr>
            <w:r>
              <w:t xml:space="preserve">Entra ID target</w:t>
            </w:r>
          </w:p>
        </w:tc>
        <w:tc>
          <w:tcPr/>
          <w:p>
            <w:pPr>
              <w:pStyle w:val="Compact"/>
            </w:pPr>
            <w:r>
              <w:t xml:space="preserve">Authentication</w:t>
            </w:r>
          </w:p>
        </w:tc>
        <w:tc>
          <w:tcPr/>
          <w:p>
            <w:pPr>
              <w:pStyle w:val="Compact"/>
            </w:pPr>
            <w:r>
              <w:t xml:space="preserve">Credential management</w:t>
            </w:r>
          </w:p>
        </w:tc>
      </w:tr>
      <w:tr>
        <w:tc>
          <w:tcPr/>
          <w:p>
            <w:pPr>
              <w:pStyle w:val="Compact"/>
            </w:pPr>
            <w:r>
              <w:t xml:space="preserve">Traditional</w:t>
            </w:r>
          </w:p>
        </w:tc>
        <w:tc>
          <w:tcPr/>
          <w:p>
            <w:pPr>
              <w:pStyle w:val="Compact"/>
            </w:pPr>
            <w:r>
              <w:t xml:space="preserve">Calls Microsoft 365 or other Entra-protected APIs</w:t>
            </w:r>
          </w:p>
        </w:tc>
        <w:tc>
          <w:tcPr/>
          <w:p>
            <w:pPr>
              <w:pStyle w:val="Compact"/>
            </w:pPr>
            <w:r>
              <w:t xml:space="preserve">Application registration and service principal</w:t>
            </w:r>
          </w:p>
        </w:tc>
        <w:tc>
          <w:tcPr/>
          <w:p>
            <w:pPr>
              <w:pStyle w:val="Compact"/>
            </w:pPr>
            <w:r>
              <w:t xml:space="preserve">Certificate, or federated credential where the host has an OIDC issuer</w:t>
            </w:r>
          </w:p>
        </w:tc>
        <w:tc>
          <w:tcPr/>
          <w:p>
            <w:pPr>
              <w:pStyle w:val="Compact"/>
            </w:pPr>
            <w:r>
              <w:t xml:space="preserve">Certificate rotation (program standard: annual), or no stored secret</w:t>
            </w:r>
          </w:p>
        </w:tc>
      </w:tr>
      <w:tr>
        <w:tc>
          <w:tcPr/>
          <w:p>
            <w:pPr>
              <w:pStyle w:val="Compact"/>
            </w:pPr>
            <w:r>
              <w:t xml:space="preserve">Traditional</w:t>
            </w:r>
          </w:p>
        </w:tc>
        <w:tc>
          <w:tcPr/>
          <w:p>
            <w:pPr>
              <w:pStyle w:val="Compact"/>
            </w:pPr>
            <w:r>
              <w:t xml:space="preserve">Azure resource</w:t>
            </w:r>
          </w:p>
        </w:tc>
        <w:tc>
          <w:tcPr/>
          <w:p>
            <w:pPr>
              <w:pStyle w:val="Compact"/>
            </w:pPr>
            <w:r>
              <w:t xml:space="preserve">Managed identity (user-assigned preferred)</w:t>
            </w:r>
          </w:p>
        </w:tc>
        <w:tc>
          <w:tcPr/>
          <w:p>
            <w:pPr>
              <w:pStyle w:val="Compact"/>
            </w:pPr>
            <w:r>
              <w:t xml:space="preserve">Managed by Azure</w:t>
            </w:r>
          </w:p>
        </w:tc>
        <w:tc>
          <w:tcPr/>
          <w:p>
            <w:pPr>
              <w:pStyle w:val="Compact"/>
            </w:pPr>
            <w:r>
              <w:t xml:space="preserve">None</w:t>
            </w:r>
          </w:p>
        </w:tc>
      </w:tr>
      <w:tr>
        <w:tc>
          <w:tcPr/>
          <w:p>
            <w:pPr>
              <w:pStyle w:val="Compact"/>
            </w:pPr>
            <w:r>
              <w:t xml:space="preserve">Traditional</w:t>
            </w:r>
          </w:p>
        </w:tc>
        <w:tc>
          <w:tcPr/>
          <w:p>
            <w:pPr>
              <w:pStyle w:val="Compact"/>
            </w:pPr>
            <w:r>
              <w:t xml:space="preserve">On-premises, Kerberos only</w:t>
            </w:r>
          </w:p>
        </w:tc>
        <w:tc>
          <w:tcPr/>
          <w:p>
            <w:pPr>
              <w:pStyle w:val="Compact"/>
            </w:pPr>
            <w:r>
              <w:t xml:space="preserve">gMSA</w:t>
            </w:r>
          </w:p>
        </w:tc>
        <w:tc>
          <w:tcPr/>
          <w:p>
            <w:pPr>
              <w:pStyle w:val="Compact"/>
            </w:pPr>
            <w:r>
              <w:t xml:space="preserve">Kerberos</w:t>
            </w:r>
          </w:p>
        </w:tc>
        <w:tc>
          <w:tcPr/>
          <w:p>
            <w:pPr>
              <w:pStyle w:val="Compact"/>
            </w:pPr>
            <w:r>
              <w:t xml:space="preserve">Managed by AD</w:t>
            </w:r>
          </w:p>
        </w:tc>
      </w:tr>
      <w:tr>
        <w:tc>
          <w:tcPr/>
          <w:p>
            <w:pPr>
              <w:pStyle w:val="Compact"/>
            </w:pPr>
            <w:r>
              <w:t xml:space="preserve">MSA</w:t>
            </w:r>
          </w:p>
        </w:tc>
        <w:tc>
          <w:tcPr/>
          <w:p>
            <w:pPr>
              <w:pStyle w:val="Compact"/>
            </w:pPr>
            <w:r>
              <w:t xml:space="preserve">On-premises</w:t>
            </w:r>
          </w:p>
        </w:tc>
        <w:tc>
          <w:tcPr/>
          <w:p>
            <w:pPr>
              <w:pStyle w:val="Compact"/>
            </w:pPr>
            <w:r>
              <w:t xml:space="preserve">gMSA (upgrade first)</w:t>
            </w:r>
          </w:p>
        </w:tc>
        <w:tc>
          <w:tcPr/>
          <w:p>
            <w:pPr>
              <w:pStyle w:val="Compact"/>
            </w:pPr>
            <w:r>
              <w:t xml:space="preserve">Kerberos</w:t>
            </w:r>
          </w:p>
        </w:tc>
        <w:tc>
          <w:tcPr/>
          <w:p>
            <w:pPr>
              <w:pStyle w:val="Compact"/>
            </w:pPr>
            <w:r>
              <w:t xml:space="preserve">Managed by AD</w:t>
            </w:r>
          </w:p>
        </w:tc>
      </w:tr>
      <w:tr>
        <w:tc>
          <w:tcPr/>
          <w:p>
            <w:pPr>
              <w:pStyle w:val="Compact"/>
            </w:pPr>
            <w:r>
              <w:t xml:space="preserve">gMSA</w:t>
            </w:r>
          </w:p>
        </w:tc>
        <w:tc>
          <w:tcPr/>
          <w:p>
            <w:pPr>
              <w:pStyle w:val="Compact"/>
            </w:pPr>
            <w:r>
              <w:t xml:space="preserve">Moving to the cloud</w:t>
            </w:r>
          </w:p>
        </w:tc>
        <w:tc>
          <w:tcPr/>
          <w:p>
            <w:pPr>
              <w:pStyle w:val="Compact"/>
            </w:pPr>
            <w:r>
              <w:t xml:space="preserve">Workload identity federation or managed identity</w:t>
            </w:r>
          </w:p>
        </w:tc>
        <w:tc>
          <w:tcPr/>
          <w:p>
            <w:pPr>
              <w:pStyle w:val="Compact"/>
            </w:pPr>
            <w:r>
              <w:t xml:space="preserve">Federated token or managed</w:t>
            </w:r>
          </w:p>
        </w:tc>
        <w:tc>
          <w:tcPr/>
          <w:p>
            <w:pPr>
              <w:pStyle w:val="Compact"/>
            </w:pPr>
            <w:r>
              <w:t xml:space="preserve">No stored secrets</w:t>
            </w:r>
          </w:p>
        </w:tc>
      </w:tr>
      <w:tr>
        <w:tc>
          <w:tcPr/>
          <w:p>
            <w:pPr>
              <w:pStyle w:val="Compact"/>
            </w:pPr>
            <w:r>
              <w:t xml:space="preserve">gMSA</w:t>
            </w:r>
          </w:p>
        </w:tc>
        <w:tc>
          <w:tcPr/>
          <w:p>
            <w:pPr>
              <w:pStyle w:val="Compact"/>
            </w:pPr>
            <w:r>
              <w:t xml:space="preserve">Hybrid</w:t>
            </w:r>
          </w:p>
        </w:tc>
        <w:tc>
          <w:tcPr/>
          <w:p>
            <w:pPr>
              <w:pStyle w:val="Compact"/>
            </w:pPr>
            <w:r>
              <w:t xml:space="preserve">Keep the gMSA, plus an application registration for cloud calls</w:t>
            </w:r>
          </w:p>
        </w:tc>
        <w:tc>
          <w:tcPr/>
          <w:p>
            <w:pPr>
              <w:pStyle w:val="Compact"/>
            </w:pPr>
            <w:r>
              <w:t xml:space="preserve">Kerberos on-premises; certificate or federated credential to the cloud</w:t>
            </w:r>
          </w:p>
        </w:tc>
        <w:tc>
          <w:tcPr/>
          <w:p>
            <w:pPr>
              <w:pStyle w:val="Compact"/>
            </w:pPr>
            <w:r>
              <w:t xml:space="preserve">Split</w:t>
            </w:r>
          </w:p>
        </w:tc>
      </w:tr>
      <w:tr>
        <w:tc>
          <w:tcPr/>
          <w:p>
            <w:pPr>
              <w:pStyle w:val="Compact"/>
            </w:pPr>
            <w:r>
              <w:t xml:space="preserve">IIS application pool identity</w:t>
            </w:r>
          </w:p>
        </w:tc>
        <w:tc>
          <w:tcPr/>
          <w:p>
            <w:pPr>
              <w:pStyle w:val="Compact"/>
            </w:pPr>
            <w:r>
              <w:t xml:space="preserve">On-premises IIS</w:t>
            </w:r>
          </w:p>
        </w:tc>
        <w:tc>
          <w:tcPr/>
          <w:p>
            <w:pPr>
              <w:pStyle w:val="Compact"/>
            </w:pPr>
            <w:r>
              <w:t xml:space="preserve">gMSA now; managed identity once moved to Azure</w:t>
            </w:r>
          </w:p>
        </w:tc>
        <w:tc>
          <w:tcPr/>
          <w:p>
            <w:pPr>
              <w:pStyle w:val="Compact"/>
            </w:pPr>
            <w:r>
              <w:t xml:space="preserve">Kerberos, then managed</w:t>
            </w:r>
          </w:p>
        </w:tc>
        <w:tc>
          <w:tcPr/>
          <w:p>
            <w:pPr>
              <w:pStyle w:val="Compact"/>
            </w:pPr>
            <w:r>
              <w:t xml:space="preserve">Progressive</w:t>
            </w:r>
          </w:p>
        </w:tc>
      </w:tr>
      <w:tr>
        <w:tc>
          <w:tcPr/>
          <w:p>
            <w:pPr>
              <w:pStyle w:val="Compact"/>
            </w:pPr>
            <w:r>
              <w:t xml:space="preserve">Scheduled task identity</w:t>
            </w:r>
          </w:p>
        </w:tc>
        <w:tc>
          <w:tcPr/>
          <w:p>
            <w:pPr>
              <w:pStyle w:val="Compact"/>
            </w:pPr>
            <w:r>
              <w:t xml:space="preserve">On-premises</w:t>
            </w:r>
          </w:p>
        </w:tc>
        <w:tc>
          <w:tcPr/>
          <w:p>
            <w:pPr>
              <w:pStyle w:val="Compact"/>
            </w:pPr>
            <w:r>
              <w:t xml:space="preserve">gMSA now; an Azure Automation runbook with a managed identity once moved</w:t>
            </w:r>
          </w:p>
        </w:tc>
        <w:tc>
          <w:tcPr/>
          <w:p>
            <w:pPr>
              <w:pStyle w:val="Compact"/>
            </w:pPr>
            <w:r>
              <w:t xml:space="preserve">Kerberos, then managed</w:t>
            </w:r>
          </w:p>
        </w:tc>
        <w:tc>
          <w:tcPr/>
          <w:p>
            <w:pPr>
              <w:pStyle w:val="Compact"/>
            </w:pPr>
            <w:r>
              <w:t xml:space="preserve">Progressive</w:t>
            </w:r>
          </w:p>
        </w:tc>
      </w:tr>
    </w:tbl>
    <w:bookmarkEnd w:id="892"/>
    <w:bookmarkStart w:id="898" w:name="workload-identity-federation"/>
    <w:p>
      <w:pPr>
        <w:pStyle w:val="Heading3"/>
      </w:pPr>
      <w:r>
        <w:t xml:space="preserve">Workload identity federation</w:t>
      </w:r>
    </w:p>
    <w:p>
      <w:pPr>
        <w:pStyle w:val="FirstParagraph"/>
      </w:pPr>
      <w:r>
        <w:t xml:space="preserve">Workload identity federation removes stored secrets by having Entra ID trust tokens from an external identity provider. The workload presents a token from its own issuer (GitHub Actions, a Kubernetes cluster, Google Cloud, a SPIFFE deployment, another OIDC provider), and Entra ID exchanges it for an access token. A federated identity credential on the application registration, or on a user-assigned managed identity, has three working parts:</w:t>
      </w:r>
      <w:r>
        <w:rPr>
          <w:rStyle w:val="FootnoteReference"/>
        </w:rPr>
        <w:footnoteReference w:id="893"/>
      </w:r>
    </w:p>
    <w:p>
      <w:pPr>
        <w:pStyle w:val="Compact"/>
        <w:numPr>
          <w:ilvl w:val="0"/>
          <w:numId w:val="1064"/>
        </w:numPr>
      </w:pPr>
      <w:r>
        <w:rPr>
          <w:b/>
          <w:bCs/>
        </w:rPr>
        <w:t xml:space="preserve">Issuer.</w:t>
      </w:r>
      <w:r>
        <w:t xml:space="preserve"> </w:t>
      </w:r>
      <w:r>
        <w:t xml:space="preserve">The external provider’s OIDC issuer URL. It must match the token’s</w:t>
      </w:r>
      <w:r>
        <w:t xml:space="preserve"> </w:t>
      </w:r>
      <w:r>
        <w:rPr>
          <w:rStyle w:val="VerbatimChar"/>
        </w:rPr>
        <w:t xml:space="preserve">iss</w:t>
      </w:r>
      <w:r>
        <w:t xml:space="preserve"> </w:t>
      </w:r>
      <w:r>
        <w:t xml:space="preserve">claim, and Entra ID uses it to fetch the signing keys, so the discovery document has to be reachable.</w:t>
      </w:r>
    </w:p>
    <w:p>
      <w:pPr>
        <w:pStyle w:val="Compact"/>
        <w:numPr>
          <w:ilvl w:val="0"/>
          <w:numId w:val="1064"/>
        </w:numPr>
      </w:pPr>
      <w:r>
        <w:rPr>
          <w:b/>
          <w:bCs/>
        </w:rPr>
        <w:t xml:space="preserve">Subject.</w:t>
      </w:r>
      <w:r>
        <w:t xml:space="preserve"> </w:t>
      </w:r>
      <w:r>
        <w:t xml:space="preserve">Must match the token’s</w:t>
      </w:r>
      <w:r>
        <w:t xml:space="preserve"> </w:t>
      </w:r>
      <w:r>
        <w:rPr>
          <w:rStyle w:val="VerbatimChar"/>
        </w:rPr>
        <w:t xml:space="preserve">sub</w:t>
      </w:r>
      <w:r>
        <w:t xml:space="preserve"> </w:t>
      </w:r>
      <w:r>
        <w:t xml:space="preserve">claim exactly; for GitHub Actions, for example,</w:t>
      </w:r>
      <w:r>
        <w:t xml:space="preserve"> </w:t>
      </w:r>
      <w:r>
        <w:rPr>
          <w:rStyle w:val="VerbatimChar"/>
        </w:rPr>
        <w:t xml:space="preserve">repo:org/repo:ref:refs/heads/main</w:t>
      </w:r>
      <w:r>
        <w:t xml:space="preserve">. Wildcards aren’t supported.</w:t>
      </w:r>
      <w:r>
        <w:rPr>
          <w:rStyle w:val="FootnoteReference"/>
        </w:rPr>
        <w:footnoteReference w:id="895"/>
      </w:r>
    </w:p>
    <w:p>
      <w:pPr>
        <w:pStyle w:val="Compact"/>
        <w:numPr>
          <w:ilvl w:val="0"/>
          <w:numId w:val="1064"/>
        </w:numPr>
      </w:pPr>
      <w:r>
        <w:rPr>
          <w:b/>
          <w:bCs/>
        </w:rPr>
        <w:t xml:space="preserve">Audience.</w:t>
      </w:r>
      <w:r>
        <w:t xml:space="preserve"> </w:t>
      </w:r>
      <w:r>
        <w:t xml:space="preserve">The recommended value is</w:t>
      </w:r>
      <w:r>
        <w:t xml:space="preserve"> </w:t>
      </w:r>
      <w:r>
        <w:rPr>
          <w:rStyle w:val="VerbatimChar"/>
        </w:rPr>
        <w:t xml:space="preserve">api://AzureADTokenExchange</w:t>
      </w:r>
      <w:r>
        <w:t xml:space="preserve">.</w:t>
      </w:r>
    </w:p>
    <w:p>
      <w:pPr>
        <w:pStyle w:val="FirstParagraph"/>
      </w:pPr>
      <w:r>
        <w:t xml:space="preserve">An application or user-assigned managed identity can hold at most 20 federated identity credentials, and an incorrect subject is accepted at creation and only fails at token exchange, so test each one.</w:t>
      </w:r>
      <w:r>
        <w:rPr>
          <w:rStyle w:val="FootnoteReference"/>
        </w:rPr>
        <w:footnoteReference w:id="897"/>
      </w:r>
    </w:p>
    <w:bookmarkEnd w:id="898"/>
    <w:bookmarkStart w:id="902" w:name="X35a16549d3bda115f785bf0206acc58b5cdd095"/>
    <w:p>
      <w:pPr>
        <w:pStyle w:val="Heading3"/>
      </w:pPr>
      <w:r>
        <w:t xml:space="preserve">Conditional Access for workload identities</w:t>
      </w:r>
    </w:p>
    <w:p>
      <w:pPr>
        <w:pStyle w:val="FirstParagraph"/>
      </w:pPr>
      <w:r>
        <w:t xml:space="preserve">Conditional Access can target service principals, which lets you block a workload from outside known IP ranges, block it when ID Protection flags it as risky, or combine it with authentication contexts.</w:t>
      </w:r>
      <w:r>
        <w:rPr>
          <w:rStyle w:val="FootnoteReference"/>
        </w:rPr>
        <w:footnoteReference w:id="899"/>
      </w:r>
      <w:r>
        <w:t xml:space="preserve"> </w:t>
      </w:r>
      <w:r>
        <w:t xml:space="preserve">Know the limits before you design around it:</w:t>
      </w:r>
      <w:r>
        <w:rPr>
          <w:rStyle w:val="FootnoteReference"/>
        </w:rPr>
        <w:footnoteReference w:id="901"/>
      </w:r>
    </w:p>
    <w:p>
      <w:pPr>
        <w:pStyle w:val="Compact"/>
        <w:numPr>
          <w:ilvl w:val="0"/>
          <w:numId w:val="1065"/>
        </w:numPr>
      </w:pPr>
      <w:r>
        <w:t xml:space="preserve">Creating or modifying these policies requires Workload Identities Premium licensing.</w:t>
      </w:r>
    </w:p>
    <w:p>
      <w:pPr>
        <w:pStyle w:val="Compact"/>
        <w:numPr>
          <w:ilvl w:val="0"/>
          <w:numId w:val="1065"/>
        </w:numPr>
      </w:pPr>
      <w:r>
        <w:t xml:space="preserve">Policies apply only to single-tenant service principals registered in your tenant. Multitenant and third-party SaaS apps, and managed identities, aren’t covered; include managed identities in access reviews instead.</w:t>
      </w:r>
    </w:p>
    <w:p>
      <w:pPr>
        <w:pStyle w:val="Compact"/>
        <w:numPr>
          <w:ilvl w:val="0"/>
          <w:numId w:val="1065"/>
        </w:numPr>
      </w:pPr>
      <w:r>
        <w:t xml:space="preserve">A policy assigned to a group that contains a service principal isn’t enforced for it; assign the workload identity to the policy directly.</w:t>
      </w:r>
    </w:p>
    <w:bookmarkEnd w:id="902"/>
    <w:bookmarkStart w:id="903" w:name="governing-service-principals"/>
    <w:p>
      <w:pPr>
        <w:pStyle w:val="Heading3"/>
      </w:pPr>
      <w:r>
        <w:t xml:space="preserve">Governing service principals</w:t>
      </w:r>
    </w:p>
    <w:p>
      <w:pPr>
        <w:pStyle w:val="FirstParagraph"/>
      </w:pPr>
      <w:r>
        <w:t xml:space="preserve">Every application registration and service principal gets the same controls:</w:t>
      </w:r>
    </w:p>
    <w:p>
      <w:pPr>
        <w:pStyle w:val="Compact"/>
        <w:numPr>
          <w:ilvl w:val="0"/>
          <w:numId w:val="1066"/>
        </w:numPr>
      </w:pPr>
      <w:r>
        <w:rPr>
          <w:b/>
          <w:bCs/>
        </w:rPr>
        <w:t xml:space="preserve">Ownership.</w:t>
      </w:r>
      <w:r>
        <w:t xml:space="preserve"> </w:t>
      </w:r>
      <w:r>
        <w:t xml:space="preserve">At least two human owners, never service accounts.</w:t>
      </w:r>
    </w:p>
    <w:p>
      <w:pPr>
        <w:pStyle w:val="Compact"/>
        <w:numPr>
          <w:ilvl w:val="0"/>
          <w:numId w:val="1066"/>
        </w:numPr>
      </w:pPr>
      <w:r>
        <w:rPr>
          <w:b/>
          <w:bCs/>
        </w:rPr>
        <w:t xml:space="preserve">Credentials.</w:t>
      </w:r>
      <w:r>
        <w:t xml:space="preserve"> </w:t>
      </w:r>
      <w:r>
        <w:t xml:space="preserve">Prefer federated credentials and managed identities. Where certificates remain, rotate them on a schedule (program standard: annually) through Key Vault or the CI/CD pipeline. Don’t use client secrets for production workloads.</w:t>
      </w:r>
    </w:p>
    <w:p>
      <w:pPr>
        <w:pStyle w:val="Compact"/>
        <w:numPr>
          <w:ilvl w:val="0"/>
          <w:numId w:val="1066"/>
        </w:numPr>
      </w:pPr>
      <w:r>
        <w:rPr>
          <w:b/>
          <w:bCs/>
        </w:rPr>
        <w:t xml:space="preserve">Reviews.</w:t>
      </w:r>
      <w:r>
        <w:t xml:space="preserve"> </w:t>
      </w:r>
      <w:r>
        <w:t xml:space="preserve">Recurring reviews of delegated and application permissions by app owners (program standard: quarterly).</w:t>
      </w:r>
    </w:p>
    <w:p>
      <w:pPr>
        <w:pStyle w:val="Compact"/>
        <w:numPr>
          <w:ilvl w:val="0"/>
          <w:numId w:val="1066"/>
        </w:numPr>
      </w:pPr>
      <w:r>
        <w:rPr>
          <w:b/>
          <w:bCs/>
        </w:rPr>
        <w:t xml:space="preserve">Least privilege.</w:t>
      </w:r>
      <w:r>
        <w:t xml:space="preserve"> </w:t>
      </w:r>
      <w:r>
        <w:t xml:space="preserve">Use application-specific roles and scopes; avoid broad permissions such as</w:t>
      </w:r>
      <w:r>
        <w:t xml:space="preserve"> </w:t>
      </w:r>
      <w:r>
        <w:rPr>
          <w:rStyle w:val="VerbatimChar"/>
        </w:rPr>
        <w:t xml:space="preserve">Directory.ReadWrite.All</w:t>
      </w:r>
      <w:r>
        <w:t xml:space="preserve">.</w:t>
      </w:r>
    </w:p>
    <w:bookmarkEnd w:id="903"/>
    <w:bookmarkStart w:id="904" w:name="discovering-service-accounts"/>
    <w:p>
      <w:pPr>
        <w:pStyle w:val="Heading3"/>
      </w:pPr>
      <w:r>
        <w:t xml:space="preserve">Discovering service accounts</w:t>
      </w:r>
    </w:p>
    <w:p>
      <w:pPr>
        <w:pStyle w:val="FirstParagraph"/>
      </w:pPr>
      <w:r>
        <w:t xml:space="preserve">The discovery function finds likely service accounts in AD, classifies each by type and risk, and suggests a target. It only reads. The function is part of the FMPIdentityAssessment module in Appendix C, where it’s maintained.</w:t>
      </w:r>
    </w:p>
    <w:p>
      <w:pPr>
        <w:pStyle w:val="SourceCode"/>
      </w:pPr>
      <w:r>
        <w:rPr>
          <w:rStyle w:val="CommentTok"/>
        </w:rPr>
        <w:t xml:space="preserve">#Requires -Modules ActiveDirectory</w:t>
      </w:r>
      <w:r>
        <w:br/>
      </w:r>
      <w:r>
        <w:rPr>
          <w:rStyle w:val="KeywordTok"/>
        </w:rPr>
        <w:t xml:space="preserve">function</w:t>
      </w:r>
      <w:r>
        <w:rPr>
          <w:rStyle w:val="NormalTok"/>
        </w:rPr>
        <w:t xml:space="preserve"> Get-FMPServiceAccountInventory </w:t>
      </w:r>
      <w:r>
        <w:rPr>
          <w:rStyle w:val="OperatorTok"/>
        </w:rPr>
        <w:t xml:space="preserve">{</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$SearchBase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DistinguishedName</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$ExportPath</w:t>
      </w:r>
      <w:r>
        <w:rPr>
          <w:rStyle w:val="NormalTok"/>
        </w:rPr>
        <w:t xml:space="preserve"> </w:t>
      </w:r>
      <w:r>
        <w:rPr>
          <w:rStyle w:val="OperatorTok"/>
        </w:rPr>
        <w:t xml:space="preserve">=</w:t>
      </w:r>
      <w:r>
        <w:rPr>
          <w:rStyle w:val="NormalTok"/>
        </w:rPr>
        <w:t xml:space="preserve"> </w:t>
      </w:r>
      <w:r>
        <w:rPr>
          <w:rStyle w:val="StringTok"/>
        </w:rPr>
        <w:t xml:space="preserve">"C:\FMP\Exports\ServiceAccounts_</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w:t>
      </w:r>
      <w:r>
        <w:rPr>
          <w:rStyle w:val="OperatorTok"/>
        </w:rPr>
        <w:t xml:space="preserve">)</w:t>
      </w:r>
      <w:r>
        <w:rPr>
          <w:rStyle w:val="StringTok"/>
        </w:rPr>
        <w:t xml:space="preserve">.json"</w:t>
      </w:r>
      <w:r>
        <w:br/>
      </w:r>
      <w:r>
        <w:rPr>
          <w:rStyle w:val="NormalTok"/>
        </w:rPr>
        <w:t xml:space="preserve">    </w:t>
      </w:r>
      <w:r>
        <w:rPr>
          <w:rStyle w:val="OperatorTok"/>
        </w:rPr>
        <w:t xml:space="preserve">)</w:t>
      </w:r>
      <w:r>
        <w:br/>
      </w:r>
      <w:r>
        <w:br/>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Collections</w:t>
      </w:r>
      <w:r>
        <w:rPr>
          <w:rStyle w:val="OperatorTok"/>
        </w:rPr>
        <w:t xml:space="preserve">.</w:t>
      </w:r>
      <w:r>
        <w:rPr>
          <w:rStyle w:val="FunctionTok"/>
        </w:rPr>
        <w:t xml:space="preserve">Generic</w:t>
      </w:r>
      <w:r>
        <w:rPr>
          <w:rStyle w:val="OperatorTok"/>
        </w:rPr>
        <w:t xml:space="preserve">.</w:t>
      </w:r>
      <w:r>
        <w:rPr>
          <w:rStyle w:val="FunctionTok"/>
        </w:rPr>
        <w:t xml:space="preserve">List</w:t>
      </w:r>
      <w:r>
        <w:rPr>
          <w:rStyle w:val="OperatorTok"/>
        </w:rPr>
        <w:t xml:space="preserve">[</w:t>
      </w:r>
      <w:r>
        <w:rPr>
          <w:rStyle w:val="DataTypeTok"/>
        </w:rPr>
        <w:t xml:space="preserve">object</w:t>
      </w:r>
      <w:r>
        <w:rPr>
          <w:rStyle w:val="OperatorTok"/>
        </w:rPr>
        <w:t xml:space="preserve">]]::</w:t>
      </w:r>
      <w:r>
        <w:rPr>
          <w:rStyle w:val="NormalTok"/>
        </w:rPr>
        <w:t xml:space="preserve">new</w:t>
      </w:r>
      <w:r>
        <w:rPr>
          <w:rStyle w:val="OperatorTok"/>
        </w:rPr>
        <w:t xml:space="preserve">()</w:t>
      </w:r>
      <w:r>
        <w:br/>
      </w:r>
      <w:r>
        <w:rPr>
          <w:rStyle w:val="NormalTok"/>
        </w:rPr>
        <w:t xml:space="preserve">    </w:t>
      </w:r>
      <w:r>
        <w:rPr>
          <w:rStyle w:val="VariableTok"/>
        </w:rPr>
        <w:t xml:space="preserve">$staleCutoff</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AddDays</w:t>
      </w:r>
      <w:r>
        <w:rPr>
          <w:rStyle w:val="OperatorTok"/>
        </w:rPr>
        <w:t xml:space="preserve">(-</w:t>
      </w:r>
      <w:r>
        <w:rPr>
          <w:rStyle w:val="DecValTok"/>
        </w:rPr>
        <w:t xml:space="preserve">90</w:t>
      </w:r>
      <w:r>
        <w:rPr>
          <w:rStyle w:val="OperatorTok"/>
        </w:rPr>
        <w:t xml:space="preserve">)</w:t>
      </w:r>
      <w:r>
        <w:br/>
      </w:r>
      <w:r>
        <w:br/>
      </w:r>
      <w:r>
        <w:rPr>
          <w:rStyle w:val="NormalTok"/>
        </w:rPr>
        <w:t xml:space="preserve">    </w:t>
      </w:r>
      <w:r>
        <w:rPr>
          <w:rStyle w:val="CommentTok"/>
        </w:rPr>
        <w:t xml:space="preserve"># --- Traditional service accounts: user objects with service indicators ---</w:t>
      </w:r>
      <w:r>
        <w:br/>
      </w:r>
      <w:r>
        <w:rPr>
          <w:rStyle w:val="NormalTok"/>
        </w:rPr>
        <w:t xml:space="preserve">    </w:t>
      </w:r>
      <w:r>
        <w:rPr>
          <w:rStyle w:val="VariableTok"/>
        </w:rPr>
        <w:t xml:space="preserve">$svcUsers</w:t>
      </w:r>
      <w:r>
        <w:rPr>
          <w:rStyle w:val="NormalTok"/>
        </w:rPr>
        <w:t xml:space="preserve"> </w:t>
      </w:r>
      <w:r>
        <w:rPr>
          <w:rStyle w:val="OperatorTok"/>
        </w:rPr>
        <w:t xml:space="preserve">=</w:t>
      </w:r>
      <w:r>
        <w:rPr>
          <w:rStyle w:val="NormalTok"/>
        </w:rPr>
        <w:t xml:space="preserve"> </w:t>
      </w:r>
      <w:r>
        <w:rPr>
          <w:rStyle w:val="FunctionTok"/>
        </w:rPr>
        <w:t xml:space="preserve">Get-ADUser</w:t>
      </w:r>
      <w:r>
        <w:rPr>
          <w:rStyle w:val="NormalTok"/>
        </w:rPr>
        <w:t xml:space="preserve"> </w:t>
      </w:r>
      <w:r>
        <w:rPr>
          <w:rStyle w:val="OperatorTok"/>
        </w:rPr>
        <w:t xml:space="preserve">-</w:t>
      </w:r>
      <w:r>
        <w:rPr>
          <w:rStyle w:val="NormalTok"/>
        </w:rPr>
        <w:t xml:space="preserve">SearchBase </w:t>
      </w:r>
      <w:r>
        <w:rPr>
          <w:rStyle w:val="VariableTok"/>
        </w:rPr>
        <w:t xml:space="preserve">$SearchBase</w:t>
      </w:r>
      <w:r>
        <w:rPr>
          <w:rStyle w:val="NormalTok"/>
        </w:rPr>
        <w:t xml:space="preserve"> </w:t>
      </w:r>
      <w:r>
        <w:rPr>
          <w:rStyle w:val="OperatorTok"/>
        </w:rPr>
        <w:t xml:space="preserve">-</w:t>
      </w:r>
      <w:r>
        <w:rPr>
          <w:rStyle w:val="NormalTok"/>
        </w:rPr>
        <w:t xml:space="preserve">Filter </w:t>
      </w:r>
      <w:r>
        <w:rPr>
          <w:rStyle w:val="OperatorTok"/>
        </w:rPr>
        <w:t xml:space="preserve">{</w:t>
      </w:r>
      <w:r>
        <w:br/>
      </w:r>
      <w:r>
        <w:rPr>
          <w:rStyle w:val="NormalTok"/>
        </w:rPr>
        <w:t xml:space="preserve">            </w:t>
      </w:r>
      <w:r>
        <w:rPr>
          <w:rStyle w:val="OperatorTok"/>
        </w:rPr>
        <w:t xml:space="preserve">(</w:t>
      </w:r>
      <w:r>
        <w:rPr>
          <w:rStyle w:val="NormalTok"/>
        </w:rPr>
        <w:t xml:space="preserve">ServicePrincipalName </w:t>
      </w:r>
      <w:r>
        <w:rPr>
          <w:rStyle w:val="OperatorTok"/>
        </w:rPr>
        <w:t xml:space="preserve">-like</w:t>
      </w:r>
      <w:r>
        <w:rPr>
          <w:rStyle w:val="NormalTok"/>
        </w:rPr>
        <w:t xml:space="preserve"> </w:t>
      </w:r>
      <w:r>
        <w:rPr>
          <w:rStyle w:val="StringTok"/>
        </w:rPr>
        <w:t xml:space="preserve">'*'</w:t>
      </w:r>
      <w:r>
        <w:rPr>
          <w:rStyle w:val="OperatorTok"/>
        </w:rPr>
        <w:t xml:space="preserve">)</w:t>
      </w:r>
      <w:r>
        <w:rPr>
          <w:rStyle w:val="NormalTok"/>
        </w:rPr>
        <w:t xml:space="preserve"> </w:t>
      </w:r>
      <w:r>
        <w:rPr>
          <w:rStyle w:val="OperatorTok"/>
        </w:rPr>
        <w:t xml:space="preserve">-or</w:t>
      </w:r>
      <w:r>
        <w:rPr>
          <w:rStyle w:val="NormalTok"/>
        </w:rPr>
        <w:t xml:space="preserve"> </w:t>
      </w:r>
      <w:r>
        <w:rPr>
          <w:rStyle w:val="OperatorTok"/>
        </w:rPr>
        <w:t xml:space="preserve">(</w:t>
      </w:r>
      <w:r>
        <w:rPr>
          <w:rStyle w:val="NormalTok"/>
        </w:rPr>
        <w:t xml:space="preserve">SamAccountName </w:t>
      </w:r>
      <w:r>
        <w:rPr>
          <w:rStyle w:val="OperatorTok"/>
        </w:rPr>
        <w:t xml:space="preserve">-like</w:t>
      </w:r>
      <w:r>
        <w:rPr>
          <w:rStyle w:val="NormalTok"/>
        </w:rPr>
        <w:t xml:space="preserve"> </w:t>
      </w:r>
      <w:r>
        <w:rPr>
          <w:rStyle w:val="StringTok"/>
        </w:rPr>
        <w:t xml:space="preserve">'svc-*'</w:t>
      </w:r>
      <w:r>
        <w:rPr>
          <w:rStyle w:val="OperatorTok"/>
        </w:rPr>
        <w:t xml:space="preserve">)</w:t>
      </w:r>
      <w:r>
        <w:rPr>
          <w:rStyle w:val="NormalTok"/>
        </w:rPr>
        <w:t xml:space="preserve"> </w:t>
      </w:r>
      <w:r>
        <w:rPr>
          <w:rStyle w:val="OperatorTok"/>
        </w:rPr>
        <w:t xml:space="preserve">-or</w:t>
      </w:r>
      <w:r>
        <w:br/>
      </w:r>
      <w:r>
        <w:rPr>
          <w:rStyle w:val="NormalTok"/>
        </w:rPr>
        <w:t xml:space="preserve">            </w:t>
      </w:r>
      <w:r>
        <w:rPr>
          <w:rStyle w:val="OperatorTok"/>
        </w:rPr>
        <w:t xml:space="preserve">(</w:t>
      </w:r>
      <w:r>
        <w:rPr>
          <w:rStyle w:val="NormalTok"/>
        </w:rPr>
        <w:t xml:space="preserve">SamAccountName </w:t>
      </w:r>
      <w:r>
        <w:rPr>
          <w:rStyle w:val="OperatorTok"/>
        </w:rPr>
        <w:t xml:space="preserve">-like</w:t>
      </w:r>
      <w:r>
        <w:rPr>
          <w:rStyle w:val="NormalTok"/>
        </w:rPr>
        <w:t xml:space="preserve"> </w:t>
      </w:r>
      <w:r>
        <w:rPr>
          <w:rStyle w:val="StringTok"/>
        </w:rPr>
        <w:t xml:space="preserve">'svc_*'</w:t>
      </w:r>
      <w:r>
        <w:rPr>
          <w:rStyle w:val="OperatorTok"/>
        </w:rPr>
        <w:t xml:space="preserve">)</w:t>
      </w:r>
      <w:r>
        <w:rPr>
          <w:rStyle w:val="NormalTok"/>
        </w:rPr>
        <w:t xml:space="preserve"> </w:t>
      </w:r>
      <w:r>
        <w:rPr>
          <w:rStyle w:val="OperatorTok"/>
        </w:rPr>
        <w:t xml:space="preserve">-or</w:t>
      </w:r>
      <w:r>
        <w:rPr>
          <w:rStyle w:val="NormalTok"/>
        </w:rPr>
        <w:t xml:space="preserve"> </w:t>
      </w:r>
      <w:r>
        <w:rPr>
          <w:rStyle w:val="OperatorTok"/>
        </w:rPr>
        <w:t xml:space="preserve">(</w:t>
      </w:r>
      <w:r>
        <w:rPr>
          <w:rStyle w:val="NormalTok"/>
        </w:rPr>
        <w:t xml:space="preserve">SamAccountName </w:t>
      </w:r>
      <w:r>
        <w:rPr>
          <w:rStyle w:val="OperatorTok"/>
        </w:rPr>
        <w:t xml:space="preserve">-like</w:t>
      </w:r>
      <w:r>
        <w:rPr>
          <w:rStyle w:val="NormalTok"/>
        </w:rPr>
        <w:t xml:space="preserve"> </w:t>
      </w:r>
      <w:r>
        <w:rPr>
          <w:rStyle w:val="StringTok"/>
        </w:rPr>
        <w:t xml:space="preserve">'sa-*'</w:t>
      </w:r>
      <w:r>
        <w:rPr>
          <w:rStyle w:val="OperatorTok"/>
        </w:rPr>
        <w:t xml:space="preserve">)</w:t>
      </w:r>
      <w:r>
        <w:rPr>
          <w:rStyle w:val="NormalTok"/>
        </w:rPr>
        <w:t xml:space="preserve"> </w:t>
      </w:r>
      <w:r>
        <w:rPr>
          <w:rStyle w:val="OperatorTok"/>
        </w:rPr>
        <w:t xml:space="preserve">-or</w:t>
      </w:r>
      <w:r>
        <w:br/>
      </w:r>
      <w:r>
        <w:rPr>
          <w:rStyle w:val="NormalTok"/>
        </w:rPr>
        <w:t xml:space="preserve">            </w:t>
      </w:r>
      <w:r>
        <w:rPr>
          <w:rStyle w:val="OperatorTok"/>
        </w:rPr>
        <w:t xml:space="preserve">(</w:t>
      </w:r>
      <w:r>
        <w:rPr>
          <w:rStyle w:val="NormalTok"/>
        </w:rPr>
        <w:t xml:space="preserve">Description </w:t>
      </w:r>
      <w:r>
        <w:rPr>
          <w:rStyle w:val="OperatorTok"/>
        </w:rPr>
        <w:t xml:space="preserve">-like</w:t>
      </w:r>
      <w:r>
        <w:rPr>
          <w:rStyle w:val="NormalTok"/>
        </w:rPr>
        <w:t xml:space="preserve"> </w:t>
      </w:r>
      <w:r>
        <w:rPr>
          <w:rStyle w:val="StringTok"/>
        </w:rPr>
        <w:t xml:space="preserve">'*service*account*'</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Properties UserPrincipalName</w:t>
      </w:r>
      <w:r>
        <w:rPr>
          <w:rStyle w:val="OperatorTok"/>
        </w:rPr>
        <w:t xml:space="preserve">,</w:t>
      </w:r>
      <w:r>
        <w:rPr>
          <w:rStyle w:val="NormalTok"/>
        </w:rPr>
        <w:t xml:space="preserve"> DisplayName</w:t>
      </w:r>
      <w:r>
        <w:rPr>
          <w:rStyle w:val="OperatorTok"/>
        </w:rPr>
        <w:t xml:space="preserve">,</w:t>
      </w:r>
      <w:r>
        <w:rPr>
          <w:rStyle w:val="NormalTok"/>
        </w:rPr>
        <w:t xml:space="preserve"> Description</w:t>
      </w:r>
      <w:r>
        <w:rPr>
          <w:rStyle w:val="OperatorTok"/>
        </w:rPr>
        <w:t xml:space="preserve">,</w:t>
      </w:r>
      <w:r>
        <w:rPr>
          <w:rStyle w:val="NormalTok"/>
        </w:rPr>
        <w:t xml:space="preserve"> ServicePrincipalName</w:t>
      </w:r>
      <w:r>
        <w:rPr>
          <w:rStyle w:val="OperatorTok"/>
        </w:rPr>
        <w:t xml:space="preserve">,</w:t>
      </w:r>
      <w:r>
        <w:br/>
      </w:r>
      <w:r>
        <w:rPr>
          <w:rStyle w:val="NormalTok"/>
        </w:rPr>
        <w:t xml:space="preserve">                      Enabled</w:t>
      </w:r>
      <w:r>
        <w:rPr>
          <w:rStyle w:val="OperatorTok"/>
        </w:rPr>
        <w:t xml:space="preserve">,</w:t>
      </w:r>
      <w:r>
        <w:rPr>
          <w:rStyle w:val="NormalTok"/>
        </w:rPr>
        <w:t xml:space="preserve"> PasswordNeverExpires</w:t>
      </w:r>
      <w:r>
        <w:rPr>
          <w:rStyle w:val="OperatorTok"/>
        </w:rPr>
        <w:t xml:space="preserve">,</w:t>
      </w:r>
      <w:r>
        <w:rPr>
          <w:rStyle w:val="NormalTok"/>
        </w:rPr>
        <w:t xml:space="preserve"> PasswordLastSet</w:t>
      </w:r>
      <w:r>
        <w:rPr>
          <w:rStyle w:val="OperatorTok"/>
        </w:rPr>
        <w:t xml:space="preserve">,</w:t>
      </w:r>
      <w:r>
        <w:rPr>
          <w:rStyle w:val="NormalTok"/>
        </w:rPr>
        <w:t xml:space="preserve"> LastLogonDate</w:t>
      </w:r>
      <w:r>
        <w:rPr>
          <w:rStyle w:val="OperatorTok"/>
        </w:rPr>
        <w:t xml:space="preserve">,</w:t>
      </w:r>
      <w:r>
        <w:br/>
      </w:r>
      <w:r>
        <w:rPr>
          <w:rStyle w:val="NormalTok"/>
        </w:rPr>
        <w:t xml:space="preserve">                      WhenCreated</w:t>
      </w:r>
      <w:r>
        <w:rPr>
          <w:rStyle w:val="OperatorTok"/>
        </w:rPr>
        <w:t xml:space="preserve">,</w:t>
      </w:r>
      <w:r>
        <w:rPr>
          <w:rStyle w:val="NormalTok"/>
        </w:rPr>
        <w:t xml:space="preserve"> MemberOf</w:t>
      </w:r>
      <w:r>
        <w:rPr>
          <w:rStyle w:val="OperatorTok"/>
        </w:rPr>
        <w:t xml:space="preserve">,</w:t>
      </w:r>
      <w:r>
        <w:rPr>
          <w:rStyle w:val="NormalTok"/>
        </w:rPr>
        <w:t xml:space="preserve"> DistinguishedName</w:t>
      </w:r>
      <w:r>
        <w:br/>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$svc</w:t>
      </w:r>
      <w:r>
        <w:rPr>
          <w:rStyle w:val="NormalTok"/>
        </w:rPr>
        <w:t xml:space="preserve"> </w:t>
      </w:r>
      <w:r>
        <w:rPr>
          <w:rStyle w:val="KeywordTok"/>
        </w:rPr>
        <w:t xml:space="preserve">in</w:t>
      </w:r>
      <w:r>
        <w:rPr>
          <w:rStyle w:val="NormalTok"/>
        </w:rPr>
        <w:t xml:space="preserve"> </w:t>
      </w:r>
      <w:r>
        <w:rPr>
          <w:rStyle w:val="VariableTok"/>
        </w:rPr>
        <w:t xml:space="preserve">$svcUsers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$spnCount</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ServicePrincipalName</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br/>
      </w:r>
      <w:r>
        <w:rPr>
          <w:rStyle w:val="NormalTok"/>
        </w:rPr>
        <w:t xml:space="preserve">        </w:t>
      </w:r>
      <w:r>
        <w:rPr>
          <w:rStyle w:val="VariableTok"/>
        </w:rPr>
        <w:t xml:space="preserve">$daysSincePasswordChange</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PasswordLastSet</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FunctionTok"/>
        </w:rPr>
        <w:t xml:space="preserve">New-TimeSpan</w:t>
      </w:r>
      <w:r>
        <w:rPr>
          <w:rStyle w:val="NormalTok"/>
        </w:rPr>
        <w:t xml:space="preserve"> </w:t>
      </w:r>
      <w:r>
        <w:rPr>
          <w:rStyle w:val="OperatorTok"/>
        </w:rPr>
        <w:t xml:space="preserve">-</w:t>
      </w:r>
      <w:r>
        <w:rPr>
          <w:rStyle w:val="NormalTok"/>
        </w:rPr>
        <w:t xml:space="preserve">Start </w:t>
      </w:r>
      <w:r>
        <w:rPr>
          <w:rStyle w:val="VariableTok"/>
        </w:rPr>
        <w:t xml:space="preserve">$svc</w:t>
      </w:r>
      <w:r>
        <w:rPr>
          <w:rStyle w:val="OperatorTok"/>
        </w:rPr>
        <w:t xml:space="preserve">.</w:t>
      </w:r>
      <w:r>
        <w:rPr>
          <w:rStyle w:val="FunctionTok"/>
        </w:rPr>
        <w:t xml:space="preserve">PasswordLastSet</w:t>
      </w:r>
      <w:r>
        <w:rPr>
          <w:rStyle w:val="NormalTok"/>
        </w:rPr>
        <w:t xml:space="preserve"> </w:t>
      </w:r>
      <w:r>
        <w:rPr>
          <w:rStyle w:val="OperatorTok"/>
        </w:rPr>
        <w:t xml:space="preserve">-</w:t>
      </w:r>
      <w:r>
        <w:rPr>
          <w:rStyle w:val="NormalTok"/>
        </w:rPr>
        <w:t xml:space="preserve">End </w:t>
      </w:r>
      <w:r>
        <w:rPr>
          <w:rStyle w:val="OperatorTok"/>
        </w:rPr>
        <w:t xml:space="preserve">(</w:t>
      </w:r>
      <w:r>
        <w:rPr>
          <w:rStyle w:val="FunctionTok"/>
        </w:rPr>
        <w:t xml:space="preserve">Get-Date</w:t>
      </w:r>
      <w:r>
        <w:rPr>
          <w:rStyle w:val="OperatorTok"/>
        </w:rPr>
        <w:t xml:space="preserve">)).</w:t>
      </w:r>
      <w:r>
        <w:rPr>
          <w:rStyle w:val="FunctionTok"/>
        </w:rPr>
        <w:t xml:space="preserve">Days</w:t>
      </w:r>
      <w:r>
        <w:br/>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w:t>
      </w:r>
      <w:r>
        <w:rPr>
          <w:rStyle w:val="NormalTok"/>
        </w:rPr>
        <w:t xml:space="preserve"> </w:t>
      </w:r>
      <w:r>
        <w:rPr>
          <w:rStyle w:val="OperatorTok"/>
        </w:rPr>
        <w:t xml:space="preserve">}</w:t>
      </w:r>
      <w:r>
        <w:br/>
      </w:r>
      <w:r>
        <w:br/>
      </w:r>
      <w:r>
        <w:rPr>
          <w:rStyle w:val="NormalTok"/>
        </w:rPr>
        <w:t xml:space="preserve">        </w:t>
      </w:r>
      <w:r>
        <w:rPr>
          <w:rStyle w:val="VariableTok"/>
        </w:rPr>
        <w:t xml:space="preserve">$recommendation</w:t>
      </w:r>
      <w:r>
        <w:rPr>
          <w:rStyle w:val="NormalTok"/>
        </w:rPr>
        <w:t xml:space="preserve"> </w:t>
      </w:r>
      <w:r>
        <w:rPr>
          <w:rStyle w:val="OperatorTok"/>
        </w:rPr>
        <w:t xml:space="preserve">=</w:t>
      </w:r>
      <w:r>
        <w:rPr>
          <w:rStyle w:val="NormalTok"/>
        </w:rPr>
        <w:t xml:space="preserve"> </w:t>
      </w:r>
      <w:r>
        <w:rPr>
          <w:rStyle w:val="ControlFlowTok"/>
        </w:rPr>
        <w:t xml:space="preserve">switch</w:t>
      </w:r>
      <w:r>
        <w:rPr>
          <w:rStyle w:val="NormalTok"/>
        </w:rPr>
        <w:t xml:space="preserve"> </w:t>
      </w:r>
      <w:r>
        <w:rPr>
          <w:rStyle w:val="OperatorTok"/>
        </w:rPr>
        <w:t xml:space="preserve">(</w:t>
      </w:r>
      <w:r>
        <w:rPr>
          <w:rStyle w:val="VariableTok"/>
        </w:rPr>
        <w:t xml:space="preserve">$true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(-not</w:t>
      </w:r>
      <w:r>
        <w:rPr>
          <w:rStyle w:val="NormalTok"/>
        </w:rPr>
        <w:t xml:space="preserve"> </w:t>
      </w:r>
      <w:r>
        <w:rPr>
          <w:rStyle w:val="VariableTok"/>
        </w:rPr>
        <w:t xml:space="preserve">$svc</w:t>
      </w:r>
      <w:r>
        <w:rPr>
          <w:rStyle w:val="OperatorTok"/>
        </w:rPr>
        <w:t xml:space="preserve">.</w:t>
      </w:r>
      <w:r>
        <w:rPr>
          <w:rStyle w:val="FunctionTok"/>
        </w:rPr>
        <w:t xml:space="preserve">Enabled</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'Disabled: verify and retire'</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LastLogonDate</w:t>
      </w:r>
      <w:r>
        <w:rPr>
          <w:rStyle w:val="NormalTok"/>
        </w:rPr>
        <w:t xml:space="preserve"> </w:t>
      </w:r>
      <w:r>
        <w:rPr>
          <w:rStyle w:val="OperatorTok"/>
        </w:rPr>
        <w:t xml:space="preserve">-lt</w:t>
      </w:r>
      <w:r>
        <w:rPr>
          <w:rStyle w:val="NormalTok"/>
        </w:rPr>
        <w:t xml:space="preserve"> </w:t>
      </w:r>
      <w:r>
        <w:rPr>
          <w:rStyle w:val="VariableTok"/>
        </w:rPr>
        <w:t xml:space="preserve">$staleCutoff</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'Stale: verify use and retire if unused'</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PasswordNeverExpires</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'HIGH RISK: move to a workload identity (federated credential, managed identity, or certificate)'</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$spnCount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'Kerberos service: convert to gMSA, then evaluate workload identity federation'</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default                                       </w:t>
      </w:r>
      <w:r>
        <w:rPr>
          <w:rStyle w:val="OperatorTok"/>
        </w:rPr>
        <w:t xml:space="preserve">{</w:t>
      </w:r>
      <w:r>
        <w:rPr>
          <w:rStyle w:val="NormalTok"/>
        </w:rPr>
        <w:t xml:space="preserve"> </w:t>
      </w:r>
      <w:r>
        <w:rPr>
          <w:rStyle w:val="StringTok"/>
        </w:rPr>
        <w:t xml:space="preserve">'Evaluate the workload; target a managed identity or application registration'</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$riskLevel</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Enabled</w:t>
      </w:r>
      <w:r>
        <w:rPr>
          <w:rStyle w:val="NormalTok"/>
        </w:rPr>
        <w:t xml:space="preserve"> </w:t>
      </w:r>
      <w:r>
        <w:rPr>
          <w:rStyle w:val="OperatorTok"/>
        </w:rPr>
        <w:t xml:space="preserve">-and</w:t>
      </w:r>
      <w:r>
        <w:rPr>
          <w:rStyle w:val="NormalTok"/>
        </w:rPr>
        <w:t xml:space="preserve"> </w:t>
      </w:r>
      <w:r>
        <w:rPr>
          <w:rStyle w:val="VariableTok"/>
        </w:rPr>
        <w:t xml:space="preserve">$svc</w:t>
      </w:r>
      <w:r>
        <w:rPr>
          <w:rStyle w:val="OperatorTok"/>
        </w:rPr>
        <w:t xml:space="preserve">.</w:t>
      </w:r>
      <w:r>
        <w:rPr>
          <w:rStyle w:val="FunctionTok"/>
        </w:rPr>
        <w:t xml:space="preserve">PasswordNeverExpires</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'HIGH'</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$daysSincePasswordChange</w:t>
      </w:r>
      <w:r>
        <w:rPr>
          <w:rStyle w:val="NormalTok"/>
        </w:rPr>
        <w:t xml:space="preserve"> </w:t>
      </w:r>
      <w:r>
        <w:rPr>
          <w:rStyle w:val="OperatorTok"/>
        </w:rPr>
        <w:t xml:space="preserve">-gt</w:t>
      </w:r>
      <w:r>
        <w:rPr>
          <w:rStyle w:val="NormalTok"/>
        </w:rPr>
        <w:t xml:space="preserve"> </w:t>
      </w:r>
      <w:r>
        <w:rPr>
          <w:rStyle w:val="DecValTok"/>
        </w:rPr>
        <w:t xml:space="preserve">365</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'HIGH'</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Enabled</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'MEDIUM'</w:t>
      </w:r>
      <w:r>
        <w:rPr>
          <w:rStyle w:val="NormalTok"/>
        </w:rPr>
        <w:t xml:space="preserve"> </w:t>
      </w:r>
      <w:r>
        <w:rPr>
          <w:rStyle w:val="OperatorTok"/>
        </w:rPr>
        <w:t xml:space="preserve">}</w:t>
      </w:r>
      <w:r>
        <w:br/>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'LOW'</w:t>
      </w:r>
      <w:r>
        <w:rPr>
          <w:rStyle w:val="NormalTok"/>
        </w:rPr>
        <w:t xml:space="preserve"> </w:t>
      </w:r>
      <w:r>
        <w:rPr>
          <w:rStyle w:val="OperatorTok"/>
        </w:rPr>
        <w:t xml:space="preserve">}</w:t>
      </w:r>
      <w:r>
        <w:br/>
      </w:r>
      <w:r>
        <w:br/>
      </w:r>
      <w:r>
        <w:rPr>
          <w:rStyle w:val="NormalTok"/>
        </w:rPr>
        <w:t xml:space="preserve">        </w:t>
      </w:r>
      <w:r>
        <w:rPr>
          <w:rStyle w:val="VariableTok"/>
        </w:rPr>
        <w:t xml:space="preserve">$results</w:t>
      </w:r>
      <w:r>
        <w:rPr>
          <w:rStyle w:val="OperatorTok"/>
        </w:rPr>
        <w:t xml:space="preserve">.</w:t>
      </w:r>
      <w:r>
        <w:rPr>
          <w:rStyle w:val="FunctionTok"/>
        </w:rPr>
        <w:t xml:space="preserve">Add</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'TraditionalServiceAccount'</w:t>
      </w:r>
      <w:r>
        <w:br/>
      </w:r>
      <w:r>
        <w:rPr>
          <w:rStyle w:val="NormalTok"/>
        </w:rPr>
        <w:t xml:space="preserve">            SamAccountName          </w:t>
      </w:r>
      <w:r>
        <w:rPr>
          <w:rStyle w:val="OperatorTok"/>
        </w:rPr>
        <w:t xml:space="preserve">=</w:t>
      </w:r>
      <w:r>
        <w:rPr>
          <w:rStyle w:val="NormalTok"/>
        </w:rPr>
        <w:t xml:space="preserve"> </w:t>
      </w:r>
      <w:r>
        <w:rPr>
          <w:rStyle w:val="VariableTok"/>
        </w:rPr>
        <w:t xml:space="preserve">$svc</w:t>
      </w:r>
      <w:r>
        <w:rPr>
          <w:rStyle w:val="OperatorTok"/>
        </w:rPr>
        <w:t xml:space="preserve">.</w:t>
      </w:r>
      <w:r>
        <w:rPr>
          <w:rStyle w:val="FunctionTok"/>
        </w:rPr>
        <w:t xml:space="preserve">SamAccountName</w:t>
      </w:r>
      <w:r>
        <w:br/>
      </w:r>
      <w:r>
        <w:rPr>
          <w:rStyle w:val="NormalTok"/>
        </w:rPr>
        <w:t xml:space="preserve">            DisplayName             </w:t>
      </w:r>
      <w:r>
        <w:rPr>
          <w:rStyle w:val="OperatorTok"/>
        </w:rPr>
        <w:t xml:space="preserve">=</w:t>
      </w:r>
      <w:r>
        <w:rPr>
          <w:rStyle w:val="NormalTok"/>
        </w:rPr>
        <w:t xml:space="preserve"> </w:t>
      </w:r>
      <w:r>
        <w:rPr>
          <w:rStyle w:val="VariableTok"/>
        </w:rPr>
        <w:t xml:space="preserve">$svc</w:t>
      </w:r>
      <w:r>
        <w:rPr>
          <w:rStyle w:val="OperatorTok"/>
        </w:rPr>
        <w:t xml:space="preserve">.</w:t>
      </w:r>
      <w:r>
        <w:rPr>
          <w:rStyle w:val="FunctionTok"/>
        </w:rPr>
        <w:t xml:space="preserve">DisplayName</w:t>
      </w:r>
      <w:r>
        <w:br/>
      </w:r>
      <w:r>
        <w:rPr>
          <w:rStyle w:val="NormalTok"/>
        </w:rPr>
        <w:t xml:space="preserve">            Description             </w:t>
      </w:r>
      <w:r>
        <w:rPr>
          <w:rStyle w:val="OperatorTok"/>
        </w:rPr>
        <w:t xml:space="preserve">=</w:t>
      </w:r>
      <w:r>
        <w:rPr>
          <w:rStyle w:val="NormalTok"/>
        </w:rPr>
        <w:t xml:space="preserve"> </w:t>
      </w:r>
      <w:r>
        <w:rPr>
          <w:rStyle w:val="VariableTok"/>
        </w:rPr>
        <w:t xml:space="preserve">$svc</w:t>
      </w:r>
      <w:r>
        <w:rPr>
          <w:rStyle w:val="OperatorTok"/>
        </w:rPr>
        <w:t xml:space="preserve">.</w:t>
      </w:r>
      <w:r>
        <w:rPr>
          <w:rStyle w:val="FunctionTok"/>
        </w:rPr>
        <w:t xml:space="preserve">Description</w:t>
      </w:r>
      <w:r>
        <w:br/>
      </w:r>
      <w:r>
        <w:rPr>
          <w:rStyle w:val="NormalTok"/>
        </w:rPr>
        <w:t xml:space="preserve">            Enabled                 </w:t>
      </w:r>
      <w:r>
        <w:rPr>
          <w:rStyle w:val="OperatorTok"/>
        </w:rPr>
        <w:t xml:space="preserve">=</w:t>
      </w:r>
      <w:r>
        <w:rPr>
          <w:rStyle w:val="NormalTok"/>
        </w:rPr>
        <w:t xml:space="preserve"> </w:t>
      </w:r>
      <w:r>
        <w:rPr>
          <w:rStyle w:val="VariableTok"/>
        </w:rPr>
        <w:t xml:space="preserve">$svc</w:t>
      </w:r>
      <w:r>
        <w:rPr>
          <w:rStyle w:val="OperatorTok"/>
        </w:rPr>
        <w:t xml:space="preserve">.</w:t>
      </w:r>
      <w:r>
        <w:rPr>
          <w:rStyle w:val="FunctionTok"/>
        </w:rPr>
        <w:t xml:space="preserve">Enabled</w:t>
      </w:r>
      <w:r>
        <w:br/>
      </w:r>
      <w:r>
        <w:rPr>
          <w:rStyle w:val="NormalTok"/>
        </w:rPr>
        <w:t xml:space="preserve">            PasswordNeverExpires    </w:t>
      </w:r>
      <w:r>
        <w:rPr>
          <w:rStyle w:val="OperatorTok"/>
        </w:rPr>
        <w:t xml:space="preserve">=</w:t>
      </w:r>
      <w:r>
        <w:rPr>
          <w:rStyle w:val="NormalTok"/>
        </w:rPr>
        <w:t xml:space="preserve"> </w:t>
      </w:r>
      <w:r>
        <w:rPr>
          <w:rStyle w:val="VariableTok"/>
        </w:rPr>
        <w:t xml:space="preserve">$svc</w:t>
      </w:r>
      <w:r>
        <w:rPr>
          <w:rStyle w:val="OperatorTok"/>
        </w:rPr>
        <w:t xml:space="preserve">.</w:t>
      </w:r>
      <w:r>
        <w:rPr>
          <w:rStyle w:val="FunctionTok"/>
        </w:rPr>
        <w:t xml:space="preserve">PasswordNeverExpires</w:t>
      </w:r>
      <w:r>
        <w:br/>
      </w:r>
      <w:r>
        <w:rPr>
          <w:rStyle w:val="NormalTok"/>
        </w:rPr>
        <w:t xml:space="preserve">            DaysSincePasswordChange </w:t>
      </w:r>
      <w:r>
        <w:rPr>
          <w:rStyle w:val="OperatorTok"/>
        </w:rPr>
        <w:t xml:space="preserve">=</w:t>
      </w:r>
      <w:r>
        <w:rPr>
          <w:rStyle w:val="NormalTok"/>
        </w:rPr>
        <w:t xml:space="preserve"> </w:t>
      </w:r>
      <w:r>
        <w:rPr>
          <w:rStyle w:val="VariableTok"/>
        </w:rPr>
        <w:t xml:space="preserve">$daysSincePasswordChange</w:t>
      </w:r>
      <w:r>
        <w:br/>
      </w:r>
      <w:r>
        <w:rPr>
          <w:rStyle w:val="NormalTok"/>
        </w:rPr>
        <w:t xml:space="preserve">            SPNCount                </w:t>
      </w:r>
      <w:r>
        <w:rPr>
          <w:rStyle w:val="OperatorTok"/>
        </w:rPr>
        <w:t xml:space="preserve">=</w:t>
      </w:r>
      <w:r>
        <w:rPr>
          <w:rStyle w:val="NormalTok"/>
        </w:rPr>
        <w:t xml:space="preserve"> </w:t>
      </w:r>
      <w:r>
        <w:rPr>
          <w:rStyle w:val="VariableTok"/>
        </w:rPr>
        <w:t xml:space="preserve">$spnCount</w:t>
      </w:r>
      <w:r>
        <w:br/>
      </w:r>
      <w:r>
        <w:rPr>
          <w:rStyle w:val="NormalTok"/>
        </w:rPr>
        <w:t xml:space="preserve">            SPNs                    </w:t>
      </w:r>
      <w:r>
        <w:rPr>
          <w:rStyle w:val="OperatorTok"/>
        </w:rPr>
        <w:t xml:space="preserve">=</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ServicePrincipalName</w:t>
      </w:r>
      <w:r>
        <w:rPr>
          <w:rStyle w:val="NormalTok"/>
        </w:rPr>
        <w:t xml:space="preserve"> </w:t>
      </w:r>
      <w:r>
        <w:rPr>
          <w:rStyle w:val="OperatorTok"/>
        </w:rPr>
        <w:t xml:space="preserve">-join</w:t>
      </w:r>
      <w:r>
        <w:rPr>
          <w:rStyle w:val="NormalTok"/>
        </w:rPr>
        <w:t xml:space="preserve"> </w:t>
      </w:r>
      <w:r>
        <w:rPr>
          <w:rStyle w:val="StringTok"/>
        </w:rPr>
        <w:t xml:space="preserve">'; '</w:t>
      </w:r>
      <w:r>
        <w:rPr>
          <w:rStyle w:val="OperatorTok"/>
        </w:rPr>
        <w:t xml:space="preserve">)</w:t>
      </w:r>
      <w:r>
        <w:br/>
      </w:r>
      <w:r>
        <w:rPr>
          <w:rStyle w:val="NormalTok"/>
        </w:rPr>
        <w:t xml:space="preserve">            LastLogon               </w:t>
      </w:r>
      <w:r>
        <w:rPr>
          <w:rStyle w:val="OperatorTok"/>
        </w:rPr>
        <w:t xml:space="preserve">=</w:t>
      </w:r>
      <w:r>
        <w:rPr>
          <w:rStyle w:val="NormalTok"/>
        </w:rPr>
        <w:t xml:space="preserve"> </w:t>
      </w:r>
      <w:r>
        <w:rPr>
          <w:rStyle w:val="VariableTok"/>
        </w:rPr>
        <w:t xml:space="preserve">$svc</w:t>
      </w:r>
      <w:r>
        <w:rPr>
          <w:rStyle w:val="OperatorTok"/>
        </w:rPr>
        <w:t xml:space="preserve">.</w:t>
      </w:r>
      <w:r>
        <w:rPr>
          <w:rStyle w:val="FunctionTok"/>
        </w:rPr>
        <w:t xml:space="preserve">LastLogonDate</w:t>
      </w:r>
      <w:r>
        <w:br/>
      </w:r>
      <w:r>
        <w:rPr>
          <w:rStyle w:val="NormalTok"/>
        </w:rPr>
        <w:t xml:space="preserve">            GroupMembershipCount    </w:t>
      </w:r>
      <w:r>
        <w:rPr>
          <w:rStyle w:val="OperatorTok"/>
        </w:rPr>
        <w:t xml:space="preserve">=</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MemberOf</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br/>
      </w:r>
      <w:r>
        <w:rPr>
          <w:rStyle w:val="NormalTok"/>
        </w:rPr>
        <w:t xml:space="preserve">            OU                      </w:t>
      </w:r>
      <w:r>
        <w:rPr>
          <w:rStyle w:val="OperatorTok"/>
        </w:rPr>
        <w:t xml:space="preserve">=</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DistinguishedName</w:t>
      </w:r>
      <w:r>
        <w:rPr>
          <w:rStyle w:val="NormalTok"/>
        </w:rPr>
        <w:t xml:space="preserve"> </w:t>
      </w:r>
      <w:r>
        <w:rPr>
          <w:rStyle w:val="OperatorTok"/>
        </w:rPr>
        <w:t xml:space="preserve">-split</w:t>
      </w:r>
      <w:r>
        <w:rPr>
          <w:rStyle w:val="NormalTok"/>
        </w:rPr>
        <w:t xml:space="preserve"> </w:t>
      </w:r>
      <w:r>
        <w:rPr>
          <w:rStyle w:val="StringTok"/>
        </w:rPr>
        <w:t xml:space="preserve">','</w:t>
      </w:r>
      <w:r>
        <w:rPr>
          <w:rStyle w:val="OperatorTok"/>
        </w:rPr>
        <w:t xml:space="preserve">,</w:t>
      </w:r>
      <w:r>
        <w:rPr>
          <w:rStyle w:val="NormalTok"/>
        </w:rPr>
        <w:t xml:space="preserve"> </w:t>
      </w:r>
      <w:r>
        <w:rPr>
          <w:rStyle w:val="DecValTok"/>
        </w:rPr>
        <w:t xml:space="preserve">2</w:t>
      </w:r>
      <w:r>
        <w:rPr>
          <w:rStyle w:val="OperatorTok"/>
        </w:rPr>
        <w:t xml:space="preserve">)[</w:t>
      </w:r>
      <w:r>
        <w:rPr>
          <w:rStyle w:val="DecValTok"/>
        </w:rPr>
        <w:t xml:space="preserve">1</w:t>
      </w:r>
      <w:r>
        <w:rPr>
          <w:rStyle w:val="OperatorTok"/>
        </w:rPr>
        <w:t xml:space="preserve">]</w:t>
      </w:r>
      <w:r>
        <w:br/>
      </w:r>
      <w:r>
        <w:rPr>
          <w:rStyle w:val="NormalTok"/>
        </w:rPr>
        <w:t xml:space="preserve">            RiskLevel               </w:t>
      </w:r>
      <w:r>
        <w:rPr>
          <w:rStyle w:val="OperatorTok"/>
        </w:rPr>
        <w:t xml:space="preserve">=</w:t>
      </w:r>
      <w:r>
        <w:rPr>
          <w:rStyle w:val="NormalTok"/>
        </w:rPr>
        <w:t xml:space="preserve"> </w:t>
      </w:r>
      <w:r>
        <w:rPr>
          <w:rStyle w:val="VariableTok"/>
        </w:rPr>
        <w:t xml:space="preserve">$riskLevel</w:t>
      </w:r>
      <w:r>
        <w:br/>
      </w:r>
      <w:r>
        <w:rPr>
          <w:rStyle w:val="NormalTok"/>
        </w:rPr>
        <w:t xml:space="preserve">            Recommendation          </w:t>
      </w:r>
      <w:r>
        <w:rPr>
          <w:rStyle w:val="OperatorTok"/>
        </w:rPr>
        <w:t xml:space="preserve">=</w:t>
      </w:r>
      <w:r>
        <w:rPr>
          <w:rStyle w:val="NormalTok"/>
        </w:rPr>
        <w:t xml:space="preserve"> </w:t>
      </w:r>
      <w:r>
        <w:rPr>
          <w:rStyle w:val="VariableTok"/>
        </w:rPr>
        <w:t xml:space="preserve">$recommendation</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CommentTok"/>
        </w:rPr>
        <w:t xml:space="preserve"># --- Managed service accounts (MSA and gMSA) ---</w:t>
      </w:r>
      <w:r>
        <w:br/>
      </w:r>
      <w:r>
        <w:rPr>
          <w:rStyle w:val="NormalTok"/>
        </w:rPr>
        <w:t xml:space="preserve">    </w:t>
      </w:r>
      <w:r>
        <w:rPr>
          <w:rStyle w:val="VariableTok"/>
        </w:rPr>
        <w:t xml:space="preserve">$msaAccounts</w:t>
      </w:r>
      <w:r>
        <w:rPr>
          <w:rStyle w:val="NormalTok"/>
        </w:rPr>
        <w:t xml:space="preserve"> </w:t>
      </w:r>
      <w:r>
        <w:rPr>
          <w:rStyle w:val="OperatorTok"/>
        </w:rPr>
        <w:t xml:space="preserve">=</w:t>
      </w:r>
      <w:r>
        <w:rPr>
          <w:rStyle w:val="NormalTok"/>
        </w:rPr>
        <w:t xml:space="preserve"> </w:t>
      </w:r>
      <w:r>
        <w:rPr>
          <w:rStyle w:val="FunctionTok"/>
        </w:rPr>
        <w:t xml:space="preserve">Get-ADServiceAccount</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SearchBase </w:t>
      </w:r>
      <w:r>
        <w:rPr>
          <w:rStyle w:val="VariableTok"/>
        </w:rPr>
        <w:t xml:space="preserve">$SearchBase</w:t>
      </w:r>
      <w:r>
        <w:rPr>
          <w:rStyle w:val="NormalTok"/>
        </w:rPr>
        <w:t xml:space="preserve"> </w:t>
      </w:r>
      <w:r>
        <w:rPr>
          <w:rStyle w:val="OperatorTok"/>
        </w:rPr>
        <w:t xml:space="preserve">-</w:t>
      </w:r>
      <w:r>
        <w:rPr>
          <w:rStyle w:val="NormalTok"/>
        </w:rPr>
        <w:t xml:space="preserve">Properties Enabled</w:t>
      </w:r>
      <w:r>
        <w:rPr>
          <w:rStyle w:val="OperatorTok"/>
        </w:rPr>
        <w:t xml:space="preserve">,</w:t>
      </w:r>
      <w:r>
        <w:br/>
      </w:r>
      <w:r>
        <w:rPr>
          <w:rStyle w:val="NormalTok"/>
        </w:rPr>
        <w:t xml:space="preserve">        DistinguishedName</w:t>
      </w:r>
      <w:r>
        <w:rPr>
          <w:rStyle w:val="OperatorTok"/>
        </w:rPr>
        <w:t xml:space="preserve">,</w:t>
      </w:r>
      <w:r>
        <w:rPr>
          <w:rStyle w:val="NormalTok"/>
        </w:rPr>
        <w:t xml:space="preserve"> ObjectClass</w:t>
      </w:r>
      <w:r>
        <w:rPr>
          <w:rStyle w:val="OperatorTok"/>
        </w:rPr>
        <w:t xml:space="preserve">,</w:t>
      </w:r>
      <w:r>
        <w:rPr>
          <w:rStyle w:val="NormalTok"/>
        </w:rPr>
        <w:t xml:space="preserve"> </w:t>
      </w:r>
      <w:r>
        <w:rPr>
          <w:rStyle w:val="StringTok"/>
        </w:rPr>
        <w:t xml:space="preserve">'msDS-ManagedPasswordInterval'</w:t>
      </w:r>
      <w:r>
        <w:rPr>
          <w:rStyle w:val="OperatorTok"/>
        </w:rPr>
        <w:t xml:space="preserve">,</w:t>
      </w:r>
      <w:r>
        <w:rPr>
          <w:rStyle w:val="NormalTok"/>
        </w:rPr>
        <w:t xml:space="preserve"> WhenCreated</w:t>
      </w:r>
      <w:r>
        <w:br/>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$msa</w:t>
      </w:r>
      <w:r>
        <w:rPr>
          <w:rStyle w:val="NormalTok"/>
        </w:rPr>
        <w:t xml:space="preserve"> </w:t>
      </w:r>
      <w:r>
        <w:rPr>
          <w:rStyle w:val="KeywordTok"/>
        </w:rPr>
        <w:t xml:space="preserve">in</w:t>
      </w:r>
      <w:r>
        <w:rPr>
          <w:rStyle w:val="NormalTok"/>
        </w:rPr>
        <w:t xml:space="preserve"> </w:t>
      </w:r>
      <w:r>
        <w:rPr>
          <w:rStyle w:val="VariableTok"/>
        </w:rPr>
        <w:t xml:space="preserve">$msaAccounts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$isGmsa</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$msa</w:t>
      </w:r>
      <w:r>
        <w:rPr>
          <w:rStyle w:val="OperatorTok"/>
        </w:rPr>
        <w:t xml:space="preserve">.</w:t>
      </w:r>
      <w:r>
        <w:rPr>
          <w:rStyle w:val="FunctionTok"/>
        </w:rPr>
        <w:t xml:space="preserve">ObjectClass</w:t>
      </w:r>
      <w:r>
        <w:rPr>
          <w:rStyle w:val="NormalTok"/>
        </w:rPr>
        <w:t xml:space="preserve"> </w:t>
      </w:r>
      <w:r>
        <w:rPr>
          <w:rStyle w:val="OperatorTok"/>
        </w:rPr>
        <w:t xml:space="preserve">-eq</w:t>
      </w:r>
      <w:r>
        <w:rPr>
          <w:rStyle w:val="NormalTok"/>
        </w:rPr>
        <w:t xml:space="preserve"> </w:t>
      </w:r>
      <w:r>
        <w:rPr>
          <w:rStyle w:val="StringTok"/>
        </w:rPr>
        <w:t xml:space="preserve">'msDS-GroupManagedServiceAccount'</w:t>
      </w:r>
      <w:r>
        <w:rPr>
          <w:rStyle w:val="OperatorTok"/>
        </w:rPr>
        <w:t xml:space="preserve">)</w:t>
      </w:r>
      <w:r>
        <w:br/>
      </w:r>
      <w:r>
        <w:rPr>
          <w:rStyle w:val="NormalTok"/>
        </w:rPr>
        <w:t xml:space="preserve">        </w:t>
      </w:r>
      <w:r>
        <w:rPr>
          <w:rStyle w:val="VariableTok"/>
        </w:rPr>
        <w:t xml:space="preserve">$results</w:t>
      </w:r>
      <w:r>
        <w:rPr>
          <w:rStyle w:val="OperatorTok"/>
        </w:rPr>
        <w:t xml:space="preserve">.</w:t>
      </w:r>
      <w:r>
        <w:rPr>
          <w:rStyle w:val="FunctionTok"/>
        </w:rPr>
        <w:t xml:space="preserve">Add</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$isGmsa</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'gMSA'</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'MSA'</w:t>
      </w:r>
      <w:r>
        <w:rPr>
          <w:rStyle w:val="NormalTok"/>
        </w:rPr>
        <w:t xml:space="preserve"> </w:t>
      </w:r>
      <w:r>
        <w:rPr>
          <w:rStyle w:val="OperatorTok"/>
        </w:rPr>
        <w:t xml:space="preserve">}</w:t>
      </w:r>
      <w:r>
        <w:br/>
      </w:r>
      <w:r>
        <w:rPr>
          <w:rStyle w:val="NormalTok"/>
        </w:rPr>
        <w:t xml:space="preserve">            SamAccountName          </w:t>
      </w:r>
      <w:r>
        <w:rPr>
          <w:rStyle w:val="OperatorTok"/>
        </w:rPr>
        <w:t xml:space="preserve">=</w:t>
      </w:r>
      <w:r>
        <w:rPr>
          <w:rStyle w:val="NormalTok"/>
        </w:rPr>
        <w:t xml:space="preserve"> </w:t>
      </w:r>
      <w:r>
        <w:rPr>
          <w:rStyle w:val="VariableTok"/>
        </w:rPr>
        <w:t xml:space="preserve">$msa</w:t>
      </w:r>
      <w:r>
        <w:rPr>
          <w:rStyle w:val="OperatorTok"/>
        </w:rPr>
        <w:t xml:space="preserve">.</w:t>
      </w:r>
      <w:r>
        <w:rPr>
          <w:rStyle w:val="FunctionTok"/>
        </w:rPr>
        <w:t xml:space="preserve">SamAccountName</w:t>
      </w:r>
      <w:r>
        <w:br/>
      </w:r>
      <w:r>
        <w:rPr>
          <w:rStyle w:val="NormalTok"/>
        </w:rPr>
        <w:t xml:space="preserve">            DisplayName             </w:t>
      </w:r>
      <w:r>
        <w:rPr>
          <w:rStyle w:val="OperatorTok"/>
        </w:rPr>
        <w:t xml:space="preserve">=</w:t>
      </w:r>
      <w:r>
        <w:rPr>
          <w:rStyle w:val="NormalTok"/>
        </w:rPr>
        <w:t xml:space="preserve"> </w:t>
      </w:r>
      <w:r>
        <w:rPr>
          <w:rStyle w:val="VariableTok"/>
        </w:rPr>
        <w:t xml:space="preserve">$msa</w:t>
      </w:r>
      <w:r>
        <w:rPr>
          <w:rStyle w:val="OperatorTok"/>
        </w:rPr>
        <w:t xml:space="preserve">.</w:t>
      </w:r>
      <w:r>
        <w:rPr>
          <w:rStyle w:val="FunctionTok"/>
        </w:rPr>
        <w:t xml:space="preserve">SamAccountName</w:t>
      </w:r>
      <w:r>
        <w:br/>
      </w:r>
      <w:r>
        <w:rPr>
          <w:rStyle w:val="NormalTok"/>
        </w:rPr>
        <w:t xml:space="preserve">            Description             </w:t>
      </w:r>
      <w:r>
        <w:rPr>
          <w:rStyle w:val="OperatorTok"/>
        </w:rPr>
        <w:t xml:space="preserve">=</w:t>
      </w:r>
      <w:r>
        <w:rPr>
          <w:rStyle w:val="NormalTok"/>
        </w:rPr>
        <w:t xml:space="preserve"> </w:t>
      </w:r>
      <w:r>
        <w:rPr>
          <w:rStyle w:val="StringTok"/>
        </w:rPr>
        <w:t xml:space="preserve">''</w:t>
      </w:r>
      <w:r>
        <w:br/>
      </w:r>
      <w:r>
        <w:rPr>
          <w:rStyle w:val="NormalTok"/>
        </w:rPr>
        <w:t xml:space="preserve">            Enabled                 </w:t>
      </w:r>
      <w:r>
        <w:rPr>
          <w:rStyle w:val="OperatorTok"/>
        </w:rPr>
        <w:t xml:space="preserve">=</w:t>
      </w:r>
      <w:r>
        <w:rPr>
          <w:rStyle w:val="NormalTok"/>
        </w:rPr>
        <w:t xml:space="preserve"> </w:t>
      </w:r>
      <w:r>
        <w:rPr>
          <w:rStyle w:val="VariableTok"/>
        </w:rPr>
        <w:t xml:space="preserve">$msa</w:t>
      </w:r>
      <w:r>
        <w:rPr>
          <w:rStyle w:val="OperatorTok"/>
        </w:rPr>
        <w:t xml:space="preserve">.</w:t>
      </w:r>
      <w:r>
        <w:rPr>
          <w:rStyle w:val="FunctionTok"/>
        </w:rPr>
        <w:t xml:space="preserve">Enabled</w:t>
      </w:r>
      <w:r>
        <w:br/>
      </w:r>
      <w:r>
        <w:rPr>
          <w:rStyle w:val="NormalTok"/>
        </w:rPr>
        <w:t xml:space="preserve">            PasswordNeverExpires    </w:t>
      </w:r>
      <w:r>
        <w:rPr>
          <w:rStyle w:val="OperatorTok"/>
        </w:rPr>
        <w:t xml:space="preserve">=</w:t>
      </w:r>
      <w:r>
        <w:rPr>
          <w:rStyle w:val="NormalTok"/>
        </w:rPr>
        <w:t xml:space="preserve"> </w:t>
      </w:r>
      <w:r>
        <w:rPr>
          <w:rStyle w:val="VariableTok"/>
        </w:rPr>
        <w:t xml:space="preserve">$false</w:t>
      </w:r>
      <w:r>
        <w:br/>
      </w:r>
      <w:r>
        <w:rPr>
          <w:rStyle w:val="NormalTok"/>
        </w:rPr>
        <w:t xml:space="preserve">            DaysSincePasswordChange </w:t>
      </w:r>
      <w:r>
        <w:rPr>
          <w:rStyle w:val="OperatorTok"/>
        </w:rPr>
        <w:t xml:space="preserve">=</w:t>
      </w:r>
      <w:r>
        <w:rPr>
          <w:rStyle w:val="NormalTok"/>
        </w:rPr>
        <w:t xml:space="preserve"> </w:t>
      </w:r>
      <w:r>
        <w:rPr>
          <w:rStyle w:val="DecValTok"/>
        </w:rPr>
        <w:t xml:space="preserve">0</w:t>
      </w:r>
      <w:r>
        <w:br/>
      </w:r>
      <w:r>
        <w:rPr>
          <w:rStyle w:val="NormalTok"/>
        </w:rPr>
        <w:t xml:space="preserve">            SPNCount                </w:t>
      </w:r>
      <w:r>
        <w:rPr>
          <w:rStyle w:val="OperatorTok"/>
        </w:rPr>
        <w:t xml:space="preserve">=</w:t>
      </w:r>
      <w:r>
        <w:rPr>
          <w:rStyle w:val="NormalTok"/>
        </w:rPr>
        <w:t xml:space="preserve"> </w:t>
      </w:r>
      <w:r>
        <w:rPr>
          <w:rStyle w:val="DecValTok"/>
        </w:rPr>
        <w:t xml:space="preserve">0</w:t>
      </w:r>
      <w:r>
        <w:br/>
      </w:r>
      <w:r>
        <w:rPr>
          <w:rStyle w:val="NormalTok"/>
        </w:rPr>
        <w:t xml:space="preserve">            SPNs                    </w:t>
      </w:r>
      <w:r>
        <w:rPr>
          <w:rStyle w:val="OperatorTok"/>
        </w:rPr>
        <w:t xml:space="preserve">=</w:t>
      </w:r>
      <w:r>
        <w:rPr>
          <w:rStyle w:val="NormalTok"/>
        </w:rPr>
        <w:t xml:space="preserve"> </w:t>
      </w:r>
      <w:r>
        <w:rPr>
          <w:rStyle w:val="StringTok"/>
        </w:rPr>
        <w:t xml:space="preserve">''</w:t>
      </w:r>
      <w:r>
        <w:br/>
      </w:r>
      <w:r>
        <w:rPr>
          <w:rStyle w:val="NormalTok"/>
        </w:rPr>
        <w:t xml:space="preserve">            LastLogon               </w:t>
      </w:r>
      <w:r>
        <w:rPr>
          <w:rStyle w:val="OperatorTok"/>
        </w:rPr>
        <w:t xml:space="preserve">=</w:t>
      </w:r>
      <w:r>
        <w:rPr>
          <w:rStyle w:val="NormalTok"/>
        </w:rPr>
        <w:t xml:space="preserve"> </w:t>
      </w:r>
      <w:r>
        <w:rPr>
          <w:rStyle w:val="VariableTok"/>
        </w:rPr>
        <w:t xml:space="preserve">$null</w:t>
      </w:r>
      <w:r>
        <w:br/>
      </w:r>
      <w:r>
        <w:rPr>
          <w:rStyle w:val="NormalTok"/>
        </w:rPr>
        <w:t xml:space="preserve">            GroupMembershipCount    </w:t>
      </w:r>
      <w:r>
        <w:rPr>
          <w:rStyle w:val="OperatorTok"/>
        </w:rPr>
        <w:t xml:space="preserve">=</w:t>
      </w:r>
      <w:r>
        <w:rPr>
          <w:rStyle w:val="NormalTok"/>
        </w:rPr>
        <w:t xml:space="preserve"> </w:t>
      </w:r>
      <w:r>
        <w:rPr>
          <w:rStyle w:val="DecValTok"/>
        </w:rPr>
        <w:t xml:space="preserve">0</w:t>
      </w:r>
      <w:r>
        <w:br/>
      </w:r>
      <w:r>
        <w:rPr>
          <w:rStyle w:val="NormalTok"/>
        </w:rPr>
        <w:t xml:space="preserve">            OU                      </w:t>
      </w:r>
      <w:r>
        <w:rPr>
          <w:rStyle w:val="OperatorTok"/>
        </w:rPr>
        <w:t xml:space="preserve">=</w:t>
      </w:r>
      <w:r>
        <w:rPr>
          <w:rStyle w:val="NormalTok"/>
        </w:rPr>
        <w:t xml:space="preserve"> </w:t>
      </w:r>
      <w:r>
        <w:rPr>
          <w:rStyle w:val="OperatorTok"/>
        </w:rPr>
        <w:t xml:space="preserve">(</w:t>
      </w:r>
      <w:r>
        <w:rPr>
          <w:rStyle w:val="VariableTok"/>
        </w:rPr>
        <w:t xml:space="preserve">$msa</w:t>
      </w:r>
      <w:r>
        <w:rPr>
          <w:rStyle w:val="OperatorTok"/>
        </w:rPr>
        <w:t xml:space="preserve">.</w:t>
      </w:r>
      <w:r>
        <w:rPr>
          <w:rStyle w:val="FunctionTok"/>
        </w:rPr>
        <w:t xml:space="preserve">DistinguishedName</w:t>
      </w:r>
      <w:r>
        <w:rPr>
          <w:rStyle w:val="NormalTok"/>
        </w:rPr>
        <w:t xml:space="preserve"> </w:t>
      </w:r>
      <w:r>
        <w:rPr>
          <w:rStyle w:val="OperatorTok"/>
        </w:rPr>
        <w:t xml:space="preserve">-split</w:t>
      </w:r>
      <w:r>
        <w:rPr>
          <w:rStyle w:val="NormalTok"/>
        </w:rPr>
        <w:t xml:space="preserve"> </w:t>
      </w:r>
      <w:r>
        <w:rPr>
          <w:rStyle w:val="StringTok"/>
        </w:rPr>
        <w:t xml:space="preserve">','</w:t>
      </w:r>
      <w:r>
        <w:rPr>
          <w:rStyle w:val="OperatorTok"/>
        </w:rPr>
        <w:t xml:space="preserve">,</w:t>
      </w:r>
      <w:r>
        <w:rPr>
          <w:rStyle w:val="NormalTok"/>
        </w:rPr>
        <w:t xml:space="preserve"> </w:t>
      </w:r>
      <w:r>
        <w:rPr>
          <w:rStyle w:val="DecValTok"/>
        </w:rPr>
        <w:t xml:space="preserve">2</w:t>
      </w:r>
      <w:r>
        <w:rPr>
          <w:rStyle w:val="OperatorTok"/>
        </w:rPr>
        <w:t xml:space="preserve">)[</w:t>
      </w:r>
      <w:r>
        <w:rPr>
          <w:rStyle w:val="DecValTok"/>
        </w:rPr>
        <w:t xml:space="preserve">1</w:t>
      </w:r>
      <w:r>
        <w:rPr>
          <w:rStyle w:val="OperatorTok"/>
        </w:rPr>
        <w:t xml:space="preserve">]</w:t>
      </w:r>
      <w:r>
        <w:br/>
      </w:r>
      <w:r>
        <w:rPr>
          <w:rStyle w:val="NormalTok"/>
        </w:rPr>
        <w:t xml:space="preserve">            RiskLevel               </w:t>
      </w:r>
      <w:r>
        <w:rPr>
          <w:rStyle w:val="OperatorTok"/>
        </w:rPr>
        <w:t xml:space="preserve">=</w:t>
      </w:r>
      <w:r>
        <w:rPr>
          <w:rStyle w:val="NormalTok"/>
        </w:rPr>
        <w:t xml:space="preserve"> </w:t>
      </w:r>
      <w:r>
        <w:rPr>
          <w:rStyle w:val="StringTok"/>
        </w:rPr>
        <w:t xml:space="preserve">'LOW'</w:t>
      </w:r>
      <w:r>
        <w:br/>
      </w:r>
      <w:r>
        <w:rPr>
          <w:rStyle w:val="NormalTok"/>
        </w:rPr>
        <w:t xml:space="preserve">            Recommendation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$isGmsa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'Keep for on-premises workloads; plan workload identity federation when the workload moves'</w:t>
      </w:r>
      <w:r>
        <w:br/>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w:t>
      </w:r>
      <w:r>
        <w:rPr>
          <w:rStyle w:val="StringTok"/>
        </w:rPr>
        <w:t xml:space="preserve">'Upgrade to gMSA first, then evaluate for cloud migration'</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rPr>
          <w:rStyle w:val="NormalTok"/>
        </w:rPr>
        <w:t xml:space="preserve"> </w:t>
      </w:r>
      <w:r>
        <w:rPr>
          <w:rStyle w:val="OperatorTok"/>
        </w:rPr>
        <w:t xml:space="preserve">|</w:t>
      </w:r>
      <w:r>
        <w:rPr>
          <w:rStyle w:val="NormalTok"/>
        </w:rPr>
        <w:t xml:space="preserve"> </w:t>
      </w:r>
      <w:r>
        <w:rPr>
          <w:rStyle w:val="FunctionTok"/>
        </w:rPr>
        <w:t xml:space="preserve">Out-File</w:t>
      </w:r>
      <w:r>
        <w:rPr>
          <w:rStyle w:val="NormalTok"/>
        </w:rPr>
        <w:t xml:space="preserve"> </w:t>
      </w:r>
      <w:r>
        <w:rPr>
          <w:rStyle w:val="OperatorTok"/>
        </w:rPr>
        <w:t xml:space="preserve">-</w:t>
      </w:r>
      <w:r>
        <w:rPr>
          <w:rStyle w:val="NormalTok"/>
        </w:rPr>
        <w:t xml:space="preserve">FilePath </w:t>
      </w:r>
      <w:r>
        <w:rPr>
          <w:rStyle w:val="VariableTok"/>
        </w:rPr>
        <w:t xml:space="preserve">$ExportPath</w:t>
      </w:r>
      <w:r>
        <w:rPr>
          <w:rStyle w:val="NormalTok"/>
        </w:rPr>
        <w:t xml:space="preserve"> </w:t>
      </w:r>
      <w:r>
        <w:rPr>
          <w:rStyle w:val="OperatorTok"/>
        </w:rPr>
        <w:t xml:space="preserve">-</w:t>
      </w:r>
      <w:r>
        <w:rPr>
          <w:rStyle w:val="NormalTok"/>
        </w:rPr>
        <w:t xml:space="preserve">Encoding UTF8</w:t>
      </w:r>
      <w:r>
        <w:br/>
      </w:r>
      <w:r>
        <w:br/>
      </w:r>
      <w:r>
        <w:rPr>
          <w:rStyle w:val="NormalTok"/>
        </w:rPr>
        <w:t xml:space="preserve">    </w:t>
      </w:r>
      <w:r>
        <w:rPr>
          <w:rStyle w:val="FunctionTok"/>
        </w:rPr>
        <w:t xml:space="preserve">Write-Host</w:t>
      </w:r>
      <w:r>
        <w:rPr>
          <w:rStyle w:val="NormalTok"/>
        </w:rPr>
        <w:t xml:space="preserve"> </w:t>
      </w:r>
      <w:r>
        <w:rPr>
          <w:rStyle w:val="StringTok"/>
        </w:rPr>
        <w:t xml:space="preserve">"</w:t>
      </w:r>
      <w:r>
        <w:rPr>
          <w:rStyle w:val="CharTok"/>
        </w:rPr>
        <w:t xml:space="preserve">`n</w:t>
      </w:r>
      <w:r>
        <w:rPr>
          <w:rStyle w:val="StringTok"/>
        </w:rPr>
        <w:t xml:space="preserve">=== Service account discovery summary ==="</w:t>
      </w:r>
      <w:r>
        <w:rPr>
          <w:rStyle w:val="NormalTok"/>
        </w:rPr>
        <w:t xml:space="preserve"> </w:t>
      </w:r>
      <w:r>
        <w:rPr>
          <w:rStyle w:val="OperatorTok"/>
        </w:rPr>
        <w:t xml:space="preserve">-</w:t>
      </w:r>
      <w:r>
        <w:rPr>
          <w:rStyle w:val="NormalTok"/>
        </w:rPr>
        <w:t xml:space="preserve">ForegroundColor Cyan</w:t>
      </w:r>
      <w:r>
        <w:br/>
      </w:r>
      <w:r>
        <w:rPr>
          <w:rStyle w:val="NormalTok"/>
        </w:rPr>
        <w:t xml:space="preserve">    </w:t>
      </w:r>
      <w:r>
        <w:rPr>
          <w:rStyle w:val="FunctionTok"/>
        </w:rPr>
        <w:t xml:space="preserve">Write-Host</w:t>
      </w:r>
      <w:r>
        <w:rPr>
          <w:rStyle w:val="NormalTok"/>
        </w:rPr>
        <w:t xml:space="preserve"> </w:t>
      </w:r>
      <w:r>
        <w:rPr>
          <w:rStyle w:val="StringTok"/>
        </w:rPr>
        <w:t xml:space="preserve">"Traditional: </w:t>
      </w:r>
      <w:r>
        <w:rPr>
          <w:rStyle w:val="OperatorTok"/>
        </w:rPr>
        <w:t xml:space="preserve">$((</w:t>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FunctionTok"/>
        </w:rPr>
        <w:t xml:space="preserve">Type</w:t>
      </w:r>
      <w:r>
        <w:rPr>
          <w:rStyle w:val="NormalTok"/>
        </w:rPr>
        <w:t xml:space="preserve"> </w:t>
      </w:r>
      <w:r>
        <w:rPr>
          <w:rStyle w:val="OperatorTok"/>
        </w:rPr>
        <w:t xml:space="preserve">-eq</w:t>
      </w:r>
      <w:r>
        <w:rPr>
          <w:rStyle w:val="NormalTok"/>
        </w:rPr>
        <w:t xml:space="preserve"> </w:t>
      </w:r>
      <w:r>
        <w:rPr>
          <w:rStyle w:val="StringTok"/>
        </w:rPr>
        <w:t xml:space="preserve">'TraditionalServiceAccount'</w:t>
      </w:r>
      <w:r>
        <w:rPr>
          <w:rStyle w:val="OperatorTok"/>
        </w:rPr>
        <w:t xml:space="preserve">)</w:t>
      </w:r>
      <w:r>
        <w:rPr>
          <w:rStyle w:val="StringTok"/>
        </w:rPr>
        <w:t xml:space="preserve">.Count)"</w:t>
      </w:r>
      <w:r>
        <w:br/>
      </w:r>
      <w:r>
        <w:rPr>
          <w:rStyle w:val="NormalTok"/>
        </w:rPr>
        <w:t xml:space="preserve">    </w:t>
      </w:r>
      <w:r>
        <w:rPr>
          <w:rStyle w:val="FunctionTok"/>
        </w:rPr>
        <w:t xml:space="preserve">Write-Host</w:t>
      </w:r>
      <w:r>
        <w:rPr>
          <w:rStyle w:val="NormalTok"/>
        </w:rPr>
        <w:t xml:space="preserve"> </w:t>
      </w:r>
      <w:r>
        <w:rPr>
          <w:rStyle w:val="StringTok"/>
        </w:rPr>
        <w:t xml:space="preserve">"MSA:         </w:t>
      </w:r>
      <w:r>
        <w:rPr>
          <w:rStyle w:val="OperatorTok"/>
        </w:rPr>
        <w:t xml:space="preserve">$((</w:t>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FunctionTok"/>
        </w:rPr>
        <w:t xml:space="preserve">Type</w:t>
      </w:r>
      <w:r>
        <w:rPr>
          <w:rStyle w:val="NormalTok"/>
        </w:rPr>
        <w:t xml:space="preserve"> </w:t>
      </w:r>
      <w:r>
        <w:rPr>
          <w:rStyle w:val="OperatorTok"/>
        </w:rPr>
        <w:t xml:space="preserve">-eq</w:t>
      </w:r>
      <w:r>
        <w:rPr>
          <w:rStyle w:val="NormalTok"/>
        </w:rPr>
        <w:t xml:space="preserve"> </w:t>
      </w:r>
      <w:r>
        <w:rPr>
          <w:rStyle w:val="StringTok"/>
        </w:rPr>
        <w:t xml:space="preserve">'MSA'</w:t>
      </w:r>
      <w:r>
        <w:rPr>
          <w:rStyle w:val="OperatorTok"/>
        </w:rPr>
        <w:t xml:space="preserve">)</w:t>
      </w:r>
      <w:r>
        <w:rPr>
          <w:rStyle w:val="StringTok"/>
        </w:rPr>
        <w:t xml:space="preserve">.Count)"</w:t>
      </w:r>
      <w:r>
        <w:br/>
      </w:r>
      <w:r>
        <w:rPr>
          <w:rStyle w:val="NormalTok"/>
        </w:rPr>
        <w:t xml:space="preserve">    </w:t>
      </w:r>
      <w:r>
        <w:rPr>
          <w:rStyle w:val="FunctionTok"/>
        </w:rPr>
        <w:t xml:space="preserve">Write-Host</w:t>
      </w:r>
      <w:r>
        <w:rPr>
          <w:rStyle w:val="NormalTok"/>
        </w:rPr>
        <w:t xml:space="preserve"> </w:t>
      </w:r>
      <w:r>
        <w:rPr>
          <w:rStyle w:val="StringTok"/>
        </w:rPr>
        <w:t xml:space="preserve">"gMSA:        </w:t>
      </w:r>
      <w:r>
        <w:rPr>
          <w:rStyle w:val="OperatorTok"/>
        </w:rPr>
        <w:t xml:space="preserve">$((</w:t>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FunctionTok"/>
        </w:rPr>
        <w:t xml:space="preserve">Type</w:t>
      </w:r>
      <w:r>
        <w:rPr>
          <w:rStyle w:val="NormalTok"/>
        </w:rPr>
        <w:t xml:space="preserve"> </w:t>
      </w:r>
      <w:r>
        <w:rPr>
          <w:rStyle w:val="OperatorTok"/>
        </w:rPr>
        <w:t xml:space="preserve">-eq</w:t>
      </w:r>
      <w:r>
        <w:rPr>
          <w:rStyle w:val="NormalTok"/>
        </w:rPr>
        <w:t xml:space="preserve"> </w:t>
      </w:r>
      <w:r>
        <w:rPr>
          <w:rStyle w:val="StringTok"/>
        </w:rPr>
        <w:t xml:space="preserve">'gMSA'</w:t>
      </w:r>
      <w:r>
        <w:rPr>
          <w:rStyle w:val="OperatorTok"/>
        </w:rPr>
        <w:t xml:space="preserve">)</w:t>
      </w:r>
      <w:r>
        <w:rPr>
          <w:rStyle w:val="StringTok"/>
        </w:rPr>
        <w:t xml:space="preserve">.Count)"</w:t>
      </w:r>
      <w:r>
        <w:br/>
      </w:r>
      <w:r>
        <w:rPr>
          <w:rStyle w:val="NormalTok"/>
        </w:rPr>
        <w:t xml:space="preserve">    </w:t>
      </w:r>
      <w:r>
        <w:rPr>
          <w:rStyle w:val="FunctionTok"/>
        </w:rPr>
        <w:t xml:space="preserve">Write-Host</w:t>
      </w:r>
      <w:r>
        <w:rPr>
          <w:rStyle w:val="NormalTok"/>
        </w:rPr>
        <w:t xml:space="preserve"> </w:t>
      </w:r>
      <w:r>
        <w:rPr>
          <w:rStyle w:val="StringTok"/>
        </w:rPr>
        <w:t xml:space="preserve">"HIGH risk:   </w:t>
      </w:r>
      <w:r>
        <w:rPr>
          <w:rStyle w:val="OperatorTok"/>
        </w:rPr>
        <w:t xml:space="preserve">$((</w:t>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RiskLevel </w:t>
      </w:r>
      <w:r>
        <w:rPr>
          <w:rStyle w:val="OperatorTok"/>
        </w:rPr>
        <w:t xml:space="preserve">-eq</w:t>
      </w:r>
      <w:r>
        <w:rPr>
          <w:rStyle w:val="NormalTok"/>
        </w:rPr>
        <w:t xml:space="preserve"> </w:t>
      </w:r>
      <w:r>
        <w:rPr>
          <w:rStyle w:val="StringTok"/>
        </w:rPr>
        <w:t xml:space="preserve">'HIGH'</w:t>
      </w:r>
      <w:r>
        <w:rPr>
          <w:rStyle w:val="OperatorTok"/>
        </w:rPr>
        <w:t xml:space="preserve">)</w:t>
      </w:r>
      <w:r>
        <w:rPr>
          <w:rStyle w:val="StringTok"/>
        </w:rPr>
        <w:t xml:space="preserve">.Count)"</w:t>
      </w:r>
      <w:r>
        <w:rPr>
          <w:rStyle w:val="NormalTok"/>
        </w:rPr>
        <w:t xml:space="preserve"> </w:t>
      </w:r>
      <w:r>
        <w:rPr>
          <w:rStyle w:val="OperatorTok"/>
        </w:rPr>
        <w:t xml:space="preserve">-</w:t>
      </w:r>
      <w:r>
        <w:rPr>
          <w:rStyle w:val="NormalTok"/>
        </w:rPr>
        <w:t xml:space="preserve">ForegroundColor Red</w:t>
      </w:r>
      <w:r>
        <w:br/>
      </w:r>
      <w:r>
        <w:rPr>
          <w:rStyle w:val="NormalTok"/>
        </w:rPr>
        <w:t xml:space="preserve">    </w:t>
      </w:r>
      <w:r>
        <w:rPr>
          <w:rStyle w:val="FunctionTok"/>
        </w:rPr>
        <w:t xml:space="preserve">Write-Host</w:t>
      </w:r>
      <w:r>
        <w:rPr>
          <w:rStyle w:val="NormalTok"/>
        </w:rPr>
        <w:t xml:space="preserve"> </w:t>
      </w:r>
      <w:r>
        <w:rPr>
          <w:rStyle w:val="StringTok"/>
        </w:rPr>
        <w:t xml:space="preserve">"MEDIUM risk: </w:t>
      </w:r>
      <w:r>
        <w:rPr>
          <w:rStyle w:val="OperatorTok"/>
        </w:rPr>
        <w:t xml:space="preserve">$((</w:t>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RiskLevel </w:t>
      </w:r>
      <w:r>
        <w:rPr>
          <w:rStyle w:val="OperatorTok"/>
        </w:rPr>
        <w:t xml:space="preserve">-eq</w:t>
      </w:r>
      <w:r>
        <w:rPr>
          <w:rStyle w:val="NormalTok"/>
        </w:rPr>
        <w:t xml:space="preserve"> </w:t>
      </w:r>
      <w:r>
        <w:rPr>
          <w:rStyle w:val="StringTok"/>
        </w:rPr>
        <w:t xml:space="preserve">'MEDIUM'</w:t>
      </w:r>
      <w:r>
        <w:rPr>
          <w:rStyle w:val="OperatorTok"/>
        </w:rPr>
        <w:t xml:space="preserve">)</w:t>
      </w:r>
      <w:r>
        <w:rPr>
          <w:rStyle w:val="StringTok"/>
        </w:rPr>
        <w:t xml:space="preserve">.Count)"</w:t>
      </w:r>
      <w:r>
        <w:rPr>
          <w:rStyle w:val="NormalTok"/>
        </w:rPr>
        <w:t xml:space="preserve"> </w:t>
      </w:r>
      <w:r>
        <w:rPr>
          <w:rStyle w:val="OperatorTok"/>
        </w:rPr>
        <w:t xml:space="preserve">-</w:t>
      </w:r>
      <w:r>
        <w:rPr>
          <w:rStyle w:val="NormalTok"/>
        </w:rPr>
        <w:t xml:space="preserve">ForegroundColor Yellow</w:t>
      </w:r>
      <w:r>
        <w:br/>
      </w:r>
      <w:r>
        <w:rPr>
          <w:rStyle w:val="NormalTok"/>
        </w:rPr>
        <w:t xml:space="preserve">    </w:t>
      </w:r>
      <w:r>
        <w:rPr>
          <w:rStyle w:val="FunctionTok"/>
        </w:rPr>
        <w:t xml:space="preserve">Write-Host</w:t>
      </w:r>
      <w:r>
        <w:rPr>
          <w:rStyle w:val="NormalTok"/>
        </w:rPr>
        <w:t xml:space="preserve"> </w:t>
      </w:r>
      <w:r>
        <w:rPr>
          <w:rStyle w:val="StringTok"/>
        </w:rPr>
        <w:t xml:space="preserve">"Export:      </w:t>
      </w:r>
      <w:r>
        <w:rPr>
          <w:rStyle w:val="VariableTok"/>
        </w:rPr>
        <w:t xml:space="preserve">$ExportPath</w:t>
      </w:r>
      <w:r>
        <w:rPr>
          <w:rStyle w:val="StringTok"/>
        </w:rPr>
        <w:t xml:space="preserve">"</w:t>
      </w:r>
      <w:r>
        <w:rPr>
          <w:rStyle w:val="NormalTok"/>
        </w:rPr>
        <w:t xml:space="preserve"> </w:t>
      </w:r>
      <w:r>
        <w:rPr>
          <w:rStyle w:val="OperatorTok"/>
        </w:rPr>
        <w:t xml:space="preserve">-</w:t>
      </w:r>
      <w:r>
        <w:rPr>
          <w:rStyle w:val="NormalTok"/>
        </w:rPr>
        <w:t xml:space="preserve">ForegroundColor Cyan</w:t>
      </w:r>
      <w:r>
        <w:br/>
      </w:r>
      <w:r>
        <w:br/>
      </w:r>
      <w:r>
        <w:rPr>
          <w:rStyle w:val="NormalTok"/>
        </w:rPr>
        <w:t xml:space="preserve">    </w:t>
      </w:r>
      <w:r>
        <w:rPr>
          <w:rStyle w:val="ControlFlowTok"/>
        </w:rPr>
        <w:t xml:space="preserve">return</w:t>
      </w:r>
      <w:r>
        <w:rPr>
          <w:rStyle w:val="NormalTok"/>
        </w:rPr>
        <w:t xml:space="preserve"> </w:t>
      </w:r>
      <w:r>
        <w:rPr>
          <w:rStyle w:val="VariableTok"/>
        </w:rPr>
        <w:t xml:space="preserve">$results</w:t>
      </w:r>
      <w:r>
        <w:br/>
      </w:r>
      <w:r>
        <w:rPr>
          <w:rStyle w:val="OperatorTok"/>
        </w:rPr>
        <w:t xml:space="preserve">}</w:t>
      </w:r>
    </w:p>
    <w:p>
      <w:pPr>
        <w:pStyle w:val="FirstParagraph"/>
      </w:pPr>
      <w:r>
        <w:t xml:space="preserve">Compared with the earlier version of this script, the checks for disabled and stale accounts now run before the risk checks, so a disabled account with an SPN is reported as a retirement candidate instead of a gMSA candidate. Treat</w:t>
      </w:r>
      <w:r>
        <w:t xml:space="preserve"> </w:t>
      </w:r>
      <w:r>
        <w:t xml:space="preserve">“stale”</w:t>
      </w:r>
      <w:r>
        <w:t xml:space="preserve"> </w:t>
      </w:r>
      <w:r>
        <w:t xml:space="preserve">as a lead, and confirm it against domain controller and Entra ID sign-in logs before retiring anything.</w:t>
      </w:r>
    </w:p>
    <w:bookmarkEnd w:id="904"/>
    <w:bookmarkEnd w:id="905"/>
    <w:bookmarkStart w:id="936" w:name="privileged-access"/>
    <w:p>
      <w:pPr>
        <w:pStyle w:val="Heading2"/>
      </w:pPr>
      <w:bookmarkStart w:id="1471" w:name="_Toc00001471"/>
      <w:r>
        <w:t xml:space="preserve">Privileged access</w:t>
      </w:r>
      <w:bookmarkEnd w:id="1471"/>
    </w:p>
    <w:bookmarkStart w:id="909" w:name="Xc8c4599d605d6d3ad2e43641059e7f7634497bd"/>
    <w:p>
      <w:pPr>
        <w:pStyle w:val="Heading3"/>
      </w:pPr>
      <w:r>
        <w:t xml:space="preserve">Mapping AD privileged groups to Entra roles</w:t>
      </w:r>
    </w:p>
    <w:p>
      <w:pPr>
        <w:pStyle w:val="FirstParagraph"/>
      </w:pPr>
      <w:r>
        <w:t xml:space="preserve">Every AD privileged group maps to an Entra ID role governed by PIM. The core rule:</w:t>
      </w:r>
      <w:r>
        <w:t xml:space="preserve"> </w:t>
      </w:r>
      <w:r>
        <w:rPr>
          <w:b/>
          <w:bCs/>
        </w:rPr>
        <w:t xml:space="preserve">no standing access to privileged roles.</w:t>
      </w:r>
      <w:r>
        <w:t xml:space="preserve"> </w:t>
      </w:r>
      <w:r>
        <w:t xml:space="preserve">All privileged assignments are eligible, activated just in time; the only permanent active assignments are the two emergency access accounts. The mapping is the program’s design; there’s no one-to-one equivalence between AD groups and Entra roles.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AD privileged group</w:t>
            </w:r>
          </w:p>
        </w:tc>
        <w:tc>
          <w:tcPr/>
          <w:p>
            <w:pPr>
              <w:pStyle w:val="Compact"/>
            </w:pPr>
            <w:r>
              <w:t xml:space="preserve">Entra ID target</w:t>
            </w:r>
          </w:p>
        </w:tc>
        <w:tc>
          <w:tcPr/>
          <w:p>
            <w:pPr>
              <w:pStyle w:val="Compact"/>
            </w:pPr>
            <w:r>
              <w:t xml:space="preserve">PIM assignment</w:t>
            </w:r>
          </w:p>
        </w:tc>
        <w:tc>
          <w:tcPr/>
          <w:p>
            <w:pPr>
              <w:pStyle w:val="Compact"/>
            </w:pPr>
            <w:r>
              <w:t xml:space="preserve">Governance notes</w:t>
            </w:r>
          </w:p>
        </w:tc>
      </w:tr>
      <w:tr>
        <w:tc>
          <w:tcPr/>
          <w:p>
            <w:pPr>
              <w:pStyle w:val="Compact"/>
            </w:pPr>
            <w:r>
              <w:t xml:space="preserve">Domain Admins</w:t>
            </w:r>
          </w:p>
        </w:tc>
        <w:tc>
          <w:tcPr/>
          <w:p>
            <w:pPr>
              <w:pStyle w:val="Compact"/>
            </w:pPr>
            <w:r>
              <w:t xml:space="preserve">Global Administrator, held by very few</w:t>
            </w:r>
          </w:p>
        </w:tc>
        <w:tc>
          <w:tcPr/>
          <w:p>
            <w:pPr>
              <w:pStyle w:val="Compact"/>
            </w:pPr>
            <w:r>
              <w:t xml:space="preserve">Eligible, with approval</w:t>
            </w:r>
          </w:p>
        </w:tc>
        <w:tc>
          <w:tcPr/>
          <w:p>
            <w:pPr>
              <w:pStyle w:val="Compact"/>
            </w:pPr>
            <w:r>
              <w:t xml:space="preserve">Microsoft recommends fewer than five Global Administrators;</w:t>
            </w:r>
            <w:r>
              <w:rPr>
                <w:rStyle w:val="FootnoteReference"/>
              </w:rPr>
              <w:footnoteReference w:id="906"/>
            </w:r>
            <w:r>
              <w:t xml:space="preserve"> </w:t>
            </w:r>
            <w:r>
              <w:t xml:space="preserve">most Domain Admin duties map to narrower roles</w:t>
            </w:r>
          </w:p>
        </w:tc>
      </w:tr>
      <w:tr>
        <w:tc>
          <w:tcPr/>
          <w:p>
            <w:pPr>
              <w:pStyle w:val="Compact"/>
            </w:pPr>
            <w:r>
              <w:t xml:space="preserve">Enterprise Admins</w:t>
            </w:r>
          </w:p>
        </w:tc>
        <w:tc>
          <w:tcPr/>
          <w:p>
            <w:pPr>
              <w:pStyle w:val="Compact"/>
            </w:pPr>
            <w:r>
              <w:t xml:space="preserve">Privileged Role Administrator</w:t>
            </w:r>
          </w:p>
        </w:tc>
        <w:tc>
          <w:tcPr/>
          <w:p>
            <w:pPr>
              <w:pStyle w:val="Compact"/>
            </w:pPr>
            <w:r>
              <w:t xml:space="preserve">Eligible, with approval</w:t>
            </w:r>
          </w:p>
        </w:tc>
        <w:tc>
          <w:tcPr/>
          <w:p>
            <w:pPr>
              <w:pStyle w:val="Compact"/>
            </w:pPr>
            <w:r>
              <w:t xml:space="preserve">Manages role assignments and PIM settings; separate approval chain</w:t>
            </w:r>
          </w:p>
        </w:tc>
      </w:tr>
      <w:tr>
        <w:tc>
          <w:tcPr/>
          <w:p>
            <w:pPr>
              <w:pStyle w:val="Compact"/>
            </w:pPr>
            <w:r>
              <w:t xml:space="preserve">Schema Admins</w:t>
            </w:r>
          </w:p>
        </w:tc>
        <w:tc>
          <w:tcPr/>
          <w:p>
            <w:pPr>
              <w:pStyle w:val="Compact"/>
            </w:pPr>
            <w:r>
              <w:t xml:space="preserve">No equivalent</w:t>
            </w:r>
          </w:p>
        </w:tc>
        <w:tc>
          <w:tcPr/>
          <w:p>
            <w:pPr>
              <w:pStyle w:val="Compact"/>
            </w:pPr>
            <w:r>
              <w:t xml:space="preserve">Not applicable</w:t>
            </w:r>
          </w:p>
        </w:tc>
        <w:tc>
          <w:tcPr/>
          <w:p>
            <w:pPr>
              <w:pStyle w:val="Compact"/>
            </w:pPr>
            <w:r>
              <w:t xml:space="preserve">Microsoft manages the directory schema. Directory extensions are added through application registrations (Application Administrator)</w:t>
            </w:r>
          </w:p>
        </w:tc>
      </w:tr>
      <w:tr>
        <w:tc>
          <w:tcPr/>
          <w:p>
            <w:pPr>
              <w:pStyle w:val="Compact"/>
            </w:pPr>
            <w:r>
              <w:t xml:space="preserve">Account Operators</w:t>
            </w:r>
          </w:p>
        </w:tc>
        <w:tc>
          <w:tcPr/>
          <w:p>
            <w:pPr>
              <w:pStyle w:val="Compact"/>
            </w:pPr>
            <w:r>
              <w:t xml:space="preserve">User Administrator scoped to administrative units</w:t>
            </w:r>
          </w:p>
        </w:tc>
        <w:tc>
          <w:tcPr/>
          <w:p>
            <w:pPr>
              <w:pStyle w:val="Compact"/>
            </w:pPr>
            <w:r>
              <w:t xml:space="preserve">Eligible</w:t>
            </w:r>
          </w:p>
        </w:tc>
        <w:tc>
          <w:tcPr/>
          <w:p>
            <w:pPr>
              <w:pStyle w:val="Compact"/>
            </w:pPr>
            <w:r>
              <w:t xml:space="preserve">Limits blast radius. Conditional Access can’t target AU-scoped role assignments, so put these administrators in a group for policy targeting</w:t>
            </w:r>
            <w:r>
              <w:rPr>
                <w:rStyle w:val="FootnoteReference"/>
              </w:rPr>
              <w:footnoteReference w:id="908"/>
            </w:r>
          </w:p>
        </w:tc>
      </w:tr>
      <w:tr>
        <w:tc>
          <w:tcPr/>
          <w:p>
            <w:pPr>
              <w:pStyle w:val="Compact"/>
            </w:pPr>
            <w:r>
              <w:t xml:space="preserve">Server Operators</w:t>
            </w:r>
          </w:p>
        </w:tc>
        <w:tc>
          <w:tcPr/>
          <w:p>
            <w:pPr>
              <w:pStyle w:val="Compact"/>
            </w:pPr>
            <w:r>
              <w:t xml:space="preserve">Intune role-based access, or Azure RBAC for Azure-hosted servers</w:t>
            </w:r>
          </w:p>
        </w:tc>
        <w:tc>
          <w:tcPr/>
          <w:p>
            <w:pPr>
              <w:pStyle w:val="Compact"/>
            </w:pPr>
            <w:r>
              <w:t xml:space="preserve">Eligible</w:t>
            </w:r>
          </w:p>
        </w:tc>
        <w:tc>
          <w:tcPr/>
          <w:p>
            <w:pPr>
              <w:pStyle w:val="Compact"/>
            </w:pPr>
            <w:r>
              <w:t xml:space="preserve">Server administration moves to device management</w:t>
            </w:r>
          </w:p>
        </w:tc>
      </w:tr>
      <w:tr>
        <w:tc>
          <w:tcPr/>
          <w:p>
            <w:pPr>
              <w:pStyle w:val="Compact"/>
            </w:pPr>
            <w:r>
              <w:t xml:space="preserve">Backup Operators</w:t>
            </w:r>
          </w:p>
        </w:tc>
        <w:tc>
          <w:tcPr/>
          <w:p>
            <w:pPr>
              <w:pStyle w:val="Compact"/>
            </w:pPr>
            <w:r>
              <w:t xml:space="preserve">Service-specific roles (for example, Exchange Administrator for mailbox recovery)</w:t>
            </w:r>
          </w:p>
        </w:tc>
        <w:tc>
          <w:tcPr/>
          <w:p>
            <w:pPr>
              <w:pStyle w:val="Compact"/>
            </w:pPr>
            <w:r>
              <w:t xml:space="preserve">Eligible</w:t>
            </w:r>
          </w:p>
        </w:tc>
        <w:tc>
          <w:tcPr/>
          <w:p>
            <w:pPr>
              <w:pStyle w:val="Compact"/>
            </w:pPr>
            <w:r>
              <w:t xml:space="preserve">No tenant-wide backup role</w:t>
            </w:r>
          </w:p>
        </w:tc>
      </w:tr>
      <w:tr>
        <w:tc>
          <w:tcPr/>
          <w:p>
            <w:pPr>
              <w:pStyle w:val="Compact"/>
            </w:pPr>
            <w:r>
              <w:t xml:space="preserve">DnsAdmins</w:t>
            </w:r>
          </w:p>
        </w:tc>
        <w:tc>
          <w:tcPr/>
          <w:p>
            <w:pPr>
              <w:pStyle w:val="Compact"/>
            </w:pPr>
            <w:r>
              <w:t xml:space="preserve">No direct equivalent</w:t>
            </w:r>
          </w:p>
        </w:tc>
        <w:tc>
          <w:tcPr/>
          <w:p>
            <w:pPr>
              <w:pStyle w:val="Compact"/>
            </w:pPr>
            <w:r>
              <w:t xml:space="preserve">Not applicable</w:t>
            </w:r>
          </w:p>
        </w:tc>
        <w:tc>
          <w:tcPr/>
          <w:p>
            <w:pPr>
              <w:pStyle w:val="Compact"/>
            </w:pPr>
            <w:r>
              <w:t xml:space="preserve">DNS moves to the Microsoft 365 admin center or the DNS provider</w:t>
            </w:r>
          </w:p>
        </w:tc>
      </w:tr>
      <w:tr>
        <w:tc>
          <w:tcPr/>
          <w:p>
            <w:pPr>
              <w:pStyle w:val="Compact"/>
            </w:pPr>
            <w:r>
              <w:t xml:space="preserve">Group Policy Creator Owners</w:t>
            </w:r>
          </w:p>
        </w:tc>
        <w:tc>
          <w:tcPr/>
          <w:p>
            <w:pPr>
              <w:pStyle w:val="Compact"/>
            </w:pPr>
            <w:r>
              <w:t xml:space="preserve">Intune Policy and Profile Manager (an Intune role)</w:t>
            </w:r>
          </w:p>
        </w:tc>
        <w:tc>
          <w:tcPr/>
          <w:p>
            <w:pPr>
              <w:pStyle w:val="Compact"/>
            </w:pPr>
            <w:r>
              <w:t xml:space="preserve">Eligible</w:t>
            </w:r>
          </w:p>
        </w:tc>
        <w:tc>
          <w:tcPr/>
          <w:p>
            <w:pPr>
              <w:pStyle w:val="Compact"/>
            </w:pPr>
            <w:r>
              <w:t xml:space="preserve">Group Policy functions move to Intune profiles and Conditional Access</w:t>
            </w:r>
          </w:p>
        </w:tc>
      </w:tr>
    </w:tbl>
    <w:bookmarkEnd w:id="909"/>
    <w:bookmarkStart w:id="916" w:name="pim-configuration-standards"/>
    <w:p>
      <w:pPr>
        <w:pStyle w:val="Heading3"/>
      </w:pPr>
      <w:r>
        <w:t xml:space="preserve">PIM configuration standards</w:t>
      </w:r>
    </w:p>
    <w:p>
      <w:pPr>
        <w:pStyle w:val="FirstParagraph"/>
      </w:pPr>
      <w:r>
        <w:t xml:space="preserve">PIM role settings are defined per role.</w:t>
      </w:r>
      <w:r>
        <w:rPr>
          <w:rStyle w:val="FootnoteReference"/>
        </w:rPr>
        <w:footnoteReference w:id="910"/>
      </w:r>
      <w:r>
        <w:t xml:space="preserve"> </w:t>
      </w:r>
      <w:r>
        <w:t xml:space="preserve">The program’s standards are below; Book 04, Appendix B is the authoritative per-role reference and tightens several values (shorter activations and approval for Tier 1 roles):</w:t>
      </w:r>
    </w:p>
    <w:p>
      <w:pPr>
        <w:pStyle w:val="Compact"/>
        <w:numPr>
          <w:ilvl w:val="0"/>
          <w:numId w:val="1067"/>
        </w:numPr>
      </w:pPr>
      <w:r>
        <w:rPr>
          <w:b/>
          <w:bCs/>
        </w:rPr>
        <w:t xml:space="preserve">Eligibility duration.</w:t>
      </w:r>
      <w:r>
        <w:t xml:space="preserve"> </w:t>
      </w:r>
      <w:r>
        <w:t xml:space="preserve">Eligible assignments expire after at most 12 months and renew through an access review.</w:t>
      </w:r>
    </w:p>
    <w:p>
      <w:pPr>
        <w:pStyle w:val="Compact"/>
        <w:numPr>
          <w:ilvl w:val="0"/>
          <w:numId w:val="1067"/>
        </w:numPr>
      </w:pPr>
      <w:r>
        <w:rPr>
          <w:b/>
          <w:bCs/>
        </w:rPr>
        <w:t xml:space="preserve">Activation duration.</w:t>
      </w:r>
      <w:r>
        <w:t xml:space="preserve"> </w:t>
      </w:r>
      <w:r>
        <w:t xml:space="preserve">Role-specific, from the table below. PIM allows 1 to 24 hours; the program’s default is 8.</w:t>
      </w:r>
      <w:r>
        <w:rPr>
          <w:rStyle w:val="FootnoteReference"/>
        </w:rPr>
        <w:footnoteReference w:id="912"/>
      </w:r>
    </w:p>
    <w:p>
      <w:pPr>
        <w:pStyle w:val="Compact"/>
        <w:numPr>
          <w:ilvl w:val="0"/>
          <w:numId w:val="1067"/>
        </w:numPr>
      </w:pPr>
      <w:r>
        <w:rPr>
          <w:b/>
          <w:bCs/>
        </w:rPr>
        <w:t xml:space="preserve">Activation requirements.</w:t>
      </w:r>
      <w:r>
        <w:t xml:space="preserve"> </w:t>
      </w:r>
      <w:r>
        <w:t xml:space="preserve">Justification for every role. Ticket information for Global Administrator, Privileged Role Administrator, and Exchange Administrator; PIM records the ticket number but doesn’t check it against a ticketing system.</w:t>
      </w:r>
      <w:r>
        <w:rPr>
          <w:rStyle w:val="FootnoteReference"/>
        </w:rPr>
        <w:footnoteReference w:id="913"/>
      </w:r>
    </w:p>
    <w:p>
      <w:pPr>
        <w:pStyle w:val="Compact"/>
        <w:numPr>
          <w:ilvl w:val="0"/>
          <w:numId w:val="1067"/>
        </w:numPr>
      </w:pPr>
      <w:r>
        <w:rPr>
          <w:b/>
          <w:bCs/>
        </w:rPr>
        <w:t xml:space="preserve">Strong authentication at activation.</w:t>
      </w:r>
      <w:r>
        <w:t xml:space="preserve"> </w:t>
      </w:r>
      <w:r>
        <w:t xml:space="preserve">PIM’s</w:t>
      </w:r>
      <w:r>
        <w:t xml:space="preserve"> </w:t>
      </w:r>
      <w:r>
        <w:t xml:space="preserve">“require multifactor authentication”</w:t>
      </w:r>
      <w:r>
        <w:t xml:space="preserve"> </w:t>
      </w:r>
      <w:r>
        <w:t xml:space="preserve">setting can be satisfied by an earlier sign-in in the same session. To force fresh, phishing-resistant authentication at activation, the program uses PIM’s Conditional Access authentication context option with an authentication strength.</w:t>
      </w:r>
      <w:r>
        <w:rPr>
          <w:rStyle w:val="FootnoteReference"/>
        </w:rPr>
        <w:footnoteReference w:id="914"/>
      </w:r>
    </w:p>
    <w:p>
      <w:pPr>
        <w:pStyle w:val="Compact"/>
        <w:numPr>
          <w:ilvl w:val="0"/>
          <w:numId w:val="1067"/>
        </w:numPr>
      </w:pPr>
      <w:r>
        <w:rPr>
          <w:b/>
          <w:bCs/>
        </w:rPr>
        <w:t xml:space="preserve">Approval.</w:t>
      </w:r>
      <w:r>
        <w:t xml:space="preserve"> </w:t>
      </w:r>
      <w:r>
        <w:t xml:space="preserve">Required for Global Administrator, Privileged Role Administrator, and Security Administrator, with at least two named approvers who aren’t in the requester’s own administrative chain. If approval is required and no approvers are configured, PIM defaults to the active Privileged Role and Global Administrators, which can lock the tenant if none are active; configure named approvers and keep the emergency accounts ready.</w:t>
      </w:r>
      <w:r>
        <w:rPr>
          <w:rStyle w:val="FootnoteReference"/>
        </w:rPr>
        <w:footnoteReference w:id="915"/>
      </w:r>
    </w:p>
    <w:p>
      <w:pPr>
        <w:pStyle w:val="Compact"/>
        <w:numPr>
          <w:ilvl w:val="0"/>
          <w:numId w:val="1067"/>
        </w:numPr>
      </w:pPr>
      <w:r>
        <w:rPr>
          <w:b/>
          <w:bCs/>
        </w:rPr>
        <w:t xml:space="preserve">Notification.</w:t>
      </w:r>
      <w:r>
        <w:t xml:space="preserve"> </w:t>
      </w:r>
      <w:r>
        <w:t xml:space="preserve">Activation notices go to the assignee, the Global Administrators, and the security operations mailbox.</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Role</w:t>
            </w:r>
          </w:p>
        </w:tc>
        <w:tc>
          <w:tcPr/>
          <w:p>
            <w:pPr>
              <w:pStyle w:val="Compact"/>
            </w:pPr>
            <w:r>
              <w:t xml:space="preserve">Assignment</w:t>
            </w:r>
          </w:p>
        </w:tc>
        <w:tc>
          <w:tcPr/>
          <w:p>
            <w:pPr>
              <w:pStyle w:val="Compact"/>
            </w:pPr>
            <w:r>
              <w:t xml:space="preserve">Max activation</w:t>
            </w:r>
          </w:p>
        </w:tc>
        <w:tc>
          <w:tcPr/>
          <w:p>
            <w:pPr>
              <w:pStyle w:val="Compact"/>
            </w:pPr>
            <w:r>
              <w:t xml:space="preserve">Approval</w:t>
            </w:r>
          </w:p>
        </w:tc>
        <w:tc>
          <w:tcPr/>
          <w:p>
            <w:pPr>
              <w:pStyle w:val="Compact"/>
            </w:pPr>
            <w:r>
              <w:t xml:space="preserve">Justification</w:t>
            </w:r>
          </w:p>
        </w:tc>
        <w:tc>
          <w:tcPr/>
          <w:p>
            <w:pPr>
              <w:pStyle w:val="Compact"/>
            </w:pPr>
            <w:r>
              <w:t xml:space="preserve">Ticket</w:t>
            </w:r>
          </w:p>
        </w:tc>
      </w:tr>
      <w:tr>
        <w:tc>
          <w:tcPr/>
          <w:p>
            <w:pPr>
              <w:pStyle w:val="Compact"/>
            </w:pPr>
            <w:r>
              <w:t xml:space="preserve">Global Administrator</w:t>
            </w:r>
          </w:p>
        </w:tc>
        <w:tc>
          <w:tcPr/>
          <w:p>
            <w:pPr>
              <w:pStyle w:val="Compact"/>
            </w:pPr>
            <w:r>
              <w:t xml:space="preserve">Eligible</w:t>
            </w:r>
          </w:p>
        </w:tc>
        <w:tc>
          <w:tcPr/>
          <w:p>
            <w:pPr>
              <w:pStyle w:val="Compact"/>
            </w:pPr>
            <w:r>
              <w:t xml:space="preserve">4 hours</w:t>
            </w:r>
          </w:p>
        </w:tc>
        <w:tc>
          <w:tcPr/>
          <w:p>
            <w:pPr>
              <w:pStyle w:val="Compact"/>
            </w:pPr>
            <w:r>
              <w:t xml:space="preserve">Yes</w:t>
            </w:r>
          </w:p>
        </w:tc>
        <w:tc>
          <w:tcPr/>
          <w:p>
            <w:pPr>
              <w:pStyle w:val="Compact"/>
            </w:pPr>
            <w:r>
              <w:t xml:space="preserve">Yes</w:t>
            </w:r>
          </w:p>
        </w:tc>
        <w:tc>
          <w:tcPr/>
          <w:p>
            <w:pPr>
              <w:pStyle w:val="Compact"/>
            </w:pPr>
            <w:r>
              <w:t xml:space="preserve">Yes</w:t>
            </w:r>
          </w:p>
        </w:tc>
      </w:tr>
      <w:tr>
        <w:tc>
          <w:tcPr/>
          <w:p>
            <w:pPr>
              <w:pStyle w:val="Compact"/>
            </w:pPr>
            <w:r>
              <w:t xml:space="preserve">Privileged Role Administrator</w:t>
            </w:r>
          </w:p>
        </w:tc>
        <w:tc>
          <w:tcPr/>
          <w:p>
            <w:pPr>
              <w:pStyle w:val="Compact"/>
            </w:pPr>
            <w:r>
              <w:t xml:space="preserve">Eligible</w:t>
            </w:r>
          </w:p>
        </w:tc>
        <w:tc>
          <w:tcPr/>
          <w:p>
            <w:pPr>
              <w:pStyle w:val="Compact"/>
            </w:pPr>
            <w:r>
              <w:t xml:space="preserve">4 hours</w:t>
            </w:r>
          </w:p>
        </w:tc>
        <w:tc>
          <w:tcPr/>
          <w:p>
            <w:pPr>
              <w:pStyle w:val="Compact"/>
            </w:pPr>
            <w:r>
              <w:t xml:space="preserve">Yes</w:t>
            </w:r>
          </w:p>
        </w:tc>
        <w:tc>
          <w:tcPr/>
          <w:p>
            <w:pPr>
              <w:pStyle w:val="Compact"/>
            </w:pPr>
            <w:r>
              <w:t xml:space="preserve">Yes</w:t>
            </w:r>
          </w:p>
        </w:tc>
        <w:tc>
          <w:tcPr/>
          <w:p>
            <w:pPr>
              <w:pStyle w:val="Compact"/>
            </w:pPr>
            <w:r>
              <w:t xml:space="preserve">Yes</w:t>
            </w:r>
          </w:p>
        </w:tc>
      </w:tr>
      <w:tr>
        <w:tc>
          <w:tcPr/>
          <w:p>
            <w:pPr>
              <w:pStyle w:val="Compact"/>
            </w:pPr>
            <w:r>
              <w:t xml:space="preserve">Security Administrator</w:t>
            </w:r>
          </w:p>
        </w:tc>
        <w:tc>
          <w:tcPr/>
          <w:p>
            <w:pPr>
              <w:pStyle w:val="Compact"/>
            </w:pPr>
            <w:r>
              <w:t xml:space="preserve">Eligible</w:t>
            </w:r>
          </w:p>
        </w:tc>
        <w:tc>
          <w:tcPr/>
          <w:p>
            <w:pPr>
              <w:pStyle w:val="Compact"/>
            </w:pPr>
            <w:r>
              <w:t xml:space="preserve">8 hours</w:t>
            </w:r>
          </w:p>
        </w:tc>
        <w:tc>
          <w:tcPr/>
          <w:p>
            <w:pPr>
              <w:pStyle w:val="Compact"/>
            </w:pPr>
            <w:r>
              <w:t xml:space="preserve">Yes</w:t>
            </w:r>
          </w:p>
        </w:tc>
        <w:tc>
          <w:tcPr/>
          <w:p>
            <w:pPr>
              <w:pStyle w:val="Compact"/>
            </w:pPr>
            <w:r>
              <w:t xml:space="preserve">Yes</w:t>
            </w:r>
          </w:p>
        </w:tc>
        <w:tc>
          <w:tcPr/>
          <w:p>
            <w:pPr>
              <w:pStyle w:val="Compact"/>
            </w:pPr>
            <w:r>
              <w:t xml:space="preserve">No</w:t>
            </w:r>
          </w:p>
        </w:tc>
      </w:tr>
      <w:tr>
        <w:tc>
          <w:tcPr/>
          <w:p>
            <w:pPr>
              <w:pStyle w:val="Compact"/>
            </w:pPr>
            <w:r>
              <w:t xml:space="preserve">Exchange Administrator</w:t>
            </w:r>
          </w:p>
        </w:tc>
        <w:tc>
          <w:tcPr/>
          <w:p>
            <w:pPr>
              <w:pStyle w:val="Compact"/>
            </w:pPr>
            <w:r>
              <w:t xml:space="preserve">Eligible</w:t>
            </w:r>
          </w:p>
        </w:tc>
        <w:tc>
          <w:tcPr/>
          <w:p>
            <w:pPr>
              <w:pStyle w:val="Compact"/>
            </w:pPr>
            <w:r>
              <w:t xml:space="preserve">8 hours</w:t>
            </w:r>
          </w:p>
        </w:tc>
        <w:tc>
          <w:tcPr/>
          <w:p>
            <w:pPr>
              <w:pStyle w:val="Compact"/>
            </w:pPr>
            <w:r>
              <w:t xml:space="preserve">No</w:t>
            </w:r>
          </w:p>
        </w:tc>
        <w:tc>
          <w:tcPr/>
          <w:p>
            <w:pPr>
              <w:pStyle w:val="Compact"/>
            </w:pPr>
            <w:r>
              <w:t xml:space="preserve">Yes</w:t>
            </w:r>
          </w:p>
        </w:tc>
        <w:tc>
          <w:tcPr/>
          <w:p>
            <w:pPr>
              <w:pStyle w:val="Compact"/>
            </w:pPr>
            <w:r>
              <w:t xml:space="preserve">Yes</w:t>
            </w:r>
          </w:p>
        </w:tc>
      </w:tr>
      <w:tr>
        <w:tc>
          <w:tcPr/>
          <w:p>
            <w:pPr>
              <w:pStyle w:val="Compact"/>
            </w:pPr>
            <w:r>
              <w:t xml:space="preserve">SharePoint Administrator</w:t>
            </w:r>
          </w:p>
        </w:tc>
        <w:tc>
          <w:tcPr/>
          <w:p>
            <w:pPr>
              <w:pStyle w:val="Compact"/>
            </w:pPr>
            <w:r>
              <w:t xml:space="preserve">Eligible</w:t>
            </w:r>
          </w:p>
        </w:tc>
        <w:tc>
          <w:tcPr/>
          <w:p>
            <w:pPr>
              <w:pStyle w:val="Compact"/>
            </w:pPr>
            <w:r>
              <w:t xml:space="preserve">8 hours</w:t>
            </w:r>
          </w:p>
        </w:tc>
        <w:tc>
          <w:tcPr/>
          <w:p>
            <w:pPr>
              <w:pStyle w:val="Compact"/>
            </w:pPr>
            <w:r>
              <w:t xml:space="preserve">No</w:t>
            </w:r>
          </w:p>
        </w:tc>
        <w:tc>
          <w:tcPr/>
          <w:p>
            <w:pPr>
              <w:pStyle w:val="Compact"/>
            </w:pPr>
            <w:r>
              <w:t xml:space="preserve">Yes</w:t>
            </w:r>
          </w:p>
        </w:tc>
        <w:tc>
          <w:tcPr/>
          <w:p>
            <w:pPr>
              <w:pStyle w:val="Compact"/>
            </w:pPr>
            <w:r>
              <w:t xml:space="preserve">No</w:t>
            </w:r>
          </w:p>
        </w:tc>
      </w:tr>
      <w:tr>
        <w:tc>
          <w:tcPr/>
          <w:p>
            <w:pPr>
              <w:pStyle w:val="Compact"/>
            </w:pPr>
            <w:r>
              <w:t xml:space="preserve">User Administrator</w:t>
            </w:r>
          </w:p>
        </w:tc>
        <w:tc>
          <w:tcPr/>
          <w:p>
            <w:pPr>
              <w:pStyle w:val="Compact"/>
            </w:pPr>
            <w:r>
              <w:t xml:space="preserve">Eligible</w:t>
            </w:r>
          </w:p>
        </w:tc>
        <w:tc>
          <w:tcPr/>
          <w:p>
            <w:pPr>
              <w:pStyle w:val="Compact"/>
            </w:pPr>
            <w:r>
              <w:t xml:space="preserve">8 hours</w:t>
            </w:r>
          </w:p>
        </w:tc>
        <w:tc>
          <w:tcPr/>
          <w:p>
            <w:pPr>
              <w:pStyle w:val="Compact"/>
            </w:pPr>
            <w:r>
              <w:t xml:space="preserve">No</w:t>
            </w:r>
          </w:p>
        </w:tc>
        <w:tc>
          <w:tcPr/>
          <w:p>
            <w:pPr>
              <w:pStyle w:val="Compact"/>
            </w:pPr>
            <w:r>
              <w:t xml:space="preserve">Yes</w:t>
            </w:r>
          </w:p>
        </w:tc>
        <w:tc>
          <w:tcPr/>
          <w:p>
            <w:pPr>
              <w:pStyle w:val="Compact"/>
            </w:pPr>
            <w:r>
              <w:t xml:space="preserve">No</w:t>
            </w:r>
          </w:p>
        </w:tc>
      </w:tr>
      <w:tr>
        <w:tc>
          <w:tcPr/>
          <w:p>
            <w:pPr>
              <w:pStyle w:val="Compact"/>
            </w:pPr>
            <w:r>
              <w:t xml:space="preserve">Groups Administrator</w:t>
            </w:r>
          </w:p>
        </w:tc>
        <w:tc>
          <w:tcPr/>
          <w:p>
            <w:pPr>
              <w:pStyle w:val="Compact"/>
            </w:pPr>
            <w:r>
              <w:t xml:space="preserve">Eligible</w:t>
            </w:r>
          </w:p>
        </w:tc>
        <w:tc>
          <w:tcPr/>
          <w:p>
            <w:pPr>
              <w:pStyle w:val="Compact"/>
            </w:pPr>
            <w:r>
              <w:t xml:space="preserve">8 hours</w:t>
            </w:r>
          </w:p>
        </w:tc>
        <w:tc>
          <w:tcPr/>
          <w:p>
            <w:pPr>
              <w:pStyle w:val="Compact"/>
            </w:pPr>
            <w:r>
              <w:t xml:space="preserve">No</w:t>
            </w:r>
          </w:p>
        </w:tc>
        <w:tc>
          <w:tcPr/>
          <w:p>
            <w:pPr>
              <w:pStyle w:val="Compact"/>
            </w:pPr>
            <w:r>
              <w:t xml:space="preserve">Yes</w:t>
            </w:r>
          </w:p>
        </w:tc>
        <w:tc>
          <w:tcPr/>
          <w:p>
            <w:pPr>
              <w:pStyle w:val="Compact"/>
            </w:pPr>
            <w:r>
              <w:t xml:space="preserve">No</w:t>
            </w:r>
          </w:p>
        </w:tc>
      </w:tr>
      <w:tr>
        <w:tc>
          <w:tcPr/>
          <w:p>
            <w:pPr>
              <w:pStyle w:val="Compact"/>
            </w:pPr>
            <w:r>
              <w:t xml:space="preserve">Conditional Access Administrator</w:t>
            </w:r>
          </w:p>
        </w:tc>
        <w:tc>
          <w:tcPr/>
          <w:p>
            <w:pPr>
              <w:pStyle w:val="Compact"/>
            </w:pPr>
            <w:r>
              <w:t xml:space="preserve">Eligible</w:t>
            </w:r>
          </w:p>
        </w:tc>
        <w:tc>
          <w:tcPr/>
          <w:p>
            <w:pPr>
              <w:pStyle w:val="Compact"/>
            </w:pPr>
            <w:r>
              <w:t xml:space="preserve">8 hours</w:t>
            </w:r>
          </w:p>
        </w:tc>
        <w:tc>
          <w:tcPr/>
          <w:p>
            <w:pPr>
              <w:pStyle w:val="Compact"/>
            </w:pPr>
            <w:r>
              <w:t xml:space="preserve">No</w:t>
            </w:r>
          </w:p>
        </w:tc>
        <w:tc>
          <w:tcPr/>
          <w:p>
            <w:pPr>
              <w:pStyle w:val="Compact"/>
            </w:pPr>
            <w:r>
              <w:t xml:space="preserve">Yes</w:t>
            </w:r>
          </w:p>
        </w:tc>
        <w:tc>
          <w:tcPr/>
          <w:p>
            <w:pPr>
              <w:pStyle w:val="Compact"/>
            </w:pPr>
            <w:r>
              <w:t xml:space="preserve">No</w:t>
            </w:r>
          </w:p>
        </w:tc>
      </w:tr>
      <w:tr>
        <w:tc>
          <w:tcPr/>
          <w:p>
            <w:pPr>
              <w:pStyle w:val="Compact"/>
            </w:pPr>
            <w:r>
              <w:t xml:space="preserve">Intune Administrator</w:t>
            </w:r>
          </w:p>
        </w:tc>
        <w:tc>
          <w:tcPr/>
          <w:p>
            <w:pPr>
              <w:pStyle w:val="Compact"/>
            </w:pPr>
            <w:r>
              <w:t xml:space="preserve">Eligible</w:t>
            </w:r>
          </w:p>
        </w:tc>
        <w:tc>
          <w:tcPr/>
          <w:p>
            <w:pPr>
              <w:pStyle w:val="Compact"/>
            </w:pPr>
            <w:r>
              <w:t xml:space="preserve">8 hours</w:t>
            </w:r>
          </w:p>
        </w:tc>
        <w:tc>
          <w:tcPr/>
          <w:p>
            <w:pPr>
              <w:pStyle w:val="Compact"/>
            </w:pPr>
            <w:r>
              <w:t xml:space="preserve">No</w:t>
            </w:r>
          </w:p>
        </w:tc>
        <w:tc>
          <w:tcPr/>
          <w:p>
            <w:pPr>
              <w:pStyle w:val="Compact"/>
            </w:pPr>
            <w:r>
              <w:t xml:space="preserve">Yes</w:t>
            </w:r>
          </w:p>
        </w:tc>
        <w:tc>
          <w:tcPr/>
          <w:p>
            <w:pPr>
              <w:pStyle w:val="Compact"/>
            </w:pPr>
            <w:r>
              <w:t xml:space="preserve">No</w:t>
            </w:r>
          </w:p>
        </w:tc>
      </w:tr>
      <w:tr>
        <w:tc>
          <w:tcPr/>
          <w:p>
            <w:pPr>
              <w:pStyle w:val="Compact"/>
            </w:pPr>
            <w:r>
              <w:t xml:space="preserve">Authentication Administrator</w:t>
            </w:r>
          </w:p>
        </w:tc>
        <w:tc>
          <w:tcPr/>
          <w:p>
            <w:pPr>
              <w:pStyle w:val="Compact"/>
            </w:pPr>
            <w:r>
              <w:t xml:space="preserve">Eligible</w:t>
            </w:r>
          </w:p>
        </w:tc>
        <w:tc>
          <w:tcPr/>
          <w:p>
            <w:pPr>
              <w:pStyle w:val="Compact"/>
            </w:pPr>
            <w:r>
              <w:t xml:space="preserve">8 hours</w:t>
            </w:r>
          </w:p>
        </w:tc>
        <w:tc>
          <w:tcPr/>
          <w:p>
            <w:pPr>
              <w:pStyle w:val="Compact"/>
            </w:pPr>
            <w:r>
              <w:t xml:space="preserve">No</w:t>
            </w:r>
          </w:p>
        </w:tc>
        <w:tc>
          <w:tcPr/>
          <w:p>
            <w:pPr>
              <w:pStyle w:val="Compact"/>
            </w:pPr>
            <w:r>
              <w:t xml:space="preserve">Yes</w:t>
            </w:r>
          </w:p>
        </w:tc>
        <w:tc>
          <w:tcPr/>
          <w:p>
            <w:pPr>
              <w:pStyle w:val="Compact"/>
            </w:pPr>
            <w:r>
              <w:t xml:space="preserve">No</w:t>
            </w:r>
          </w:p>
        </w:tc>
      </w:tr>
      <w:tr>
        <w:tc>
          <w:tcPr/>
          <w:p>
            <w:pPr>
              <w:pStyle w:val="Compact"/>
            </w:pPr>
            <w:r>
              <w:t xml:space="preserve">Application Administrator</w:t>
            </w:r>
          </w:p>
        </w:tc>
        <w:tc>
          <w:tcPr/>
          <w:p>
            <w:pPr>
              <w:pStyle w:val="Compact"/>
            </w:pPr>
            <w:r>
              <w:t xml:space="preserve">Eligible</w:t>
            </w:r>
          </w:p>
        </w:tc>
        <w:tc>
          <w:tcPr/>
          <w:p>
            <w:pPr>
              <w:pStyle w:val="Compact"/>
            </w:pPr>
            <w:r>
              <w:t xml:space="preserve">8 hours</w:t>
            </w:r>
          </w:p>
        </w:tc>
        <w:tc>
          <w:tcPr/>
          <w:p>
            <w:pPr>
              <w:pStyle w:val="Compact"/>
            </w:pPr>
            <w:r>
              <w:t xml:space="preserve">No</w:t>
            </w:r>
          </w:p>
        </w:tc>
        <w:tc>
          <w:tcPr/>
          <w:p>
            <w:pPr>
              <w:pStyle w:val="Compact"/>
            </w:pPr>
            <w:r>
              <w:t xml:space="preserve">Yes</w:t>
            </w:r>
          </w:p>
        </w:tc>
        <w:tc>
          <w:tcPr/>
          <w:p>
            <w:pPr>
              <w:pStyle w:val="Compact"/>
            </w:pPr>
            <w:r>
              <w:t xml:space="preserve">No</w:t>
            </w:r>
          </w:p>
        </w:tc>
      </w:tr>
      <w:tr>
        <w:tc>
          <w:tcPr/>
          <w:p>
            <w:pPr>
              <w:pStyle w:val="Compact"/>
            </w:pPr>
            <w:r>
              <w:t xml:space="preserve">Compliance Administrator</w:t>
            </w:r>
          </w:p>
        </w:tc>
        <w:tc>
          <w:tcPr/>
          <w:p>
            <w:pPr>
              <w:pStyle w:val="Compact"/>
            </w:pPr>
            <w:r>
              <w:t xml:space="preserve">Eligible</w:t>
            </w:r>
          </w:p>
        </w:tc>
        <w:tc>
          <w:tcPr/>
          <w:p>
            <w:pPr>
              <w:pStyle w:val="Compact"/>
            </w:pPr>
            <w:r>
              <w:t xml:space="preserve">8 hours</w:t>
            </w:r>
          </w:p>
        </w:tc>
        <w:tc>
          <w:tcPr/>
          <w:p>
            <w:pPr>
              <w:pStyle w:val="Compact"/>
            </w:pPr>
            <w:r>
              <w:t xml:space="preserve">No</w:t>
            </w:r>
          </w:p>
        </w:tc>
        <w:tc>
          <w:tcPr/>
          <w:p>
            <w:pPr>
              <w:pStyle w:val="Compact"/>
            </w:pPr>
            <w:r>
              <w:t xml:space="preserve">Yes</w:t>
            </w:r>
          </w:p>
        </w:tc>
        <w:tc>
          <w:tcPr/>
          <w:p>
            <w:pPr>
              <w:pStyle w:val="Compact"/>
            </w:pPr>
            <w:r>
              <w:t xml:space="preserve">No</w:t>
            </w:r>
          </w:p>
        </w:tc>
      </w:tr>
      <w:tr>
        <w:tc>
          <w:tcPr/>
          <w:p>
            <w:pPr>
              <w:pStyle w:val="Compact"/>
            </w:pPr>
            <w:r>
              <w:t xml:space="preserve">Security Reader</w:t>
            </w:r>
          </w:p>
        </w:tc>
        <w:tc>
          <w:tcPr/>
          <w:p>
            <w:pPr>
              <w:pStyle w:val="Compact"/>
            </w:pPr>
            <w:r>
              <w:t xml:space="preserve">Eligible</w:t>
            </w:r>
          </w:p>
        </w:tc>
        <w:tc>
          <w:tcPr/>
          <w:p>
            <w:pPr>
              <w:pStyle w:val="Compact"/>
            </w:pPr>
            <w:r>
              <w:t xml:space="preserve">12 hours</w:t>
            </w:r>
          </w:p>
        </w:tc>
        <w:tc>
          <w:tcPr/>
          <w:p>
            <w:pPr>
              <w:pStyle w:val="Compact"/>
            </w:pPr>
            <w:r>
              <w:t xml:space="preserve">No</w:t>
            </w:r>
          </w:p>
        </w:tc>
        <w:tc>
          <w:tcPr/>
          <w:p>
            <w:pPr>
              <w:pStyle w:val="Compact"/>
            </w:pPr>
            <w:r>
              <w:t xml:space="preserve">No</w:t>
            </w:r>
          </w:p>
        </w:tc>
        <w:tc>
          <w:tcPr/>
          <w:p>
            <w:pPr>
              <w:pStyle w:val="Compact"/>
            </w:pPr>
            <w:r>
              <w:t xml:space="preserve">No</w:t>
            </w:r>
          </w:p>
        </w:tc>
      </w:tr>
      <w:tr>
        <w:tc>
          <w:tcPr/>
          <w:p>
            <w:pPr>
              <w:pStyle w:val="Compact"/>
            </w:pPr>
            <w:r>
              <w:t xml:space="preserve">Global Reader</w:t>
            </w:r>
          </w:p>
        </w:tc>
        <w:tc>
          <w:tcPr/>
          <w:p>
            <w:pPr>
              <w:pStyle w:val="Compact"/>
            </w:pPr>
            <w:r>
              <w:t xml:space="preserve">Eligible</w:t>
            </w:r>
          </w:p>
        </w:tc>
        <w:tc>
          <w:tcPr/>
          <w:p>
            <w:pPr>
              <w:pStyle w:val="Compact"/>
            </w:pPr>
            <w:r>
              <w:t xml:space="preserve">12 hours</w:t>
            </w:r>
          </w:p>
        </w:tc>
        <w:tc>
          <w:tcPr/>
          <w:p>
            <w:pPr>
              <w:pStyle w:val="Compact"/>
            </w:pPr>
            <w:r>
              <w:t xml:space="preserve">No</w:t>
            </w:r>
          </w:p>
        </w:tc>
        <w:tc>
          <w:tcPr/>
          <w:p>
            <w:pPr>
              <w:pStyle w:val="Compact"/>
            </w:pPr>
            <w:r>
              <w:t xml:space="preserve">No</w:t>
            </w:r>
          </w:p>
        </w:tc>
        <w:tc>
          <w:tcPr/>
          <w:p>
            <w:pPr>
              <w:pStyle w:val="Compact"/>
            </w:pPr>
            <w:r>
              <w:t xml:space="preserve">No</w:t>
            </w:r>
          </w:p>
        </w:tc>
      </w:tr>
    </w:tbl>
    <w:p>
      <w:pPr>
        <w:pStyle w:val="BodyText"/>
      </w:pPr>
      <w:r>
        <w:t xml:space="preserve">Every activation in the table requires the phishing-resistant authentication context described above.</w:t>
      </w:r>
    </w:p>
    <w:bookmarkEnd w:id="916"/>
    <w:bookmarkStart w:id="923" w:name="pim-for-groups"/>
    <w:p>
      <w:pPr>
        <w:pStyle w:val="Heading3"/>
      </w:pPr>
      <w:r>
        <w:t xml:space="preserve">PIM for Groups</w:t>
      </w:r>
    </w:p>
    <w:p>
      <w:pPr>
        <w:pStyle w:val="FirstParagraph"/>
      </w:pPr>
      <w:r>
        <w:t xml:space="preserve">PIM for Groups (formerly called privileged access groups) extends just-in-time activation to group membership and ownership. Instead of sitting permanently in a sensitive group, a user activates membership through PIM with the same controls as a role: justification, authentication context, approval.</w:t>
      </w:r>
      <w:r>
        <w:rPr>
          <w:rStyle w:val="FootnoteReference"/>
        </w:rPr>
        <w:footnoteReference w:id="917"/>
      </w:r>
    </w:p>
    <w:p>
      <w:pPr>
        <w:pStyle w:val="Compact"/>
        <w:numPr>
          <w:ilvl w:val="0"/>
          <w:numId w:val="1068"/>
        </w:numPr>
      </w:pPr>
      <w:r>
        <w:rPr>
          <w:b/>
          <w:bCs/>
        </w:rPr>
        <w:t xml:space="preserve">Use it for</w:t>
      </w:r>
      <w:r>
        <w:t xml:space="preserve"> </w:t>
      </w:r>
      <w:r>
        <w:t xml:space="preserve">groups that grant access to sensitive applications, data, or administrative functions.</w:t>
      </w:r>
    </w:p>
    <w:p>
      <w:pPr>
        <w:pStyle w:val="Compact"/>
        <w:numPr>
          <w:ilvl w:val="0"/>
          <w:numId w:val="1068"/>
        </w:numPr>
      </w:pPr>
      <w:r>
        <w:rPr>
          <w:b/>
          <w:bCs/>
        </w:rPr>
        <w:t xml:space="preserve">Eligible groups.</w:t>
      </w:r>
      <w:r>
        <w:t xml:space="preserve"> </w:t>
      </w:r>
      <w:r>
        <w:t xml:space="preserve">Any security group or Microsoft 365 group can be enabled, except dynamic groups and groups synced from AD. Since January 2023 a group doesn’t have to be role-assignable to use PIM for Groups.</w:t>
      </w:r>
      <w:r>
        <w:rPr>
          <w:rStyle w:val="FootnoteReference"/>
        </w:rPr>
        <w:footnoteReference w:id="919"/>
      </w:r>
    </w:p>
    <w:p>
      <w:pPr>
        <w:pStyle w:val="Compact"/>
        <w:numPr>
          <w:ilvl w:val="0"/>
          <w:numId w:val="1068"/>
        </w:numPr>
      </w:pPr>
      <w:r>
        <w:rPr>
          <w:b/>
          <w:bCs/>
        </w:rPr>
        <w:t xml:space="preserve">Role-assignable groups.</w:t>
      </w:r>
      <w:r>
        <w:t xml:space="preserve"> </w:t>
      </w:r>
      <w:r>
        <w:t xml:space="preserve">A group must be created role-assignable only if it will hold an Entra role. Role-assignable groups get extra protection (only Global Administrators, Privileged Role Administrators, or the owner can manage them), so Microsoft suggests the setting even for non-role groups that guard sensitive resources. A tenant can have at most 500 role-assignable groups.</w:t>
      </w:r>
      <w:r>
        <w:rPr>
          <w:rStyle w:val="FootnoteReference"/>
        </w:rPr>
        <w:footnoteReference w:id="920"/>
      </w:r>
    </w:p>
    <w:p>
      <w:pPr>
        <w:pStyle w:val="Compact"/>
        <w:numPr>
          <w:ilvl w:val="0"/>
          <w:numId w:val="1068"/>
        </w:numPr>
      </w:pPr>
      <w:r>
        <w:rPr>
          <w:b/>
          <w:bCs/>
        </w:rPr>
        <w:t xml:space="preserve">Licensing.</w:t>
      </w:r>
      <w:r>
        <w:t xml:space="preserve"> </w:t>
      </w:r>
      <w:r>
        <w:t xml:space="preserve">Every user eligible for membership or ownership needs P2 or Entra ID Governance.</w:t>
      </w:r>
      <w:r>
        <w:rPr>
          <w:rStyle w:val="FootnoteReference"/>
        </w:rPr>
        <w:footnoteReference w:id="921"/>
      </w:r>
    </w:p>
    <w:bookmarkEnd w:id="923"/>
    <w:bookmarkStart w:id="930" w:name="emergency-access-accounts"/>
    <w:p>
      <w:pPr>
        <w:pStyle w:val="Heading3"/>
      </w:pPr>
      <w:r>
        <w:t xml:space="preserve">Emergency access accounts</w:t>
      </w:r>
    </w:p>
    <w:p>
      <w:pPr>
        <w:pStyle w:val="FirstParagraph"/>
      </w:pPr>
      <w:r>
        <w:t xml:space="preserve">Emergency access (</w:t>
      </w:r>
      <w:r>
        <w:t xml:space="preserve">“break-glass”</w:t>
      </w:r>
      <w:r>
        <w:t xml:space="preserve">) accounts restore access when normal administrator sign-in, MFA, or PIM fails. Microsoft’s current guidance changed an important detail of older designs: both accounts use phishing-resistant authentication, because Microsoft’s mandatory MFA for admin portals applies to them too (Microsoft enforces it in the public Azure cloud, not in Azure Government; see Book 04, Chapter 04). A password in a safe is no longer enough on its own.</w:t>
      </w:r>
      <w:r>
        <w:rPr>
          <w:rStyle w:val="FootnoteReference"/>
        </w:rPr>
        <w:footnoteReference w:id="924"/>
      </w:r>
      <w:r>
        <w:t xml:space="preserve"> </w:t>
      </w:r>
      <w:r>
        <w:t xml:space="preserve">The program’s standard follows that guidance:</w:t>
      </w:r>
    </w:p>
    <w:p>
      <w:pPr>
        <w:pStyle w:val="Compact"/>
        <w:numPr>
          <w:ilvl w:val="0"/>
          <w:numId w:val="1069"/>
        </w:numPr>
      </w:pPr>
      <w:r>
        <w:rPr>
          <w:b/>
          <w:bCs/>
        </w:rPr>
        <w:t xml:space="preserve">Quantity.</w:t>
      </w:r>
      <w:r>
        <w:t xml:space="preserve"> </w:t>
      </w:r>
      <w:r>
        <w:t xml:space="preserve">Two accounts, cloud-only, in the tenant’s</w:t>
      </w:r>
      <w:r>
        <w:t xml:space="preserve"> </w:t>
      </w:r>
      <w:r>
        <w:rPr>
          <w:rStyle w:val="VerbatimChar"/>
        </w:rPr>
        <w:t xml:space="preserve">onmicrosoft.com</w:t>
      </w:r>
      <w:r>
        <w:t xml:space="preserve"> </w:t>
      </w:r>
      <w:r>
        <w:t xml:space="preserve">domain, not synced or federated.</w:t>
      </w:r>
      <w:r>
        <w:rPr>
          <w:rStyle w:val="FootnoteReference"/>
        </w:rPr>
        <w:footnoteReference w:id="926"/>
      </w:r>
    </w:p>
    <w:p>
      <w:pPr>
        <w:pStyle w:val="Compact"/>
        <w:numPr>
          <w:ilvl w:val="0"/>
          <w:numId w:val="1069"/>
        </w:numPr>
      </w:pPr>
      <w:r>
        <w:rPr>
          <w:b/>
          <w:bCs/>
        </w:rPr>
        <w:t xml:space="preserve">Naming.</w:t>
      </w:r>
      <w:r>
        <w:t xml:space="preserve"> </w:t>
      </w:r>
      <w:r>
        <w:t xml:space="preserve">Don’t use names that mark them as emergency accounts (avoid</w:t>
      </w:r>
      <w:r>
        <w:t xml:space="preserve"> </w:t>
      </w:r>
      <w:r>
        <w:rPr>
          <w:rStyle w:val="VerbatimChar"/>
        </w:rPr>
        <w:t xml:space="preserve">emergency</w:t>
      </w:r>
      <w:r>
        <w:t xml:space="preserve">,</w:t>
      </w:r>
      <w:r>
        <w:t xml:space="preserve"> </w:t>
      </w:r>
      <w:r>
        <w:rPr>
          <w:rStyle w:val="VerbatimChar"/>
        </w:rPr>
        <w:t xml:space="preserve">breakglass</w:t>
      </w:r>
      <w:r>
        <w:t xml:space="preserve">,</w:t>
      </w:r>
      <w:r>
        <w:t xml:space="preserve"> </w:t>
      </w:r>
      <w:r>
        <w:rPr>
          <w:rStyle w:val="VerbatimChar"/>
        </w:rPr>
        <w:t xml:space="preserve">bg-</w:t>
      </w:r>
      <w:r>
        <w:t xml:space="preserve">).</w:t>
      </w:r>
    </w:p>
    <w:p>
      <w:pPr>
        <w:pStyle w:val="Compact"/>
        <w:numPr>
          <w:ilvl w:val="0"/>
          <w:numId w:val="1069"/>
        </w:numPr>
      </w:pPr>
      <w:r>
        <w:rPr>
          <w:b/>
          <w:bCs/>
        </w:rPr>
        <w:t xml:space="preserve">Authentication.</w:t>
      </w:r>
      <w:r>
        <w:t xml:space="preserve"> </w:t>
      </w:r>
      <w:r>
        <w:t xml:space="preserve">A passkey (FIDO2) security key for each account, which is Microsoft’s recommended method, or certificate-based authentication where a PKI already exists. Use methods different from those of the normal admin accounts, and store each credential in a separate secure, fireproof location.</w:t>
      </w:r>
      <w:r>
        <w:rPr>
          <w:rStyle w:val="FootnoteReference"/>
        </w:rPr>
        <w:footnoteReference w:id="927"/>
      </w:r>
    </w:p>
    <w:p>
      <w:pPr>
        <w:pStyle w:val="Compact"/>
        <w:numPr>
          <w:ilvl w:val="0"/>
          <w:numId w:val="1069"/>
        </w:numPr>
      </w:pPr>
      <w:r>
        <w:rPr>
          <w:b/>
          <w:bCs/>
        </w:rPr>
        <w:t xml:space="preserve">Assignment.</w:t>
      </w:r>
      <w:r>
        <w:t xml:space="preserve"> </w:t>
      </w:r>
      <w:r>
        <w:t xml:space="preserve">Global Administrator as a permanent active assignment in PIM, not eligible. These are the only permanent Global Administrator assignments.</w:t>
      </w:r>
    </w:p>
    <w:p>
      <w:pPr>
        <w:pStyle w:val="Compact"/>
        <w:numPr>
          <w:ilvl w:val="0"/>
          <w:numId w:val="1069"/>
        </w:numPr>
      </w:pPr>
      <w:r>
        <w:rPr>
          <w:b/>
          <w:bCs/>
        </w:rPr>
        <w:t xml:space="preserve">Conditional Access.</w:t>
      </w:r>
      <w:r>
        <w:t xml:space="preserve"> </w:t>
      </w:r>
      <w:r>
        <w:t xml:space="preserve">Put both accounts in a dedicated exclusion group and exclude it from every policy that blocks or restricts sign-in. Report-only policies don’t need the exclusion.</w:t>
      </w:r>
      <w:r>
        <w:rPr>
          <w:rStyle w:val="FootnoteReference"/>
        </w:rPr>
        <w:footnoteReference w:id="928"/>
      </w:r>
    </w:p>
    <w:p>
      <w:pPr>
        <w:pStyle w:val="Compact"/>
        <w:numPr>
          <w:ilvl w:val="0"/>
          <w:numId w:val="1069"/>
        </w:numPr>
      </w:pPr>
      <w:r>
        <w:rPr>
          <w:b/>
          <w:bCs/>
        </w:rPr>
        <w:t xml:space="preserve">Monitoring.</w:t>
      </w:r>
      <w:r>
        <w:t xml:space="preserve"> </w:t>
      </w:r>
      <w:r>
        <w:t xml:space="preserve">Alert on every sign-in and every audit event for these accounts. Any use is an incident until a post-use review says otherwise.</w:t>
      </w:r>
    </w:p>
    <w:p>
      <w:pPr>
        <w:pStyle w:val="Compact"/>
        <w:numPr>
          <w:ilvl w:val="0"/>
          <w:numId w:val="1069"/>
        </w:numPr>
      </w:pPr>
      <w:r>
        <w:rPr>
          <w:b/>
          <w:bCs/>
        </w:rPr>
        <w:t xml:space="preserve">Validation.</w:t>
      </w:r>
      <w:r>
        <w:t xml:space="preserve"> </w:t>
      </w:r>
      <w:r>
        <w:t xml:space="preserve">Test sign-in and an administrative task at least every 90 days, as Microsoft recommends, and record the test in change management.</w:t>
      </w:r>
      <w:r>
        <w:rPr>
          <w:rStyle w:val="FootnoteReference"/>
        </w:rPr>
        <w:footnoteReference w:id="929"/>
      </w:r>
    </w:p>
    <w:bookmarkEnd w:id="930"/>
    <w:bookmarkStart w:id="935" w:name="protected-actions"/>
    <w:p>
      <w:pPr>
        <w:pStyle w:val="Heading3"/>
      </w:pPr>
      <w:r>
        <w:t xml:space="preserve">Protected actions</w:t>
      </w:r>
    </w:p>
    <w:p>
      <w:pPr>
        <w:pStyle w:val="FirstParagraph"/>
      </w:pPr>
      <w:r>
        <w:t xml:space="preserve">Protected actions attach a Conditional Access authentication context to specific Entra permissions, so a user must satisfy that policy, typically phishing-resistant MFA, at the moment they use the permission, regardless of which role granted it.</w:t>
      </w:r>
      <w:r>
        <w:rPr>
          <w:rStyle w:val="FootnoteReference"/>
        </w:rPr>
        <w:footnoteReference w:id="931"/>
      </w:r>
      <w:r>
        <w:t xml:space="preserve"> </w:t>
      </w:r>
      <w:r>
        <w:t xml:space="preserve">As of October 2026 they cover:</w:t>
      </w:r>
      <w:r>
        <w:rPr>
          <w:rStyle w:val="FootnoteReference"/>
        </w:rPr>
        <w:footnoteReference w:id="932"/>
      </w:r>
    </w:p>
    <w:p>
      <w:pPr>
        <w:pStyle w:val="Compact"/>
        <w:numPr>
          <w:ilvl w:val="0"/>
          <w:numId w:val="1070"/>
        </w:numPr>
      </w:pPr>
      <w:r>
        <w:t xml:space="preserve">Conditional Access policy management (create, update, delete)</w:t>
      </w:r>
    </w:p>
    <w:p>
      <w:pPr>
        <w:pStyle w:val="Compact"/>
        <w:numPr>
          <w:ilvl w:val="0"/>
          <w:numId w:val="1070"/>
        </w:numPr>
      </w:pPr>
      <w:r>
        <w:t xml:space="preserve">Cross-tenant access settings, including tenant restrictions</w:t>
      </w:r>
    </w:p>
    <w:p>
      <w:pPr>
        <w:pStyle w:val="Compact"/>
        <w:numPr>
          <w:ilvl w:val="0"/>
          <w:numId w:val="1070"/>
        </w:numPr>
      </w:pPr>
      <w:r>
        <w:t xml:space="preserve">Hard deletion of some directory objects from the recycle bin (users, Microsoft 365 groups, cloud security groups, applications)</w:t>
      </w:r>
    </w:p>
    <w:p>
      <w:pPr>
        <w:pStyle w:val="Compact"/>
        <w:numPr>
          <w:ilvl w:val="0"/>
          <w:numId w:val="1070"/>
        </w:numPr>
      </w:pPr>
      <w:r>
        <w:t xml:space="preserve">Named locations</w:t>
      </w:r>
    </w:p>
    <w:p>
      <w:pPr>
        <w:pStyle w:val="Compact"/>
        <w:numPr>
          <w:ilvl w:val="0"/>
          <w:numId w:val="1070"/>
        </w:numPr>
      </w:pPr>
      <w:r>
        <w:t xml:space="preserve">Protected action management itself</w:t>
      </w:r>
    </w:p>
    <w:p>
      <w:pPr>
        <w:pStyle w:val="FirstParagraph"/>
      </w:pPr>
      <w:r>
        <w:t xml:space="preserve">Protected actions require Entra ID P1 and can be added by a Conditional Access Administrator or Security Administrator.</w:t>
      </w:r>
      <w:r>
        <w:rPr>
          <w:rStyle w:val="FootnoteReference"/>
        </w:rPr>
        <w:footnoteReference w:id="933"/>
      </w:r>
      <w:r>
        <w:t xml:space="preserve"> </w:t>
      </w:r>
      <w:r>
        <w:t xml:space="preserve">Microsoft’s privileged roles documentation still describes the feature as preview, so check its status before treating it as a compliance control.</w:t>
      </w:r>
      <w:r>
        <w:rPr>
          <w:rStyle w:val="FootnoteReference"/>
        </w:rPr>
        <w:footnoteReference w:id="934"/>
      </w:r>
      <w:r>
        <w:t xml:space="preserve"> </w:t>
      </w:r>
      <w:r>
        <w:t xml:space="preserve">The source design’s mention of</w:t>
      </w:r>
      <w:r>
        <w:t xml:space="preserve"> </w:t>
      </w:r>
      <w:r>
        <w:t xml:space="preserve">“deleting a tenant”</w:t>
      </w:r>
      <w:r>
        <w:t xml:space="preserve"> </w:t>
      </w:r>
      <w:r>
        <w:t xml:space="preserve">isn’t on Microsoft’s list and has been dropped.</w:t>
      </w:r>
    </w:p>
    <w:p>
      <w:pPr>
        <w:pStyle w:val="BodyText"/>
      </w:pPr>
      <w:r>
        <w:t xml:space="preserve">Protected actions and PIM complement each other. PIM can require an authentication context when a role is activated; protected actions enforce one when a high-impact permission is used, however the user got it. Use both: PIM for activation, protected actions for the operations that would let an attacker disable your controls. Exclude an emergency account from the Conditional Access policy behind each protected action, or a misconfiguration can lock everyone out of the policy that would fix it.</w:t>
      </w:r>
    </w:p>
    <w:bookmarkEnd w:id="935"/>
    <w:bookmarkEnd w:id="936"/>
    <w:bookmarkStart w:id="948" w:name="the-conditional-access-framework"/>
    <w:p>
      <w:pPr>
        <w:pStyle w:val="Heading2"/>
      </w:pPr>
      <w:bookmarkStart w:id="1472" w:name="_Toc00001472"/>
      <w:r>
        <w:t xml:space="preserve">The Conditional Access framework</w:t>
      </w:r>
      <w:bookmarkEnd w:id="1472"/>
    </w:p>
    <w:bookmarkStart w:id="938" w:name="design-approach"/>
    <w:p>
      <w:pPr>
        <w:pStyle w:val="Heading3"/>
      </w:pPr>
      <w:r>
        <w:t xml:space="preserve">Design approach</w:t>
      </w:r>
    </w:p>
    <w:p>
      <w:pPr>
        <w:pStyle w:val="FirstParagraph"/>
      </w:pPr>
      <w:r>
        <w:t xml:space="preserve">Conditional Access replaces the logon restrictions, network access controls, and authentication policies that Active Directory enforced through Group Policy. The program’s framework is organized around</w:t>
      </w:r>
      <w:r>
        <w:t xml:space="preserve"> </w:t>
      </w:r>
      <w:r>
        <w:rPr>
          <w:b/>
          <w:bCs/>
        </w:rPr>
        <w:t xml:space="preserve">personas</w:t>
      </w:r>
      <w:r>
        <w:t xml:space="preserve">, each a population with distinct access needs and risk.</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Persona</w:t>
            </w:r>
          </w:p>
        </w:tc>
        <w:tc>
          <w:tcPr/>
          <w:p>
            <w:pPr>
              <w:pStyle w:val="Compact"/>
            </w:pPr>
            <w:r>
              <w:t xml:space="preserve">Description</w:t>
            </w:r>
          </w:p>
        </w:tc>
        <w:tc>
          <w:tcPr/>
          <w:p>
            <w:pPr>
              <w:pStyle w:val="Compact"/>
            </w:pPr>
            <w:r>
              <w:t xml:space="preserve">Identified by</w:t>
            </w:r>
          </w:p>
        </w:tc>
        <w:tc>
          <w:tcPr/>
          <w:p>
            <w:pPr>
              <w:pStyle w:val="Compact"/>
            </w:pPr>
            <w:r>
              <w:t xml:space="preserve">Risk</w:t>
            </w:r>
          </w:p>
        </w:tc>
      </w:tr>
      <w:tr>
        <w:tc>
          <w:tcPr/>
          <w:p>
            <w:pPr>
              <w:pStyle w:val="Compact"/>
            </w:pPr>
            <w:r>
              <w:t xml:space="preserve">Internals</w:t>
            </w:r>
          </w:p>
        </w:tc>
        <w:tc>
          <w:tcPr/>
          <w:p>
            <w:pPr>
              <w:pStyle w:val="Compact"/>
            </w:pPr>
            <w:r>
              <w:t xml:space="preserve">Employees and contractors with standard access</w:t>
            </w:r>
          </w:p>
        </w:tc>
        <w:tc>
          <w:tcPr/>
          <w:p>
            <w:pPr>
              <w:pStyle w:val="Compact"/>
            </w:pPr>
            <w:r>
              <w:rPr>
                <w:rStyle w:val="VerbatimChar"/>
              </w:rPr>
              <w:t xml:space="preserve">extensionAttribute6</w:t>
            </w:r>
            <w:r>
              <w:t xml:space="preserve"> </w:t>
            </w:r>
            <w:r>
              <w:t xml:space="preserve">in {Employee, Contractor}</w:t>
            </w:r>
          </w:p>
        </w:tc>
        <w:tc>
          <w:tcPr/>
          <w:p>
            <w:pPr>
              <w:pStyle w:val="Compact"/>
            </w:pPr>
            <w:r>
              <w:t xml:space="preserve">Standard</w:t>
            </w:r>
          </w:p>
        </w:tc>
      </w:tr>
      <w:tr>
        <w:tc>
          <w:tcPr/>
          <w:p>
            <w:pPr>
              <w:pStyle w:val="Compact"/>
            </w:pPr>
            <w:r>
              <w:t xml:space="preserve">Admins</w:t>
            </w:r>
          </w:p>
        </w:tc>
        <w:tc>
          <w:tcPr/>
          <w:p>
            <w:pPr>
              <w:pStyle w:val="Compact"/>
            </w:pPr>
            <w:r>
              <w:t xml:space="preserve">Users eligible for or holding privileged roles</w:t>
            </w:r>
          </w:p>
        </w:tc>
        <w:tc>
          <w:tcPr/>
          <w:p>
            <w:pPr>
              <w:pStyle w:val="Compact"/>
            </w:pPr>
            <w:r>
              <w:rPr>
                <w:rStyle w:val="VerbatimChar"/>
              </w:rPr>
              <w:t xml:space="preserve">extensionAttribute10</w:t>
            </w:r>
            <w:r>
              <w:t xml:space="preserve"> </w:t>
            </w:r>
            <w:r>
              <w:t xml:space="preserve">= Privileged, or a group of PIM-eligible users</w:t>
            </w:r>
          </w:p>
        </w:tc>
        <w:tc>
          <w:tcPr/>
          <w:p>
            <w:pPr>
              <w:pStyle w:val="Compact"/>
            </w:pPr>
            <w:r>
              <w:t xml:space="preserve">High</w:t>
            </w:r>
          </w:p>
        </w:tc>
      </w:tr>
      <w:tr>
        <w:tc>
          <w:tcPr/>
          <w:p>
            <w:pPr>
              <w:pStyle w:val="Compact"/>
            </w:pPr>
            <w:r>
              <w:t xml:space="preserve">Externals</w:t>
            </w:r>
          </w:p>
        </w:tc>
        <w:tc>
          <w:tcPr/>
          <w:p>
            <w:pPr>
              <w:pStyle w:val="Compact"/>
            </w:pPr>
            <w:r>
              <w:t xml:space="preserve">B2B guests from partner organizations</w:t>
            </w:r>
          </w:p>
        </w:tc>
        <w:tc>
          <w:tcPr/>
          <w:p>
            <w:pPr>
              <w:pStyle w:val="Compact"/>
            </w:pPr>
            <w:r>
              <w:t xml:space="preserve">User type Guest, partner tenant</w:t>
            </w:r>
          </w:p>
        </w:tc>
        <w:tc>
          <w:tcPr/>
          <w:p>
            <w:pPr>
              <w:pStyle w:val="Compact"/>
            </w:pPr>
            <w:r>
              <w:t xml:space="preserve">Elevated</w:t>
            </w:r>
          </w:p>
        </w:tc>
      </w:tr>
      <w:tr>
        <w:tc>
          <w:tcPr/>
          <w:p>
            <w:pPr>
              <w:pStyle w:val="Compact"/>
            </w:pPr>
            <w:r>
              <w:t xml:space="preserve">Guests</w:t>
            </w:r>
          </w:p>
        </w:tc>
        <w:tc>
          <w:tcPr/>
          <w:p>
            <w:pPr>
              <w:pStyle w:val="Compact"/>
            </w:pPr>
            <w:r>
              <w:t xml:space="preserve">Ad hoc external users outside partner organizations</w:t>
            </w:r>
          </w:p>
        </w:tc>
        <w:tc>
          <w:tcPr/>
          <w:p>
            <w:pPr>
              <w:pStyle w:val="Compact"/>
            </w:pPr>
            <w:r>
              <w:t xml:space="preserve">User type Guest, other tenants or identity providers</w:t>
            </w:r>
          </w:p>
        </w:tc>
        <w:tc>
          <w:tcPr/>
          <w:p>
            <w:pPr>
              <w:pStyle w:val="Compact"/>
            </w:pPr>
            <w:r>
              <w:t xml:space="preserve">High</w:t>
            </w:r>
          </w:p>
        </w:tc>
      </w:tr>
      <w:tr>
        <w:tc>
          <w:tcPr/>
          <w:p>
            <w:pPr>
              <w:pStyle w:val="Compact"/>
            </w:pPr>
            <w:r>
              <w:t xml:space="preserve">Service accounts</w:t>
            </w:r>
          </w:p>
        </w:tc>
        <w:tc>
          <w:tcPr/>
          <w:p>
            <w:pPr>
              <w:pStyle w:val="Compact"/>
            </w:pPr>
            <w:r>
              <w:t xml:space="preserve">Workload identities (single-tenant service principals)</w:t>
            </w:r>
          </w:p>
        </w:tc>
        <w:tc>
          <w:tcPr/>
          <w:p>
            <w:pPr>
              <w:pStyle w:val="Compact"/>
            </w:pPr>
            <w:r>
              <w:t xml:space="preserve">Workload identity assignment</w:t>
            </w:r>
          </w:p>
        </w:tc>
        <w:tc>
          <w:tcPr/>
          <w:p>
            <w:pPr>
              <w:pStyle w:val="Compact"/>
            </w:pPr>
            <w:r>
              <w:t xml:space="preserve">Variable</w:t>
            </w:r>
          </w:p>
        </w:tc>
      </w:tr>
      <w:tr>
        <w:tc>
          <w:tcPr/>
          <w:p>
            <w:pPr>
              <w:pStyle w:val="Compact"/>
            </w:pPr>
            <w:r>
              <w:t xml:space="preserve">Break-glass</w:t>
            </w:r>
          </w:p>
        </w:tc>
        <w:tc>
          <w:tcPr/>
          <w:p>
            <w:pPr>
              <w:pStyle w:val="Compact"/>
            </w:pPr>
            <w:r>
              <w:t xml:space="preserve">Emergency access accounts</w:t>
            </w:r>
          </w:p>
        </w:tc>
        <w:tc>
          <w:tcPr/>
          <w:p>
            <w:pPr>
              <w:pStyle w:val="Compact"/>
            </w:pPr>
            <w:r>
              <w:t xml:space="preserve">Dedicated exclusion group</w:t>
            </w:r>
          </w:p>
        </w:tc>
        <w:tc>
          <w:tcPr/>
          <w:p>
            <w:pPr>
              <w:pStyle w:val="Compact"/>
            </w:pPr>
            <w:r>
              <w:t xml:space="preserve">Excluded from restrictive policies</w:t>
            </w:r>
          </w:p>
        </w:tc>
      </w:tr>
    </w:tbl>
    <w:p>
      <w:pPr>
        <w:pStyle w:val="BodyText"/>
      </w:pPr>
      <w:r>
        <w:t xml:space="preserve">Target the Admins persona with a group rather than by directory role alone: Conditional Access role targeting supports built-in directory roles only, not AU-scoped or custom roles.</w:t>
      </w:r>
      <w:r>
        <w:rPr>
          <w:rStyle w:val="FootnoteReference"/>
        </w:rPr>
        <w:footnoteReference w:id="937"/>
      </w:r>
    </w:p>
    <w:bookmarkEnd w:id="938"/>
    <w:bookmarkStart w:id="941" w:name="named-locations"/>
    <w:p>
      <w:pPr>
        <w:pStyle w:val="Heading3"/>
      </w:pPr>
      <w:r>
        <w:t xml:space="preserve">Named locations</w:t>
      </w:r>
    </w:p>
    <w:p>
      <w:pPr>
        <w:pStyle w:val="Compact"/>
        <w:numPr>
          <w:ilvl w:val="0"/>
          <w:numId w:val="1071"/>
        </w:numPr>
      </w:pPr>
      <w:r>
        <w:rPr>
          <w:b/>
          <w:bCs/>
        </w:rPr>
        <w:t xml:space="preserve">Trusted networks.</w:t>
      </w:r>
      <w:r>
        <w:t xml:space="preserve"> </w:t>
      </w:r>
      <w:r>
        <w:t xml:space="preserve">IP ranges for offices, VPN egress points, and trusted proxies.</w:t>
      </w:r>
    </w:p>
    <w:p>
      <w:pPr>
        <w:pStyle w:val="Compact"/>
        <w:numPr>
          <w:ilvl w:val="0"/>
          <w:numId w:val="1071"/>
        </w:numPr>
      </w:pPr>
      <w:r>
        <w:rPr>
          <w:b/>
          <w:bCs/>
        </w:rPr>
        <w:t xml:space="preserve">Trusted countries.</w:t>
      </w:r>
      <w:r>
        <w:t xml:space="preserve"> </w:t>
      </w:r>
      <w:r>
        <w:t xml:space="preserve">The United States, with others added only with documented justification.</w:t>
      </w:r>
    </w:p>
    <w:p>
      <w:pPr>
        <w:pStyle w:val="Compact"/>
        <w:numPr>
          <w:ilvl w:val="0"/>
          <w:numId w:val="1071"/>
        </w:numPr>
      </w:pPr>
      <w:r>
        <w:rPr>
          <w:b/>
          <w:bCs/>
        </w:rPr>
        <w:t xml:space="preserve">Location policy.</w:t>
      </w:r>
      <w:r>
        <w:t xml:space="preserve"> </w:t>
      </w:r>
      <w:r>
        <w:t xml:space="preserve">Block sign-ins from outside the United States for all personas except approved travel exceptions. This is a program policy choice, not a property of GCC itself. GCC provides U.S. data residency,</w:t>
      </w:r>
      <w:r>
        <w:rPr>
          <w:rStyle w:val="FootnoteReference"/>
        </w:rPr>
        <w:footnoteReference w:id="939"/>
      </w:r>
      <w:r>
        <w:t xml:space="preserve"> </w:t>
      </w:r>
      <w:r>
        <w:t xml:space="preserve">but users can sign in from anywhere unless policy blocks it.</w:t>
      </w:r>
    </w:p>
    <w:bookmarkEnd w:id="941"/>
    <w:bookmarkStart w:id="946" w:name="authentication-strengths"/>
    <w:p>
      <w:pPr>
        <w:pStyle w:val="Heading3"/>
      </w:pPr>
      <w:r>
        <w:t xml:space="preserve">Authentication strengths</w:t>
      </w:r>
    </w:p>
    <w:p>
      <w:pPr>
        <w:pStyle w:val="FirstParagraph"/>
      </w:pPr>
      <w:r>
        <w:t xml:space="preserve">Authentication strengths name the method combinations a policy accepts. Entra ID has three built-in strengths:</w:t>
      </w:r>
      <w:r>
        <w:rPr>
          <w:rStyle w:val="FootnoteReference"/>
        </w:rPr>
        <w:footnoteReference w:id="942"/>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Strength</w:t>
            </w:r>
          </w:p>
        </w:tc>
        <w:tc>
          <w:tcPr/>
          <w:p>
            <w:pPr>
              <w:pStyle w:val="Compact"/>
            </w:pPr>
            <w:r>
              <w:t xml:space="preserve">Accepted methods (summary)</w:t>
            </w:r>
          </w:p>
        </w:tc>
        <w:tc>
          <w:tcPr/>
          <w:p>
            <w:pPr>
              <w:pStyle w:val="Compact"/>
            </w:pPr>
            <w:r>
              <w:t xml:space="preserve">Program target</w:t>
            </w:r>
          </w:p>
        </w:tc>
      </w:tr>
      <w:tr>
        <w:tc>
          <w:tcPr/>
          <w:p>
            <w:pPr>
              <w:pStyle w:val="Compact"/>
            </w:pPr>
            <w:r>
              <w:t xml:space="preserve">Phishing-resistant MFA</w:t>
            </w:r>
          </w:p>
        </w:tc>
        <w:tc>
          <w:tcPr/>
          <w:p>
            <w:pPr>
              <w:pStyle w:val="Compact"/>
            </w:pPr>
            <w:r>
              <w:t xml:space="preserve">Windows Hello for Business or platform credential; FIDO2 security key (passkey); certificate-based authentication (multifactor)</w:t>
            </w:r>
          </w:p>
        </w:tc>
        <w:tc>
          <w:tcPr/>
          <w:p>
            <w:pPr>
              <w:pStyle w:val="Compact"/>
            </w:pPr>
            <w:r>
              <w:t xml:space="preserve">Admins; high-risk sign-ins; all users as the end state</w:t>
            </w:r>
          </w:p>
        </w:tc>
      </w:tr>
      <w:tr>
        <w:tc>
          <w:tcPr/>
          <w:p>
            <w:pPr>
              <w:pStyle w:val="Compact"/>
            </w:pPr>
            <w:r>
              <w:t xml:space="preserve">Passwordless MFA</w:t>
            </w:r>
          </w:p>
        </w:tc>
        <w:tc>
          <w:tcPr/>
          <w:p>
            <w:pPr>
              <w:pStyle w:val="Compact"/>
            </w:pPr>
            <w:r>
              <w:t xml:space="preserve">The phishing-resistant methods, plus Microsoft Authenticator phone sign-in</w:t>
            </w:r>
          </w:p>
        </w:tc>
        <w:tc>
          <w:tcPr/>
          <w:p>
            <w:pPr>
              <w:pStyle w:val="Compact"/>
            </w:pPr>
            <w:r>
              <w:t xml:space="preserve">Interim step for users moving off passwords</w:t>
            </w:r>
          </w:p>
        </w:tc>
      </w:tr>
      <w:tr>
        <w:tc>
          <w:tcPr/>
          <w:p>
            <w:pPr>
              <w:pStyle w:val="Compact"/>
            </w:pPr>
            <w:r>
              <w:t xml:space="preserve">Multifactor authentication</w:t>
            </w:r>
          </w:p>
        </w:tc>
        <w:tc>
          <w:tcPr/>
          <w:p>
            <w:pPr>
              <w:pStyle w:val="Compact"/>
            </w:pPr>
            <w:r>
              <w:t xml:space="preserve">All of the above, plus password with a second factor, Temporary Access Pass, and federated MFA</w:t>
            </w:r>
          </w:p>
        </w:tc>
        <w:tc>
          <w:tcPr/>
          <w:p>
            <w:pPr>
              <w:pStyle w:val="Compact"/>
            </w:pPr>
            <w:r>
              <w:t xml:space="preserve">Internals and Externals during transition only</w:t>
            </w:r>
          </w:p>
        </w:tc>
      </w:tr>
    </w:tbl>
    <w:p>
      <w:pPr>
        <w:pStyle w:val="BodyText"/>
      </w:pPr>
      <w:r>
        <w:t xml:space="preserve">Microsoft Authenticator push and phone sign-in aren’t phishing-resistant on their own; Microsoft’s M-22-09 guidance pairs Authenticator with managed-device policies to block external phishing.</w:t>
      </w:r>
      <w:r>
        <w:rPr>
          <w:rStyle w:val="FootnoteReference"/>
        </w:rPr>
        <w:footnoteReference w:id="944"/>
      </w:r>
      <w:r>
        <w:t xml:space="preserve"> </w:t>
      </w:r>
      <w:r>
        <w:t xml:space="preserve">Passkeys held in Microsoft Authenticator are device-bound passkeys and count as FIDO2 methods. Custom strengths can narrow a policy further, for example to specific FIDO2 key models by AAGUID. You can’t use</w:t>
      </w:r>
      <w:r>
        <w:t xml:space="preserve"> </w:t>
      </w:r>
      <w:r>
        <w:t xml:space="preserve">“require multifactor authentication”</w:t>
      </w:r>
      <w:r>
        <w:t xml:space="preserve"> </w:t>
      </w:r>
      <w:r>
        <w:t xml:space="preserve">and</w:t>
      </w:r>
      <w:r>
        <w:t xml:space="preserve"> </w:t>
      </w:r>
      <w:r>
        <w:t xml:space="preserve">“require authentication strength”</w:t>
      </w:r>
      <w:r>
        <w:t xml:space="preserve"> </w:t>
      </w:r>
      <w:r>
        <w:t xml:space="preserve">in the same policy.</w:t>
      </w:r>
      <w:r>
        <w:rPr>
          <w:rStyle w:val="FootnoteReference"/>
        </w:rPr>
        <w:footnoteReference w:id="945"/>
      </w:r>
    </w:p>
    <w:bookmarkEnd w:id="946"/>
    <w:bookmarkStart w:id="947" w:name="the-policy-set"/>
    <w:p>
      <w:pPr>
        <w:pStyle w:val="Heading3"/>
      </w:pPr>
      <w:r>
        <w:t xml:space="preserve">The policy set</w:t>
      </w:r>
    </w:p>
    <w:p>
      <w:pPr>
        <w:pStyle w:val="FirstParagraph"/>
      </w:pPr>
      <w:r>
        <w:t xml:space="preserve">The program’s baseline policies. Every policy excludes the break-glass group from policies that block or restrict sign-in;</w:t>
      </w:r>
      <w:r>
        <w:t xml:space="preserve"> </w:t>
      </w:r>
      <w:r>
        <w:t xml:space="preserve">“All users”</w:t>
      </w:r>
      <w:r>
        <w:t xml:space="preserve"> </w:t>
      </w:r>
      <w:r>
        <w:t xml:space="preserve">means all users minus that group.</w:t>
      </w:r>
    </w:p>
    <w:bookmarkEnd w:id="947"/>
    <w:bookmarkEnd w:id="948"/>
    <w:bookmarkStart w:id="949" w:name="the-full-library-is-in-book-04"/>
    <w:p>
      <w:pPr>
        <w:pStyle w:val="Heading2"/>
      </w:pPr>
      <w:bookmarkStart w:id="1473" w:name="_Toc00001473"/>
      <w:r>
        <w:t xml:space="preserve">The full library is in Book 04</w:t>
      </w:r>
      <w:bookmarkEnd w:id="1473"/>
    </w:p>
    <w:p>
      <w:pPr>
        <w:pStyle w:val="FirstParagraph"/>
      </w:pPr>
      <w:r>
        <w:t xml:space="preserve">Book 04, Chapter 07 is the program’s authoritative Conditional Access library. It keeps these identifiers, adds CA018–CA038 for the CISA BOD 25-01 Entra ID baseline, and revises three policies here: privileged-access-workstation enforcement moves from CA004’s device filter to its own block policy, CA025, because a grant policy scoped by a device filter simply doesn’t apply on other devices; CA013 takes a block form in BOD 25-01 tenants; and CA017 requires an app protection policy only, because Microsoft made the</w:t>
      </w:r>
      <w:r>
        <w:t xml:space="preserve"> </w:t>
      </w:r>
      <w:r>
        <w:t xml:space="preserve">“approved client app”</w:t>
      </w:r>
      <w:r>
        <w:t xml:space="preserve"> </w:t>
      </w:r>
      <w:r>
        <w:t xml:space="preserve">grant read-only on June 30, 2026.</w:t>
      </w:r>
    </w:p>
    <w:bookmarkEnd w:id="949"/>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Policy</w:t>
            </w:r>
          </w:p>
        </w:tc>
        <w:tc>
          <w:tcPr/>
          <w:p>
            <w:pPr>
              <w:pStyle w:val="Compact"/>
            </w:pPr>
            <w:r>
              <w:t xml:space="preserve">Persona</w:t>
            </w:r>
          </w:p>
        </w:tc>
        <w:tc>
          <w:tcPr/>
          <w:p>
            <w:pPr>
              <w:pStyle w:val="Compact"/>
            </w:pPr>
            <w:r>
              <w:t xml:space="preserve">Conditions</w:t>
            </w:r>
          </w:p>
        </w:tc>
        <w:tc>
          <w:tcPr/>
          <w:p>
            <w:pPr>
              <w:pStyle w:val="Compact"/>
            </w:pPr>
            <w:r>
              <w:t xml:space="preserve">Grant controls</w:t>
            </w:r>
          </w:p>
        </w:tc>
        <w:tc>
          <w:tcPr/>
          <w:p>
            <w:pPr>
              <w:pStyle w:val="Compact"/>
            </w:pPr>
            <w:r>
              <w:t xml:space="preserve">Session controls</w:t>
            </w:r>
          </w:p>
        </w:tc>
      </w:tr>
      <w:tr>
        <w:tc>
          <w:tcPr/>
          <w:p>
            <w:pPr>
              <w:pStyle w:val="Compact"/>
            </w:pPr>
            <w:r>
              <w:t xml:space="preserve">CA001-AllUsers-BlockLegacyAuth</w:t>
            </w:r>
          </w:p>
        </w:tc>
        <w:tc>
          <w:tcPr/>
          <w:p>
            <w:pPr>
              <w:pStyle w:val="Compact"/>
            </w:pPr>
            <w:r>
              <w:t xml:space="preserve">All users</w:t>
            </w:r>
          </w:p>
        </w:tc>
        <w:tc>
          <w:tcPr/>
          <w:p>
            <w:pPr>
              <w:pStyle w:val="Compact"/>
            </w:pPr>
            <w:r>
              <w:t xml:space="preserve">Client apps: Exchange ActiveSync, other clients</w:t>
            </w:r>
          </w:p>
        </w:tc>
        <w:tc>
          <w:tcPr/>
          <w:p>
            <w:pPr>
              <w:pStyle w:val="Compact"/>
            </w:pPr>
            <w:r>
              <w:t xml:space="preserve">Block</w:t>
            </w:r>
          </w:p>
        </w:tc>
        <w:tc>
          <w:tcPr/>
          <w:p>
            <w:pPr>
              <w:pStyle w:val="Compact"/>
            </w:pPr>
            <w:r>
              <w:t xml:space="preserve">—</w:t>
            </w:r>
          </w:p>
        </w:tc>
      </w:tr>
      <w:tr>
        <w:tc>
          <w:tcPr/>
          <w:p>
            <w:pPr>
              <w:pStyle w:val="Compact"/>
            </w:pPr>
            <w:r>
              <w:t xml:space="preserve">CA003-Admins-RequirePhishResistantMFA</w:t>
            </w:r>
          </w:p>
        </w:tc>
        <w:tc>
          <w:tcPr/>
          <w:p>
            <w:pPr>
              <w:pStyle w:val="Compact"/>
            </w:pPr>
            <w:r>
              <w:t xml:space="preserve">Admins</w:t>
            </w:r>
          </w:p>
        </w:tc>
        <w:tc>
          <w:tcPr/>
          <w:p>
            <w:pPr>
              <w:pStyle w:val="Compact"/>
            </w:pPr>
            <w:r>
              <w:t xml:space="preserve">All resources, any location</w:t>
            </w:r>
          </w:p>
        </w:tc>
        <w:tc>
          <w:tcPr/>
          <w:p>
            <w:pPr>
              <w:pStyle w:val="Compact"/>
            </w:pPr>
            <w:r>
              <w:t xml:space="preserve">Authentication strength: phishing-resistant MFA</w:t>
            </w:r>
          </w:p>
        </w:tc>
        <w:tc>
          <w:tcPr/>
          <w:p>
            <w:pPr>
              <w:pStyle w:val="Compact"/>
            </w:pPr>
            <w:r>
              <w:t xml:space="preserve">Sign-in frequency: 4 hours</w:t>
            </w:r>
          </w:p>
        </w:tc>
      </w:tr>
      <w:tr>
        <w:tc>
          <w:tcPr/>
          <w:p>
            <w:pPr>
              <w:pStyle w:val="Compact"/>
            </w:pPr>
            <w:r>
              <w:t xml:space="preserve">CA004-Admins-RequireCompliantDevice</w:t>
            </w:r>
          </w:p>
        </w:tc>
        <w:tc>
          <w:tcPr/>
          <w:p>
            <w:pPr>
              <w:pStyle w:val="Compact"/>
            </w:pPr>
            <w:r>
              <w:t xml:space="preserve">Admins</w:t>
            </w:r>
          </w:p>
        </w:tc>
        <w:tc>
          <w:tcPr/>
          <w:p>
            <w:pPr>
              <w:pStyle w:val="Compact"/>
            </w:pPr>
            <w:r>
              <w:t xml:space="preserve">All resources</w:t>
            </w:r>
          </w:p>
        </w:tc>
        <w:tc>
          <w:tcPr/>
          <w:p>
            <w:pPr>
              <w:pStyle w:val="Compact"/>
            </w:pPr>
            <w:r>
              <w:t xml:space="preserve">Require compliant device (a privileged access workstation; see Chapter 10)</w:t>
            </w:r>
          </w:p>
        </w:tc>
        <w:tc>
          <w:tcPr/>
          <w:p>
            <w:pPr>
              <w:pStyle w:val="Compact"/>
            </w:pPr>
            <w:r>
              <w:t xml:space="preserve">Persistent browser: never</w:t>
            </w:r>
          </w:p>
        </w:tc>
      </w:tr>
      <w:tr>
        <w:tc>
          <w:tcPr/>
          <w:p>
            <w:pPr>
              <w:pStyle w:val="Compact"/>
            </w:pPr>
            <w:r>
              <w:t xml:space="preserve">CA005-Admins-BlockUntrustedLocations</w:t>
            </w:r>
          </w:p>
        </w:tc>
        <w:tc>
          <w:tcPr/>
          <w:p>
            <w:pPr>
              <w:pStyle w:val="Compact"/>
            </w:pPr>
            <w:r>
              <w:t xml:space="preserve">Admins</w:t>
            </w:r>
          </w:p>
        </w:tc>
        <w:tc>
          <w:tcPr/>
          <w:p>
            <w:pPr>
              <w:pStyle w:val="Compact"/>
            </w:pPr>
            <w:r>
              <w:t xml:space="preserve">All resources, outside trusted networks</w:t>
            </w:r>
          </w:p>
        </w:tc>
        <w:tc>
          <w:tcPr/>
          <w:p>
            <w:pPr>
              <w:pStyle w:val="Compact"/>
            </w:pPr>
            <w:r>
              <w:t xml:space="preserve">Block</w:t>
            </w:r>
          </w:p>
        </w:tc>
        <w:tc>
          <w:tcPr/>
          <w:p>
            <w:pPr>
              <w:pStyle w:val="Compact"/>
            </w:pPr>
            <w:r>
              <w:t xml:space="preserve">—</w:t>
            </w:r>
          </w:p>
        </w:tc>
      </w:tr>
      <w:tr>
        <w:tc>
          <w:tcPr/>
          <w:p>
            <w:pPr>
              <w:pStyle w:val="Compact"/>
            </w:pPr>
            <w:r>
              <w:t xml:space="preserve">CA006-Internals-RequireMFA</w:t>
            </w:r>
          </w:p>
        </w:tc>
        <w:tc>
          <w:tcPr/>
          <w:p>
            <w:pPr>
              <w:pStyle w:val="Compact"/>
            </w:pPr>
            <w:r>
              <w:t xml:space="preserve">Internals</w:t>
            </w:r>
          </w:p>
        </w:tc>
        <w:tc>
          <w:tcPr/>
          <w:p>
            <w:pPr>
              <w:pStyle w:val="Compact"/>
            </w:pPr>
            <w:r>
              <w:t xml:space="preserve">All resources</w:t>
            </w:r>
          </w:p>
        </w:tc>
        <w:tc>
          <w:tcPr/>
          <w:p>
            <w:pPr>
              <w:pStyle w:val="Compact"/>
            </w:pPr>
            <w:r>
              <w:t xml:space="preserve">Authentication strength: MFA (phishing-resistant as the end state)</w:t>
            </w:r>
          </w:p>
        </w:tc>
        <w:tc>
          <w:tcPr/>
          <w:p>
            <w:pPr>
              <w:pStyle w:val="Compact"/>
            </w:pPr>
            <w:r>
              <w:t xml:space="preserve">Sign-in frequency: 12 hours</w:t>
            </w:r>
          </w:p>
        </w:tc>
      </w:tr>
      <w:tr>
        <w:tc>
          <w:tcPr/>
          <w:p>
            <w:pPr>
              <w:pStyle w:val="Compact"/>
            </w:pPr>
            <w:r>
              <w:t xml:space="preserve">CA007-Internals-RequireCompliantOrHybridDevice</w:t>
            </w:r>
          </w:p>
        </w:tc>
        <w:tc>
          <w:tcPr/>
          <w:p>
            <w:pPr>
              <w:pStyle w:val="Compact"/>
            </w:pPr>
            <w:r>
              <w:t xml:space="preserve">Internals</w:t>
            </w:r>
          </w:p>
        </w:tc>
        <w:tc>
          <w:tcPr/>
          <w:p>
            <w:pPr>
              <w:pStyle w:val="Compact"/>
            </w:pPr>
            <w:r>
              <w:t xml:space="preserve">All resources</w:t>
            </w:r>
          </w:p>
        </w:tc>
        <w:tc>
          <w:tcPr/>
          <w:p>
            <w:pPr>
              <w:pStyle w:val="Compact"/>
            </w:pPr>
            <w:r>
              <w:t xml:space="preserve">Compliant device or hybrid joined device</w:t>
            </w:r>
          </w:p>
        </w:tc>
        <w:tc>
          <w:tcPr/>
          <w:p>
            <w:pPr>
              <w:pStyle w:val="Compact"/>
            </w:pPr>
            <w:r>
              <w:t xml:space="preserve">—</w:t>
            </w:r>
          </w:p>
        </w:tc>
      </w:tr>
      <w:tr>
        <w:tc>
          <w:tcPr/>
          <w:p>
            <w:pPr>
              <w:pStyle w:val="Compact"/>
            </w:pPr>
            <w:r>
              <w:t xml:space="preserve">CA008-Internals-BlockNonUSLocations</w:t>
            </w:r>
          </w:p>
        </w:tc>
        <w:tc>
          <w:tcPr/>
          <w:p>
            <w:pPr>
              <w:pStyle w:val="Compact"/>
            </w:pPr>
            <w:r>
              <w:t xml:space="preserve">Internals</w:t>
            </w:r>
          </w:p>
        </w:tc>
        <w:tc>
          <w:tcPr/>
          <w:p>
            <w:pPr>
              <w:pStyle w:val="Compact"/>
            </w:pPr>
            <w:r>
              <w:t xml:space="preserve">All resources, outside trusted countries</w:t>
            </w:r>
          </w:p>
        </w:tc>
        <w:tc>
          <w:tcPr/>
          <w:p>
            <w:pPr>
              <w:pStyle w:val="Compact"/>
            </w:pPr>
            <w:r>
              <w:t xml:space="preserve">Block</w:t>
            </w:r>
          </w:p>
        </w:tc>
        <w:tc>
          <w:tcPr/>
          <w:p>
            <w:pPr>
              <w:pStyle w:val="Compact"/>
            </w:pPr>
            <w:r>
              <w:t xml:space="preserve">—</w:t>
            </w:r>
          </w:p>
        </w:tc>
      </w:tr>
      <w:tr>
        <w:tc>
          <w:tcPr/>
          <w:p>
            <w:pPr>
              <w:pStyle w:val="Compact"/>
            </w:pPr>
            <w:r>
              <w:t xml:space="preserve">CA009-Externals-RequireMFA</w:t>
            </w:r>
          </w:p>
        </w:tc>
        <w:tc>
          <w:tcPr/>
          <w:p>
            <w:pPr>
              <w:pStyle w:val="Compact"/>
            </w:pPr>
            <w:r>
              <w:t xml:space="preserve">Externals</w:t>
            </w:r>
          </w:p>
        </w:tc>
        <w:tc>
          <w:tcPr/>
          <w:p>
            <w:pPr>
              <w:pStyle w:val="Compact"/>
            </w:pPr>
            <w:r>
              <w:t xml:space="preserve">All resources</w:t>
            </w:r>
          </w:p>
        </w:tc>
        <w:tc>
          <w:tcPr/>
          <w:p>
            <w:pPr>
              <w:pStyle w:val="Compact"/>
            </w:pPr>
            <w:r>
              <w:t xml:space="preserve">Authentication strength: MFA</w:t>
            </w:r>
          </w:p>
        </w:tc>
        <w:tc>
          <w:tcPr/>
          <w:p>
            <w:pPr>
              <w:pStyle w:val="Compact"/>
            </w:pPr>
            <w:r>
              <w:t xml:space="preserve">Sign-in frequency: 8 hours</w:t>
            </w:r>
          </w:p>
        </w:tc>
      </w:tr>
      <w:tr>
        <w:tc>
          <w:tcPr/>
          <w:p>
            <w:pPr>
              <w:pStyle w:val="Compact"/>
            </w:pPr>
            <w:r>
              <w:t xml:space="preserve">CA010-Externals-RequireTermsOfUse</w:t>
            </w:r>
          </w:p>
        </w:tc>
        <w:tc>
          <w:tcPr/>
          <w:p>
            <w:pPr>
              <w:pStyle w:val="Compact"/>
            </w:pPr>
            <w:r>
              <w:t xml:space="preserve">Externals</w:t>
            </w:r>
          </w:p>
        </w:tc>
        <w:tc>
          <w:tcPr/>
          <w:p>
            <w:pPr>
              <w:pStyle w:val="Compact"/>
            </w:pPr>
            <w:r>
              <w:t xml:space="preserve">All resources</w:t>
            </w:r>
          </w:p>
        </w:tc>
        <w:tc>
          <w:tcPr/>
          <w:p>
            <w:pPr>
              <w:pStyle w:val="Compact"/>
            </w:pPr>
            <w:r>
              <w:t xml:space="preserve">Terms of use accepted</w:t>
            </w:r>
          </w:p>
        </w:tc>
        <w:tc>
          <w:tcPr/>
          <w:p>
            <w:pPr>
              <w:pStyle w:val="Compact"/>
            </w:pPr>
            <w:r>
              <w:t xml:space="preserve">—</w:t>
            </w:r>
          </w:p>
        </w:tc>
      </w:tr>
      <w:tr>
        <w:tc>
          <w:tcPr/>
          <w:p>
            <w:pPr>
              <w:pStyle w:val="Compact"/>
            </w:pPr>
            <w:r>
              <w:t xml:space="preserve">CA011-Guests-LimitedAppAccess</w:t>
            </w:r>
          </w:p>
        </w:tc>
        <w:tc>
          <w:tcPr/>
          <w:p>
            <w:pPr>
              <w:pStyle w:val="Compact"/>
            </w:pPr>
            <w:r>
              <w:t xml:space="preserve">Guests</w:t>
            </w:r>
          </w:p>
        </w:tc>
        <w:tc>
          <w:tcPr/>
          <w:p>
            <w:pPr>
              <w:pStyle w:val="Compact"/>
            </w:pPr>
            <w:r>
              <w:t xml:space="preserve">Selected apps only (SharePoint, Teams)</w:t>
            </w:r>
          </w:p>
        </w:tc>
        <w:tc>
          <w:tcPr/>
          <w:p>
            <w:pPr>
              <w:pStyle w:val="Compact"/>
            </w:pPr>
            <w:r>
              <w:t xml:space="preserve">MFA and terms of use</w:t>
            </w:r>
          </w:p>
        </w:tc>
        <w:tc>
          <w:tcPr/>
          <w:p>
            <w:pPr>
              <w:pStyle w:val="Compact"/>
            </w:pPr>
            <w:r>
              <w:t xml:space="preserve">App-enforced restrictions; sign-in frequency: 1 hour</w:t>
            </w:r>
          </w:p>
        </w:tc>
      </w:tr>
      <w:tr>
        <w:tc>
          <w:tcPr/>
          <w:p>
            <w:pPr>
              <w:pStyle w:val="Compact"/>
            </w:pPr>
            <w:r>
              <w:t xml:space="preserve">CA012-Guests-BlockHighRisk</w:t>
            </w:r>
          </w:p>
        </w:tc>
        <w:tc>
          <w:tcPr/>
          <w:p>
            <w:pPr>
              <w:pStyle w:val="Compact"/>
            </w:pPr>
            <w:r>
              <w:t xml:space="preserve">Guests</w:t>
            </w:r>
          </w:p>
        </w:tc>
        <w:tc>
          <w:tcPr/>
          <w:p>
            <w:pPr>
              <w:pStyle w:val="Compact"/>
            </w:pPr>
            <w:r>
              <w:t xml:space="preserve">Sign-in risk: high</w:t>
            </w:r>
          </w:p>
        </w:tc>
        <w:tc>
          <w:tcPr/>
          <w:p>
            <w:pPr>
              <w:pStyle w:val="Compact"/>
            </w:pPr>
            <w:r>
              <w:t xml:space="preserve">Block</w:t>
            </w:r>
          </w:p>
        </w:tc>
        <w:tc>
          <w:tcPr/>
          <w:p>
            <w:pPr>
              <w:pStyle w:val="Compact"/>
            </w:pPr>
            <w:r>
              <w:t xml:space="preserve">—</w:t>
            </w:r>
          </w:p>
        </w:tc>
      </w:tr>
      <w:tr>
        <w:tc>
          <w:tcPr/>
          <w:p>
            <w:pPr>
              <w:pStyle w:val="Compact"/>
            </w:pPr>
            <w:r>
              <w:t xml:space="preserve">CA013-AllUsers-HighUserRisk-RequireRemediation</w:t>
            </w:r>
          </w:p>
        </w:tc>
        <w:tc>
          <w:tcPr/>
          <w:p>
            <w:pPr>
              <w:pStyle w:val="Compact"/>
            </w:pPr>
            <w:r>
              <w:t xml:space="preserve">All users</w:t>
            </w:r>
          </w:p>
        </w:tc>
        <w:tc>
          <w:tcPr/>
          <w:p>
            <w:pPr>
              <w:pStyle w:val="Compact"/>
            </w:pPr>
            <w:r>
              <w:t xml:space="preserve">User risk: high</w:t>
            </w:r>
          </w:p>
        </w:tc>
        <w:tc>
          <w:tcPr/>
          <w:p>
            <w:pPr>
              <w:pStyle w:val="Compact"/>
            </w:pPr>
            <w:r>
              <w:t xml:space="preserve">Require risk remediation</w:t>
            </w:r>
          </w:p>
        </w:tc>
        <w:tc>
          <w:tcPr/>
          <w:p>
            <w:pPr>
              <w:pStyle w:val="Compact"/>
            </w:pPr>
            <w:r>
              <w:t xml:space="preserve">Sign-in frequency: every time (applied automatically)</w:t>
            </w:r>
          </w:p>
        </w:tc>
      </w:tr>
      <w:tr>
        <w:tc>
          <w:tcPr/>
          <w:p>
            <w:pPr>
              <w:pStyle w:val="Compact"/>
            </w:pPr>
            <w:r>
              <w:t xml:space="preserve">CA014-AllUsers-MediumSigninRisk-RequireMFA</w:t>
            </w:r>
          </w:p>
        </w:tc>
        <w:tc>
          <w:tcPr/>
          <w:p>
            <w:pPr>
              <w:pStyle w:val="Compact"/>
            </w:pPr>
            <w:r>
              <w:t xml:space="preserve">All users</w:t>
            </w:r>
          </w:p>
        </w:tc>
        <w:tc>
          <w:tcPr/>
          <w:p>
            <w:pPr>
              <w:pStyle w:val="Compact"/>
            </w:pPr>
            <w:r>
              <w:t xml:space="preserve">Sign-in risk: medium or high</w:t>
            </w:r>
          </w:p>
        </w:tc>
        <w:tc>
          <w:tcPr/>
          <w:p>
            <w:pPr>
              <w:pStyle w:val="Compact"/>
            </w:pPr>
            <w:r>
              <w:t xml:space="preserve">Authentication strength: MFA</w:t>
            </w:r>
          </w:p>
        </w:tc>
        <w:tc>
          <w:tcPr/>
          <w:p>
            <w:pPr>
              <w:pStyle w:val="Compact"/>
            </w:pPr>
            <w:r>
              <w:t xml:space="preserve">Sign-in frequency: every time</w:t>
            </w:r>
          </w:p>
        </w:tc>
      </w:tr>
      <w:tr>
        <w:tc>
          <w:tcPr/>
          <w:p>
            <w:pPr>
              <w:pStyle w:val="Compact"/>
            </w:pPr>
            <w:r>
              <w:t xml:space="preserve">CA015-ServiceAccounts-LocationRestriction</w:t>
            </w:r>
          </w:p>
        </w:tc>
        <w:tc>
          <w:tcPr/>
          <w:p>
            <w:pPr>
              <w:pStyle w:val="Compact"/>
            </w:pPr>
            <w:r>
              <w:t xml:space="preserve">Service accounts</w:t>
            </w:r>
          </w:p>
        </w:tc>
        <w:tc>
          <w:tcPr/>
          <w:p>
            <w:pPr>
              <w:pStyle w:val="Compact"/>
            </w:pPr>
            <w:r>
              <w:t xml:space="preserve">Workload identities, outside trusted networks</w:t>
            </w:r>
          </w:p>
        </w:tc>
        <w:tc>
          <w:tcPr/>
          <w:p>
            <w:pPr>
              <w:pStyle w:val="Compact"/>
            </w:pPr>
            <w:r>
              <w:t xml:space="preserve">Block</w:t>
            </w:r>
          </w:p>
        </w:tc>
        <w:tc>
          <w:tcPr/>
          <w:p>
            <w:pPr>
              <w:pStyle w:val="Compact"/>
            </w:pPr>
            <w:r>
              <w:t xml:space="preserve">—</w:t>
            </w:r>
          </w:p>
        </w:tc>
      </w:tr>
      <w:tr>
        <w:tc>
          <w:tcPr/>
          <w:p>
            <w:pPr>
              <w:pStyle w:val="Compact"/>
            </w:pPr>
            <w:r>
              <w:t xml:space="preserve">CA016-AllUsers-RequireCompliantDevice-OfficeApps</w:t>
            </w:r>
          </w:p>
        </w:tc>
        <w:tc>
          <w:tcPr/>
          <w:p>
            <w:pPr>
              <w:pStyle w:val="Compact"/>
            </w:pPr>
            <w:r>
              <w:t xml:space="preserve">All users</w:t>
            </w:r>
          </w:p>
        </w:tc>
        <w:tc>
          <w:tcPr/>
          <w:p>
            <w:pPr>
              <w:pStyle w:val="Compact"/>
            </w:pPr>
            <w:r>
              <w:t xml:space="preserve">Office 365 apps on Windows and macOS</w:t>
            </w:r>
          </w:p>
        </w:tc>
        <w:tc>
          <w:tcPr/>
          <w:p>
            <w:pPr>
              <w:pStyle w:val="Compact"/>
            </w:pPr>
            <w:r>
              <w:t xml:space="preserve">Require compliant device</w:t>
            </w:r>
          </w:p>
        </w:tc>
        <w:tc>
          <w:tcPr/>
          <w:p>
            <w:pPr>
              <w:pStyle w:val="Compact"/>
            </w:pPr>
            <w:r>
              <w:t xml:space="preserve">—</w:t>
            </w:r>
          </w:p>
        </w:tc>
      </w:tr>
      <w:tr>
        <w:tc>
          <w:tcPr/>
          <w:p>
            <w:pPr>
              <w:pStyle w:val="Compact"/>
            </w:pPr>
            <w:r>
              <w:t xml:space="preserve">CA017-Internals-AppProtection-Mobile</w:t>
            </w:r>
          </w:p>
        </w:tc>
        <w:tc>
          <w:tcPr/>
          <w:p>
            <w:pPr>
              <w:pStyle w:val="Compact"/>
            </w:pPr>
            <w:r>
              <w:t xml:space="preserve">Internals</w:t>
            </w:r>
          </w:p>
        </w:tc>
        <w:tc>
          <w:tcPr/>
          <w:p>
            <w:pPr>
              <w:pStyle w:val="Compact"/>
            </w:pPr>
            <w:r>
              <w:t xml:space="preserve">Office 365 apps on iOS and Android</w:t>
            </w:r>
          </w:p>
        </w:tc>
        <w:tc>
          <w:tcPr/>
          <w:p>
            <w:pPr>
              <w:pStyle w:val="Compact"/>
            </w:pPr>
            <w:r>
              <w:t xml:space="preserve">Require app protection policy</w:t>
            </w:r>
          </w:p>
        </w:tc>
        <w:tc>
          <w:tcPr/>
          <w:p>
            <w:pPr>
              <w:pStyle w:val="Compact"/>
            </w:pPr>
            <w:r>
              <w:t xml:space="preserve">—</w:t>
            </w:r>
          </w:p>
        </w:tc>
      </w:tr>
    </w:tbl>
    <w:p>
      <w:pPr>
        <w:pStyle w:val="BodyText"/>
      </w:pPr>
      <w:r>
        <w:t xml:space="preserve">Three changes from the earlier version of this set reflect current Microsoft guidance:</w:t>
      </w:r>
    </w:p>
    <w:p>
      <w:pPr>
        <w:pStyle w:val="Compact"/>
        <w:numPr>
          <w:ilvl w:val="0"/>
          <w:numId w:val="1072"/>
        </w:numPr>
      </w:pPr>
      <w:r>
        <w:rPr>
          <w:b/>
          <w:bCs/>
        </w:rPr>
        <w:t xml:space="preserve">CA002 is gone.</w:t>
      </w:r>
      <w:r>
        <w:t xml:space="preserve"> </w:t>
      </w:r>
      <w:r>
        <w:t xml:space="preserve">The earlier set had a</w:t>
      </w:r>
      <w:r>
        <w:t xml:space="preserve"> </w:t>
      </w:r>
      <w:r>
        <w:t xml:space="preserve">“break-glass, grant with no controls”</w:t>
      </w:r>
      <w:r>
        <w:t xml:space="preserve"> </w:t>
      </w:r>
      <w:r>
        <w:t xml:space="preserve">policy. A Conditional Access policy can’t create an exemption; the exemption is the exclusion on every other policy. The number is retired so the others keep their identifiers.</w:t>
      </w:r>
    </w:p>
    <w:p>
      <w:pPr>
        <w:pStyle w:val="Compact"/>
        <w:numPr>
          <w:ilvl w:val="0"/>
          <w:numId w:val="1072"/>
        </w:numPr>
      </w:pPr>
      <w:r>
        <w:rPr>
          <w:b/>
          <w:bCs/>
        </w:rPr>
        <w:t xml:space="preserve">CA013 uses risk remediation.</w:t>
      </w:r>
      <w:r>
        <w:t xml:space="preserve"> </w:t>
      </w:r>
      <w:r>
        <w:t xml:space="preserve">Microsoft now recommends</w:t>
      </w:r>
      <w:r>
        <w:t xml:space="preserve"> </w:t>
      </w:r>
      <w:r>
        <w:t xml:space="preserve">“require risk remediation”</w:t>
      </w:r>
      <w:r>
        <w:t xml:space="preserve"> </w:t>
      </w:r>
      <w:r>
        <w:t xml:space="preserve">for high user risk. It handles both password and passwordless users, applies an authentication strength and sign-in frequency of every time automatically, and takes precedence over the older</w:t>
      </w:r>
      <w:r>
        <w:t xml:space="preserve"> </w:t>
      </w:r>
      <w:r>
        <w:t xml:space="preserve">“require password change”</w:t>
      </w:r>
      <w:r>
        <w:t xml:space="preserve"> </w:t>
      </w:r>
      <w:r>
        <w:t xml:space="preserve">control. It requires P2, and it isn’t supported for guests, so guests are handled by CA012.</w:t>
      </w:r>
      <w:r>
        <w:rPr>
          <w:rStyle w:val="FootnoteReference"/>
        </w:rPr>
        <w:footnoteReference w:id="950"/>
      </w:r>
    </w:p>
    <w:p>
      <w:pPr>
        <w:pStyle w:val="Compact"/>
        <w:numPr>
          <w:ilvl w:val="0"/>
          <w:numId w:val="1072"/>
        </w:numPr>
      </w:pPr>
      <w:r>
        <w:rPr>
          <w:b/>
          <w:bCs/>
        </w:rPr>
        <w:t xml:space="preserve">CA012 targets sign-in risk.</w:t>
      </w:r>
      <w:r>
        <w:t xml:space="preserve"> </w:t>
      </w:r>
      <w:r>
        <w:t xml:space="preserve">The earlier version targeted user risk for guests. Risk remediation isn’t supported for external and guest users, because Entra ID can’t revoke their sessions,</w:t>
      </w:r>
      <w:r>
        <w:rPr>
          <w:rStyle w:val="FootnoteReference"/>
        </w:rPr>
        <w:footnoteReference w:id="952"/>
      </w:r>
      <w:r>
        <w:t xml:space="preserve"> </w:t>
      </w:r>
      <w:r>
        <w:t xml:space="preserve">so the program blocks risky guest sign-ins instead.</w:t>
      </w:r>
    </w:p>
    <w:p>
      <w:pPr>
        <w:pStyle w:val="FirstParagraph"/>
      </w:pPr>
      <w:r>
        <w:t xml:space="preserve">Leaked-credential detection itself is available without P2, but its full reporting and the risk-based policies above require P2, and the detection needs PHS.</w:t>
      </w:r>
      <w:r>
        <w:rPr>
          <w:rStyle w:val="FootnoteReference"/>
        </w:rPr>
        <w:footnoteReference w:id="953"/>
      </w:r>
      <w:r>
        <w:rPr>
          <w:rStyle w:val="FootnoteReference"/>
        </w:rPr>
        <w:footnoteReference w:id="955"/>
      </w:r>
    </w:p>
    <w:bookmarkStart w:id="956" w:name="testing-and-rollout"/>
    <w:p>
      <w:pPr>
        <w:pStyle w:val="Heading3"/>
      </w:pPr>
      <w:r>
        <w:t xml:space="preserve">Testing and rollout</w:t>
      </w:r>
    </w:p>
    <w:p>
      <w:pPr>
        <w:pStyle w:val="FirstParagraph"/>
      </w:pPr>
      <w:r>
        <w:t xml:space="preserve">Conditional Access deployment follows three stages:</w:t>
      </w:r>
    </w:p>
    <w:p>
      <w:pPr>
        <w:pStyle w:val="Compact"/>
        <w:numPr>
          <w:ilvl w:val="0"/>
          <w:numId w:val="1073"/>
        </w:numPr>
      </w:pPr>
      <w:r>
        <w:rPr>
          <w:b/>
          <w:bCs/>
        </w:rPr>
        <w:t xml:space="preserve">Report-only (2 to 4 weeks).</w:t>
      </w:r>
      <w:r>
        <w:t xml:space="preserve"> </w:t>
      </w:r>
      <w:r>
        <w:t xml:space="preserve">Deploy every policy in report-only mode. Use the Conditional Access insights workbook to find the users and sign-ins each policy would affect, and fix false positives, such as users without MFA registration or non-compliant devices.</w:t>
      </w:r>
    </w:p>
    <w:p>
      <w:pPr>
        <w:pStyle w:val="Compact"/>
        <w:numPr>
          <w:ilvl w:val="0"/>
          <w:numId w:val="1073"/>
        </w:numPr>
      </w:pPr>
      <w:r>
        <w:rPr>
          <w:b/>
          <w:bCs/>
        </w:rPr>
        <w:t xml:space="preserve">Targeted pilot (2 weeks).</w:t>
      </w:r>
      <w:r>
        <w:t xml:space="preserve"> </w:t>
      </w:r>
      <w:r>
        <w:t xml:space="preserve">Turn policies on for a pilot group, such as the IT department. Watch help desk volume and sign-in failure rates, and adjust conditions.</w:t>
      </w:r>
    </w:p>
    <w:p>
      <w:pPr>
        <w:pStyle w:val="Compact"/>
        <w:numPr>
          <w:ilvl w:val="0"/>
          <w:numId w:val="1073"/>
        </w:numPr>
      </w:pPr>
      <w:r>
        <w:rPr>
          <w:b/>
          <w:bCs/>
        </w:rPr>
        <w:t xml:space="preserve">Phased rollout (4 to 8 weeks).</w:t>
      </w:r>
      <w:r>
        <w:t xml:space="preserve"> </w:t>
      </w:r>
      <w:r>
        <w:t xml:space="preserve">Expand in waves: IT and security teams, then corporate staff, then field and remote workers, then everyone. Each wave runs one to two weeks behind a monitoring gate.</w:t>
      </w:r>
    </w:p>
    <w:bookmarkEnd w:id="956"/>
    <w:bookmarkStart w:id="957" w:name="Xd4cf9c1d77cf16d59dfeaa92ec92dacfd3279fa"/>
    <w:p>
      <w:pPr>
        <w:pStyle w:val="Heading2"/>
      </w:pPr>
      <w:bookmarkStart w:id="1474" w:name="_Toc00001474"/>
      <w:r>
        <w:t xml:space="preserve">Never enforce untested policies on all users</w:t>
      </w:r>
      <w:bookmarkEnd w:id="1474"/>
    </w:p>
    <w:p>
      <w:pPr>
        <w:pStyle w:val="FirstParagraph"/>
      </w:pPr>
      <w:r>
        <w:t xml:space="preserve">Never switch a policy that targets all users from off straight to on. A misconfigured policy can lock out the whole organization, administrators included. Before enforcing any policy, confirm the break-glass exclusion group is excluded, and confirm both emergency accounts can still sign in.</w:t>
      </w:r>
    </w:p>
    <w:bookmarkEnd w:id="957"/>
    <w:bookmarkStart w:id="958" w:name="continue-the-book-8"/>
    <w:p>
      <w:pPr>
        <w:pStyle w:val="Heading2"/>
      </w:pPr>
      <w:bookmarkStart w:id="1475" w:name="_Toc00001475"/>
      <w:r>
        <w:t xml:space="preserve">Continue the book</w:t>
      </w:r>
      <w:bookmarkEnd w:id="1475"/>
    </w:p>
    <w:p>
      <w:pPr>
        <w:pStyle w:val="FirstParagraph"/>
      </w:pPr>
      <w:r>
        <w:t xml:space="preserve">← Previous: Chapter 08 — Assessing the Forest · Book index · Next: Chapter 10 — Migrating and Governing →</w:t>
      </w:r>
    </w:p>
    <w:bookmarkEnd w:id="958"/>
    <w:bookmarkEnd w:id="959"/>
    <w:bookmarkStart w:id="1127" w:name="chapter-10-migrating-and-governing"/>
    <w:p>
      <w:pPr>
        <w:pStyle w:val="Heading1"/>
      </w:pPr>
      <w:bookmarkStart w:id="1476" w:name="_Toc00001476"/>
      <w:r>
        <w:t xml:space="preserve">Chapter 10 — Migrating and Governing</w:t>
      </w:r>
      <w:bookmarkEnd w:id="1476"/>
    </w:p>
    <w:p>
      <w:pPr>
        <w:pStyle w:val="FirstParagraph"/>
      </w:pPr>
      <w:r>
        <w:rPr>
          <w:i/>
          <w:iCs/>
        </w:rPr>
        <w:t xml:space="preserve">The migration ends when governance runs on its own: when joiners, movers, and leavers flow from the HR record without a ticket, every privileged session starts with a phishing-resistant credential, and drift shows up in a diff instead of an incident.</w:t>
      </w:r>
    </w:p>
    <w:bookmarkStart w:id="960" w:name="in-this-chapter-9"/>
    <w:p>
      <w:pPr>
        <w:pStyle w:val="Heading2"/>
      </w:pPr>
      <w:bookmarkStart w:id="1477" w:name="_Toc00001477"/>
      <w:r>
        <w:t xml:space="preserve">In this chapter</w:t>
      </w:r>
      <w:bookmarkEnd w:id="1477"/>
    </w:p>
    <w:p>
      <w:pPr>
        <w:pStyle w:val="FirstParagraph"/>
      </w:pPr>
      <w:r>
        <w:t xml:space="preserve">The governance machinery of the target: access reviews, access packages, and Lifecycle Workflows. Cross-tenant collaboration and how it replaces forest trusts. Authentication modernization toward phishing-resistant MFA, checked against OMB M-22-09 and NIST SP 800-53 Rev. 5. Monitoring and the compliance evidence it produces, the eleven-phase migration playbook, Git-based drift detection, and a troubleshooting reference. It builds on the target designed in Chapter 09.</w:t>
      </w:r>
    </w:p>
    <w:bookmarkEnd w:id="960"/>
    <w:bookmarkStart w:id="996" w:name="identity-governance-and-lifecycle"/>
    <w:p>
      <w:pPr>
        <w:pStyle w:val="Heading2"/>
      </w:pPr>
      <w:bookmarkStart w:id="1478" w:name="_Toc00001478"/>
      <w:r>
        <w:t xml:space="preserve">Identity governance and lifecycle</w:t>
      </w:r>
      <w:bookmarkEnd w:id="1478"/>
    </w:p>
    <w:p>
      <w:pPr>
        <w:pStyle w:val="FirstParagraph"/>
      </w:pPr>
      <w:r>
        <w:t xml:space="preserve">Governance in Active Directory was mostly a ticket queue: someone asked for group membership, someone else added it, and nobody took it away. The target replaces that with three Entra ID Governance capabilities that work as a loop. HR-driven provisioning creates and updates the account; Lifecycle Workflows run the joiner, mover, and leaver tasks; access packages grant access with an expiry; and access reviews remove what’s no longer justified.</w:t>
      </w:r>
    </w:p>
    <w:bookmarkStart w:id="964" w:name="fig-ch10-joiner-mover-leaver-loop"/>
    <w:p>
      <w:pPr>
        <w:pStyle w:val="CaptionedFigure"/>
      </w:pPr>
      <w:r>
        <w:drawing>
          <wp:inline>
            <wp:extent cx="5334000" cy="892563"/>
            <wp:effectExtent b="0" l="0" r="0" t="0"/>
            <wp:docPr descr="The governance loop: the HR record drives provisioning, Lifecycle Workflows run joiner, mover, and leaver tasks, access packages grant access, and access reviews remove what reviewers deny." title="" id="962" name="Picture"/>
            <a:graphic>
              <a:graphicData uri="http://schemas.openxmlformats.org/drawingml/2006/picture">
                <pic:pic>
                  <pic:nvPicPr>
                    <pic:cNvPr descr="/home/runner/work/modernization-workbook/modernization-workbook/docs/images/diagrams/b02-identity/png/ch10-joiner-mover-leaver-loop.png" id="963" name="Picture"/>
                    <pic:cNvPicPr>
                      <a:picLocks noChangeArrowheads="1" noChangeAspect="1"/>
                    </pic:cNvPicPr>
                  </pic:nvPicPr>
                  <pic:blipFill>
                    <a:blip r:embed="rId961"/>
                    <a:stretch>
                      <a:fillRect/>
                    </a:stretch>
                  </pic:blipFill>
                  <pic:spPr bwMode="auto">
                    <a:xfrm>
                      <a:off x="0" y="0"/>
                      <a:ext cx="5334000" cy="892563"/>
                    </a:xfrm>
                    <a:prstGeom prst="rect">
                      <a:avLst/>
                    </a:prstGeom>
                    <a:noFill/>
                    <a:ln w="9525">
                      <a:noFill/>
                      <a:headEnd/>
                      <a:tailEnd/>
                    </a:ln>
                  </pic:spPr>
                </pic:pic>
              </a:graphicData>
            </a:graphic>
          </wp:inline>
        </w:drawing>
      </w:r>
    </w:p>
    <w:p>
      <w:pPr>
        <w:pStyle w:val="ImageCaption"/>
      </w:pPr>
      <w:r>
        <w:t xml:space="preserve">The governance loop: the HR record drives provisioning, Lifecycle Workflows run joiner, mover, and leaver tasks, access packages grant access, and access reviews remove what reviewers deny.</w:t>
      </w:r>
    </w:p>
    <w:bookmarkEnd w:id="964"/>
    <w:p>
      <w:pPr>
        <w:pStyle w:val="BodyText"/>
      </w:pPr>
      <w:r>
        <w:t xml:space="preserve">The licensing for all three is covered in Chapter 09: Lifecycle Workflows need Entra ID Governance, and access reviews and entitlement management need it for the member users involved.</w:t>
      </w:r>
    </w:p>
    <w:bookmarkStart w:id="966" w:name="access-reviews"/>
    <w:p>
      <w:pPr>
        <w:pStyle w:val="Heading3"/>
      </w:pPr>
      <w:r>
        <w:t xml:space="preserve">Access reviews</w:t>
      </w:r>
    </w:p>
    <w:p>
      <w:pPr>
        <w:pStyle w:val="FirstParagraph"/>
      </w:pPr>
      <w:r>
        <w:t xml:space="preserve">Access reviews are periodic attestation that people still need the access they hold. The program’s schedule (the full access-governance design is in Book 04, Chapter 09):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Review target</w:t>
            </w:r>
          </w:p>
        </w:tc>
        <w:tc>
          <w:tcPr/>
          <w:p>
            <w:pPr>
              <w:pStyle w:val="Compact"/>
            </w:pPr>
            <w:r>
              <w:t xml:space="preserve">Frequency</w:t>
            </w:r>
          </w:p>
        </w:tc>
        <w:tc>
          <w:tcPr/>
          <w:p>
            <w:pPr>
              <w:pStyle w:val="Compact"/>
            </w:pPr>
            <w:r>
              <w:t xml:space="preserve">Reviewers</w:t>
            </w:r>
          </w:p>
        </w:tc>
        <w:tc>
          <w:tcPr/>
          <w:p>
            <w:pPr>
              <w:pStyle w:val="Compact"/>
            </w:pPr>
            <w:r>
              <w:t xml:space="preserve">Apply results automatically</w:t>
            </w:r>
          </w:p>
        </w:tc>
        <w:tc>
          <w:tcPr/>
          <w:p>
            <w:pPr>
              <w:pStyle w:val="Compact"/>
            </w:pPr>
            <w:r>
              <w:t xml:space="preserve">If reviewers don’t respond</w:t>
            </w:r>
          </w:p>
        </w:tc>
      </w:tr>
      <w:tr>
        <w:tc>
          <w:tcPr/>
          <w:p>
            <w:pPr>
              <w:pStyle w:val="Compact"/>
            </w:pPr>
            <w:r>
              <w:t xml:space="preserve">PIM-eligible role assignments</w:t>
            </w:r>
          </w:p>
        </w:tc>
        <w:tc>
          <w:tcPr/>
          <w:p>
            <w:pPr>
              <w:pStyle w:val="Compact"/>
            </w:pPr>
            <w:r>
              <w:t xml:space="preserve">Quarterly</w:t>
            </w:r>
          </w:p>
        </w:tc>
        <w:tc>
          <w:tcPr/>
          <w:p>
            <w:pPr>
              <w:pStyle w:val="Compact"/>
            </w:pPr>
            <w:r>
              <w:t xml:space="preserve">The security team (Microsoft’s self-review option leaves role-assignable groups out of the review, so it can’t be the only reviewer)</w:t>
            </w:r>
          </w:p>
        </w:tc>
        <w:tc>
          <w:tcPr/>
          <w:p>
            <w:pPr>
              <w:pStyle w:val="Compact"/>
            </w:pPr>
            <w:r>
              <w:t xml:space="preserve">Yes; remove if denied</w:t>
            </w:r>
          </w:p>
        </w:tc>
        <w:tc>
          <w:tcPr/>
          <w:p>
            <w:pPr>
              <w:pStyle w:val="Compact"/>
            </w:pPr>
            <w:r>
              <w:t xml:space="preserve">Remove access</w:t>
            </w:r>
          </w:p>
        </w:tc>
      </w:tr>
      <w:tr>
        <w:tc>
          <w:tcPr/>
          <w:p>
            <w:pPr>
              <w:pStyle w:val="Compact"/>
            </w:pPr>
            <w:r>
              <w:t xml:space="preserve">Sensitive security group memberships</w:t>
            </w:r>
          </w:p>
        </w:tc>
        <w:tc>
          <w:tcPr/>
          <w:p>
            <w:pPr>
              <w:pStyle w:val="Compact"/>
            </w:pPr>
            <w:r>
              <w:t xml:space="preserve">Quarterly</w:t>
            </w:r>
          </w:p>
        </w:tc>
        <w:tc>
          <w:tcPr/>
          <w:p>
            <w:pPr>
              <w:pStyle w:val="Compact"/>
            </w:pPr>
            <w:r>
              <w:t xml:space="preserve">Group owners</w:t>
            </w:r>
          </w:p>
        </w:tc>
        <w:tc>
          <w:tcPr/>
          <w:p>
            <w:pPr>
              <w:pStyle w:val="Compact"/>
            </w:pPr>
            <w:r>
              <w:t xml:space="preserve">Yes; remove if denied</w:t>
            </w:r>
          </w:p>
        </w:tc>
        <w:tc>
          <w:tcPr/>
          <w:p>
            <w:pPr>
              <w:pStyle w:val="Compact"/>
            </w:pPr>
            <w:r>
              <w:t xml:space="preserve">Remove access</w:t>
            </w:r>
          </w:p>
        </w:tc>
      </w:tr>
      <w:tr>
        <w:tc>
          <w:tcPr/>
          <w:p>
            <w:pPr>
              <w:pStyle w:val="Compact"/>
            </w:pPr>
            <w:r>
              <w:t xml:space="preserve">Application assignments (Tier 1 apps)</w:t>
            </w:r>
          </w:p>
        </w:tc>
        <w:tc>
          <w:tcPr/>
          <w:p>
            <w:pPr>
              <w:pStyle w:val="Compact"/>
            </w:pPr>
            <w:r>
              <w:t xml:space="preserve">Semi-annually</w:t>
            </w:r>
          </w:p>
        </w:tc>
        <w:tc>
          <w:tcPr/>
          <w:p>
            <w:pPr>
              <w:pStyle w:val="Compact"/>
            </w:pPr>
            <w:r>
              <w:t xml:space="preserve">Application owners</w:t>
            </w:r>
          </w:p>
        </w:tc>
        <w:tc>
          <w:tcPr/>
          <w:p>
            <w:pPr>
              <w:pStyle w:val="Compact"/>
            </w:pPr>
            <w:r>
              <w:t xml:space="preserve">Yes; remove if denied</w:t>
            </w:r>
          </w:p>
        </w:tc>
        <w:tc>
          <w:tcPr/>
          <w:p>
            <w:pPr>
              <w:pStyle w:val="Compact"/>
            </w:pPr>
            <w:r>
              <w:t xml:space="preserve">No change; escalate</w:t>
            </w:r>
          </w:p>
        </w:tc>
      </w:tr>
      <w:tr>
        <w:tc>
          <w:tcPr/>
          <w:p>
            <w:pPr>
              <w:pStyle w:val="Compact"/>
            </w:pPr>
            <w:r>
              <w:t xml:space="preserve">Guest access</w:t>
            </w:r>
          </w:p>
        </w:tc>
        <w:tc>
          <w:tcPr/>
          <w:p>
            <w:pPr>
              <w:pStyle w:val="Compact"/>
            </w:pPr>
            <w:r>
              <w:t xml:space="preserve">Quarterly</w:t>
            </w:r>
          </w:p>
        </w:tc>
        <w:tc>
          <w:tcPr/>
          <w:p>
            <w:pPr>
              <w:pStyle w:val="Compact"/>
            </w:pPr>
            <w:r>
              <w:t xml:space="preserve">Sponsors</w:t>
            </w:r>
          </w:p>
        </w:tc>
        <w:tc>
          <w:tcPr/>
          <w:p>
            <w:pPr>
              <w:pStyle w:val="Compact"/>
            </w:pPr>
            <w:r>
              <w:t xml:space="preserve">Yes; disable if denied</w:t>
            </w:r>
          </w:p>
        </w:tc>
        <w:tc>
          <w:tcPr/>
          <w:p>
            <w:pPr>
              <w:pStyle w:val="Compact"/>
            </w:pPr>
            <w:r>
              <w:t xml:space="preserve">Disable the guest account</w:t>
            </w:r>
          </w:p>
        </w:tc>
      </w:tr>
      <w:tr>
        <w:tc>
          <w:tcPr/>
          <w:p>
            <w:pPr>
              <w:pStyle w:val="Compact"/>
            </w:pPr>
            <w:r>
              <w:t xml:space="preserve">Microsoft 365 group memberships</w:t>
            </w:r>
          </w:p>
        </w:tc>
        <w:tc>
          <w:tcPr/>
          <w:p>
            <w:pPr>
              <w:pStyle w:val="Compact"/>
            </w:pPr>
            <w:r>
              <w:t xml:space="preserve">Semi-annually</w:t>
            </w:r>
          </w:p>
        </w:tc>
        <w:tc>
          <w:tcPr/>
          <w:p>
            <w:pPr>
              <w:pStyle w:val="Compact"/>
            </w:pPr>
            <w:r>
              <w:t xml:space="preserve">Group owners</w:t>
            </w:r>
          </w:p>
        </w:tc>
        <w:tc>
          <w:tcPr/>
          <w:p>
            <w:pPr>
              <w:pStyle w:val="Compact"/>
            </w:pPr>
            <w:r>
              <w:t xml:space="preserve">No (recommendations only)</w:t>
            </w:r>
          </w:p>
        </w:tc>
        <w:tc>
          <w:tcPr/>
          <w:p>
            <w:pPr>
              <w:pStyle w:val="Compact"/>
            </w:pPr>
            <w:r>
              <w:t xml:space="preserve">No change</w:t>
            </w:r>
          </w:p>
        </w:tc>
      </w:tr>
    </w:tbl>
    <w:p>
      <w:pPr>
        <w:pStyle w:val="BodyText"/>
      </w:pPr>
      <w:r>
        <w:t xml:space="preserve">The quarterly review of privileged roles is also the program’s evidence for NIST SP 800-53 AC-6(7) (see</w:t>
      </w:r>
      <w:r>
        <w:t xml:space="preserve"> </w:t>
      </w:r>
      <w:hyperlink w:anchor="X08144eecf40f99e257ec49f3a7d2af7ef42ddaf">
        <w:r>
          <w:rPr>
            <w:rStyle w:val="Hyperlink"/>
          </w:rPr>
          <w:t xml:space="preserve">The compliance amendment</w:t>
        </w:r>
      </w:hyperlink>
      <w:r>
        <w:t xml:space="preserve">). Reviews of PIM for Groups membership, and reviews scoped to inactive users, require Entra ID Governance.</w:t>
      </w:r>
      <w:r>
        <w:rPr>
          <w:rStyle w:val="FootnoteReference"/>
        </w:rPr>
        <w:footnoteReference w:id="965"/>
      </w:r>
    </w:p>
    <w:bookmarkEnd w:id="966"/>
    <w:bookmarkStart w:id="970" w:name="Xac7f3763d9fc37afdecd145dbe65728a8e3cbaa"/>
    <w:p>
      <w:pPr>
        <w:pStyle w:val="Heading3"/>
      </w:pPr>
      <w:r>
        <w:t xml:space="preserve">Entitlement management and access packages</w:t>
      </w:r>
    </w:p>
    <w:p>
      <w:pPr>
        <w:pStyle w:val="FirstParagraph"/>
      </w:pPr>
      <w:r>
        <w:t xml:space="preserve">Access packages bundle resources (group memberships, application assignments, SharePoint site access) into units that people request, approvers approve, and policies expire. They replace</w:t>
      </w:r>
      <w:r>
        <w:t xml:space="preserve"> </w:t>
      </w:r>
      <w:r>
        <w:t xml:space="preserve">“submit a ticket for group membership”</w:t>
      </w:r>
      <w:r>
        <w:t xml:space="preserve"> </w:t>
      </w:r>
      <w:r>
        <w:t xml:space="preserve">with a governed, self-service workflow. The program uses four categories:</w:t>
      </w:r>
    </w:p>
    <w:p>
      <w:pPr>
        <w:pStyle w:val="Compact"/>
        <w:numPr>
          <w:ilvl w:val="0"/>
          <w:numId w:val="1074"/>
        </w:numPr>
      </w:pPr>
      <w:r>
        <w:rPr>
          <w:b/>
          <w:bCs/>
        </w:rPr>
        <w:t xml:space="preserve">Onboarding packages.</w:t>
      </w:r>
      <w:r>
        <w:t xml:space="preserve"> </w:t>
      </w:r>
      <w:r>
        <w:t xml:space="preserve">Baseline access for new hires: email, Teams, the intranet site, company-wide groups. Assigned by a Lifecycle Workflow on the hire date, or by an automatic assignment policy.</w:t>
      </w:r>
    </w:p>
    <w:p>
      <w:pPr>
        <w:pStyle w:val="Compact"/>
        <w:numPr>
          <w:ilvl w:val="0"/>
          <w:numId w:val="1074"/>
        </w:numPr>
      </w:pPr>
      <w:r>
        <w:rPr>
          <w:b/>
          <w:bCs/>
        </w:rPr>
        <w:t xml:space="preserve">Department packages.</w:t>
      </w:r>
      <w:r>
        <w:t xml:space="preserve"> </w:t>
      </w:r>
      <w:r>
        <w:t xml:space="preserve">Department resources (SharePoint sites, Teams channels, line-of-business applications), assigned from the department attribute through an automatic assignment policy.</w:t>
      </w:r>
    </w:p>
    <w:p>
      <w:pPr>
        <w:pStyle w:val="Compact"/>
        <w:numPr>
          <w:ilvl w:val="0"/>
          <w:numId w:val="1074"/>
        </w:numPr>
      </w:pPr>
      <w:r>
        <w:rPr>
          <w:b/>
          <w:bCs/>
        </w:rPr>
        <w:t xml:space="preserve">Project packages.</w:t>
      </w:r>
      <w:r>
        <w:t xml:space="preserve"> </w:t>
      </w:r>
      <w:r>
        <w:t xml:space="preserve">Time-bound access for a project, approved by the project lead and set to expire at the project end date.</w:t>
      </w:r>
    </w:p>
    <w:p>
      <w:pPr>
        <w:pStyle w:val="Compact"/>
        <w:numPr>
          <w:ilvl w:val="0"/>
          <w:numId w:val="1074"/>
        </w:numPr>
      </w:pPr>
      <w:r>
        <w:rPr>
          <w:b/>
          <w:bCs/>
        </w:rPr>
        <w:t xml:space="preserve">Cross-tenant packages.</w:t>
      </w:r>
      <w:r>
        <w:t xml:space="preserve"> </w:t>
      </w:r>
      <w:r>
        <w:t xml:space="preserve">Resources shared with partner organizations through B2B collaboration, with terms of use acceptance and sponsor approval.</w:t>
      </w:r>
    </w:p>
    <w:p>
      <w:pPr>
        <w:pStyle w:val="FirstParagraph"/>
      </w:pPr>
      <w:r>
        <w:t xml:space="preserve">Expiration of assignments and separation-of-duties checks work with P2; automatic assignment policies, custom extensions, and Verified ID checks need Entra ID Governance.</w:t>
      </w:r>
      <w:r>
        <w:rPr>
          <w:rStyle w:val="FootnoteReference"/>
        </w:rPr>
        <w:footnoteReference w:id="967"/>
      </w:r>
      <w:r>
        <w:t xml:space="preserve"> </w:t>
      </w:r>
      <w:r>
        <w:t xml:space="preserve">Avoid the preview</w:t>
      </w:r>
      <w:r>
        <w:t xml:space="preserve"> </w:t>
      </w:r>
      <w:r>
        <w:rPr>
          <w:rStyle w:val="VerbatimChar"/>
        </w:rPr>
        <w:t xml:space="preserve">memberOf</w:t>
      </w:r>
      <w:r>
        <w:t xml:space="preserve"> </w:t>
      </w:r>
      <w:r>
        <w:t xml:space="preserve">operator in automatic assignment rules; Microsoft is ending that preview on November 3, 2026, after which those policies stop updating.</w:t>
      </w:r>
      <w:r>
        <w:rPr>
          <w:rStyle w:val="FootnoteReference"/>
        </w:rPr>
        <w:footnoteReference w:id="968"/>
      </w:r>
      <w:r>
        <w:t xml:space="preserve"> </w:t>
      </w:r>
      <w:r>
        <w:t xml:space="preserve">Where an access package must grant access to an AD-integrated (Kerberos) application, include a cloud security group that Cloud Sync provisions to AD.</w:t>
      </w:r>
      <w:r>
        <w:rPr>
          <w:rStyle w:val="FootnoteReference"/>
        </w:rPr>
        <w:footnoteReference w:id="969"/>
      </w:r>
    </w:p>
    <w:bookmarkEnd w:id="970"/>
    <w:bookmarkStart w:id="993" w:name="lifecycle-workflows"/>
    <w:p>
      <w:pPr>
        <w:pStyle w:val="Heading3"/>
      </w:pPr>
      <w:r>
        <w:t xml:space="preserve">Lifecycle Workflows</w:t>
      </w:r>
    </w:p>
    <w:p>
      <w:pPr>
        <w:pStyle w:val="FirstParagraph"/>
      </w:pPr>
      <w:r>
        <w:t xml:space="preserve">Lifecycle Workflows automate joiner, mover, and leaver tasks. They act on accounts that already exist; HR-driven inbound provisioning creates and updates the account. A workflow runs when a user meets its execution conditions, a trigger plus a scope. The triggers available as of October 2026 are a time-based attribute, an attribute change, a group membership change, sign-in inactivity, and on-demand.</w:t>
      </w:r>
      <w:r>
        <w:rPr>
          <w:rStyle w:val="FootnoteReference"/>
        </w:rPr>
        <w:footnoteReference w:id="971"/>
      </w:r>
      <w:r>
        <w:t xml:space="preserve"> </w:t>
      </w:r>
      <w:r>
        <w:t xml:space="preserve">Time-based joiner and leaver workflows key on the native</w:t>
      </w:r>
      <w:r>
        <w:t xml:space="preserve"> </w:t>
      </w:r>
      <w:r>
        <w:rPr>
          <w:rStyle w:val="VerbatimChar"/>
        </w:rPr>
        <w:t xml:space="preserve">employeeHireDate</w:t>
      </w:r>
      <w:r>
        <w:t xml:space="preserve"> </w:t>
      </w:r>
      <w:r>
        <w:t xml:space="preserve">and</w:t>
      </w:r>
      <w:r>
        <w:t xml:space="preserve"> </w:t>
      </w:r>
      <w:r>
        <w:rPr>
          <w:rStyle w:val="VerbatimChar"/>
        </w:rPr>
        <w:t xml:space="preserve">employeeLeaveDateTime</w:t>
      </w:r>
      <w:r>
        <w:t xml:space="preserve"> </w:t>
      </w:r>
      <w:r>
        <w:t xml:space="preserve">attributes (or</w:t>
      </w:r>
      <w:r>
        <w:t xml:space="preserve"> </w:t>
      </w:r>
      <w:r>
        <w:rPr>
          <w:rStyle w:val="VerbatimChar"/>
        </w:rPr>
        <w:t xml:space="preserve">createdDateTime</w:t>
      </w:r>
      <w:r>
        <w:t xml:space="preserve"> </w:t>
      </w:r>
      <w:r>
        <w:t xml:space="preserve">for joiners); the offset can be 0 to 180 days before or after the date, and a preview</w:t>
      </w:r>
      <w:r>
        <w:t xml:space="preserve"> </w:t>
      </w:r>
      <w:r>
        <w:t xml:space="preserve">“V2”</w:t>
      </w:r>
      <w:r>
        <w:t xml:space="preserve"> </w:t>
      </w:r>
      <w:r>
        <w:t xml:space="preserve">trigger extends that to 365 days with relative comparisons.</w:t>
      </w:r>
      <w:r>
        <w:rPr>
          <w:rStyle w:val="FootnoteReference"/>
        </w:rPr>
        <w:footnoteReference w:id="973"/>
      </w:r>
      <w:r>
        <w:t xml:space="preserve"> </w:t>
      </w:r>
      <w:r>
        <w:t xml:space="preserve">Custom attribute triggers are in preview.</w:t>
      </w:r>
    </w:p>
    <w:p>
      <w:pPr>
        <w:pStyle w:val="BodyText"/>
      </w:pPr>
      <w:r>
        <w:t xml:space="preserve">For users synced from Active Directory, those date attributes must be synced to Entra ID before the workflow can use them, and attribute-change and group triggers fire only after the sync cycle delivers the change.</w:t>
      </w:r>
      <w:r>
        <w:rPr>
          <w:rStyle w:val="FootnoteReference"/>
        </w:rPr>
        <w:footnoteReference w:id="974"/>
      </w:r>
      <w:r>
        <w:t xml:space="preserve"> </w:t>
      </w:r>
      <w:r>
        <w:t xml:space="preserve">The canonical HR-driven design, including where the dates come from, is in HR-Driven Identity, Chapter 6. Scope rules can filter on standard attributes such as</w:t>
      </w:r>
      <w:r>
        <w:t xml:space="preserve"> </w:t>
      </w:r>
      <w:r>
        <w:rPr>
          <w:rStyle w:val="VerbatimChar"/>
        </w:rPr>
        <w:t xml:space="preserve">department</w:t>
      </w:r>
      <w:r>
        <w:t xml:space="preserve"> </w:t>
      </w:r>
      <w:r>
        <w:t xml:space="preserve">and</w:t>
      </w:r>
      <w:r>
        <w:t xml:space="preserve"> </w:t>
      </w:r>
      <w:r>
        <w:rPr>
          <w:rStyle w:val="VerbatimChar"/>
        </w:rPr>
        <w:t xml:space="preserve">jobTitle</w:t>
      </w:r>
      <w:r>
        <w:t xml:space="preserve"> </w:t>
      </w:r>
      <w:r>
        <w:t xml:space="preserve">and on</w:t>
      </w:r>
      <w:r>
        <w:t xml:space="preserve"> </w:t>
      </w:r>
      <w:r>
        <w:rPr>
          <w:rStyle w:val="VerbatimChar"/>
        </w:rPr>
        <w:t xml:space="preserve">extensionAttribute1</w:t>
      </w:r>
      <w:r>
        <w:t xml:space="preserve"> </w:t>
      </w:r>
      <w:r>
        <w:t xml:space="preserve">through</w:t>
      </w:r>
      <w:r>
        <w:t xml:space="preserve"> </w:t>
      </w:r>
      <w:r>
        <w:rPr>
          <w:rStyle w:val="VerbatimChar"/>
        </w:rPr>
        <w:t xml:space="preserve">15</w:t>
      </w:r>
      <w:r>
        <w:t xml:space="preserve">.</w:t>
      </w:r>
      <w:r>
        <w:rPr>
          <w:rStyle w:val="FootnoteReference"/>
        </w:rPr>
        <w:footnoteReference w:id="976"/>
      </w:r>
      <w:r>
        <w:t xml:space="preserve"> </w:t>
      </w:r>
      <w:r>
        <w:t xml:space="preserve">A tenant can have up to 50 workflows and 100 custom task extensions.</w:t>
      </w:r>
      <w:r>
        <w:rPr>
          <w:rStyle w:val="FootnoteReference"/>
        </w:rPr>
        <w:footnoteReference w:id="978"/>
      </w:r>
    </w:p>
    <w:p>
      <w:pPr>
        <w:pStyle w:val="BodyText"/>
      </w:pPr>
      <w:r>
        <w:t xml:space="preserve">The workflows below use Microsoft’s built-in tasks where they exist.</w:t>
      </w:r>
      <w:r>
        <w:rPr>
          <w:rStyle w:val="FootnoteReference"/>
        </w:rPr>
        <w:footnoteReference w:id="979"/>
      </w:r>
      <w:r>
        <w:t xml:space="preserve"> </w:t>
      </w:r>
      <w:r>
        <w:t xml:space="preserve">Steps that have no built-in task, marked</w:t>
      </w:r>
      <w:r>
        <w:t xml:space="preserve"> </w:t>
      </w:r>
      <w:r>
        <w:t xml:space="preserve">“custom,”</w:t>
      </w:r>
      <w:r>
        <w:t xml:space="preserve"> </w:t>
      </w:r>
      <w:r>
        <w:t xml:space="preserve">run through a custom task extension, which calls an Azure Logic App, or through a separate service.</w:t>
      </w:r>
    </w:p>
    <w:bookmarkStart w:id="983" w:name="pre-hire-workflow"/>
    <w:p>
      <w:pPr>
        <w:pStyle w:val="Heading4"/>
      </w:pPr>
      <w:r>
        <w:t xml:space="preserve">Pre-hire workflow</w:t>
      </w:r>
    </w:p>
    <w:p>
      <w:pPr>
        <w:pStyle w:val="FirstParagraph"/>
      </w:pPr>
      <w:r>
        <w:t xml:space="preserve">Trigger:</w:t>
      </w:r>
      <w:r>
        <w:t xml:space="preserve"> </w:t>
      </w:r>
      <w:r>
        <w:rPr>
          <w:rStyle w:val="VerbatimChar"/>
        </w:rPr>
        <w:t xml:space="preserve">employeeHireDate</w:t>
      </w:r>
      <w:r>
        <w:t xml:space="preserve">, 7 days before. Based on Microsoft’s</w:t>
      </w:r>
      <w:r>
        <w:t xml:space="preserve"> </w:t>
      </w:r>
      <w:r>
        <w:t xml:space="preserve">“Onboard pre-hire employee”</w:t>
      </w:r>
      <w:r>
        <w:t xml:space="preserve"> </w:t>
      </w:r>
      <w:r>
        <w:t xml:space="preserve">template.</w:t>
      </w:r>
      <w:r>
        <w:rPr>
          <w:rStyle w:val="FootnoteReference"/>
        </w:rPr>
        <w:footnoteReference w:id="981"/>
      </w:r>
    </w:p>
    <w:p>
      <w:pPr>
        <w:pStyle w:val="Compact"/>
        <w:numPr>
          <w:ilvl w:val="0"/>
          <w:numId w:val="1075"/>
        </w:numPr>
      </w:pPr>
      <w:r>
        <w:t xml:space="preserve">Confirm the account exists, disabled. Inbound provisioning created it and set the HR attributes; Lifecycle Workflows don’t create accounts.</w:t>
      </w:r>
    </w:p>
    <w:p>
      <w:pPr>
        <w:pStyle w:val="Compact"/>
        <w:numPr>
          <w:ilvl w:val="0"/>
          <w:numId w:val="1075"/>
        </w:numPr>
      </w:pPr>
      <w:r>
        <w:t xml:space="preserve">Request the baseline onboarding access package (</w:t>
      </w:r>
      <w:r>
        <w:t xml:space="preserve">“Request user access package assignment”</w:t>
      </w:r>
      <w:r>
        <w:t xml:space="preserve">).</w:t>
      </w:r>
    </w:p>
    <w:p>
      <w:pPr>
        <w:pStyle w:val="Compact"/>
        <w:numPr>
          <w:ilvl w:val="0"/>
          <w:numId w:val="1075"/>
        </w:numPr>
      </w:pPr>
      <w:r>
        <w:t xml:space="preserve">Generate a Temporary Access Pass and email it to the user’s manager (</w:t>
      </w:r>
      <w:r>
        <w:t xml:space="preserve">“Generate TAP and send email”</w:t>
      </w:r>
      <w:r>
        <w:t xml:space="preserve">). The new hire uses it to register a phishing-resistant credential on day one.</w:t>
      </w:r>
    </w:p>
    <w:p>
      <w:pPr>
        <w:pStyle w:val="Compact"/>
        <w:numPr>
          <w:ilvl w:val="0"/>
          <w:numId w:val="1075"/>
        </w:numPr>
      </w:pPr>
      <w:r>
        <w:t xml:space="preserve">Send the hiring manager the onboarding checklist (custom, or the TAP email’s custom text).</w:t>
      </w:r>
    </w:p>
    <w:bookmarkEnd w:id="983"/>
    <w:bookmarkStart w:id="986" w:name="joiner-workflow"/>
    <w:p>
      <w:pPr>
        <w:pStyle w:val="Heading4"/>
      </w:pPr>
      <w:r>
        <w:t xml:space="preserve">Joiner workflow</w:t>
      </w:r>
    </w:p>
    <w:p>
      <w:pPr>
        <w:pStyle w:val="FirstParagraph"/>
      </w:pPr>
      <w:r>
        <w:t xml:space="preserve">Trigger:</w:t>
      </w:r>
      <w:r>
        <w:t xml:space="preserve"> </w:t>
      </w:r>
      <w:r>
        <w:rPr>
          <w:rStyle w:val="VerbatimChar"/>
        </w:rPr>
        <w:t xml:space="preserve">employeeHireDate</w:t>
      </w:r>
      <w:r>
        <w:t xml:space="preserve">, on the day. Based on the</w:t>
      </w:r>
      <w:r>
        <w:t xml:space="preserve"> </w:t>
      </w:r>
      <w:r>
        <w:t xml:space="preserve">“Onboard new hire employee”</w:t>
      </w:r>
      <w:r>
        <w:t xml:space="preserve"> </w:t>
      </w:r>
      <w:r>
        <w:t xml:space="preserve">template.</w:t>
      </w:r>
    </w:p>
    <w:p>
      <w:pPr>
        <w:pStyle w:val="Compact"/>
        <w:numPr>
          <w:ilvl w:val="0"/>
          <w:numId w:val="1076"/>
        </w:numPr>
      </w:pPr>
      <w:r>
        <w:t xml:space="preserve">Enable the user account (</w:t>
      </w:r>
      <w:r>
        <w:t xml:space="preserve">“Enable user account”</w:t>
      </w:r>
      <w:r>
        <w:t xml:space="preserve">; for synced users the task has an option to enable the on-premises account).</w:t>
      </w:r>
      <w:r>
        <w:rPr>
          <w:rStyle w:val="FootnoteReference"/>
        </w:rPr>
        <w:footnoteReference w:id="984"/>
      </w:r>
    </w:p>
    <w:p>
      <w:pPr>
        <w:pStyle w:val="Compact"/>
        <w:numPr>
          <w:ilvl w:val="0"/>
          <w:numId w:val="1076"/>
        </w:numPr>
      </w:pPr>
      <w:r>
        <w:t xml:space="preserve">Assign licenses through group-based licensing, or with the</w:t>
      </w:r>
      <w:r>
        <w:t xml:space="preserve"> </w:t>
      </w:r>
      <w:r>
        <w:t xml:space="preserve">“Assign licenses to user”</w:t>
      </w:r>
      <w:r>
        <w:t xml:space="preserve"> </w:t>
      </w:r>
      <w:r>
        <w:t xml:space="preserve">task, which is in preview.</w:t>
      </w:r>
    </w:p>
    <w:p>
      <w:pPr>
        <w:pStyle w:val="Compact"/>
        <w:numPr>
          <w:ilvl w:val="0"/>
          <w:numId w:val="1076"/>
        </w:numPr>
      </w:pPr>
      <w:r>
        <w:t xml:space="preserve">Let dynamic group membership take effect (department, region, and role groups).</w:t>
      </w:r>
    </w:p>
    <w:p>
      <w:pPr>
        <w:pStyle w:val="Compact"/>
        <w:numPr>
          <w:ilvl w:val="0"/>
          <w:numId w:val="1076"/>
        </w:numPr>
      </w:pPr>
      <w:r>
        <w:t xml:space="preserve">Send the welcome email with self-service portal links (</w:t>
      </w:r>
      <w:r>
        <w:t xml:space="preserve">“Send welcome email”</w:t>
      </w:r>
      <w:r>
        <w:t xml:space="preserve">).</w:t>
      </w:r>
    </w:p>
    <w:p>
      <w:pPr>
        <w:pStyle w:val="Compact"/>
        <w:numPr>
          <w:ilvl w:val="0"/>
          <w:numId w:val="1076"/>
        </w:numPr>
      </w:pPr>
      <w:r>
        <w:t xml:space="preserve">Request the department access package.</w:t>
      </w:r>
    </w:p>
    <w:p>
      <w:pPr>
        <w:pStyle w:val="FirstParagraph"/>
      </w:pPr>
      <w:r>
        <w:t xml:space="preserve">Prompting the user to register Authenticator or a passkey isn’t a workflow task. It’s a registration campaign in the Authentication methods policy (see</w:t>
      </w:r>
      <w:r>
        <w:t xml:space="preserve"> </w:t>
      </w:r>
      <w:hyperlink w:anchor="authentication-methods-policy">
        <w:r>
          <w:rPr>
            <w:rStyle w:val="Hyperlink"/>
          </w:rPr>
          <w:t xml:space="preserve">Authentication methods policy</w:t>
        </w:r>
      </w:hyperlink>
      <w:r>
        <w:t xml:space="preserve">).</w:t>
      </w:r>
    </w:p>
    <w:bookmarkEnd w:id="986"/>
    <w:bookmarkStart w:id="988" w:name="mover-workflow"/>
    <w:p>
      <w:pPr>
        <w:pStyle w:val="Heading4"/>
      </w:pPr>
      <w:r>
        <w:t xml:space="preserve">Mover workflow</w:t>
      </w:r>
    </w:p>
    <w:p>
      <w:pPr>
        <w:pStyle w:val="FirstParagraph"/>
      </w:pPr>
      <w:r>
        <w:t xml:space="preserve">Trigger: an attribute change on department, division, or role. The program carries these in</w:t>
      </w:r>
      <w:r>
        <w:t xml:space="preserve"> </w:t>
      </w:r>
      <w:r>
        <w:rPr>
          <w:rStyle w:val="VerbatimChar"/>
        </w:rPr>
        <w:t xml:space="preserve">department</w:t>
      </w:r>
      <w:r>
        <w:t xml:space="preserve">,</w:t>
      </w:r>
      <w:r>
        <w:t xml:space="preserve"> </w:t>
      </w:r>
      <w:r>
        <w:rPr>
          <w:rStyle w:val="VerbatimChar"/>
        </w:rPr>
        <w:t xml:space="preserve">extensionAttribute3</w:t>
      </w:r>
      <w:r>
        <w:t xml:space="preserve">, and</w:t>
      </w:r>
      <w:r>
        <w:t xml:space="preserve"> </w:t>
      </w:r>
      <w:r>
        <w:rPr>
          <w:rStyle w:val="VerbatimChar"/>
        </w:rPr>
        <w:t xml:space="preserve">extensionAttribute4</w:t>
      </w:r>
      <w:r>
        <w:t xml:space="preserve">; confirm the attribute you choose is supported as a trigger attribute before relying on it. Based on the</w:t>
      </w:r>
      <w:r>
        <w:t xml:space="preserve"> </w:t>
      </w:r>
      <w:r>
        <w:t xml:space="preserve">“Employee job profile change”</w:t>
      </w:r>
      <w:r>
        <w:t xml:space="preserve"> </w:t>
      </w:r>
      <w:r>
        <w:t xml:space="preserve">template.</w:t>
      </w:r>
      <w:r>
        <w:rPr>
          <w:rStyle w:val="FootnoteReference"/>
        </w:rPr>
        <w:footnoteReference w:id="987"/>
      </w:r>
    </w:p>
    <w:p>
      <w:pPr>
        <w:pStyle w:val="Compact"/>
        <w:numPr>
          <w:ilvl w:val="0"/>
          <w:numId w:val="1077"/>
        </w:numPr>
      </w:pPr>
      <w:r>
        <w:t xml:space="preserve">Remove the previous department’s access package assignment (</w:t>
      </w:r>
      <w:r>
        <w:t xml:space="preserve">“Remove access package assignment for user”</w:t>
      </w:r>
      <w:r>
        <w:t xml:space="preserve">).</w:t>
      </w:r>
    </w:p>
    <w:p>
      <w:pPr>
        <w:pStyle w:val="Compact"/>
        <w:numPr>
          <w:ilvl w:val="0"/>
          <w:numId w:val="1077"/>
        </w:numPr>
      </w:pPr>
      <w:r>
        <w:t xml:space="preserve">Request the new department’s access package.</w:t>
      </w:r>
    </w:p>
    <w:p>
      <w:pPr>
        <w:pStyle w:val="Compact"/>
        <w:numPr>
          <w:ilvl w:val="0"/>
          <w:numId w:val="1077"/>
        </w:numPr>
      </w:pPr>
      <w:r>
        <w:t xml:space="preserve">Let dynamic group membership adjust to the new attributes.</w:t>
      </w:r>
    </w:p>
    <w:p>
      <w:pPr>
        <w:pStyle w:val="Compact"/>
        <w:numPr>
          <w:ilvl w:val="0"/>
          <w:numId w:val="1077"/>
        </w:numPr>
      </w:pPr>
      <w:r>
        <w:t xml:space="preserve">Start an access review of the user’s remaining non-baseline assignments (custom; or rely on the next scheduled review).</w:t>
      </w:r>
    </w:p>
    <w:p>
      <w:pPr>
        <w:pStyle w:val="Compact"/>
        <w:numPr>
          <w:ilvl w:val="0"/>
          <w:numId w:val="1077"/>
        </w:numPr>
      </w:pPr>
      <w:r>
        <w:t xml:space="preserve">Let a dynamic administrative unit rule move the user to the new division’s AU, if the division changed.</w:t>
      </w:r>
    </w:p>
    <w:p>
      <w:pPr>
        <w:pStyle w:val="Compact"/>
        <w:numPr>
          <w:ilvl w:val="0"/>
          <w:numId w:val="1077"/>
        </w:numPr>
      </w:pPr>
      <w:r>
        <w:t xml:space="preserve">Notify the previous and new managers (</w:t>
      </w:r>
      <w:r>
        <w:t xml:space="preserve">“Send email to notify manager of user move”</w:t>
      </w:r>
      <w:r>
        <w:t xml:space="preserve"> </w:t>
      </w:r>
      <w:r>
        <w:t xml:space="preserve">covers the new manager; the previous manager is custom).</w:t>
      </w:r>
    </w:p>
    <w:p>
      <w:pPr>
        <w:pStyle w:val="Compact"/>
        <w:numPr>
          <w:ilvl w:val="0"/>
          <w:numId w:val="1077"/>
        </w:numPr>
      </w:pPr>
      <w:r>
        <w:t xml:space="preserve">Commit the attribute change record to the Git audit trail (custom).</w:t>
      </w:r>
    </w:p>
    <w:bookmarkEnd w:id="988"/>
    <w:bookmarkStart w:id="992" w:name="leaver-workflow"/>
    <w:p>
      <w:pPr>
        <w:pStyle w:val="Heading4"/>
      </w:pPr>
      <w:r>
        <w:t xml:space="preserve">Leaver workflow</w:t>
      </w:r>
    </w:p>
    <w:p>
      <w:pPr>
        <w:pStyle w:val="FirstParagraph"/>
      </w:pPr>
      <w:r>
        <w:t xml:space="preserve">Trigger:</w:t>
      </w:r>
      <w:r>
        <w:t xml:space="preserve"> </w:t>
      </w:r>
      <w:r>
        <w:rPr>
          <w:rStyle w:val="VerbatimChar"/>
        </w:rPr>
        <w:t xml:space="preserve">employeeLeaveDateTime</w:t>
      </w:r>
      <w:r>
        <w:t xml:space="preserve">, on the day, followed by a post-offboarding workflow. Based on the</w:t>
      </w:r>
      <w:r>
        <w:t xml:space="preserve"> </w:t>
      </w:r>
      <w:r>
        <w:t xml:space="preserve">“Offboard an employee”</w:t>
      </w:r>
      <w:r>
        <w:t xml:space="preserve"> </w:t>
      </w:r>
      <w:r>
        <w:t xml:space="preserve">and</w:t>
      </w:r>
      <w:r>
        <w:t xml:space="preserve"> </w:t>
      </w:r>
      <w:r>
        <w:t xml:space="preserve">“Post-Offboarding of an employee”</w:t>
      </w:r>
      <w:r>
        <w:t xml:space="preserve"> </w:t>
      </w:r>
      <w:r>
        <w:t xml:space="preserve">templates.</w:t>
      </w:r>
      <w:r>
        <w:rPr>
          <w:rStyle w:val="FootnoteReference"/>
        </w:rPr>
        <w:footnoteReference w:id="989"/>
      </w:r>
    </w:p>
    <w:p>
      <w:pPr>
        <w:pStyle w:val="Compact"/>
        <w:numPr>
          <w:ilvl w:val="0"/>
          <w:numId w:val="1078"/>
        </w:numPr>
      </w:pPr>
      <w:r>
        <w:t xml:space="preserve">Disable the user account (</w:t>
      </w:r>
      <w:r>
        <w:t xml:space="preserve">“Disable user account”</w:t>
      </w:r>
      <w:r>
        <w:t xml:space="preserve">).</w:t>
      </w:r>
    </w:p>
    <w:p>
      <w:pPr>
        <w:pStyle w:val="Compact"/>
        <w:numPr>
          <w:ilvl w:val="0"/>
          <w:numId w:val="1078"/>
        </w:numPr>
      </w:pPr>
      <w:r>
        <w:t xml:space="preserve">Revoke all refresh and browser session tokens (</w:t>
      </w:r>
      <w:r>
        <w:t xml:space="preserve">“Revoke all refresh tokens for user”</w:t>
      </w:r>
      <w:r>
        <w:t xml:space="preserve">; the Graph equivalent is</w:t>
      </w:r>
      <w:r>
        <w:t xml:space="preserve"> </w:t>
      </w:r>
      <w:r>
        <w:rPr>
          <w:rStyle w:val="VerbatimChar"/>
        </w:rPr>
        <w:t xml:space="preserve">Revoke-MgUserSignInSession</w:t>
      </w:r>
      <w:r>
        <w:t xml:space="preserve">).</w:t>
      </w:r>
    </w:p>
    <w:p>
      <w:pPr>
        <w:pStyle w:val="Compact"/>
        <w:numPr>
          <w:ilvl w:val="0"/>
          <w:numId w:val="1078"/>
        </w:numPr>
      </w:pPr>
      <w:r>
        <w:t xml:space="preserve">Remove all access package assignments and cancel pending requests.</w:t>
      </w:r>
    </w:p>
    <w:p>
      <w:pPr>
        <w:pStyle w:val="Compact"/>
        <w:numPr>
          <w:ilvl w:val="0"/>
          <w:numId w:val="1078"/>
        </w:numPr>
      </w:pPr>
      <w:r>
        <w:t xml:space="preserve">Remove all licenses (</w:t>
      </w:r>
      <w:r>
        <w:t xml:space="preserve">“Remove all licenses for user”</w:t>
      </w:r>
      <w:r>
        <w:t xml:space="preserve">), after the mailbox step below.</w:t>
      </w:r>
    </w:p>
    <w:p>
      <w:pPr>
        <w:pStyle w:val="Compact"/>
        <w:numPr>
          <w:ilvl w:val="0"/>
          <w:numId w:val="1078"/>
        </w:numPr>
      </w:pPr>
      <w:r>
        <w:t xml:space="preserve">Convert the mailbox to a shared mailbox, retained per policy (typically 90 days), and grant the manager access (custom; an Exchange Online operation, not a Lifecycle Workflows task).</w:t>
      </w:r>
    </w:p>
    <w:p>
      <w:pPr>
        <w:pStyle w:val="Compact"/>
        <w:numPr>
          <w:ilvl w:val="0"/>
          <w:numId w:val="1078"/>
        </w:numPr>
      </w:pPr>
      <w:r>
        <w:t xml:space="preserve">Move the user to the</w:t>
      </w:r>
      <w:r>
        <w:t xml:space="preserve"> </w:t>
      </w:r>
      <w:r>
        <w:t xml:space="preserve">“Departed users”</w:t>
      </w:r>
      <w:r>
        <w:t xml:space="preserve"> </w:t>
      </w:r>
      <w:r>
        <w:t xml:space="preserve">administrative unit, most simply with a dynamic AU rule on</w:t>
      </w:r>
      <w:r>
        <w:t xml:space="preserve"> </w:t>
      </w:r>
      <w:r>
        <w:rPr>
          <w:rStyle w:val="VerbatimChar"/>
        </w:rPr>
        <w:t xml:space="preserve">accountEnabled</w:t>
      </w:r>
      <w:r>
        <w:t xml:space="preserve">.</w:t>
      </w:r>
    </w:p>
    <w:p>
      <w:pPr>
        <w:pStyle w:val="Compact"/>
        <w:numPr>
          <w:ilvl w:val="0"/>
          <w:numId w:val="1078"/>
        </w:numPr>
      </w:pPr>
      <w:r>
        <w:t xml:space="preserve">At T+30 days, remove all group and Teams memberships (</w:t>
      </w:r>
      <w:r>
        <w:t xml:space="preserve">“Remove user from all groups,”</w:t>
      </w:r>
      <w:r>
        <w:t xml:space="preserve"> </w:t>
      </w:r>
      <w:r>
        <w:t xml:space="preserve">“Remove user from all Teams”</w:t>
      </w:r>
      <w:r>
        <w:t xml:space="preserve">).</w:t>
      </w:r>
    </w:p>
    <w:p>
      <w:pPr>
        <w:pStyle w:val="Compact"/>
        <w:numPr>
          <w:ilvl w:val="0"/>
          <w:numId w:val="1078"/>
        </w:numPr>
      </w:pPr>
      <w:r>
        <w:t xml:space="preserve">At T+90 days, delete the account (</w:t>
      </w:r>
      <w:r>
        <w:t xml:space="preserve">“Delete user”</w:t>
      </w:r>
      <w:r>
        <w:t xml:space="preserve">).</w:t>
      </w:r>
    </w:p>
    <w:p>
      <w:pPr>
        <w:pStyle w:val="Compact"/>
        <w:numPr>
          <w:ilvl w:val="0"/>
          <w:numId w:val="1078"/>
        </w:numPr>
      </w:pPr>
      <w:r>
        <w:t xml:space="preserve">Notify the manager, HR, and security operations (</w:t>
      </w:r>
      <w:r>
        <w:t xml:space="preserve">“Send email on user’s last day,”</w:t>
      </w:r>
      <w:r>
        <w:t xml:space="preserve"> </w:t>
      </w:r>
      <w:r>
        <w:t xml:space="preserve">plus custom recipients).</w:t>
      </w:r>
    </w:p>
    <w:p>
      <w:pPr>
        <w:pStyle w:val="FirstParagraph"/>
      </w:pPr>
      <w:r>
        <w:t xml:space="preserve">Two cautions. The</w:t>
      </w:r>
      <w:r>
        <w:t xml:space="preserve"> </w:t>
      </w:r>
      <w:r>
        <w:t xml:space="preserve">“Delete user”</w:t>
      </w:r>
      <w:r>
        <w:t xml:space="preserve"> </w:t>
      </w:r>
      <w:r>
        <w:t xml:space="preserve">task doesn’t support users with Entra role assignments or with membership or ownership of role-assignable groups, so remove privileged access first.</w:t>
      </w:r>
      <w:r>
        <w:rPr>
          <w:rStyle w:val="FootnoteReference"/>
        </w:rPr>
        <w:footnoteReference w:id="990"/>
      </w:r>
      <w:r>
        <w:t xml:space="preserve"> </w:t>
      </w:r>
      <w:r>
        <w:t xml:space="preserve">And a synced user deleted only in the cloud comes back on the next sync; for synced users, delete the account in Active Directory, using the on-premises options Microsoft documents for synced users.</w:t>
      </w:r>
      <w:r>
        <w:rPr>
          <w:rStyle w:val="FootnoteReference"/>
        </w:rPr>
        <w:footnoteReference w:id="991"/>
      </w:r>
    </w:p>
    <w:bookmarkEnd w:id="992"/>
    <w:bookmarkEnd w:id="993"/>
    <w:bookmarkStart w:id="995" w:name="terms-of-use"/>
    <w:p>
      <w:pPr>
        <w:pStyle w:val="Heading3"/>
      </w:pPr>
      <w:r>
        <w:t xml:space="preserve">Terms of use</w:t>
      </w:r>
    </w:p>
    <w:p>
      <w:pPr>
        <w:pStyle w:val="FirstParagraph"/>
      </w:pPr>
      <w:r>
        <w:t xml:space="preserve">Terms of use record compliance attestation and are enforced through Conditional Access; the feature needs Entra ID P1.</w:t>
      </w:r>
      <w:r>
        <w:rPr>
          <w:rStyle w:val="FootnoteReference"/>
        </w:rPr>
        <w:footnoteReference w:id="994"/>
      </w:r>
      <w:r>
        <w:t xml:space="preserve"> </w:t>
      </w:r>
      <w:r>
        <w:t xml:space="preserve">The program uses three:</w:t>
      </w:r>
    </w:p>
    <w:p>
      <w:pPr>
        <w:pStyle w:val="Compact"/>
        <w:numPr>
          <w:ilvl w:val="0"/>
          <w:numId w:val="1079"/>
        </w:numPr>
      </w:pPr>
      <w:r>
        <w:rPr>
          <w:b/>
          <w:bCs/>
        </w:rPr>
        <w:t xml:space="preserve">Employee terms of use.</w:t>
      </w:r>
      <w:r>
        <w:t xml:space="preserve"> </w:t>
      </w:r>
      <w:r>
        <w:t xml:space="preserve">Re-accepted annually: acceptable use, data handling, security responsibilities.</w:t>
      </w:r>
    </w:p>
    <w:p>
      <w:pPr>
        <w:pStyle w:val="Compact"/>
        <w:numPr>
          <w:ilvl w:val="0"/>
          <w:numId w:val="1079"/>
        </w:numPr>
      </w:pPr>
      <w:r>
        <w:rPr>
          <w:b/>
          <w:bCs/>
        </w:rPr>
        <w:t xml:space="preserve">Guest and external terms of use.</w:t>
      </w:r>
      <w:r>
        <w:t xml:space="preserve"> </w:t>
      </w:r>
      <w:r>
        <w:t xml:space="preserve">Accepted on first access and quarterly after: data sharing terms and compliance boundaries.</w:t>
      </w:r>
    </w:p>
    <w:p>
      <w:pPr>
        <w:pStyle w:val="Compact"/>
        <w:numPr>
          <w:ilvl w:val="0"/>
          <w:numId w:val="1079"/>
        </w:numPr>
      </w:pPr>
      <w:r>
        <w:rPr>
          <w:b/>
          <w:bCs/>
        </w:rPr>
        <w:t xml:space="preserve">Privileged access terms of use.</w:t>
      </w:r>
      <w:r>
        <w:t xml:space="preserve"> </w:t>
      </w:r>
      <w:r>
        <w:t xml:space="preserve">Accepted before activating Global Administrator, acknowledging the extra monitoring. Enforce it through the authentication context that PIM requires at activation.</w:t>
      </w:r>
    </w:p>
    <w:bookmarkEnd w:id="995"/>
    <w:bookmarkEnd w:id="996"/>
    <w:bookmarkStart w:id="1018" w:name="cross-tenant-and-b2b-collaboration"/>
    <w:p>
      <w:pPr>
        <w:pStyle w:val="Heading2"/>
      </w:pPr>
      <w:bookmarkStart w:id="1479" w:name="_Toc00001479"/>
      <w:r>
        <w:t xml:space="preserve">Cross-tenant and B2B collaboration</w:t>
      </w:r>
      <w:bookmarkEnd w:id="1479"/>
    </w:p>
    <w:bookmarkStart w:id="1002" w:name="b2b-collaboration"/>
    <w:p>
      <w:pPr>
        <w:pStyle w:val="Heading3"/>
      </w:pPr>
      <w:r>
        <w:t xml:space="preserve">B2B collaboration</w:t>
      </w:r>
    </w:p>
    <w:p>
      <w:pPr>
        <w:pStyle w:val="FirstParagraph"/>
      </w:pPr>
      <w:r>
        <w:t xml:space="preserve">B2B collaboration lets external users access resources in your tenant as guest users. The guest lifecycle has five steps:</w:t>
      </w:r>
    </w:p>
    <w:p>
      <w:pPr>
        <w:pStyle w:val="Compact"/>
        <w:numPr>
          <w:ilvl w:val="0"/>
          <w:numId w:val="1080"/>
        </w:numPr>
      </w:pPr>
      <w:r>
        <w:rPr>
          <w:b/>
          <w:bCs/>
        </w:rPr>
        <w:t xml:space="preserve">Invitation.</w:t>
      </w:r>
      <w:r>
        <w:t xml:space="preserve"> </w:t>
      </w:r>
      <w:r>
        <w:t xml:space="preserve">Sent by an authorized internal sponsor, or generated when a partner user’s access package request is approved.</w:t>
      </w:r>
    </w:p>
    <w:p>
      <w:pPr>
        <w:pStyle w:val="Compact"/>
        <w:numPr>
          <w:ilvl w:val="0"/>
          <w:numId w:val="1080"/>
        </w:numPr>
      </w:pPr>
      <w:r>
        <w:rPr>
          <w:b/>
          <w:bCs/>
        </w:rPr>
        <w:t xml:space="preserve">Redemption.</w:t>
      </w:r>
      <w:r>
        <w:t xml:space="preserve"> </w:t>
      </w:r>
      <w:r>
        <w:t xml:space="preserve">The guest redeems the invitation with home tenant credentials or another supported identity provider.</w:t>
      </w:r>
    </w:p>
    <w:p>
      <w:pPr>
        <w:pStyle w:val="Compact"/>
        <w:numPr>
          <w:ilvl w:val="0"/>
          <w:numId w:val="1080"/>
        </w:numPr>
      </w:pPr>
      <w:r>
        <w:rPr>
          <w:b/>
          <w:bCs/>
        </w:rPr>
        <w:t xml:space="preserve">Access.</w:t>
      </w:r>
      <w:r>
        <w:t xml:space="preserve"> </w:t>
      </w:r>
      <w:r>
        <w:t xml:space="preserve">Governed by group memberships, application assignments, and Conditional Access, like any other user.</w:t>
      </w:r>
    </w:p>
    <w:p>
      <w:pPr>
        <w:pStyle w:val="Compact"/>
        <w:numPr>
          <w:ilvl w:val="0"/>
          <w:numId w:val="1080"/>
        </w:numPr>
      </w:pPr>
      <w:r>
        <w:rPr>
          <w:b/>
          <w:bCs/>
        </w:rPr>
        <w:t xml:space="preserve">Review.</w:t>
      </w:r>
      <w:r>
        <w:t xml:space="preserve"> </w:t>
      </w:r>
      <w:r>
        <w:t xml:space="preserve">Quarterly review by the sponsor (see the access review schedule above).</w:t>
      </w:r>
    </w:p>
    <w:p>
      <w:pPr>
        <w:pStyle w:val="Compact"/>
        <w:numPr>
          <w:ilvl w:val="0"/>
          <w:numId w:val="1080"/>
        </w:numPr>
      </w:pPr>
      <w:r>
        <w:rPr>
          <w:b/>
          <w:bCs/>
        </w:rPr>
        <w:t xml:space="preserve">Offboarding.</w:t>
      </w:r>
      <w:r>
        <w:t xml:space="preserve"> </w:t>
      </w:r>
      <w:r>
        <w:t xml:space="preserve">Disabled or removed when collaboration ends. Guests added through entitlement management are removed automatically when their last assignment expires.</w:t>
      </w:r>
      <w:r>
        <w:rPr>
          <w:rStyle w:val="FootnoteReference"/>
        </w:rPr>
        <w:footnoteReference w:id="997"/>
      </w:r>
    </w:p>
    <w:p>
      <w:pPr>
        <w:pStyle w:val="FirstParagraph"/>
      </w:pPr>
      <w:r>
        <w:t xml:space="preserve">The program’s invitation policies:</w:t>
      </w:r>
    </w:p>
    <w:p>
      <w:pPr>
        <w:pStyle w:val="Compact"/>
        <w:numPr>
          <w:ilvl w:val="0"/>
          <w:numId w:val="1081"/>
        </w:numPr>
      </w:pPr>
      <w:r>
        <w:t xml:space="preserve">Only users with the Guest Inviter role or higher can invite guests.</w:t>
      </w:r>
    </w:p>
    <w:p>
      <w:pPr>
        <w:pStyle w:val="Compact"/>
        <w:numPr>
          <w:ilvl w:val="0"/>
          <w:numId w:val="1081"/>
        </w:numPr>
      </w:pPr>
      <w:r>
        <w:t xml:space="preserve">Invitations are limited to an allowlist of partner domains. This is a program setting; B2B collaboration supports allowlists and blocklists.</w:t>
      </w:r>
      <w:r>
        <w:rPr>
          <w:rStyle w:val="FootnoteReference"/>
        </w:rPr>
        <w:footnoteReference w:id="999"/>
      </w:r>
    </w:p>
    <w:p>
      <w:pPr>
        <w:pStyle w:val="Compact"/>
        <w:numPr>
          <w:ilvl w:val="0"/>
          <w:numId w:val="1081"/>
        </w:numPr>
      </w:pPr>
      <w:r>
        <w:t xml:space="preserve">Self-service sign-up stays off, except for approved applications and identity providers.</w:t>
      </w:r>
    </w:p>
    <w:p>
      <w:pPr>
        <w:pStyle w:val="Compact"/>
        <w:numPr>
          <w:ilvl w:val="0"/>
          <w:numId w:val="1081"/>
        </w:numPr>
      </w:pPr>
      <w:r>
        <w:t xml:space="preserve">Invitations across Microsoft clouds (for example, from a GCC High tenant into a commercial or GCC tenant) must use the user’s UPN, not an email address.</w:t>
      </w:r>
      <w:r>
        <w:rPr>
          <w:rStyle w:val="FootnoteReference"/>
        </w:rPr>
        <w:footnoteReference w:id="1001"/>
      </w:r>
    </w:p>
    <w:bookmarkEnd w:id="1002"/>
    <w:bookmarkStart w:id="1006" w:name="cross-tenant-access-settings"/>
    <w:p>
      <w:pPr>
        <w:pStyle w:val="Heading3"/>
      </w:pPr>
      <w:r>
        <w:t xml:space="preserve">Cross-tenant access settings</w:t>
      </w:r>
    </w:p>
    <w:p>
      <w:pPr>
        <w:pStyle w:val="FirstParagraph"/>
      </w:pPr>
      <w:r>
        <w:t xml:space="preserve">Cross-tenant access settings govern the relationship between your tenant and other Microsoft Entra tenants. By default, B2B collaboration with all other Entra organizations is allowed and B2B direct connect is blocked; organization-specific settings override the defaults.</w:t>
      </w:r>
      <w:r>
        <w:rPr>
          <w:rStyle w:val="FootnoteReference"/>
        </w:rPr>
        <w:footnoteReference w:id="1003"/>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Setting</w:t>
            </w:r>
          </w:p>
        </w:tc>
        <w:tc>
          <w:tcPr/>
          <w:p>
            <w:pPr>
              <w:pStyle w:val="Compact"/>
            </w:pPr>
            <w:r>
              <w:t xml:space="preserve">Inbound (external users into your tenant)</w:t>
            </w:r>
          </w:p>
        </w:tc>
        <w:tc>
          <w:tcPr/>
          <w:p>
            <w:pPr>
              <w:pStyle w:val="Compact"/>
            </w:pPr>
            <w:r>
              <w:t xml:space="preserve">Outbound (your users into other tenants)</w:t>
            </w:r>
          </w:p>
        </w:tc>
      </w:tr>
      <w:tr>
        <w:tc>
          <w:tcPr/>
          <w:p>
            <w:pPr>
              <w:pStyle w:val="Compact"/>
            </w:pPr>
            <w:r>
              <w:t xml:space="preserve">B2B collaboration</w:t>
            </w:r>
          </w:p>
        </w:tc>
        <w:tc>
          <w:tcPr/>
          <w:p>
            <w:pPr>
              <w:pStyle w:val="Compact"/>
            </w:pPr>
            <w:r>
              <w:t xml:space="preserve">Allowed for all by default; the program restricts it to an allowlist of partners</w:t>
            </w:r>
          </w:p>
        </w:tc>
        <w:tc>
          <w:tcPr/>
          <w:p>
            <w:pPr>
              <w:pStyle w:val="Compact"/>
            </w:pPr>
            <w:r>
              <w:t xml:space="preserve">Allow your users to be guests in specific external tenants</w:t>
            </w:r>
          </w:p>
        </w:tc>
      </w:tr>
      <w:tr>
        <w:tc>
          <w:tcPr/>
          <w:p>
            <w:pPr>
              <w:pStyle w:val="Compact"/>
            </w:pPr>
            <w:r>
              <w:t xml:space="preserve">B2B direct connect</w:t>
            </w:r>
          </w:p>
        </w:tc>
        <w:tc>
          <w:tcPr/>
          <w:p>
            <w:pPr>
              <w:pStyle w:val="Compact"/>
            </w:pPr>
            <w:r>
              <w:t xml:space="preserve">Blocked by default; enable per partner for Teams shared channels</w:t>
            </w:r>
          </w:p>
        </w:tc>
        <w:tc>
          <w:tcPr/>
          <w:p>
            <w:pPr>
              <w:pStyle w:val="Compact"/>
            </w:pPr>
            <w:r>
              <w:t xml:space="preserve">Allow your users into a partner’s shared channels</w:t>
            </w:r>
          </w:p>
        </w:tc>
      </w:tr>
      <w:tr>
        <w:tc>
          <w:tcPr/>
          <w:p>
            <w:pPr>
              <w:pStyle w:val="Compact"/>
            </w:pPr>
            <w:r>
              <w:t xml:space="preserve">Trust settings</w:t>
            </w:r>
          </w:p>
        </w:tc>
        <w:tc>
          <w:tcPr/>
          <w:p>
            <w:pPr>
              <w:pStyle w:val="Compact"/>
            </w:pPr>
            <w:r>
              <w:t xml:space="preserve">Trust MFA, compliant device, and hybrid joined device claims from the partner tenant</w:t>
            </w:r>
          </w:p>
        </w:tc>
        <w:tc>
          <w:tcPr/>
          <w:p>
            <w:pPr>
              <w:pStyle w:val="Compact"/>
            </w:pPr>
            <w:r>
              <w:t xml:space="preserve">Not applicable</w:t>
            </w:r>
          </w:p>
        </w:tc>
      </w:tr>
      <w:tr>
        <w:tc>
          <w:tcPr/>
          <w:p>
            <w:pPr>
              <w:pStyle w:val="Compact"/>
            </w:pPr>
            <w:r>
              <w:t xml:space="preserve">Automatic redemption</w:t>
            </w:r>
          </w:p>
        </w:tc>
        <w:tc>
          <w:tcPr/>
          <w:p>
            <w:pPr>
              <w:pStyle w:val="Compact"/>
            </w:pPr>
            <w:r>
              <w:t xml:space="preserve">Suppress the consent prompt for a trusted partner</w:t>
            </w:r>
          </w:p>
        </w:tc>
        <w:tc>
          <w:tcPr/>
          <w:p>
            <w:pPr>
              <w:pStyle w:val="Compact"/>
            </w:pPr>
            <w:r>
              <w:t xml:space="preserve">Same, in the other direction</w:t>
            </w:r>
          </w:p>
        </w:tc>
      </w:tr>
    </w:tbl>
    <w:p>
      <w:pPr>
        <w:pStyle w:val="BodyText"/>
      </w:pPr>
      <w:r>
        <w:t xml:space="preserve">Trusting a partner’s MFA claims means your Conditional Access MFA requirements are still enforced, but a user who already completed MFA at home isn’t prompted again.</w:t>
      </w:r>
      <w:r>
        <w:rPr>
          <w:rStyle w:val="FootnoteReference"/>
        </w:rPr>
        <w:footnoteReference w:id="1004"/>
      </w:r>
      <w:r>
        <w:t xml:space="preserve"> </w:t>
      </w:r>
      <w:r>
        <w:t xml:space="preserve">For organizations that run several tenants of their own, cross-tenant synchronization creates and maintains B2B users across them automatically; syncing users within the same cloud needs P1, and syncing groups or syncing across clouds needs Entra ID Governance.</w:t>
      </w:r>
      <w:r>
        <w:rPr>
          <w:rStyle w:val="FootnoteReference"/>
        </w:rPr>
        <w:footnoteReference w:id="1005"/>
      </w:r>
    </w:p>
    <w:bookmarkEnd w:id="1006"/>
    <w:bookmarkStart w:id="1011" w:name="Xc6004549abae5549c9997eb1f9912a0c98da44c"/>
    <w:p>
      <w:pPr>
        <w:pStyle w:val="Heading3"/>
      </w:pPr>
      <w:r>
        <w:t xml:space="preserve">B2B direct connect and B2B collaboration compared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Criterion</w:t>
            </w:r>
          </w:p>
        </w:tc>
        <w:tc>
          <w:tcPr/>
          <w:p>
            <w:pPr>
              <w:pStyle w:val="Compact"/>
            </w:pPr>
            <w:r>
              <w:t xml:space="preserve">B2B collaboration</w:t>
            </w:r>
          </w:p>
        </w:tc>
        <w:tc>
          <w:tcPr/>
          <w:p>
            <w:pPr>
              <w:pStyle w:val="Compact"/>
            </w:pPr>
            <w:r>
              <w:t xml:space="preserve">B2B direct connect</w:t>
            </w:r>
          </w:p>
        </w:tc>
      </w:tr>
      <w:tr>
        <w:tc>
          <w:tcPr/>
          <w:p>
            <w:pPr>
              <w:pStyle w:val="Compact"/>
            </w:pPr>
            <w:r>
              <w:t xml:space="preserve">Guest object in your tenant</w:t>
            </w:r>
          </w:p>
        </w:tc>
        <w:tc>
          <w:tcPr/>
          <w:p>
            <w:pPr>
              <w:pStyle w:val="Compact"/>
            </w:pPr>
            <w:r>
              <w:t xml:space="preserve">Yes</w:t>
            </w:r>
          </w:p>
        </w:tc>
        <w:tc>
          <w:tcPr/>
          <w:p>
            <w:pPr>
              <w:pStyle w:val="Compact"/>
            </w:pPr>
            <w:r>
              <w:t xml:space="preserve">No; the user signs in with home credentials and has no directory object</w:t>
            </w:r>
          </w:p>
        </w:tc>
      </w:tr>
      <w:tr>
        <w:tc>
          <w:tcPr/>
          <w:p>
            <w:pPr>
              <w:pStyle w:val="Compact"/>
            </w:pPr>
            <w:r>
              <w:t xml:space="preserve">Scope</w:t>
            </w:r>
          </w:p>
        </w:tc>
        <w:tc>
          <w:tcPr/>
          <w:p>
            <w:pPr>
              <w:pStyle w:val="Compact"/>
            </w:pPr>
            <w:r>
              <w:t xml:space="preserve">Any application your Conditional Access governs</w:t>
            </w:r>
          </w:p>
        </w:tc>
        <w:tc>
          <w:tcPr/>
          <w:p>
            <w:pPr>
              <w:pStyle w:val="Compact"/>
            </w:pPr>
            <w:r>
              <w:t xml:space="preserve">Microsoft Teams shared channels only</w:t>
            </w:r>
            <w:r>
              <w:rPr>
                <w:rStyle w:val="FootnoteReference"/>
              </w:rPr>
              <w:footnoteReference w:id="1007"/>
            </w:r>
          </w:p>
        </w:tc>
      </w:tr>
      <w:tr>
        <w:tc>
          <w:tcPr/>
          <w:p>
            <w:pPr>
              <w:pStyle w:val="Compact"/>
            </w:pPr>
            <w:r>
              <w:t xml:space="preserve">Setup</w:t>
            </w:r>
          </w:p>
        </w:tc>
        <w:tc>
          <w:tcPr/>
          <w:p>
            <w:pPr>
              <w:pStyle w:val="Compact"/>
            </w:pPr>
            <w:r>
              <w:t xml:space="preserve">Your tenant’s settings</w:t>
            </w:r>
          </w:p>
        </w:tc>
        <w:tc>
          <w:tcPr/>
          <w:p>
            <w:pPr>
              <w:pStyle w:val="Compact"/>
            </w:pPr>
            <w:r>
              <w:t xml:space="preserve">Both tenants must enable it mutually</w:t>
            </w:r>
            <w:r>
              <w:rPr>
                <w:rStyle w:val="FootnoteReference"/>
              </w:rPr>
              <w:footnoteReference w:id="1009"/>
            </w:r>
          </w:p>
        </w:tc>
      </w:tr>
      <w:tr>
        <w:tc>
          <w:tcPr/>
          <w:p>
            <w:pPr>
              <w:pStyle w:val="Compact"/>
            </w:pPr>
            <w:r>
              <w:t xml:space="preserve">Governance visibility</w:t>
            </w:r>
          </w:p>
        </w:tc>
        <w:tc>
          <w:tcPr/>
          <w:p>
            <w:pPr>
              <w:pStyle w:val="Compact"/>
            </w:pPr>
            <w:r>
              <w:t xml:space="preserve">Full: directory object, access reviews, sign-in logs</w:t>
            </w:r>
          </w:p>
        </w:tc>
        <w:tc>
          <w:tcPr/>
          <w:p>
            <w:pPr>
              <w:pStyle w:val="Compact"/>
            </w:pPr>
            <w:r>
              <w:t xml:space="preserve">Limited: managed in the application by channel owners</w:t>
            </w:r>
          </w:p>
        </w:tc>
      </w:tr>
      <w:tr>
        <w:tc>
          <w:tcPr/>
          <w:p>
            <w:pPr>
              <w:pStyle w:val="Compact"/>
            </w:pPr>
            <w:r>
              <w:t xml:space="preserve">Conditional Access</w:t>
            </w:r>
          </w:p>
        </w:tc>
        <w:tc>
          <w:tcPr/>
          <w:p>
            <w:pPr>
              <w:pStyle w:val="Compact"/>
            </w:pPr>
            <w:r>
              <w:t xml:space="preserve">Applies fully</w:t>
            </w:r>
          </w:p>
        </w:tc>
        <w:tc>
          <w:tcPr/>
          <w:p>
            <w:pPr>
              <w:pStyle w:val="Compact"/>
            </w:pPr>
            <w:r>
              <w:t xml:space="preserve">Applies, but needs inbound MFA trust if your policies require MFA</w:t>
            </w:r>
            <w:r>
              <w:rPr>
                <w:rStyle w:val="FootnoteReference"/>
              </w:rPr>
              <w:footnoteReference w:id="1010"/>
            </w:r>
          </w:p>
        </w:tc>
      </w:tr>
      <w:tr>
        <w:tc>
          <w:tcPr/>
          <w:p>
            <w:pPr>
              <w:pStyle w:val="Compact"/>
            </w:pPr>
            <w:r>
              <w:t xml:space="preserve">Program position</w:t>
            </w:r>
          </w:p>
        </w:tc>
        <w:tc>
          <w:tcPr/>
          <w:p>
            <w:pPr>
              <w:pStyle w:val="Compact"/>
            </w:pPr>
            <w:r>
              <w:t xml:space="preserve">Preferred for sharing resources and applications</w:t>
            </w:r>
          </w:p>
        </w:tc>
        <w:tc>
          <w:tcPr/>
          <w:p>
            <w:pPr>
              <w:pStyle w:val="Compact"/>
            </w:pPr>
            <w:r>
              <w:t xml:space="preserve">Acceptable for Teams-only collaboration with trusted partners</w:t>
            </w:r>
          </w:p>
        </w:tc>
      </w:tr>
    </w:tbl>
    <w:bookmarkEnd w:id="1011"/>
    <w:bookmarkStart w:id="1016" w:name="external-identity-providers"/>
    <w:p>
      <w:pPr>
        <w:pStyle w:val="Heading3"/>
      </w:pPr>
      <w:r>
        <w:t xml:space="preserve">External identity providers</w:t>
      </w:r>
    </w:p>
    <w:p>
      <w:pPr>
        <w:pStyle w:val="FirstParagraph"/>
      </w:pPr>
      <w:r>
        <w:t xml:space="preserve">For guests from organizations that don’t use Entra ID, B2B collaboration supports:</w:t>
      </w:r>
      <w:r>
        <w:rPr>
          <w:rStyle w:val="FootnoteReference"/>
        </w:rPr>
        <w:footnoteReference w:id="1012"/>
      </w:r>
    </w:p>
    <w:p>
      <w:pPr>
        <w:pStyle w:val="Compact"/>
        <w:numPr>
          <w:ilvl w:val="0"/>
          <w:numId w:val="1082"/>
        </w:numPr>
      </w:pPr>
      <w:r>
        <w:rPr>
          <w:b/>
          <w:bCs/>
        </w:rPr>
        <w:t xml:space="preserve">Microsoft accounts</w:t>
      </w:r>
      <w:r>
        <w:t xml:space="preserve">, built in.</w:t>
      </w:r>
    </w:p>
    <w:p>
      <w:pPr>
        <w:pStyle w:val="Compact"/>
        <w:numPr>
          <w:ilvl w:val="0"/>
          <w:numId w:val="1082"/>
        </w:numPr>
      </w:pPr>
      <w:r>
        <w:rPr>
          <w:b/>
          <w:bCs/>
        </w:rPr>
        <w:t xml:space="preserve">Google federation</w:t>
      </w:r>
      <w:r>
        <w:t xml:space="preserve">, for Google Workspace users.</w:t>
      </w:r>
    </w:p>
    <w:p>
      <w:pPr>
        <w:pStyle w:val="Compact"/>
        <w:numPr>
          <w:ilvl w:val="0"/>
          <w:numId w:val="1082"/>
        </w:numPr>
      </w:pPr>
      <w:r>
        <w:rPr>
          <w:b/>
          <w:bCs/>
        </w:rPr>
        <w:t xml:space="preserve">SAML/WS-Fed identity provider federation</w:t>
      </w:r>
      <w:r>
        <w:t xml:space="preserve">, for partners with a non-Microsoft enterprise identity provider.</w:t>
      </w:r>
    </w:p>
    <w:p>
      <w:pPr>
        <w:pStyle w:val="Compact"/>
        <w:numPr>
          <w:ilvl w:val="0"/>
          <w:numId w:val="1082"/>
        </w:numPr>
      </w:pPr>
      <w:r>
        <w:rPr>
          <w:b/>
          <w:bCs/>
        </w:rPr>
        <w:t xml:space="preserve">Email one-time passcode</w:t>
      </w:r>
      <w:r>
        <w:t xml:space="preserve">, the fallback for guests who can’t use any of the above. It’s on by default in new tenants. Conditional Access authentication strengths can’t be applied to these guests; use the</w:t>
      </w:r>
      <w:r>
        <w:t xml:space="preserve"> </w:t>
      </w:r>
      <w:r>
        <w:t xml:space="preserve">“require MFA”</w:t>
      </w:r>
      <w:r>
        <w:t xml:space="preserve"> </w:t>
      </w:r>
      <w:r>
        <w:t xml:space="preserve">grant control instead.</w:t>
      </w:r>
      <w:r>
        <w:rPr>
          <w:rStyle w:val="FootnoteReference"/>
        </w:rPr>
        <w:footnoteReference w:id="1014"/>
      </w:r>
    </w:p>
    <w:bookmarkEnd w:id="1016"/>
    <w:bookmarkStart w:id="1017" w:name="mapping-ad-trusts-to-cross-tenant-access"/>
    <w:p>
      <w:pPr>
        <w:pStyle w:val="Heading3"/>
      </w:pPr>
      <w:r>
        <w:t xml:space="preserve">Mapping AD trusts to cross-tenant access</w:t>
      </w:r>
    </w:p>
    <w:p>
      <w:pPr>
        <w:pStyle w:val="FirstParagraph"/>
      </w:pPr>
      <w:r>
        <w:t xml:space="preserve">Forest and external trusts don’t migrate; each becomes a cross-tenant or federation configuration. The trust inventory itself comes from Chapter 08. The equivalences are the program’s design: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AD trust type</w:t>
            </w:r>
          </w:p>
        </w:tc>
        <w:tc>
          <w:tcPr/>
          <w:p>
            <w:pPr>
              <w:pStyle w:val="Compact"/>
            </w:pPr>
            <w:r>
              <w:t xml:space="preserve">Entra ID equivalent</w:t>
            </w:r>
          </w:p>
        </w:tc>
        <w:tc>
          <w:tcPr/>
          <w:p>
            <w:pPr>
              <w:pStyle w:val="Compact"/>
            </w:pPr>
            <w:r>
              <w:t xml:space="preserve">Migration approach</w:t>
            </w:r>
          </w:p>
        </w:tc>
      </w:tr>
      <w:tr>
        <w:tc>
          <w:tcPr/>
          <w:p>
            <w:pPr>
              <w:pStyle w:val="Compact"/>
            </w:pPr>
            <w:r>
              <w:t xml:space="preserve">Two-way forest trust</w:t>
            </w:r>
          </w:p>
        </w:tc>
        <w:tc>
          <w:tcPr/>
          <w:p>
            <w:pPr>
              <w:pStyle w:val="Compact"/>
            </w:pPr>
            <w:r>
              <w:t xml:space="preserve">Cross-tenant access settings, inbound and outbound</w:t>
            </w:r>
          </w:p>
        </w:tc>
        <w:tc>
          <w:tcPr/>
          <w:p>
            <w:pPr>
              <w:pStyle w:val="Compact"/>
            </w:pPr>
            <w:r>
              <w:t xml:space="preserve">Configure both tenants; trust MFA</w:t>
            </w:r>
          </w:p>
        </w:tc>
      </w:tr>
      <w:tr>
        <w:tc>
          <w:tcPr/>
          <w:p>
            <w:pPr>
              <w:pStyle w:val="Compact"/>
            </w:pPr>
            <w:r>
              <w:t xml:space="preserve">One-way forest trust (incoming)</w:t>
            </w:r>
          </w:p>
        </w:tc>
        <w:tc>
          <w:tcPr/>
          <w:p>
            <w:pPr>
              <w:pStyle w:val="Compact"/>
            </w:pPr>
            <w:r>
              <w:t xml:space="preserve">Inbound cross-tenant access for the partner tenant</w:t>
            </w:r>
          </w:p>
        </w:tc>
        <w:tc>
          <w:tcPr/>
          <w:p>
            <w:pPr>
              <w:pStyle w:val="Compact"/>
            </w:pPr>
            <w:r>
              <w:t xml:space="preserve">Configure inbound B2B collaboration</w:t>
            </w:r>
          </w:p>
        </w:tc>
      </w:tr>
      <w:tr>
        <w:tc>
          <w:tcPr/>
          <w:p>
            <w:pPr>
              <w:pStyle w:val="Compact"/>
            </w:pPr>
            <w:r>
              <w:t xml:space="preserve">External trust (domain-level)</w:t>
            </w:r>
          </w:p>
        </w:tc>
        <w:tc>
          <w:tcPr/>
          <w:p>
            <w:pPr>
              <w:pStyle w:val="Compact"/>
            </w:pPr>
            <w:r>
              <w:t xml:space="preserve">Organization-specific cross-tenant settings</w:t>
            </w:r>
          </w:p>
        </w:tc>
        <w:tc>
          <w:tcPr/>
          <w:p>
            <w:pPr>
              <w:pStyle w:val="Compact"/>
            </w:pPr>
            <w:r>
              <w:t xml:space="preserve">Configure per-organization settings</w:t>
            </w:r>
          </w:p>
        </w:tc>
      </w:tr>
      <w:tr>
        <w:tc>
          <w:tcPr/>
          <w:p>
            <w:pPr>
              <w:pStyle w:val="Compact"/>
            </w:pPr>
            <w:r>
              <w:t xml:space="preserve">Realm trust (Kerberos)</w:t>
            </w:r>
          </w:p>
        </w:tc>
        <w:tc>
          <w:tcPr/>
          <w:p>
            <w:pPr>
              <w:pStyle w:val="Compact"/>
            </w:pPr>
            <w:r>
              <w:t xml:space="preserve">SAML/WS-Fed federation with the external identity provider</w:t>
            </w:r>
          </w:p>
        </w:tc>
        <w:tc>
          <w:tcPr/>
          <w:p>
            <w:pPr>
              <w:pStyle w:val="Compact"/>
            </w:pPr>
            <w:r>
              <w:t xml:space="preserve">Establish federation</w:t>
            </w:r>
          </w:p>
        </w:tc>
      </w:tr>
    </w:tbl>
    <w:bookmarkEnd w:id="1017"/>
    <w:bookmarkEnd w:id="1018"/>
    <w:bookmarkStart w:id="1044" w:name="authentication-modernization"/>
    <w:p>
      <w:pPr>
        <w:pStyle w:val="Heading2"/>
      </w:pPr>
      <w:bookmarkStart w:id="1480" w:name="_Toc00001480"/>
      <w:r>
        <w:t xml:space="preserve">Authentication modernization</w:t>
      </w:r>
      <w:bookmarkEnd w:id="1480"/>
    </w:p>
    <w:bookmarkStart w:id="1022" w:name="password-hash-sync-as-the-foundation"/>
    <w:p>
      <w:pPr>
        <w:pStyle w:val="Heading3"/>
      </w:pPr>
      <w:r>
        <w:t xml:space="preserve">Password hash sync as the foundation</w:t>
      </w:r>
    </w:p>
    <w:p>
      <w:pPr>
        <w:pStyle w:val="FirstParagraph"/>
      </w:pPr>
      <w:r>
        <w:t xml:space="preserve">Whatever the sign-in method, password hash sync (PHS) stays on. It gives three things the other methods don’t:</w:t>
      </w:r>
    </w:p>
    <w:p>
      <w:pPr>
        <w:pStyle w:val="Compact"/>
        <w:numPr>
          <w:ilvl w:val="0"/>
          <w:numId w:val="1083"/>
        </w:numPr>
      </w:pPr>
      <w:r>
        <w:rPr>
          <w:b/>
          <w:bCs/>
        </w:rPr>
        <w:t xml:space="preserve">Leaked-credential detection.</w:t>
      </w:r>
      <w:r>
        <w:t xml:space="preserve"> </w:t>
      </w:r>
      <w:r>
        <w:t xml:space="preserve">ID Protection checks synced credentials against leaked credential lists. The detection itself isn’t a premium feature, but its full reporting and risk-based Conditional Access require P2.</w:t>
      </w:r>
      <w:r>
        <w:rPr>
          <w:rStyle w:val="FootnoteReference"/>
        </w:rPr>
        <w:footnoteReference w:id="1019"/>
      </w:r>
      <w:r>
        <w:rPr>
          <w:rStyle w:val="FootnoteReference"/>
        </w:rPr>
        <w:footnoteReference w:id="1020"/>
      </w:r>
    </w:p>
    <w:p>
      <w:pPr>
        <w:pStyle w:val="Compact"/>
        <w:numPr>
          <w:ilvl w:val="0"/>
          <w:numId w:val="1083"/>
        </w:numPr>
      </w:pPr>
      <w:r>
        <w:rPr>
          <w:b/>
          <w:bCs/>
        </w:rPr>
        <w:t xml:space="preserve">A fallback.</w:t>
      </w:r>
      <w:r>
        <w:t xml:space="preserve"> </w:t>
      </w:r>
      <w:r>
        <w:t xml:space="preserve">If pass-through agents or AD FS fail, an administrator can switch the sign-in method to PHS. The switch is manual.</w:t>
      </w:r>
      <w:r>
        <w:rPr>
          <w:rStyle w:val="FootnoteReference"/>
        </w:rPr>
        <w:footnoteReference w:id="1021"/>
      </w:r>
    </w:p>
    <w:p>
      <w:pPr>
        <w:pStyle w:val="Compact"/>
        <w:numPr>
          <w:ilvl w:val="0"/>
          <w:numId w:val="1083"/>
        </w:numPr>
      </w:pPr>
      <w:r>
        <w:rPr>
          <w:b/>
          <w:bCs/>
        </w:rPr>
        <w:t xml:space="preserve">Cloud smart lockout</w:t>
      </w:r>
      <w:r>
        <w:t xml:space="preserve">, which protects against password spray in the cloud without locking the on-premises account.</w:t>
      </w:r>
    </w:p>
    <w:bookmarkEnd w:id="1022"/>
    <w:bookmarkStart w:id="1032" w:name="X5a1bda4c8d36526c4436ce6bb6021f2796cddff"/>
    <w:p>
      <w:pPr>
        <w:pStyle w:val="Heading3"/>
      </w:pPr>
      <w:r>
        <w:t xml:space="preserve">The phishing-resistant authentication roadmap</w:t>
      </w:r>
    </w:p>
    <w:p>
      <w:pPr>
        <w:pStyle w:val="FirstParagraph"/>
      </w:pPr>
      <w:r>
        <w:t xml:space="preserve">OMB M-22-09 requires phishing-resistant MFA for agency staff, contractors, and partners, and requires that it be an option for public users. For routine self-service access, agencies must stop supporting methods that fail to resist phishing, including SMS or voice codes, one-time codes, and push notifications. It names PIV (including derived PIV) as the simplest route and allows FIDO2 and WebAuthn authenticators where PIV isn’t practical, and it notes that OMB M-19-17 makes PIV the primary means of authentication to federal systems.</w:t>
      </w:r>
      <w:r>
        <w:rPr>
          <w:rStyle w:val="FootnoteReference"/>
        </w:rPr>
        <w:footnoteReference w:id="1023"/>
      </w:r>
      <w:r>
        <w:t xml:space="preserve"> </w:t>
      </w:r>
      <w:r>
        <w:t xml:space="preserve">The memo set its targets for the end of fiscal year 2024, so as of October 2026 these are requirements to meet, not goals to plan toward.</w:t>
      </w:r>
      <w:r>
        <w:rPr>
          <w:rStyle w:val="FootnoteReference"/>
        </w:rPr>
        <w:footnoteReference w:id="1025"/>
      </w:r>
    </w:p>
    <w:p>
      <w:pPr>
        <w:pStyle w:val="BodyText"/>
      </w:pPr>
      <w:r>
        <w:t xml:space="preserve">That changes the order of the program’s roadmap. The earlier version treated certificate-based authentication for smart cards as the last phase, for</w:t>
      </w:r>
      <w:r>
        <w:t xml:space="preserve"> </w:t>
      </w:r>
      <w:r>
        <w:t xml:space="preserve">“high-security users.”</w:t>
      </w:r>
      <w:r>
        <w:t xml:space="preserve"> </w:t>
      </w:r>
      <w:r>
        <w:t xml:space="preserve">For a federal workforce that already carries PIV or CAC cards, Microsoft Entra certificate-based authentication (CBA) is the fastest path to phishing-resistant MFA, because the credential is already issued. CBA supports PIV, CAC, and derived PIV credentials directly against Entra ID, without a federation server.</w:t>
      </w:r>
      <w:r>
        <w:rPr>
          <w:rStyle w:val="FootnoteReference"/>
        </w:rPr>
        <w:footnoteReference w:id="1026"/>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Phase</w:t>
            </w:r>
          </w:p>
        </w:tc>
        <w:tc>
          <w:tcPr/>
          <w:p>
            <w:pPr>
              <w:pStyle w:val="Compact"/>
            </w:pPr>
            <w:r>
              <w:t xml:space="preserve">Population</w:t>
            </w:r>
          </w:p>
        </w:tc>
        <w:tc>
          <w:tcPr/>
          <w:p>
            <w:pPr>
              <w:pStyle w:val="Compact"/>
            </w:pPr>
            <w:r>
              <w:t xml:space="preserve">Method</w:t>
            </w:r>
          </w:p>
        </w:tc>
        <w:tc>
          <w:tcPr/>
          <w:p>
            <w:pPr>
              <w:pStyle w:val="Compact"/>
            </w:pPr>
            <w:r>
              <w:t xml:space="preserve">Prerequisites</w:t>
            </w:r>
          </w:p>
        </w:tc>
        <w:tc>
          <w:tcPr/>
          <w:p>
            <w:pPr>
              <w:pStyle w:val="Compact"/>
            </w:pPr>
            <w:r>
              <w:t xml:space="preserve">Duration (program estimate)</w:t>
            </w:r>
          </w:p>
        </w:tc>
      </w:tr>
      <w:tr>
        <w:tc>
          <w:tcPr/>
          <w:p>
            <w:pPr>
              <w:pStyle w:val="Compact"/>
            </w:pPr>
            <w:r>
              <w:t xml:space="preserve">1</w:t>
            </w:r>
          </w:p>
        </w:tc>
        <w:tc>
          <w:tcPr/>
          <w:p>
            <w:pPr>
              <w:pStyle w:val="Compact"/>
            </w:pPr>
            <w:r>
              <w:t xml:space="preserve">Privileged accounts (PIM-eligible users)</w:t>
            </w:r>
          </w:p>
        </w:tc>
        <w:tc>
          <w:tcPr/>
          <w:p>
            <w:pPr>
              <w:pStyle w:val="Compact"/>
            </w:pPr>
            <w:r>
              <w:t xml:space="preserve">FIDO2 security keys (passkeys), plus PIV/CAC through CBA where the admin holds a card</w:t>
            </w:r>
          </w:p>
        </w:tc>
        <w:tc>
          <w:tcPr/>
          <w:p>
            <w:pPr>
              <w:pStyle w:val="Compact"/>
            </w:pPr>
            <w:r>
              <w:t xml:space="preserve">Keys procured; passkey profile with attestation enforced; CBA trusted certificate authorities configured</w:t>
            </w:r>
          </w:p>
        </w:tc>
        <w:tc>
          <w:tcPr/>
          <w:p>
            <w:pPr>
              <w:pStyle w:val="Compact"/>
            </w:pPr>
            <w:r>
              <w:t xml:space="preserve">4–6 weeks</w:t>
            </w:r>
          </w:p>
        </w:tc>
      </w:tr>
      <w:tr>
        <w:tc>
          <w:tcPr/>
          <w:p>
            <w:pPr>
              <w:pStyle w:val="Compact"/>
            </w:pPr>
            <w:r>
              <w:t xml:space="preserve">2</w:t>
            </w:r>
          </w:p>
        </w:tc>
        <w:tc>
          <w:tcPr/>
          <w:p>
            <w:pPr>
              <w:pStyle w:val="Compact"/>
            </w:pPr>
            <w:r>
              <w:t xml:space="preserve">PIV and CAC holders</w:t>
            </w:r>
          </w:p>
        </w:tc>
        <w:tc>
          <w:tcPr/>
          <w:p>
            <w:pPr>
              <w:pStyle w:val="Compact"/>
            </w:pPr>
            <w:r>
              <w:t xml:space="preserve">Microsoft Entra certificate-based authentication</w:t>
            </w:r>
          </w:p>
        </w:tc>
        <w:tc>
          <w:tcPr/>
          <w:p>
            <w:pPr>
              <w:pStyle w:val="Compact"/>
            </w:pPr>
            <w:r>
              <w:t xml:space="preserve">Certificate authorities and revocation checking configured; username bindings validated; workbook PKI material</w:t>
            </w:r>
          </w:p>
        </w:tc>
        <w:tc>
          <w:tcPr/>
          <w:p>
            <w:pPr>
              <w:pStyle w:val="Compact"/>
            </w:pPr>
            <w:r>
              <w:t xml:space="preserve">8–12 weeks</w:t>
            </w:r>
          </w:p>
        </w:tc>
      </w:tr>
      <w:tr>
        <w:tc>
          <w:tcPr/>
          <w:p>
            <w:pPr>
              <w:pStyle w:val="Compact"/>
            </w:pPr>
            <w:r>
              <w:t xml:space="preserve">3</w:t>
            </w:r>
          </w:p>
        </w:tc>
        <w:tc>
          <w:tcPr/>
          <w:p>
            <w:pPr>
              <w:pStyle w:val="Compact"/>
            </w:pPr>
            <w:r>
              <w:t xml:space="preserve">Managed Windows devices</w:t>
            </w:r>
          </w:p>
        </w:tc>
        <w:tc>
          <w:tcPr/>
          <w:p>
            <w:pPr>
              <w:pStyle w:val="Compact"/>
            </w:pPr>
            <w:r>
              <w:t xml:space="preserve">Windows Hello for Business</w:t>
            </w:r>
          </w:p>
        </w:tc>
        <w:tc>
          <w:tcPr/>
          <w:p>
            <w:pPr>
              <w:pStyle w:val="Compact"/>
            </w:pPr>
            <w:r>
              <w:t xml:space="preserve">Intune enrollment; Windows Hello for Business policy; TPM 2.0</w:t>
            </w:r>
          </w:p>
        </w:tc>
        <w:tc>
          <w:tcPr/>
          <w:p>
            <w:pPr>
              <w:pStyle w:val="Compact"/>
            </w:pPr>
            <w:r>
              <w:t xml:space="preserve">8–12 weeks</w:t>
            </w:r>
          </w:p>
        </w:tc>
      </w:tr>
      <w:tr>
        <w:tc>
          <w:tcPr/>
          <w:p>
            <w:pPr>
              <w:pStyle w:val="Compact"/>
            </w:pPr>
            <w:r>
              <w:t xml:space="preserve">4</w:t>
            </w:r>
          </w:p>
        </w:tc>
        <w:tc>
          <w:tcPr/>
          <w:p>
            <w:pPr>
              <w:pStyle w:val="Compact"/>
            </w:pPr>
            <w:r>
              <w:t xml:space="preserve">Remaining users, including mobile</w:t>
            </w:r>
          </w:p>
        </w:tc>
        <w:tc>
          <w:tcPr/>
          <w:p>
            <w:pPr>
              <w:pStyle w:val="Compact"/>
            </w:pPr>
            <w:r>
              <w:t xml:space="preserve">Passkeys in Microsoft Authenticator</w:t>
            </w:r>
          </w:p>
        </w:tc>
        <w:tc>
          <w:tcPr/>
          <w:p>
            <w:pPr>
              <w:pStyle w:val="Compact"/>
            </w:pPr>
            <w:r>
              <w:t xml:space="preserve">Android 14 or iOS 17 or later; a passkey profile targeting the Authenticator AAGUIDs; registration campaign</w:t>
            </w:r>
            <w:r>
              <w:rPr>
                <w:rStyle w:val="FootnoteReference"/>
              </w:rPr>
              <w:footnoteReference w:id="1027"/>
            </w:r>
          </w:p>
        </w:tc>
        <w:tc>
          <w:tcPr/>
          <w:p>
            <w:pPr>
              <w:pStyle w:val="Compact"/>
            </w:pPr>
            <w:r>
              <w:t xml:space="preserve">8–12 weeks</w:t>
            </w:r>
          </w:p>
        </w:tc>
      </w:tr>
    </w:tbl>
    <w:p>
      <w:pPr>
        <w:pStyle w:val="BodyText"/>
      </w:pPr>
      <w:r>
        <w:t xml:space="preserve">All four methods meet the built-in phishing-resistant MFA authentication strength (passkeys in Authenticator count as FIDO2 passkeys).</w:t>
      </w:r>
      <w:r>
        <w:rPr>
          <w:rStyle w:val="FootnoteReference"/>
        </w:rPr>
        <w:footnoteReference w:id="1029"/>
      </w:r>
      <w:r>
        <w:t xml:space="preserve"> </w:t>
      </w:r>
      <w:r>
        <w:t xml:space="preserve">Passkey profiles let you set different rules for different groups; for example, device-bound passkeys with attestation enforced for administrators, and synced passkeys allowed for lower-risk populations.</w:t>
      </w:r>
      <w:r>
        <w:rPr>
          <w:rStyle w:val="FootnoteReference"/>
        </w:rPr>
        <w:footnoteReference w:id="1030"/>
      </w:r>
    </w:p>
    <w:bookmarkEnd w:id="1032"/>
    <w:bookmarkStart w:id="1039" w:name="authentication-methods-policy"/>
    <w:p>
      <w:pPr>
        <w:pStyle w:val="Heading3"/>
      </w:pPr>
      <w:r>
        <w:t xml:space="preserve">Authentication methods policy</w:t>
      </w:r>
    </w:p>
    <w:p>
      <w:pPr>
        <w:pStyle w:val="FirstParagraph"/>
      </w:pPr>
      <w:r>
        <w:t xml:space="preserve">The Authentication methods policy decides which methods are available to which users. The program’s configuration:</w:t>
      </w:r>
    </w:p>
    <w:p>
      <w:pPr>
        <w:pStyle w:val="Compact"/>
        <w:numPr>
          <w:ilvl w:val="0"/>
          <w:numId w:val="1084"/>
        </w:numPr>
      </w:pPr>
      <w:r>
        <w:rPr>
          <w:b/>
          <w:bCs/>
        </w:rPr>
        <w:t xml:space="preserve">Passkeys (FIDO2).</w:t>
      </w:r>
      <w:r>
        <w:t xml:space="preserve"> </w:t>
      </w:r>
      <w:r>
        <w:t xml:space="preserve">Enabled for the Admins group in phase 1, then all users. Use passkey profiles: device-bound with attestation enforced for privileged users. Users must have completed MFA within the past five minutes before they can register a passkey.</w:t>
      </w:r>
      <w:r>
        <w:rPr>
          <w:rStyle w:val="FootnoteReference"/>
        </w:rPr>
        <w:footnoteReference w:id="1033"/>
      </w:r>
    </w:p>
    <w:p>
      <w:pPr>
        <w:pStyle w:val="Compact"/>
        <w:numPr>
          <w:ilvl w:val="0"/>
          <w:numId w:val="1084"/>
        </w:numPr>
      </w:pPr>
      <w:r>
        <w:rPr>
          <w:b/>
          <w:bCs/>
        </w:rPr>
        <w:t xml:space="preserve">Certificate-based authentication.</w:t>
      </w:r>
      <w:r>
        <w:t xml:space="preserve"> </w:t>
      </w:r>
      <w:r>
        <w:t xml:space="preserve">Enabled for PIV and CAC holders in phase 2, configured as multifactor so that it meets the phishing-resistant strength.</w:t>
      </w:r>
    </w:p>
    <w:p>
      <w:pPr>
        <w:pStyle w:val="Compact"/>
        <w:numPr>
          <w:ilvl w:val="0"/>
          <w:numId w:val="1084"/>
        </w:numPr>
      </w:pPr>
      <w:r>
        <w:rPr>
          <w:b/>
          <w:bCs/>
        </w:rPr>
        <w:t xml:space="preserve">Microsoft Authenticator.</w:t>
      </w:r>
      <w:r>
        <w:t xml:space="preserve"> </w:t>
      </w:r>
      <w:r>
        <w:t xml:space="preserve">Enabled for all users during the transition. Number matching is always on for Authenticator push notifications and users can’t opt out.</w:t>
      </w:r>
      <w:r>
        <w:rPr>
          <w:rStyle w:val="FootnoteReference"/>
        </w:rPr>
        <w:footnoteReference w:id="1034"/>
      </w:r>
      <w:r>
        <w:t xml:space="preserve"> </w:t>
      </w:r>
      <w:r>
        <w:t xml:space="preserve">Turn on the additional context (application name and sign-in location). Authenticator push doesn’t satisfy M-22-09 for staff on its own; Microsoft’s guidance pairs it with managed-device Conditional Access during the transition.</w:t>
      </w:r>
      <w:r>
        <w:rPr>
          <w:rStyle w:val="FootnoteReference"/>
        </w:rPr>
        <w:footnoteReference w:id="1036"/>
      </w:r>
    </w:p>
    <w:p>
      <w:pPr>
        <w:pStyle w:val="Compact"/>
        <w:numPr>
          <w:ilvl w:val="0"/>
          <w:numId w:val="1084"/>
        </w:numPr>
      </w:pPr>
      <w:r>
        <w:rPr>
          <w:b/>
          <w:bCs/>
        </w:rPr>
        <w:t xml:space="preserve">Windows Hello for Business.</w:t>
      </w:r>
      <w:r>
        <w:t xml:space="preserve"> </w:t>
      </w:r>
      <w:r>
        <w:t xml:space="preserve">Enabled for all users on managed devices.</w:t>
      </w:r>
    </w:p>
    <w:p>
      <w:pPr>
        <w:pStyle w:val="Compact"/>
        <w:numPr>
          <w:ilvl w:val="0"/>
          <w:numId w:val="1084"/>
        </w:numPr>
      </w:pPr>
      <w:r>
        <w:rPr>
          <w:b/>
          <w:bCs/>
        </w:rPr>
        <w:t xml:space="preserve">Temporary Access Pass (TAP).</w:t>
      </w:r>
      <w:r>
        <w:t xml:space="preserve"> </w:t>
      </w:r>
      <w:r>
        <w:t xml:space="preserve">Enabled for onboarding and credential replacement, issued by the help desk and by the pre-hire workflow. Microsoft’s defaults are a 1-hour default lifetime (configurable from 10 minutes to 30 days) and multi-use allowed; the program sets one-time use and a 1-hour lifetime. With a one-time TAP, the user has 10 minutes after sign-in to finish registering the new credential.</w:t>
      </w:r>
      <w:r>
        <w:rPr>
          <w:rStyle w:val="FootnoteReference"/>
        </w:rPr>
        <w:footnoteReference w:id="1037"/>
      </w:r>
    </w:p>
    <w:p>
      <w:pPr>
        <w:pStyle w:val="Compact"/>
        <w:numPr>
          <w:ilvl w:val="0"/>
          <w:numId w:val="1084"/>
        </w:numPr>
      </w:pPr>
      <w:r>
        <w:rPr>
          <w:b/>
          <w:bCs/>
        </w:rPr>
        <w:t xml:space="preserve">SMS and voice.</w:t>
      </w:r>
      <w:r>
        <w:t xml:space="preserve"> </w:t>
      </w:r>
      <w:r>
        <w:t xml:space="preserve">Disabled for staff. M-22-09 requires discontinuing them for routine access.</w:t>
      </w:r>
      <w:r>
        <w:rPr>
          <w:rStyle w:val="FootnoteReference"/>
        </w:rPr>
        <w:footnoteReference w:id="1038"/>
      </w:r>
    </w:p>
    <w:p>
      <w:pPr>
        <w:pStyle w:val="Compact"/>
        <w:numPr>
          <w:ilvl w:val="0"/>
          <w:numId w:val="1084"/>
        </w:numPr>
      </w:pPr>
      <w:r>
        <w:rPr>
          <w:b/>
          <w:bCs/>
        </w:rPr>
        <w:t xml:space="preserve">Email one-time passcode.</w:t>
      </w:r>
      <w:r>
        <w:t xml:space="preserve"> </w:t>
      </w:r>
      <w:r>
        <w:t xml:space="preserve">Guests only.</w:t>
      </w:r>
    </w:p>
    <w:p>
      <w:pPr>
        <w:pStyle w:val="Compact"/>
        <w:numPr>
          <w:ilvl w:val="0"/>
          <w:numId w:val="1084"/>
        </w:numPr>
      </w:pPr>
      <w:r>
        <w:rPr>
          <w:b/>
          <w:bCs/>
        </w:rPr>
        <w:t xml:space="preserve">Registration campaigns.</w:t>
      </w:r>
      <w:r>
        <w:t xml:space="preserve"> </w:t>
      </w:r>
      <w:r>
        <w:t xml:space="preserve">On, to prompt users without a strong method to register one at sign-in. The program allows three snoozes.</w:t>
      </w:r>
    </w:p>
    <w:bookmarkEnd w:id="1039"/>
    <w:bookmarkStart w:id="1043" w:name="blocking-legacy-authentication"/>
    <w:p>
      <w:pPr>
        <w:pStyle w:val="Heading3"/>
      </w:pPr>
      <w:r>
        <w:t xml:space="preserve">Blocking legacy authentication</w:t>
      </w:r>
    </w:p>
    <w:p>
      <w:pPr>
        <w:pStyle w:val="FirstParagraph"/>
      </w:pPr>
      <w:r>
        <w:t xml:space="preserve">Legacy protocols that send a username and password with each request can’t do MFA and are a common path for password spray and credential stuffing. Exchange Online has already removed Basic authentication for Exchange ActiveSync, POP, IMAP, Remote PowerShell, Exchange Web Services, the Offline Address Book, Autodiscover, and Outlook for Windows and Mac, and has disabled SMTP AUTH in tenants that weren’t using it.</w:t>
      </w:r>
      <w:r>
        <w:rPr>
          <w:rStyle w:val="FootnoteReference"/>
        </w:rPr>
        <w:footnoteReference w:id="1040"/>
      </w:r>
      <w:r>
        <w:t xml:space="preserve"> </w:t>
      </w:r>
      <w:r>
        <w:t xml:space="preserve">SMTP AUTH with Basic authentication is the remaining case; Microsoft has announced its retirement and updated the timeline, so check the current Exchange announcement before planning around a date.</w:t>
      </w:r>
      <w:r>
        <w:rPr>
          <w:rStyle w:val="FootnoteReference"/>
        </w:rPr>
        <w:footnoteReference w:id="1042"/>
      </w:r>
    </w:p>
    <w:p>
      <w:pPr>
        <w:pStyle w:val="BodyText"/>
      </w:pPr>
      <w:r>
        <w:t xml:space="preserve">The remediation sequence:</w:t>
      </w:r>
    </w:p>
    <w:p>
      <w:pPr>
        <w:pStyle w:val="Compact"/>
        <w:numPr>
          <w:ilvl w:val="0"/>
          <w:numId w:val="1085"/>
        </w:numPr>
      </w:pPr>
      <w:r>
        <w:rPr>
          <w:b/>
          <w:bCs/>
        </w:rPr>
        <w:t xml:space="preserve">Discover</w:t>
      </w:r>
      <w:r>
        <w:t xml:space="preserve"> </w:t>
      </w:r>
      <w:r>
        <w:t xml:space="preserve">remaining legacy sign-ins with the sign-in logs, using the queries below or the</w:t>
      </w:r>
      <w:r>
        <w:t xml:space="preserve"> </w:t>
      </w:r>
      <w:r>
        <w:t xml:space="preserve">“Sign-ins using legacy authentication”</w:t>
      </w:r>
      <w:r>
        <w:t xml:space="preserve"> </w:t>
      </w:r>
      <w:r>
        <w:t xml:space="preserve">workbook.</w:t>
      </w:r>
    </w:p>
    <w:p>
      <w:pPr>
        <w:pStyle w:val="Compact"/>
        <w:numPr>
          <w:ilvl w:val="0"/>
          <w:numId w:val="1085"/>
        </w:numPr>
      </w:pPr>
      <w:r>
        <w:rPr>
          <w:b/>
          <w:bCs/>
        </w:rPr>
        <w:t xml:space="preserve">Remediate</w:t>
      </w:r>
      <w:r>
        <w:t xml:space="preserve"> </w:t>
      </w:r>
      <w:r>
        <w:t xml:space="preserve">applications and devices onto modern authentication (OAuth 2.0), the Microsoft Graph mail APIs, or a supported relay.</w:t>
      </w:r>
    </w:p>
    <w:p>
      <w:pPr>
        <w:pStyle w:val="Compact"/>
        <w:numPr>
          <w:ilvl w:val="0"/>
          <w:numId w:val="1085"/>
        </w:numPr>
      </w:pPr>
      <w:r>
        <w:rPr>
          <w:b/>
          <w:bCs/>
        </w:rPr>
        <w:t xml:space="preserve">Block</w:t>
      </w:r>
      <w:r>
        <w:t xml:space="preserve"> </w:t>
      </w:r>
      <w:r>
        <w:t xml:space="preserve">with policy CA001 from Chapter 09.</w:t>
      </w:r>
    </w:p>
    <w:p>
      <w:pPr>
        <w:pStyle w:val="Compact"/>
        <w:numPr>
          <w:ilvl w:val="0"/>
          <w:numId w:val="1085"/>
        </w:numPr>
      </w:pPr>
      <w:r>
        <w:rPr>
          <w:b/>
          <w:bCs/>
        </w:rPr>
        <w:t xml:space="preserve">Monitor</w:t>
      </w:r>
      <w:r>
        <w:t xml:space="preserve"> </w:t>
      </w:r>
      <w:r>
        <w:t xml:space="preserve">for 30 days after enforcement and confirm zero successful legacy sign-ins.</w:t>
      </w:r>
    </w:p>
    <w:bookmarkEnd w:id="1043"/>
    <w:bookmarkEnd w:id="1044"/>
    <w:bookmarkStart w:id="1045" w:name="illustrative-code-5"/>
    <w:p>
      <w:pPr>
        <w:pStyle w:val="Heading2"/>
      </w:pPr>
      <w:bookmarkStart w:id="1481" w:name="_Toc00001481"/>
      <w:r>
        <w:t xml:space="preserve">Illustrative code</w:t>
      </w:r>
      <w:bookmarkEnd w:id="1481"/>
    </w:p>
    <w:p>
      <w:pPr>
        <w:pStyle w:val="FirstParagraph"/>
      </w:pPr>
      <w:r>
        <w:t xml:space="preserve">The KQL and PowerShell in this chapter are illustrative. They haven’t been tested against a production tenant. Review them, check table and column names against your own Log Analytics workspace, and run them first against a test tenant with read-only permissions.</w:t>
      </w:r>
    </w:p>
    <w:bookmarkEnd w:id="1045"/>
    <w:p>
      <w:pPr>
        <w:pStyle w:val="BodyText"/>
      </w:pPr>
      <w:r>
        <w:t xml:space="preserve">This query runs in a Log Analytics workspace that receives the Entra sign-in logs:</w:t>
      </w:r>
    </w:p>
    <w:p>
      <w:pPr>
        <w:pStyle w:val="SourceCode"/>
      </w:pPr>
      <w:r>
        <w:rPr>
          <w:rStyle w:val="VerbatimChar"/>
        </w:rPr>
        <w:t xml:space="preserve">// Legacy authentication sign-in discovery, last 30 days, successful sign-ins only</w:t>
      </w:r>
      <w:r>
        <w:br/>
      </w:r>
      <w:r>
        <w:rPr>
          <w:rStyle w:val="VerbatimChar"/>
        </w:rPr>
        <w:t xml:space="preserve">SigninLogs</w:t>
      </w:r>
      <w:r>
        <w:br/>
      </w:r>
      <w:r>
        <w:rPr>
          <w:rStyle w:val="VerbatimChar"/>
        </w:rPr>
        <w:t xml:space="preserve">| where TimeGenerated &gt; ago(30d)</w:t>
      </w:r>
      <w:r>
        <w:br/>
      </w:r>
      <w:r>
        <w:rPr>
          <w:rStyle w:val="VerbatimChar"/>
        </w:rPr>
        <w:t xml:space="preserve">| where ClientAppUsed in (</w:t>
      </w:r>
      <w:r>
        <w:br/>
      </w:r>
      <w:r>
        <w:rPr>
          <w:rStyle w:val="VerbatimChar"/>
        </w:rPr>
        <w:t xml:space="preserve">    "Exchange ActiveSync", "Authenticated SMTP", "POP3", "IMAP4", "AutoDiscover",</w:t>
      </w:r>
      <w:r>
        <w:br/>
      </w:r>
      <w:r>
        <w:rPr>
          <w:rStyle w:val="VerbatimChar"/>
        </w:rPr>
        <w:t xml:space="preserve">    "Exchange Online PowerShell", "Exchange Web Services", "MAPI Over HTTP",</w:t>
      </w:r>
      <w:r>
        <w:br/>
      </w:r>
      <w:r>
        <w:rPr>
          <w:rStyle w:val="VerbatimChar"/>
        </w:rPr>
        <w:t xml:space="preserve">    "Offline Address Book", "Other clients", "Outlook Anywhere (RPC over HTTP)",</w:t>
      </w:r>
      <w:r>
        <w:br/>
      </w:r>
      <w:r>
        <w:rPr>
          <w:rStyle w:val="VerbatimChar"/>
        </w:rPr>
        <w:t xml:space="preserve">    "Reporting Web Services")</w:t>
      </w:r>
      <w:r>
        <w:br/>
      </w:r>
      <w:r>
        <w:rPr>
          <w:rStyle w:val="VerbatimChar"/>
        </w:rPr>
        <w:t xml:space="preserve">| where ResultType == 0</w:t>
      </w:r>
      <w:r>
        <w:br/>
      </w:r>
      <w:r>
        <w:rPr>
          <w:rStyle w:val="VerbatimChar"/>
        </w:rPr>
        <w:t xml:space="preserve">| summarize SignInCount = count(), LastSignIn = max(TimeGenerated)</w:t>
      </w:r>
      <w:r>
        <w:br/>
      </w:r>
      <w:r>
        <w:rPr>
          <w:rStyle w:val="VerbatimChar"/>
        </w:rPr>
        <w:t xml:space="preserve">    by ClientAppUsed, AppDisplayName, UserPrincipalName</w:t>
      </w:r>
      <w:r>
        <w:br/>
      </w:r>
      <w:r>
        <w:rPr>
          <w:rStyle w:val="VerbatimChar"/>
        </w:rPr>
        <w:t xml:space="preserve">| order by SignInCount desc</w:t>
      </w:r>
    </w:p>
    <w:p>
      <w:pPr>
        <w:pStyle w:val="FirstParagraph"/>
      </w:pPr>
      <w:r>
        <w:t xml:space="preserve">Without a workspace, the same question can be asked through Microsoft Graph PowerShell. The</w:t>
      </w:r>
      <w:r>
        <w:t xml:space="preserve"> </w:t>
      </w:r>
      <w:r>
        <w:rPr>
          <w:rStyle w:val="VerbatimChar"/>
        </w:rPr>
        <w:t xml:space="preserve">Get-FMPLegacyAuthReport</w:t>
      </w:r>
      <w:r>
        <w:t xml:space="preserve"> </w:t>
      </w:r>
      <w:r>
        <w:t xml:space="preserve">function in Appendix C wraps this pattern and adds a suggested remediation per client type.</w:t>
      </w:r>
    </w:p>
    <w:p>
      <w:pPr>
        <w:pStyle w:val="SourceCode"/>
      </w:pPr>
      <w:r>
        <w:rPr>
          <w:rStyle w:val="CommentTok"/>
        </w:rPr>
        <w:t xml:space="preserve">#Requires -Modules Microsoft.Graph.Reports</w:t>
      </w:r>
      <w:r>
        <w:br/>
      </w:r>
      <w:r>
        <w:rPr>
          <w:rStyle w:val="NormalTok"/>
        </w:rPr>
        <w:t xml:space="preserve">Connect-MgGraph </w:t>
      </w:r>
      <w:r>
        <w:rPr>
          <w:rStyle w:val="OperatorTok"/>
        </w:rPr>
        <w:t xml:space="preserve">-</w:t>
      </w:r>
      <w:r>
        <w:rPr>
          <w:rStyle w:val="NormalTok"/>
        </w:rPr>
        <w:t xml:space="preserve">Scopes </w:t>
      </w:r>
      <w:r>
        <w:rPr>
          <w:rStyle w:val="StringTok"/>
        </w:rPr>
        <w:t xml:space="preserve">'AuditLog.Read.All'</w:t>
      </w:r>
      <w:r>
        <w:br/>
      </w:r>
      <w:r>
        <w:br/>
      </w:r>
      <w:r>
        <w:rPr>
          <w:rStyle w:val="VariableTok"/>
        </w:rPr>
        <w:t xml:space="preserve">$legacyClients</w:t>
      </w:r>
      <w:r>
        <w:rPr>
          <w:rStyle w:val="NormalTok"/>
        </w:rPr>
        <w:t xml:space="preserve"> </w:t>
      </w:r>
      <w:r>
        <w:rPr>
          <w:rStyle w:val="OperatorTok"/>
        </w:rPr>
        <w:t xml:space="preserve">=</w:t>
      </w:r>
      <w:r>
        <w:rPr>
          <w:rStyle w:val="NormalTok"/>
        </w:rPr>
        <w:t xml:space="preserve"> </w:t>
      </w:r>
      <w:r>
        <w:rPr>
          <w:rStyle w:val="OperatorTok"/>
        </w:rPr>
        <w:t xml:space="preserve">@(</w:t>
      </w:r>
      <w:r>
        <w:rPr>
          <w:rStyle w:val="StringTok"/>
        </w:rPr>
        <w:t xml:space="preserve">'Exchange ActiveSync'</w:t>
      </w:r>
      <w:r>
        <w:rPr>
          <w:rStyle w:val="OperatorTok"/>
        </w:rPr>
        <w:t xml:space="preserve">,</w:t>
      </w:r>
      <w:r>
        <w:rPr>
          <w:rStyle w:val="NormalTok"/>
        </w:rPr>
        <w:t xml:space="preserve"> </w:t>
      </w:r>
      <w:r>
        <w:rPr>
          <w:rStyle w:val="StringTok"/>
        </w:rPr>
        <w:t xml:space="preserve">'Authenticated SMTP'</w:t>
      </w:r>
      <w:r>
        <w:rPr>
          <w:rStyle w:val="OperatorTok"/>
        </w:rPr>
        <w:t xml:space="preserve">,</w:t>
      </w:r>
      <w:r>
        <w:rPr>
          <w:rStyle w:val="NormalTok"/>
        </w:rPr>
        <w:t xml:space="preserve"> </w:t>
      </w:r>
      <w:r>
        <w:rPr>
          <w:rStyle w:val="StringTok"/>
        </w:rPr>
        <w:t xml:space="preserve">'POP3'</w:t>
      </w:r>
      <w:r>
        <w:rPr>
          <w:rStyle w:val="OperatorTok"/>
        </w:rPr>
        <w:t xml:space="preserve">,</w:t>
      </w:r>
      <w:r>
        <w:rPr>
          <w:rStyle w:val="NormalTok"/>
        </w:rPr>
        <w:t xml:space="preserve"> </w:t>
      </w:r>
      <w:r>
        <w:rPr>
          <w:rStyle w:val="StringTok"/>
        </w:rPr>
        <w:t xml:space="preserve">'IMAP4'</w:t>
      </w:r>
      <w:r>
        <w:rPr>
          <w:rStyle w:val="OperatorTok"/>
        </w:rPr>
        <w:t xml:space="preserve">,</w:t>
      </w:r>
      <w:r>
        <w:rPr>
          <w:rStyle w:val="NormalTok"/>
        </w:rPr>
        <w:t xml:space="preserve"> </w:t>
      </w:r>
      <w:r>
        <w:rPr>
          <w:rStyle w:val="StringTok"/>
        </w:rPr>
        <w:t xml:space="preserve">'Other clients'</w:t>
      </w:r>
      <w:r>
        <w:rPr>
          <w:rStyle w:val="OperatorTok"/>
        </w:rPr>
        <w:t xml:space="preserve">)</w:t>
      </w:r>
      <w:r>
        <w:br/>
      </w:r>
      <w:r>
        <w:rPr>
          <w:rStyle w:val="VariableTok"/>
        </w:rPr>
        <w:t xml:space="preserve">$startDate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ToUniversalTime</w:t>
      </w:r>
      <w:r>
        <w:rPr>
          <w:rStyle w:val="OperatorTok"/>
        </w:rPr>
        <w:t xml:space="preserve">().</w:t>
      </w:r>
      <w:r>
        <w:rPr>
          <w:rStyle w:val="FunctionTok"/>
        </w:rPr>
        <w:t xml:space="preserve">AddDays</w:t>
      </w:r>
      <w:r>
        <w:rPr>
          <w:rStyle w:val="OperatorTok"/>
        </w:rPr>
        <w:t xml:space="preserve">(-</w:t>
      </w:r>
      <w:r>
        <w:rPr>
          <w:rStyle w:val="DecValTok"/>
        </w:rPr>
        <w:t xml:space="preserve">30</w:t>
      </w:r>
      <w:r>
        <w:rPr>
          <w:rStyle w:val="OperatorTok"/>
        </w:rPr>
        <w:t xml:space="preserve">).</w:t>
      </w:r>
      <w:r>
        <w:rPr>
          <w:rStyle w:val="FunctionTok"/>
        </w:rPr>
        <w:t xml:space="preserve">ToString</w:t>
      </w:r>
      <w:r>
        <w:rPr>
          <w:rStyle w:val="OperatorTok"/>
        </w:rPr>
        <w:t xml:space="preserve">(</w:t>
      </w:r>
      <w:r>
        <w:rPr>
          <w:rStyle w:val="StringTok"/>
        </w:rPr>
        <w:t xml:space="preserve">'yyyy-MM-ddTHH:mm:ssZ'</w:t>
      </w:r>
      <w:r>
        <w:rPr>
          <w:rStyle w:val="OperatorTok"/>
        </w:rPr>
        <w:t xml:space="preserve">)</w:t>
      </w:r>
      <w:r>
        <w:br/>
      </w:r>
      <w:r>
        <w:rPr>
          <w:rStyle w:val="VariableTok"/>
        </w:rPr>
        <w:t xml:space="preserve">$filter</w:t>
      </w:r>
      <w:r>
        <w:rPr>
          <w:rStyle w:val="NormalTok"/>
        </w:rPr>
        <w:t xml:space="preserve"> </w:t>
      </w:r>
      <w:r>
        <w:rPr>
          <w:rStyle w:val="OperatorTok"/>
        </w:rPr>
        <w:t xml:space="preserve">=</w:t>
      </w:r>
      <w:r>
        <w:rPr>
          <w:rStyle w:val="NormalTok"/>
        </w:rPr>
        <w:t xml:space="preserve"> </w:t>
      </w:r>
      <w:r>
        <w:rPr>
          <w:rStyle w:val="StringTok"/>
        </w:rPr>
        <w:t xml:space="preserve">"createdDateTime ge </w:t>
      </w:r>
      <w:r>
        <w:rPr>
          <w:rStyle w:val="VariableTok"/>
        </w:rPr>
        <w:t xml:space="preserve">$startDate</w:t>
      </w:r>
      <w:r>
        <w:rPr>
          <w:rStyle w:val="StringTok"/>
        </w:rPr>
        <w:t xml:space="preserve"> and status/errorCode eq 0"</w:t>
      </w:r>
      <w:r>
        <w:br/>
      </w:r>
      <w:r>
        <w:br/>
      </w:r>
      <w:r>
        <w:rPr>
          <w:rStyle w:val="VariableTok"/>
        </w:rPr>
        <w:t xml:space="preserve">$signIns</w:t>
      </w:r>
      <w:r>
        <w:rPr>
          <w:rStyle w:val="NormalTok"/>
        </w:rPr>
        <w:t xml:space="preserve"> </w:t>
      </w:r>
      <w:r>
        <w:rPr>
          <w:rStyle w:val="OperatorTok"/>
        </w:rPr>
        <w:t xml:space="preserve">=</w:t>
      </w:r>
      <w:r>
        <w:rPr>
          <w:rStyle w:val="NormalTok"/>
        </w:rPr>
        <w:t xml:space="preserve"> Get-MgAuditLogSignIn </w:t>
      </w:r>
      <w:r>
        <w:rPr>
          <w:rStyle w:val="OperatorTok"/>
        </w:rPr>
        <w:t xml:space="preserve">-</w:t>
      </w:r>
      <w:r>
        <w:rPr>
          <w:rStyle w:val="NormalTok"/>
        </w:rPr>
        <w:t xml:space="preserve">Filter </w:t>
      </w:r>
      <w:r>
        <w:rPr>
          <w:rStyle w:val="VariableTok"/>
        </w:rPr>
        <w:t xml:space="preserve">$filter</w:t>
      </w:r>
      <w:r>
        <w:rPr>
          <w:rStyle w:val="NormalTok"/>
        </w:rPr>
        <w:t xml:space="preserve"> </w:t>
      </w:r>
      <w:r>
        <w:rPr>
          <w:rStyle w:val="OperatorTok"/>
        </w:rPr>
        <w:t xml:space="preserve">-</w:t>
      </w:r>
      <w:r>
        <w:rPr>
          <w:rStyle w:val="NormalTok"/>
        </w:rPr>
        <w:t xml:space="preserve">All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ClientAppUsed</w:t>
      </w:r>
      <w:r>
        <w:rPr>
          <w:rStyle w:val="NormalTok"/>
        </w:rPr>
        <w:t xml:space="preserve"> </w:t>
      </w:r>
      <w:r>
        <w:rPr>
          <w:rStyle w:val="OperatorTok"/>
        </w:rPr>
        <w:t xml:space="preserve">-</w:t>
      </w:r>
      <w:r>
        <w:rPr>
          <w:rStyle w:val="NormalTok"/>
        </w:rPr>
        <w:t xml:space="preserve">in </w:t>
      </w:r>
      <w:r>
        <w:rPr>
          <w:rStyle w:val="VariableTok"/>
        </w:rPr>
        <w:t xml:space="preserve">$legacyClients</w:t>
      </w:r>
      <w:r>
        <w:rPr>
          <w:rStyle w:val="NormalTok"/>
        </w:rPr>
        <w:t xml:space="preserve"> </w:t>
      </w:r>
      <w:r>
        <w:rPr>
          <w:rStyle w:val="OperatorTok"/>
        </w:rPr>
        <w:t xml:space="preserve">}</w:t>
      </w:r>
      <w:r>
        <w:br/>
      </w:r>
      <w:r>
        <w:br/>
      </w:r>
      <w:r>
        <w:rPr>
          <w:rStyle w:val="VariableTok"/>
        </w:rPr>
        <w:t xml:space="preserve">$signIns</w:t>
      </w:r>
      <w:r>
        <w:rPr>
          <w:rStyle w:val="NormalTok"/>
        </w:rPr>
        <w:t xml:space="preserve"> </w:t>
      </w:r>
      <w:r>
        <w:rPr>
          <w:rStyle w:val="OperatorTok"/>
        </w:rPr>
        <w:t xml:space="preserve">|</w:t>
      </w:r>
      <w:r>
        <w:br/>
      </w:r>
      <w:r>
        <w:rPr>
          <w:rStyle w:val="NormalTok"/>
        </w:rPr>
        <w:t xml:space="preserve">    </w:t>
      </w:r>
      <w:r>
        <w:rPr>
          <w:rStyle w:val="FunctionTok"/>
        </w:rPr>
        <w:t xml:space="preserve">Group-Object</w:t>
      </w:r>
      <w:r>
        <w:rPr>
          <w:rStyle w:val="NormalTok"/>
        </w:rPr>
        <w:t xml:space="preserve"> </w:t>
      </w:r>
      <w:r>
        <w:rPr>
          <w:rStyle w:val="OperatorTok"/>
        </w:rPr>
        <w:t xml:space="preserve">-</w:t>
      </w:r>
      <w:r>
        <w:rPr>
          <w:rStyle w:val="NormalTok"/>
        </w:rPr>
        <w:t xml:space="preserve">Property UserPrincipalName</w:t>
      </w:r>
      <w:r>
        <w:rPr>
          <w:rStyle w:val="OperatorTok"/>
        </w:rPr>
        <w:t xml:space="preserve">,</w:t>
      </w:r>
      <w:r>
        <w:rPr>
          <w:rStyle w:val="NormalTok"/>
        </w:rPr>
        <w:t xml:space="preserve"> ClientAppUsed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'User'</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-split</w:t>
      </w:r>
      <w:r>
        <w:rPr>
          <w:rStyle w:val="NormalTok"/>
        </w:rPr>
        <w:t xml:space="preserve"> </w:t>
      </w:r>
      <w:r>
        <w:rPr>
          <w:rStyle w:val="StringTok"/>
        </w:rPr>
        <w:t xml:space="preserve">', '</w:t>
      </w:r>
      <w:r>
        <w:rPr>
          <w:rStyle w:val="OperatorTok"/>
        </w:rPr>
        <w:t xml:space="preserve">)[</w:t>
      </w:r>
      <w:r>
        <w:rPr>
          <w:rStyle w:val="DecValTok"/>
        </w:rPr>
        <w:t xml:space="preserve">0</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'ClientApp'</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-split</w:t>
      </w:r>
      <w:r>
        <w:rPr>
          <w:rStyle w:val="NormalTok"/>
        </w:rPr>
        <w:t xml:space="preserve"> </w:t>
      </w:r>
      <w:r>
        <w:rPr>
          <w:rStyle w:val="String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'Count'</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'LastSignIn'</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Group</w:t>
      </w:r>
      <w:r>
        <w:rPr>
          <w:rStyle w:val="NormalTok"/>
        </w:rPr>
        <w:t xml:space="preserve"> </w:t>
      </w:r>
      <w:r>
        <w:rPr>
          <w:rStyle w:val="OperatorTok"/>
        </w:rPr>
        <w:t xml:space="preserve">|</w:t>
      </w:r>
      <w:r>
        <w:rPr>
          <w:rStyle w:val="NormalTok"/>
        </w:rPr>
        <w:t xml:space="preserve"> </w:t>
      </w:r>
      <w:r>
        <w:rPr>
          <w:rStyle w:val="FunctionTok"/>
        </w:rPr>
        <w:t xml:space="preserve">Sort-Object</w:t>
      </w:r>
      <w:r>
        <w:rPr>
          <w:rStyle w:val="NormalTok"/>
        </w:rPr>
        <w:t xml:space="preserve"> CreatedDateTime </w:t>
      </w:r>
      <w:r>
        <w:rPr>
          <w:rStyle w:val="OperatorTok"/>
        </w:rPr>
        <w:t xml:space="preserve">-</w:t>
      </w:r>
      <w:r>
        <w:rPr>
          <w:rStyle w:val="NormalTok"/>
        </w:rPr>
        <w:t xml:space="preserve">Descending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First </w:t>
      </w:r>
      <w:r>
        <w:rPr>
          <w:rStyle w:val="DecValTok"/>
        </w:rPr>
        <w:t xml:space="preserve">1</w:t>
      </w:r>
      <w:r>
        <w:rPr>
          <w:rStyle w:val="OperatorTok"/>
        </w:rPr>
        <w:t xml:space="preserve">).</w:t>
      </w:r>
      <w:r>
        <w:rPr>
          <w:rStyle w:val="FunctionTok"/>
        </w:rPr>
        <w:t xml:space="preserve">CreatedDateTime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Sort-Object</w:t>
      </w:r>
      <w:r>
        <w:rPr>
          <w:rStyle w:val="NormalTok"/>
        </w:rPr>
        <w:t xml:space="preserve"> Count </w:t>
      </w:r>
      <w:r>
        <w:rPr>
          <w:rStyle w:val="OperatorTok"/>
        </w:rPr>
        <w:t xml:space="preserve">-</w:t>
      </w:r>
      <w:r>
        <w:rPr>
          <w:rStyle w:val="NormalTok"/>
        </w:rPr>
        <w:t xml:space="preserve">Descending </w:t>
      </w:r>
      <w:r>
        <w:rPr>
          <w:rStyle w:val="OperatorTok"/>
        </w:rPr>
        <w:t xml:space="preserve">|</w:t>
      </w:r>
      <w:r>
        <w:br/>
      </w:r>
      <w:r>
        <w:rPr>
          <w:rStyle w:val="NormalTok"/>
        </w:rPr>
        <w:t xml:space="preserve">    </w:t>
      </w:r>
      <w:r>
        <w:rPr>
          <w:rStyle w:val="FunctionTok"/>
        </w:rPr>
        <w:t xml:space="preserve">Format-Table</w:t>
      </w:r>
      <w:r>
        <w:rPr>
          <w:rStyle w:val="NormalTok"/>
        </w:rPr>
        <w:t xml:space="preserve"> </w:t>
      </w:r>
      <w:r>
        <w:rPr>
          <w:rStyle w:val="OperatorTok"/>
        </w:rPr>
        <w:t xml:space="preserve">-</w:t>
      </w:r>
      <w:r>
        <w:rPr>
          <w:rStyle w:val="NormalTok"/>
        </w:rPr>
        <w:t xml:space="preserve">AutoSize</w:t>
      </w:r>
      <w:r>
        <w:br/>
      </w:r>
      <w:r>
        <w:br/>
      </w:r>
      <w:r>
        <w:rPr>
          <w:rStyle w:val="NormalTok"/>
        </w:rPr>
        <w:t xml:space="preserve">Disconnect-MgGraph</w:t>
      </w:r>
    </w:p>
    <w:p>
      <w:pPr>
        <w:pStyle w:val="FirstParagraph"/>
      </w:pPr>
      <w:r>
        <w:t xml:space="preserve">The Graph sign-ins API covers interactive sign-ins; legacy clients usually appear there, but the workspace query sees more. In a large tenant, narrow the date range rather than pulling 30 days at once.</w:t>
      </w:r>
    </w:p>
    <w:bookmarkStart w:id="1061" w:name="X08144eecf40f99e257ec49f3a7d2af7ef42ddaf"/>
    <w:p>
      <w:pPr>
        <w:pStyle w:val="Heading2"/>
      </w:pPr>
      <w:bookmarkStart w:id="1482" w:name="_Toc00001482"/>
      <w:r>
        <w:t xml:space="preserve">The compliance amendment: phishing-resistant authenticators and privileged access</w:t>
      </w:r>
      <w:bookmarkEnd w:id="1482"/>
    </w:p>
    <w:p>
      <w:pPr>
        <w:pStyle w:val="FirstParagraph"/>
      </w:pPr>
      <w:r>
        <w:t xml:space="preserve">This section maps the authenticators and privileged-access controls above to the federal requirements they answer. Control text is from NIST SP 800-53 Rev. 5 as published in FedRAMP’s catalog (release 5.2.0).</w:t>
      </w:r>
      <w:r>
        <w:rPr>
          <w:rStyle w:val="FootnoteReference"/>
        </w:rPr>
        <w:footnoteReference w:id="1046"/>
      </w:r>
    </w:p>
    <w:bookmarkStart w:id="1054" w:name="X15f900c18a330c558ecca6daeaa5ee1cf67e74f"/>
    <w:p>
      <w:pPr>
        <w:pStyle w:val="Heading3"/>
      </w:pPr>
      <w:r>
        <w:t xml:space="preserve">Multifactor authentication and separate devices (IA-2)</w:t>
      </w:r>
    </w:p>
    <w:p>
      <w:pPr>
        <w:pStyle w:val="Compact"/>
        <w:numPr>
          <w:ilvl w:val="0"/>
          <w:numId w:val="1086"/>
        </w:numPr>
      </w:pPr>
      <w:r>
        <w:rPr>
          <w:b/>
          <w:bCs/>
        </w:rPr>
        <w:t xml:space="preserve">IA-2(1) and IA-2(2)</w:t>
      </w:r>
      <w:r>
        <w:t xml:space="preserve"> </w:t>
      </w:r>
      <w:r>
        <w:t xml:space="preserve">require MFA for access to privileged and non-privileged accounts. FedRAMP’s guidance adds that the MFA must be phishing-resistant, per current CISA guidance.</w:t>
      </w:r>
      <w:r>
        <w:rPr>
          <w:rStyle w:val="FootnoteReference"/>
        </w:rPr>
        <w:footnoteReference w:id="1048"/>
      </w:r>
    </w:p>
    <w:p>
      <w:pPr>
        <w:pStyle w:val="Compact"/>
        <w:numPr>
          <w:ilvl w:val="0"/>
          <w:numId w:val="1086"/>
        </w:numPr>
      </w:pPr>
      <w:r>
        <w:rPr>
          <w:b/>
          <w:bCs/>
        </w:rPr>
        <w:t xml:space="preserve">IA-2(6), Access to Accounts — Separate Device,</w:t>
      </w:r>
      <w:r>
        <w:t xml:space="preserve"> </w:t>
      </w:r>
      <w:r>
        <w:t xml:space="preserve">requires MFA for local, network, or remote access to privileged or non-privileged accounts such that one factor is provided by a device separate from the system gaining access, and the device meets organization-defined strength-of-mechanism requirements. FedRAMP sets the parameters to local, network, and remote access for both privileged and non-privileged accounts, and its guidance treats a PIV card as the separate device.</w:t>
      </w:r>
      <w:r>
        <w:rPr>
          <w:rStyle w:val="FootnoteReference"/>
        </w:rPr>
        <w:footnoteReference w:id="1049"/>
      </w:r>
    </w:p>
    <w:p>
      <w:pPr>
        <w:pStyle w:val="FirstParagraph"/>
      </w:pPr>
      <w:r>
        <w:t xml:space="preserve">The earlier version of this section described IA-2(6) as</w:t>
      </w:r>
      <w:r>
        <w:t xml:space="preserve"> </w:t>
      </w:r>
      <w:r>
        <w:t xml:space="preserve">“access to privileged accounts using a hardware-based authenticator.”</w:t>
      </w:r>
      <w:r>
        <w:t xml:space="preserve"> </w:t>
      </w:r>
      <w:r>
        <w:t xml:space="preserve">That isn’t the control’s wording; the requirement is a</w:t>
      </w:r>
      <w:r>
        <w:t xml:space="preserve"> </w:t>
      </w:r>
      <w:r>
        <w:rPr>
          <w:i/>
          <w:iCs/>
        </w:rPr>
        <w:t xml:space="preserve">separate device</w:t>
      </w:r>
      <w:r>
        <w:t xml:space="preserve"> </w:t>
      </w:r>
      <w:r>
        <w:t xml:space="preserve">meeting a stated strength of mechanism. The program maps authenticators as follows:</w:t>
      </w:r>
    </w:p>
    <w:p>
      <w:pPr>
        <w:pStyle w:val="Compact"/>
        <w:numPr>
          <w:ilvl w:val="0"/>
          <w:numId w:val="1087"/>
        </w:numPr>
      </w:pPr>
      <w:r>
        <w:rPr>
          <w:b/>
          <w:bCs/>
        </w:rPr>
        <w:t xml:space="preserve">PIV and CAC smart cards</w:t>
      </w:r>
      <w:r>
        <w:t xml:space="preserve"> </w:t>
      </w:r>
      <w:r>
        <w:t xml:space="preserve">through Entra certificate-based authentication are separate devices and the federal standard credential. They’re the program’s primary answer to IA-2(6) for staff who hold them.</w:t>
      </w:r>
    </w:p>
    <w:p>
      <w:pPr>
        <w:pStyle w:val="Compact"/>
        <w:numPr>
          <w:ilvl w:val="0"/>
          <w:numId w:val="1087"/>
        </w:numPr>
      </w:pPr>
      <w:r>
        <w:rPr>
          <w:b/>
          <w:bCs/>
        </w:rPr>
        <w:t xml:space="preserve">FIDO2 security keys</w:t>
      </w:r>
      <w:r>
        <w:t xml:space="preserve"> </w:t>
      </w:r>
      <w:r>
        <w:t xml:space="preserve">are roaming authenticators separate from the computer gaining access. They’re the primary method for cloud administrators and for staff without a card. Microsoft notes that hardware security keys carrying certificates also meet the requirement for MFA on a separate device.</w:t>
      </w:r>
      <w:r>
        <w:rPr>
          <w:rStyle w:val="FootnoteReference"/>
        </w:rPr>
        <w:footnoteReference w:id="1050"/>
      </w:r>
    </w:p>
    <w:p>
      <w:pPr>
        <w:pStyle w:val="Compact"/>
        <w:numPr>
          <w:ilvl w:val="0"/>
          <w:numId w:val="1087"/>
        </w:numPr>
      </w:pPr>
      <w:r>
        <w:rPr>
          <w:b/>
          <w:bCs/>
        </w:rPr>
        <w:t xml:space="preserve">Windows Hello for Business and platform passkeys</w:t>
      </w:r>
      <w:r>
        <w:t xml:space="preserve"> </w:t>
      </w:r>
      <w:r>
        <w:t xml:space="preserve">are phishing-resistant, but the key lives in the device that’s gaining access. The program doesn’t count them toward IA-2(6) for privileged accounts; it uses them for non-privileged access, where the organization’s assessor accepts that.</w:t>
      </w:r>
    </w:p>
    <w:p>
      <w:pPr>
        <w:pStyle w:val="Compact"/>
        <w:numPr>
          <w:ilvl w:val="0"/>
          <w:numId w:val="1087"/>
        </w:numPr>
      </w:pPr>
      <w:r>
        <w:rPr>
          <w:b/>
          <w:bCs/>
        </w:rPr>
        <w:t xml:space="preserve">Passwords, SMS, and voice</w:t>
      </w:r>
      <w:r>
        <w:t xml:space="preserve"> </w:t>
      </w:r>
      <w:r>
        <w:t xml:space="preserve">aren’t allowed for privileged roles.</w:t>
      </w:r>
    </w:p>
    <w:p>
      <w:pPr>
        <w:pStyle w:val="FirstParagraph"/>
      </w:pPr>
      <w:r>
        <w:t xml:space="preserve">The FedRAMP 20x Key Security Indicator for this area, KSI-IAM-APM (Adopting Passwordless Methods), states the same direction: passwordless methods where feasible, otherwise strong passwords with phishing-resistant MFA.</w:t>
      </w:r>
      <w:r>
        <w:rPr>
          <w:rStyle w:val="FootnoteReference"/>
        </w:rPr>
        <w:footnoteReference w:id="1052"/>
      </w:r>
    </w:p>
    <w:bookmarkEnd w:id="1054"/>
    <w:bookmarkStart w:id="1057" w:name="reviewing-privileged-access-ac-67"/>
    <w:p>
      <w:pPr>
        <w:pStyle w:val="Heading3"/>
      </w:pPr>
      <w:r>
        <w:t xml:space="preserve">Reviewing privileged access (AC-6(7))</w:t>
      </w:r>
    </w:p>
    <w:p>
      <w:pPr>
        <w:pStyle w:val="FirstParagraph"/>
      </w:pPr>
      <w:r>
        <w:t xml:space="preserve">The earlier version of this section mapped AC-6(7) to privileged access workstations. That was wrong. AC-6(7), Review of User Privileges, requires the organization to review, at a defined frequency, the privileges assigned to defined roles and classes of users to validate the need for them, and to reassign or remove privileges as necessary.</w:t>
      </w:r>
      <w:r>
        <w:rPr>
          <w:rStyle w:val="FootnoteReference"/>
        </w:rPr>
        <w:footnoteReference w:id="1055"/>
      </w:r>
      <w:r>
        <w:t xml:space="preserve"> </w:t>
      </w:r>
      <w:r>
        <w:t xml:space="preserve">The program meets it with the quarterly PIM access reviews in the</w:t>
      </w:r>
      <w:r>
        <w:t xml:space="preserve"> </w:t>
      </w:r>
      <w:hyperlink w:anchor="access-reviews">
        <w:r>
          <w:rPr>
            <w:rStyle w:val="Hyperlink"/>
          </w:rPr>
          <w:t xml:space="preserve">access review schedule</w:t>
        </w:r>
      </w:hyperlink>
      <w:r>
        <w:t xml:space="preserve">, which remove privileges that reviewers deny, and with the 12-month expiry on eligible assignments from Chapter 09. The review results and the PIM audit log are the evidence.</w:t>
      </w:r>
    </w:p>
    <w:bookmarkEnd w:id="1057"/>
    <w:bookmarkStart w:id="1060" w:name="privileged-access-workstations"/>
    <w:p>
      <w:pPr>
        <w:pStyle w:val="Heading3"/>
      </w:pPr>
      <w:r>
        <w:t xml:space="preserve">Privileged access workstations</w:t>
      </w:r>
    </w:p>
    <w:p>
      <w:pPr>
        <w:pStyle w:val="FirstParagraph"/>
      </w:pPr>
      <w:r>
        <w:t xml:space="preserve">Privileged access workstations (PAWs) are still part of the design; they just answer different requirements. A PAW is a hardened, separately managed device with no general productivity or browsing surface, used only for administration. Microsoft’s guidance builds them with Intune and Windows Autopilot, identifies them with a dynamic device group, and enforces their use with Conditional Access device filters and compliance requirements.</w:t>
      </w:r>
      <w:r>
        <w:rPr>
          <w:rStyle w:val="FootnoteReference"/>
        </w:rPr>
        <w:footnoteReference w:id="1058"/>
      </w:r>
      <w:r>
        <w:t xml:space="preserve"> </w:t>
      </w:r>
      <w:r>
        <w:t xml:space="preserve">The program’s standard:</w:t>
      </w:r>
    </w:p>
    <w:p>
      <w:pPr>
        <w:pStyle w:val="Compact"/>
        <w:numPr>
          <w:ilvl w:val="0"/>
          <w:numId w:val="1088"/>
        </w:numPr>
      </w:pPr>
      <w:r>
        <w:t xml:space="preserve">Administration of privileged roles happens only from a PAW.</w:t>
      </w:r>
    </w:p>
    <w:p>
      <w:pPr>
        <w:pStyle w:val="Compact"/>
        <w:numPr>
          <w:ilvl w:val="0"/>
          <w:numId w:val="1088"/>
        </w:numPr>
      </w:pPr>
      <w:r>
        <w:t xml:space="preserve">PAWs are Intune-managed from first boot, provisioned through Autopilot, and identified by a dynamic device group.</w:t>
      </w:r>
    </w:p>
    <w:p>
      <w:pPr>
        <w:pStyle w:val="Compact"/>
        <w:numPr>
          <w:ilvl w:val="0"/>
          <w:numId w:val="1088"/>
        </w:numPr>
      </w:pPr>
      <w:r>
        <w:t xml:space="preserve">Conditional Access policy CA004 requires a compliant device for the Admins persona, and block policy CA025 in Book 04, Chapter 07 restricts administrator sign-in to the PAW group; protected actions require the same authentication context.</w:t>
      </w:r>
    </w:p>
    <w:p>
      <w:pPr>
        <w:pStyle w:val="Compact"/>
        <w:numPr>
          <w:ilvl w:val="0"/>
          <w:numId w:val="1088"/>
        </w:numPr>
      </w:pPr>
      <w:r>
        <w:t xml:space="preserve">Administrative sign-ins from any other device are blocked.</w:t>
      </w:r>
    </w:p>
    <w:bookmarkEnd w:id="1060"/>
    <w:bookmarkEnd w:id="1061"/>
    <w:bookmarkStart w:id="1087" w:name="monitoring-audit-and-compliance"/>
    <w:p>
      <w:pPr>
        <w:pStyle w:val="Heading2"/>
      </w:pPr>
      <w:bookmarkStart w:id="1483" w:name="_Toc00001483"/>
      <w:r>
        <w:t xml:space="preserve">Monitoring, audit, and compliance</w:t>
      </w:r>
      <w:bookmarkEnd w:id="1483"/>
    </w:p>
    <w:bookmarkStart w:id="1065" w:name="the-entra-id-logs"/>
    <w:p>
      <w:pPr>
        <w:pStyle w:val="Heading3"/>
      </w:pPr>
      <w:r>
        <w:t xml:space="preserve">The Entra ID logs</w:t>
      </w:r>
    </w:p>
    <w:p>
      <w:pPr>
        <w:pStyle w:val="FirstParagraph"/>
      </w:pPr>
      <w:r>
        <w:t xml:space="preserve">Entra ID’s activity logs are kept for a short time in the service itself. As of October 2026:</w:t>
      </w:r>
      <w:r>
        <w:rPr>
          <w:rStyle w:val="FootnoteReference"/>
        </w:rPr>
        <w:footnoteReference w:id="1062"/>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Log</w:t>
            </w:r>
          </w:p>
        </w:tc>
        <w:tc>
          <w:tcPr/>
          <w:p>
            <w:pPr>
              <w:pStyle w:val="Compact"/>
            </w:pPr>
            <w:r>
              <w:t xml:space="preserve">Content</w:t>
            </w:r>
          </w:p>
        </w:tc>
        <w:tc>
          <w:tcPr/>
          <w:p>
            <w:pPr>
              <w:pStyle w:val="Compact"/>
            </w:pPr>
            <w:r>
              <w:t xml:space="preserve">Retention in Entra ID</w:t>
            </w:r>
          </w:p>
        </w:tc>
        <w:tc>
          <w:tcPr/>
          <w:p>
            <w:pPr>
              <w:pStyle w:val="Compact"/>
            </w:pPr>
            <w:r>
              <w:t xml:space="preserve">Program retention in Log Analytics</w:t>
            </w:r>
          </w:p>
        </w:tc>
      </w:tr>
      <w:tr>
        <w:tc>
          <w:tcPr/>
          <w:p>
            <w:pPr>
              <w:pStyle w:val="Compact"/>
            </w:pPr>
            <w:r>
              <w:t xml:space="preserve">Sign-in logs</w:t>
            </w:r>
          </w:p>
        </w:tc>
        <w:tc>
          <w:tcPr/>
          <w:p>
            <w:pPr>
              <w:pStyle w:val="Compact"/>
            </w:pPr>
            <w:r>
              <w:t xml:space="preserve">Interactive, non-interactive, service principal, and managed identity sign-ins</w:t>
            </w:r>
          </w:p>
        </w:tc>
        <w:tc>
          <w:tcPr/>
          <w:p>
            <w:pPr>
              <w:pStyle w:val="Compact"/>
            </w:pPr>
            <w:r>
              <w:t xml:space="preserve">7 days (Free); 30 days (P1, P2)</w:t>
            </w:r>
          </w:p>
        </w:tc>
        <w:tc>
          <w:tcPr/>
          <w:p>
            <w:pPr>
              <w:pStyle w:val="Compact"/>
            </w:pPr>
            <w:r>
              <w:t xml:space="preserve">365 days</w:t>
            </w:r>
          </w:p>
        </w:tc>
      </w:tr>
      <w:tr>
        <w:tc>
          <w:tcPr/>
          <w:p>
            <w:pPr>
              <w:pStyle w:val="Compact"/>
            </w:pPr>
            <w:r>
              <w:t xml:space="preserve">Audit logs</w:t>
            </w:r>
          </w:p>
        </w:tc>
        <w:tc>
          <w:tcPr/>
          <w:p>
            <w:pPr>
              <w:pStyle w:val="Compact"/>
            </w:pPr>
            <w:r>
              <w:t xml:space="preserve">Directory changes: users, groups, roles, policies, application registrations</w:t>
            </w:r>
          </w:p>
        </w:tc>
        <w:tc>
          <w:tcPr/>
          <w:p>
            <w:pPr>
              <w:pStyle w:val="Compact"/>
            </w:pPr>
            <w:r>
              <w:t xml:space="preserve">7 days (Free); 30 days (P1, P2)</w:t>
            </w:r>
          </w:p>
        </w:tc>
        <w:tc>
          <w:tcPr/>
          <w:p>
            <w:pPr>
              <w:pStyle w:val="Compact"/>
            </w:pPr>
            <w:r>
              <w:t xml:space="preserve">365 days</w:t>
            </w:r>
          </w:p>
        </w:tc>
      </w:tr>
      <w:tr>
        <w:tc>
          <w:tcPr/>
          <w:p>
            <w:pPr>
              <w:pStyle w:val="Compact"/>
            </w:pPr>
            <w:r>
              <w:t xml:space="preserve">Provisioning logs</w:t>
            </w:r>
          </w:p>
        </w:tc>
        <w:tc>
          <w:tcPr/>
          <w:p>
            <w:pPr>
              <w:pStyle w:val="Compact"/>
            </w:pPr>
            <w:r>
              <w:t xml:space="preserve">Provisioning to and from applications and directories</w:t>
            </w:r>
          </w:p>
        </w:tc>
        <w:tc>
          <w:tcPr/>
          <w:p>
            <w:pPr>
              <w:pStyle w:val="Compact"/>
            </w:pPr>
            <w:r>
              <w:t xml:space="preserve">See Microsoft’s retention reference</w:t>
            </w:r>
          </w:p>
        </w:tc>
        <w:tc>
          <w:tcPr/>
          <w:p>
            <w:pPr>
              <w:pStyle w:val="Compact"/>
            </w:pPr>
            <w:r>
              <w:t xml:space="preserve">180 days</w:t>
            </w:r>
          </w:p>
        </w:tc>
      </w:tr>
      <w:tr>
        <w:tc>
          <w:tcPr/>
          <w:p>
            <w:pPr>
              <w:pStyle w:val="Compact"/>
            </w:pPr>
            <w:r>
              <w:t xml:space="preserve">Risky sign-ins</w:t>
            </w:r>
          </w:p>
        </w:tc>
        <w:tc>
          <w:tcPr/>
          <w:p>
            <w:pPr>
              <w:pStyle w:val="Compact"/>
            </w:pPr>
            <w:r>
              <w:t xml:space="preserve">ID Protection risk detections on sign-ins</w:t>
            </w:r>
          </w:p>
        </w:tc>
        <w:tc>
          <w:tcPr/>
          <w:p>
            <w:pPr>
              <w:pStyle w:val="Compact"/>
            </w:pPr>
            <w:r>
              <w:t xml:space="preserve">7 days (Free); 30 days (P1); 90 days (P2)</w:t>
            </w:r>
          </w:p>
        </w:tc>
        <w:tc>
          <w:tcPr/>
          <w:p>
            <w:pPr>
              <w:pStyle w:val="Compact"/>
            </w:pPr>
            <w:r>
              <w:t xml:space="preserve">365 days</w:t>
            </w:r>
          </w:p>
        </w:tc>
      </w:tr>
      <w:tr>
        <w:tc>
          <w:tcPr/>
          <w:p>
            <w:pPr>
              <w:pStyle w:val="Compact"/>
            </w:pPr>
            <w:r>
              <w:t xml:space="preserve">Risky users</w:t>
            </w:r>
          </w:p>
        </w:tc>
        <w:tc>
          <w:tcPr/>
          <w:p>
            <w:pPr>
              <w:pStyle w:val="Compact"/>
            </w:pPr>
            <w:r>
              <w:t xml:space="preserve">Users at risk</w:t>
            </w:r>
          </w:p>
        </w:tc>
        <w:tc>
          <w:tcPr/>
          <w:p>
            <w:pPr>
              <w:pStyle w:val="Compact"/>
            </w:pPr>
            <w:r>
              <w:t xml:space="preserve">Kept until the risk is remediated</w:t>
            </w:r>
          </w:p>
        </w:tc>
        <w:tc>
          <w:tcPr/>
          <w:p>
            <w:pPr>
              <w:pStyle w:val="Compact"/>
            </w:pPr>
            <w:r>
              <w:t xml:space="preserve">365 days</w:t>
            </w:r>
          </w:p>
        </w:tc>
      </w:tr>
      <w:tr>
        <w:tc>
          <w:tcPr/>
          <w:p>
            <w:pPr>
              <w:pStyle w:val="Compact"/>
            </w:pPr>
            <w:r>
              <w:t xml:space="preserve">Microsoft Graph activity logs</w:t>
            </w:r>
          </w:p>
        </w:tc>
        <w:tc>
          <w:tcPr/>
          <w:p>
            <w:pPr>
              <w:pStyle w:val="Compact"/>
            </w:pPr>
            <w:r>
              <w:t xml:space="preserve">API calls to Microsoft Graph</w:t>
            </w:r>
          </w:p>
        </w:tc>
        <w:tc>
          <w:tcPr/>
          <w:p>
            <w:pPr>
              <w:pStyle w:val="Compact"/>
            </w:pPr>
            <w:r>
              <w:t xml:space="preserve">Not retained; P1 or P2, export only</w:t>
            </w:r>
          </w:p>
        </w:tc>
        <w:tc>
          <w:tcPr/>
          <w:p>
            <w:pPr>
              <w:pStyle w:val="Compact"/>
            </w:pPr>
            <w:r>
              <w:t xml:space="preserve">180 days</w:t>
            </w:r>
          </w:p>
        </w:tc>
      </w:tr>
    </w:tbl>
    <w:p>
      <w:pPr>
        <w:pStyle w:val="BodyText"/>
      </w:pPr>
      <w:r>
        <w:t xml:space="preserve">Upgrading licenses doesn’t recover older data: after moving from Free to P1, only the last seven days are available.</w:t>
      </w:r>
      <w:r>
        <w:rPr>
          <w:rStyle w:val="FootnoteReference"/>
        </w:rPr>
        <w:footnoteReference w:id="1064"/>
      </w:r>
      <w:r>
        <w:t xml:space="preserve"> </w:t>
      </w:r>
      <w:r>
        <w:t xml:space="preserve">Route the logs to a workspace before you need them.</w:t>
      </w:r>
    </w:p>
    <w:bookmarkEnd w:id="1065"/>
    <w:bookmarkStart w:id="1069" w:name="log-analytics-integration"/>
    <w:p>
      <w:pPr>
        <w:pStyle w:val="Heading3"/>
      </w:pPr>
      <w:r>
        <w:t xml:space="preserve">Log Analytics integration</w:t>
      </w:r>
    </w:p>
    <w:p>
      <w:pPr>
        <w:pStyle w:val="FirstParagraph"/>
      </w:pPr>
      <w:r>
        <w:t xml:space="preserve">All Entra ID logs go to a Log Analytics workspace for retention, correlation, and detection:</w:t>
      </w:r>
    </w:p>
    <w:p>
      <w:pPr>
        <w:pStyle w:val="Compact"/>
        <w:numPr>
          <w:ilvl w:val="0"/>
          <w:numId w:val="1089"/>
        </w:numPr>
      </w:pPr>
      <w:r>
        <w:t xml:space="preserve">Create a Log Analytics workspace in an Azure subscription. This is an Azure resource and the documented exception to the program’s Microsoft 365 boundary.</w:t>
      </w:r>
    </w:p>
    <w:p>
      <w:pPr>
        <w:pStyle w:val="Compact"/>
        <w:numPr>
          <w:ilvl w:val="0"/>
          <w:numId w:val="1089"/>
        </w:numPr>
      </w:pPr>
      <w:r>
        <w:t xml:space="preserve">In Entra ID diagnostic settings, stream every log category to the workspace. You need at least Security Administrator in the tenant and access to the workspace.</w:t>
      </w:r>
      <w:r>
        <w:rPr>
          <w:rStyle w:val="FootnoteReference"/>
        </w:rPr>
        <w:footnoteReference w:id="1066"/>
      </w:r>
    </w:p>
    <w:p>
      <w:pPr>
        <w:pStyle w:val="Compact"/>
        <w:numPr>
          <w:ilvl w:val="0"/>
          <w:numId w:val="1089"/>
        </w:numPr>
      </w:pPr>
      <w:r>
        <w:t xml:space="preserve">Set workspace retention to 365 days, or longer if the authorization requires it.</w:t>
      </w:r>
    </w:p>
    <w:p>
      <w:pPr>
        <w:pStyle w:val="Compact"/>
        <w:numPr>
          <w:ilvl w:val="0"/>
          <w:numId w:val="1089"/>
        </w:numPr>
      </w:pPr>
      <w:r>
        <w:t xml:space="preserve">Create scheduled query rules for the detections below.</w:t>
      </w:r>
    </w:p>
    <w:p>
      <w:pPr>
        <w:pStyle w:val="FirstParagraph"/>
      </w:pPr>
      <w:r>
        <w:t xml:space="preserve">Integrating the logs with Azure Monitor also enables the Microsoft Entra data connector for Microsoft Sentinel, if the program uses it.</w:t>
      </w:r>
      <w:r>
        <w:rPr>
          <w:rStyle w:val="FootnoteReference"/>
        </w:rPr>
        <w:footnoteReference w:id="1068"/>
      </w:r>
    </w:p>
    <w:bookmarkEnd w:id="1069"/>
    <w:bookmarkStart w:id="1076" w:name="detection-rules"/>
    <w:p>
      <w:pPr>
        <w:pStyle w:val="Heading3"/>
      </w:pPr>
      <w:r>
        <w:t xml:space="preserve">Detection rules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Detection</w:t>
            </w:r>
          </w:p>
        </w:tc>
        <w:tc>
          <w:tcPr/>
          <w:p>
            <w:pPr>
              <w:pStyle w:val="Compact"/>
            </w:pPr>
            <w:r>
              <w:t xml:space="preserve">Description</w:t>
            </w:r>
          </w:p>
        </w:tc>
        <w:tc>
          <w:tcPr/>
          <w:p>
            <w:pPr>
              <w:pStyle w:val="Compact"/>
            </w:pPr>
            <w:r>
              <w:t xml:space="preserve">Query pattern</w:t>
            </w:r>
          </w:p>
        </w:tc>
        <w:tc>
          <w:tcPr/>
          <w:p>
            <w:pPr>
              <w:pStyle w:val="Compact"/>
            </w:pPr>
            <w:r>
              <w:t xml:space="preserve">Severity</w:t>
            </w:r>
          </w:p>
        </w:tc>
        <w:tc>
          <w:tcPr/>
          <w:p>
            <w:pPr>
              <w:pStyle w:val="Compact"/>
            </w:pPr>
            <w:r>
              <w:t xml:space="preserve">Response</w:t>
            </w:r>
          </w:p>
        </w:tc>
      </w:tr>
      <w:tr>
        <w:tc>
          <w:tcPr/>
          <w:p>
            <w:pPr>
              <w:pStyle w:val="Compact"/>
            </w:pPr>
            <w:r>
              <w:t xml:space="preserve">Stale accounts</w:t>
            </w:r>
          </w:p>
        </w:tc>
        <w:tc>
          <w:tcPr/>
          <w:p>
            <w:pPr>
              <w:pStyle w:val="Compact"/>
            </w:pPr>
            <w:r>
              <w:t xml:space="preserve">No sign-in for more than 90 days</w:t>
            </w:r>
          </w:p>
        </w:tc>
        <w:tc>
          <w:tcPr/>
          <w:p>
            <w:pPr>
              <w:pStyle w:val="Compact"/>
            </w:pPr>
            <w:r>
              <w:t xml:space="preserve">Graph</w:t>
            </w:r>
            <w:r>
              <w:t xml:space="preserve"> </w:t>
            </w:r>
            <w:r>
              <w:rPr>
                <w:rStyle w:val="VerbatimChar"/>
              </w:rPr>
              <w:t xml:space="preserve">signInActivity/lastSignInDateTime</w:t>
            </w:r>
            <w:r>
              <w:t xml:space="preserve"> </w:t>
            </w:r>
            <w:r>
              <w:t xml:space="preserve">(needs P1 and</w:t>
            </w:r>
            <w:r>
              <w:t xml:space="preserve"> </w:t>
            </w:r>
            <w:r>
              <w:rPr>
                <w:rStyle w:val="VerbatimChar"/>
              </w:rPr>
              <w:t xml:space="preserve">AuditLog.Read.All</w:t>
            </w:r>
            <w:r>
              <w:t xml:space="preserve">);</w:t>
            </w:r>
            <w:r>
              <w:rPr>
                <w:rStyle w:val="FootnoteReference"/>
              </w:rPr>
              <w:footnoteReference w:id="1070"/>
            </w:r>
            <w:r>
              <w:t xml:space="preserve"> </w:t>
            </w:r>
            <w:r>
              <w:t xml:space="preserve">sign-in logs alone miss users who never signed in during retention</w:t>
            </w:r>
          </w:p>
        </w:tc>
        <w:tc>
          <w:tcPr/>
          <w:p>
            <w:pPr>
              <w:pStyle w:val="Compact"/>
            </w:pPr>
            <w:r>
              <w:t xml:space="preserve">Medium</w:t>
            </w:r>
          </w:p>
        </w:tc>
        <w:tc>
          <w:tcPr/>
          <w:p>
            <w:pPr>
              <w:pStyle w:val="Compact"/>
            </w:pPr>
            <w:r>
              <w:t xml:space="preserve">Flag for access review; disable if confirmed unused</w:t>
            </w:r>
          </w:p>
        </w:tc>
      </w:tr>
      <w:tr>
        <w:tc>
          <w:tcPr/>
          <w:p>
            <w:pPr>
              <w:pStyle w:val="Compact"/>
            </w:pPr>
            <w:r>
              <w:t xml:space="preserve">PIM activation outside business hours</w:t>
            </w:r>
          </w:p>
        </w:tc>
        <w:tc>
          <w:tcPr/>
          <w:p>
            <w:pPr>
              <w:pStyle w:val="Compact"/>
            </w:pPr>
            <w:r>
              <w:t xml:space="preserve">Role activated between 22:00 and 06:00 local time, or at a weekend</w:t>
            </w:r>
          </w:p>
        </w:tc>
        <w:tc>
          <w:tcPr/>
          <w:p>
            <w:pPr>
              <w:pStyle w:val="Compact"/>
            </w:pPr>
            <w:r>
              <w:rPr>
                <w:rStyle w:val="VerbatimChar"/>
              </w:rPr>
              <w:t xml:space="preserve">AuditLogs \| where OperationName == "Add member to role completed (PIM activation)" \| extend Hour = hourofday(TimeGenerated)</w:t>
            </w:r>
            <w:r>
              <w:t xml:space="preserve"> </w:t>
            </w:r>
            <w:r>
              <w:t xml:space="preserve">(convert from UTC to local time first)</w:t>
            </w:r>
          </w:p>
        </w:tc>
        <w:tc>
          <w:tcPr/>
          <w:p>
            <w:pPr>
              <w:pStyle w:val="Compact"/>
            </w:pPr>
            <w:r>
              <w:t xml:space="preserve">High</w:t>
            </w:r>
          </w:p>
        </w:tc>
        <w:tc>
          <w:tcPr/>
          <w:p>
            <w:pPr>
              <w:pStyle w:val="Compact"/>
            </w:pPr>
            <w:r>
              <w:t xml:space="preserve">Investigate; review the justification</w:t>
            </w:r>
          </w:p>
        </w:tc>
      </w:tr>
      <w:tr>
        <w:tc>
          <w:tcPr/>
          <w:p>
            <w:pPr>
              <w:pStyle w:val="Compact"/>
            </w:pPr>
            <w:r>
              <w:t xml:space="preserve">Sign-ins with no Conditional Access applied</w:t>
            </w:r>
          </w:p>
        </w:tc>
        <w:tc>
          <w:tcPr/>
          <w:p>
            <w:pPr>
              <w:pStyle w:val="Compact"/>
            </w:pPr>
            <w:r>
              <w:t xml:space="preserve">Interactive sign-ins that no policy covered</w:t>
            </w:r>
          </w:p>
        </w:tc>
        <w:tc>
          <w:tcPr/>
          <w:p>
            <w:pPr>
              <w:pStyle w:val="Compact"/>
            </w:pPr>
            <w:r>
              <w:rPr>
                <w:rStyle w:val="VerbatimChar"/>
              </w:rPr>
              <w:t xml:space="preserve">SigninLogs \| where ConditionalAccessStatus == "notApplied"</w:t>
            </w:r>
            <w:r>
              <w:t xml:space="preserve">, or the Conditional Access gap analyzer workbook</w:t>
            </w:r>
          </w:p>
        </w:tc>
        <w:tc>
          <w:tcPr/>
          <w:p>
            <w:pPr>
              <w:pStyle w:val="Compact"/>
            </w:pPr>
            <w:r>
              <w:t xml:space="preserve">Medium</w:t>
            </w:r>
          </w:p>
        </w:tc>
        <w:tc>
          <w:tcPr/>
          <w:p>
            <w:pPr>
              <w:pStyle w:val="Compact"/>
            </w:pPr>
            <w:r>
              <w:t xml:space="preserve">Close the coverage gap</w:t>
            </w:r>
          </w:p>
        </w:tc>
      </w:tr>
      <w:tr>
        <w:tc>
          <w:tcPr/>
          <w:p>
            <w:pPr>
              <w:pStyle w:val="Compact"/>
            </w:pPr>
            <w:r>
              <w:t xml:space="preserve">Expiring application credentials</w:t>
            </w:r>
          </w:p>
        </w:tc>
        <w:tc>
          <w:tcPr/>
          <w:p>
            <w:pPr>
              <w:pStyle w:val="Compact"/>
            </w:pPr>
            <w:r>
              <w:t xml:space="preserve">Secrets or certificates expiring within 30 days</w:t>
            </w:r>
          </w:p>
        </w:tc>
        <w:tc>
          <w:tcPr/>
          <w:p>
            <w:pPr>
              <w:pStyle w:val="Compact"/>
            </w:pPr>
            <w:r>
              <w:t xml:space="preserve">Microsoft Graph list of applications, filtered client-side on</w:t>
            </w:r>
            <w:r>
              <w:t xml:space="preserve"> </w:t>
            </w:r>
            <w:r>
              <w:rPr>
                <w:rStyle w:val="VerbatimChar"/>
              </w:rPr>
              <w:t xml:space="preserve">passwordCredentials</w:t>
            </w:r>
            <w:r>
              <w:t xml:space="preserve"> </w:t>
            </w:r>
            <w:r>
              <w:t xml:space="preserve">and</w:t>
            </w:r>
            <w:r>
              <w:t xml:space="preserve"> </w:t>
            </w:r>
            <w:r>
              <w:rPr>
                <w:rStyle w:val="VerbatimChar"/>
              </w:rPr>
              <w:t xml:space="preserve">keyCredentials</w:t>
            </w:r>
            <w:r>
              <w:t xml:space="preserve"> </w:t>
            </w:r>
            <w:r>
              <w:t xml:space="preserve">end dates</w:t>
            </w:r>
          </w:p>
        </w:tc>
        <w:tc>
          <w:tcPr/>
          <w:p>
            <w:pPr>
              <w:pStyle w:val="Compact"/>
            </w:pPr>
            <w:r>
              <w:t xml:space="preserve">High</w:t>
            </w:r>
          </w:p>
        </w:tc>
        <w:tc>
          <w:tcPr/>
          <w:p>
            <w:pPr>
              <w:pStyle w:val="Compact"/>
            </w:pPr>
            <w:r>
              <w:t xml:space="preserve">Notify owners; rotate or replace with federated credentials</w:t>
            </w:r>
          </w:p>
        </w:tc>
      </w:tr>
      <w:tr>
        <w:tc>
          <w:tcPr/>
          <w:p>
            <w:pPr>
              <w:pStyle w:val="Compact"/>
            </w:pPr>
            <w:r>
              <w:t xml:space="preserve">Emergency account sign-in</w:t>
            </w:r>
          </w:p>
        </w:tc>
        <w:tc>
          <w:tcPr/>
          <w:p>
            <w:pPr>
              <w:pStyle w:val="Compact"/>
            </w:pPr>
            <w:r>
              <w:t xml:space="preserve">Any sign-in by an emergency access account</w:t>
            </w:r>
          </w:p>
        </w:tc>
        <w:tc>
          <w:tcPr/>
          <w:p>
            <w:pPr>
              <w:pStyle w:val="Compact"/>
            </w:pPr>
            <w:r>
              <w:rPr>
                <w:rStyle w:val="VerbatimChar"/>
              </w:rPr>
              <w:t xml:space="preserve">SigninLogs \| where UserPrincipalName in ("&lt;ea1&gt;@&lt;tenant&gt;.onmicrosoft.com", "&lt;ea2&gt;@&lt;tenant&gt;.onmicrosoft.com")</w:t>
            </w:r>
          </w:p>
        </w:tc>
        <w:tc>
          <w:tcPr/>
          <w:p>
            <w:pPr>
              <w:pStyle w:val="Compact"/>
            </w:pPr>
            <w:r>
              <w:t xml:space="preserve">Critical</w:t>
            </w:r>
          </w:p>
        </w:tc>
        <w:tc>
          <w:tcPr/>
          <w:p>
            <w:pPr>
              <w:pStyle w:val="Compact"/>
            </w:pPr>
            <w:r>
              <w:t xml:space="preserve">Immediate incident response</w:t>
            </w:r>
          </w:p>
        </w:tc>
      </w:tr>
      <w:tr>
        <w:tc>
          <w:tcPr/>
          <w:p>
            <w:pPr>
              <w:pStyle w:val="Compact"/>
            </w:pPr>
            <w:r>
              <w:t xml:space="preserve">Mass group membership change</w:t>
            </w:r>
          </w:p>
        </w:tc>
        <w:tc>
          <w:tcPr/>
          <w:p>
            <w:pPr>
              <w:pStyle w:val="Compact"/>
            </w:pPr>
            <w:r>
              <w:t xml:space="preserve">More than 50 members added or removed from one group in an hour</w:t>
            </w:r>
          </w:p>
        </w:tc>
        <w:tc>
          <w:tcPr/>
          <w:p>
            <w:pPr>
              <w:pStyle w:val="Compact"/>
            </w:pPr>
            <w:r>
              <w:rPr>
                <w:rStyle w:val="VerbatimChar"/>
              </w:rPr>
              <w:t xml:space="preserve">AuditLogs \| where OperationName in ("Add member to group", "Remove member from group") \| summarize count() by bin(TimeGenerated, 1h), &lt;group&gt;</w:t>
            </w:r>
            <w:r>
              <w:t xml:space="preserve"> </w:t>
            </w:r>
            <w:r>
              <w:t xml:space="preserve">(check which</w:t>
            </w:r>
            <w:r>
              <w:t xml:space="preserve"> </w:t>
            </w:r>
            <w:r>
              <w:rPr>
                <w:rStyle w:val="VerbatimChar"/>
              </w:rPr>
              <w:t xml:space="preserve">TargetResources</w:t>
            </w:r>
            <w:r>
              <w:t xml:space="preserve"> </w:t>
            </w:r>
            <w:r>
              <w:t xml:space="preserve">entry holds the group in your logs)</w:t>
            </w:r>
          </w:p>
        </w:tc>
        <w:tc>
          <w:tcPr/>
          <w:p>
            <w:pPr>
              <w:pStyle w:val="Compact"/>
            </w:pPr>
            <w:r>
              <w:t xml:space="preserve">High</w:t>
            </w:r>
          </w:p>
        </w:tc>
        <w:tc>
          <w:tcPr/>
          <w:p>
            <w:pPr>
              <w:pStyle w:val="Compact"/>
            </w:pPr>
            <w:r>
              <w:t xml:space="preserve">Confirm the change was authorized</w:t>
            </w:r>
          </w:p>
        </w:tc>
      </w:tr>
    </w:tbl>
    <w:p>
      <w:pPr>
        <w:pStyle w:val="BodyText"/>
      </w:pPr>
      <w:r>
        <w:t xml:space="preserve">The PIM activation operation name comes from Microsoft’s audit activity reference, which lists</w:t>
      </w:r>
      <w:r>
        <w:t xml:space="preserve"> </w:t>
      </w:r>
      <w:r>
        <w:t xml:space="preserve">“Add member to role completed (PIM activation)”</w:t>
      </w:r>
      <w:r>
        <w:t xml:space="preserve"> </w:t>
      </w:r>
      <w:r>
        <w:t xml:space="preserve">under the RoleManagement category.</w:t>
      </w:r>
      <w:r>
        <w:rPr>
          <w:rStyle w:val="FootnoteReference"/>
        </w:rPr>
        <w:footnoteReference w:id="1072"/>
      </w:r>
      <w:r>
        <w:t xml:space="preserve"> </w:t>
      </w:r>
      <w:r>
        <w:t xml:space="preserve">Microsoft’s security operations guide recommends alerting on every elevation that falls outside a user’s normal pattern.</w:t>
      </w:r>
      <w:r>
        <w:rPr>
          <w:rStyle w:val="FootnoteReference"/>
        </w:rPr>
        <w:footnoteReference w:id="1074"/>
      </w:r>
    </w:p>
    <w:bookmarkEnd w:id="1076"/>
    <w:bookmarkStart w:id="1079" w:name="workbooks"/>
    <w:p>
      <w:pPr>
        <w:pStyle w:val="Heading3"/>
      </w:pPr>
      <w:r>
        <w:t xml:space="preserve">Workbooks</w:t>
      </w:r>
    </w:p>
    <w:p>
      <w:pPr>
        <w:pStyle w:val="FirstParagraph"/>
      </w:pPr>
      <w:r>
        <w:t xml:space="preserve">Microsoft Entra workbooks need the Log Analytics integration above. The program uses these public templates:</w:t>
      </w:r>
      <w:r>
        <w:rPr>
          <w:rStyle w:val="FootnoteReference"/>
        </w:rPr>
        <w:footnoteReference w:id="1077"/>
      </w:r>
    </w:p>
    <w:p>
      <w:pPr>
        <w:pStyle w:val="Compact"/>
        <w:numPr>
          <w:ilvl w:val="0"/>
          <w:numId w:val="1090"/>
        </w:numPr>
      </w:pPr>
      <w:r>
        <w:rPr>
          <w:b/>
          <w:bCs/>
        </w:rPr>
        <w:t xml:space="preserve">Conditional Access insights and reporting:</w:t>
      </w:r>
      <w:r>
        <w:t xml:space="preserve"> </w:t>
      </w:r>
      <w:r>
        <w:t xml:space="preserve">policy impact, report-only analysis, failure reasons by policy.</w:t>
      </w:r>
    </w:p>
    <w:p>
      <w:pPr>
        <w:pStyle w:val="Compact"/>
        <w:numPr>
          <w:ilvl w:val="0"/>
          <w:numId w:val="1090"/>
        </w:numPr>
      </w:pPr>
      <w:r>
        <w:rPr>
          <w:b/>
          <w:bCs/>
        </w:rPr>
        <w:t xml:space="preserve">Conditional Access gap analyzer:</w:t>
      </w:r>
      <w:r>
        <w:t xml:space="preserve"> </w:t>
      </w:r>
      <w:r>
        <w:t xml:space="preserve">sign-ins, applications, and locations that no policy covered.</w:t>
      </w:r>
    </w:p>
    <w:p>
      <w:pPr>
        <w:pStyle w:val="Compact"/>
        <w:numPr>
          <w:ilvl w:val="0"/>
          <w:numId w:val="1090"/>
        </w:numPr>
      </w:pPr>
      <w:r>
        <w:rPr>
          <w:b/>
          <w:bCs/>
        </w:rPr>
        <w:t xml:space="preserve">Sign-ins using legacy authentication.</w:t>
      </w:r>
    </w:p>
    <w:p>
      <w:pPr>
        <w:pStyle w:val="Compact"/>
        <w:numPr>
          <w:ilvl w:val="0"/>
          <w:numId w:val="1090"/>
        </w:numPr>
      </w:pPr>
      <w:r>
        <w:rPr>
          <w:b/>
          <w:bCs/>
        </w:rPr>
        <w:t xml:space="preserve">Multifactor authentication gaps</w:t>
      </w:r>
      <w:r>
        <w:t xml:space="preserve"> </w:t>
      </w:r>
      <w:r>
        <w:t xml:space="preserve">and</w:t>
      </w:r>
      <w:r>
        <w:t xml:space="preserve"> </w:t>
      </w:r>
      <w:r>
        <w:rPr>
          <w:b/>
          <w:bCs/>
        </w:rPr>
        <w:t xml:space="preserve">Authentication prompts analysis.</w:t>
      </w:r>
    </w:p>
    <w:p>
      <w:pPr>
        <w:pStyle w:val="Compact"/>
        <w:numPr>
          <w:ilvl w:val="0"/>
          <w:numId w:val="1090"/>
        </w:numPr>
      </w:pPr>
      <w:r>
        <w:rPr>
          <w:b/>
          <w:bCs/>
        </w:rPr>
        <w:t xml:space="preserve">Sensitive operations report:</w:t>
      </w:r>
      <w:r>
        <w:t xml:space="preserve"> </w:t>
      </w:r>
      <w:r>
        <w:t xml:space="preserve">privileged role changes, policy changes, and credential changes on applications.</w:t>
      </w:r>
    </w:p>
    <w:p>
      <w:pPr>
        <w:pStyle w:val="Compact"/>
        <w:numPr>
          <w:ilvl w:val="0"/>
          <w:numId w:val="1090"/>
        </w:numPr>
      </w:pPr>
      <w:r>
        <w:rPr>
          <w:b/>
          <w:bCs/>
        </w:rPr>
        <w:t xml:space="preserve">Risk analysis</w:t>
      </w:r>
      <w:r>
        <w:t xml:space="preserve"> </w:t>
      </w:r>
      <w:r>
        <w:t xml:space="preserve">and</w:t>
      </w:r>
      <w:r>
        <w:t xml:space="preserve"> </w:t>
      </w:r>
      <w:r>
        <w:rPr>
          <w:b/>
          <w:bCs/>
        </w:rPr>
        <w:t xml:space="preserve">Cross-tenant access activity.</w:t>
      </w:r>
    </w:p>
    <w:bookmarkEnd w:id="1079"/>
    <w:bookmarkStart w:id="1086" w:name="X5317e5f739947ccf37983ddede89e63d2ad8cb5"/>
    <w:p>
      <w:pPr>
        <w:pStyle w:val="Heading3"/>
      </w:pPr>
      <w:r>
        <w:t xml:space="preserve">Compliance Manager and the FedRAMP 20x indicators</w:t>
      </w:r>
    </w:p>
    <w:p>
      <w:pPr>
        <w:pStyle w:val="FirstParagraph"/>
      </w:pPr>
      <w:r>
        <w:t xml:space="preserve">Microsoft Purview Compliance Manager has regulation templates for NIST SP 800-53 Rev. 5, FedRAMP Moderate, and CMMC; GCC tenants get CMMC included alongside the default data protection baseline, and the others are premium templates.</w:t>
      </w:r>
      <w:r>
        <w:rPr>
          <w:rStyle w:val="FootnoteReference"/>
        </w:rPr>
        <w:footnoteReference w:id="1080"/>
      </w:r>
      <w:r>
        <w:t xml:space="preserve"> </w:t>
      </w:r>
      <w:r>
        <w:t xml:space="preserve">The identity controls in this book map to these families:</w:t>
      </w:r>
    </w:p>
    <w:p>
      <w:pPr>
        <w:pStyle w:val="Compact"/>
        <w:numPr>
          <w:ilvl w:val="0"/>
          <w:numId w:val="1091"/>
        </w:numPr>
      </w:pPr>
      <w:r>
        <w:rPr>
          <w:b/>
          <w:bCs/>
        </w:rPr>
        <w:t xml:space="preserve">AC-2 (Account Management):</w:t>
      </w:r>
      <w:r>
        <w:t xml:space="preserve"> </w:t>
      </w:r>
      <w:r>
        <w:t xml:space="preserve">Lifecycle Workflows and access reviews.</w:t>
      </w:r>
    </w:p>
    <w:p>
      <w:pPr>
        <w:pStyle w:val="Compact"/>
        <w:numPr>
          <w:ilvl w:val="0"/>
          <w:numId w:val="1091"/>
        </w:numPr>
      </w:pPr>
      <w:r>
        <w:rPr>
          <w:b/>
          <w:bCs/>
        </w:rPr>
        <w:t xml:space="preserve">AC-6 (Least Privilege):</w:t>
      </w:r>
      <w:r>
        <w:t xml:space="preserve"> </w:t>
      </w:r>
      <w:r>
        <w:t xml:space="preserve">PIM and attribute-based group access (Chapter 09); AC-6(7) through privileged access reviews.</w:t>
      </w:r>
    </w:p>
    <w:p>
      <w:pPr>
        <w:pStyle w:val="Compact"/>
        <w:numPr>
          <w:ilvl w:val="0"/>
          <w:numId w:val="1091"/>
        </w:numPr>
      </w:pPr>
      <w:r>
        <w:rPr>
          <w:b/>
          <w:bCs/>
        </w:rPr>
        <w:t xml:space="preserve">IA-2 (Identification and Authentication):</w:t>
      </w:r>
      <w:r>
        <w:t xml:space="preserve"> </w:t>
      </w:r>
      <w:r>
        <w:t xml:space="preserve">Conditional Access, authentication strengths, and the phishing-resistant roadmap.</w:t>
      </w:r>
    </w:p>
    <w:p>
      <w:pPr>
        <w:pStyle w:val="Compact"/>
        <w:numPr>
          <w:ilvl w:val="0"/>
          <w:numId w:val="1091"/>
        </w:numPr>
      </w:pPr>
      <w:r>
        <w:rPr>
          <w:b/>
          <w:bCs/>
        </w:rPr>
        <w:t xml:space="preserve">IA-5 (Authenticator Management):</w:t>
      </w:r>
      <w:r>
        <w:t xml:space="preserve"> </w:t>
      </w:r>
      <w:r>
        <w:t xml:space="preserve">the Authentication methods policy and service principal credential rotation.</w:t>
      </w:r>
    </w:p>
    <w:p>
      <w:pPr>
        <w:pStyle w:val="Compact"/>
        <w:numPr>
          <w:ilvl w:val="0"/>
          <w:numId w:val="1091"/>
        </w:numPr>
      </w:pPr>
      <w:r>
        <w:rPr>
          <w:b/>
          <w:bCs/>
        </w:rPr>
        <w:t xml:space="preserve">AU-2 (Event Logging):</w:t>
      </w:r>
      <w:r>
        <w:t xml:space="preserve"> </w:t>
      </w:r>
      <w:r>
        <w:t xml:space="preserve">Log Analytics integration and the detection rules.</w:t>
      </w:r>
    </w:p>
    <w:p>
      <w:pPr>
        <w:pStyle w:val="FirstParagraph"/>
      </w:pPr>
      <w:r>
        <w:t xml:space="preserve">Under FedRAMP 20x, the Consolidated Rules for 2026 (launched June 24, 2026) express these as Key Security Indicators, which are what a 20x package evidences.</w:t>
      </w:r>
      <w:r>
        <w:rPr>
          <w:rStyle w:val="FootnoteReference"/>
        </w:rPr>
        <w:footnoteReference w:id="1082"/>
      </w:r>
      <w:r>
        <w:t xml:space="preserve"> </w:t>
      </w:r>
      <w:r>
        <w:t xml:space="preserve">Compliance Manager’s templates follow the Rev. 5 control structure and don’t produce indicator evidence, so use them as a readiness check, not the deliverable.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Controls</w:t>
            </w:r>
          </w:p>
        </w:tc>
        <w:tc>
          <w:tcPr/>
          <w:p>
            <w:pPr>
              <w:pStyle w:val="Compact"/>
            </w:pPr>
            <w:r>
              <w:t xml:space="preserve">FedRAMP 20x indicator</w:t>
            </w:r>
          </w:p>
        </w:tc>
        <w:tc>
          <w:tcPr/>
          <w:p>
            <w:pPr>
              <w:pStyle w:val="Compact"/>
            </w:pPr>
            <w:r>
              <w:t xml:space="preserve">Where in this book</w:t>
            </w:r>
          </w:p>
        </w:tc>
      </w:tr>
      <w:tr>
        <w:tc>
          <w:tcPr/>
          <w:p>
            <w:pPr>
              <w:pStyle w:val="Compact"/>
            </w:pPr>
            <w:r>
              <w:t xml:space="preserve">AC-2</w:t>
            </w:r>
          </w:p>
        </w:tc>
        <w:tc>
          <w:tcPr/>
          <w:p>
            <w:pPr>
              <w:pStyle w:val="Compact"/>
            </w:pPr>
            <w:r>
              <w:rPr>
                <w:rStyle w:val="VerbatimChar"/>
              </w:rPr>
              <w:t xml:space="preserve">KSI-IAM-AAM</w:t>
            </w:r>
            <w:r>
              <w:t xml:space="preserve">, Automating Account Management</w:t>
            </w:r>
          </w:p>
        </w:tc>
        <w:tc>
          <w:tcPr/>
          <w:p>
            <w:pPr>
              <w:pStyle w:val="Compact"/>
            </w:pPr>
            <w:r>
              <w:t xml:space="preserve">Lifecycle Workflows; access reviews</w:t>
            </w:r>
          </w:p>
        </w:tc>
      </w:tr>
      <w:tr>
        <w:tc>
          <w:tcPr/>
          <w:p>
            <w:pPr>
              <w:pStyle w:val="Compact"/>
            </w:pPr>
            <w:r>
              <w:t xml:space="preserve">AC-6</w:t>
            </w:r>
          </w:p>
        </w:tc>
        <w:tc>
          <w:tcPr/>
          <w:p>
            <w:pPr>
              <w:pStyle w:val="Compact"/>
            </w:pPr>
            <w:r>
              <w:rPr>
                <w:rStyle w:val="VerbatimChar"/>
              </w:rPr>
              <w:t xml:space="preserve">KSI-IAM-ELP</w:t>
            </w:r>
            <w:r>
              <w:t xml:space="preserve">, Ensuring Least Privilege;</w:t>
            </w:r>
            <w:r>
              <w:t xml:space="preserve"> </w:t>
            </w:r>
            <w:r>
              <w:rPr>
                <w:rStyle w:val="VerbatimChar"/>
              </w:rPr>
              <w:t xml:space="preserve">KSI-IAM-JIT</w:t>
            </w:r>
            <w:r>
              <w:t xml:space="preserve">, Authorizing Just-in-Time</w:t>
            </w:r>
          </w:p>
        </w:tc>
        <w:tc>
          <w:tcPr/>
          <w:p>
            <w:pPr>
              <w:pStyle w:val="Compact"/>
            </w:pPr>
            <w:r>
              <w:t xml:space="preserve">Chapter 09 groups and PIM</w:t>
            </w:r>
          </w:p>
        </w:tc>
      </w:tr>
      <w:tr>
        <w:tc>
          <w:tcPr/>
          <w:p>
            <w:pPr>
              <w:pStyle w:val="Compact"/>
            </w:pPr>
            <w:r>
              <w:t xml:space="preserve">IA-2, IA-5</w:t>
            </w:r>
          </w:p>
        </w:tc>
        <w:tc>
          <w:tcPr/>
          <w:p>
            <w:pPr>
              <w:pStyle w:val="Compact"/>
            </w:pPr>
            <w:r>
              <w:rPr>
                <w:rStyle w:val="VerbatimChar"/>
              </w:rPr>
              <w:t xml:space="preserve">KSI-IAM-APM</w:t>
            </w:r>
            <w:r>
              <w:t xml:space="preserve">, Adopting Passwordless Methods</w:t>
            </w:r>
          </w:p>
        </w:tc>
        <w:tc>
          <w:tcPr/>
          <w:p>
            <w:pPr>
              <w:pStyle w:val="Compact"/>
            </w:pPr>
            <w:r>
              <w:t xml:space="preserve">Authentication strengths; the roadmap; the Authentication methods policy</w:t>
            </w:r>
          </w:p>
        </w:tc>
      </w:tr>
      <w:tr>
        <w:tc>
          <w:tcPr/>
          <w:p>
            <w:pPr>
              <w:pStyle w:val="Compact"/>
            </w:pPr>
            <w:r>
              <w:t xml:space="preserve">IA-5 (non-user)</w:t>
            </w:r>
          </w:p>
        </w:tc>
        <w:tc>
          <w:tcPr/>
          <w:p>
            <w:pPr>
              <w:pStyle w:val="Compact"/>
            </w:pPr>
            <w:r>
              <w:rPr>
                <w:rStyle w:val="VerbatimChar"/>
              </w:rPr>
              <w:t xml:space="preserve">KSI-IAM-SNU</w:t>
            </w:r>
            <w:r>
              <w:t xml:space="preserve">, Securing Non-User Authentication</w:t>
            </w:r>
          </w:p>
        </w:tc>
        <w:tc>
          <w:tcPr/>
          <w:p>
            <w:pPr>
              <w:pStyle w:val="Compact"/>
            </w:pPr>
            <w:r>
              <w:t xml:space="preserve">Chapter 09 service account modernization</w:t>
            </w:r>
          </w:p>
        </w:tc>
      </w:tr>
      <w:tr>
        <w:tc>
          <w:tcPr/>
          <w:p>
            <w:pPr>
              <w:pStyle w:val="Compact"/>
            </w:pPr>
            <w:r>
              <w:t xml:space="preserve">AU-2</w:t>
            </w:r>
          </w:p>
        </w:tc>
        <w:tc>
          <w:tcPr/>
          <w:p>
            <w:pPr>
              <w:pStyle w:val="Compact"/>
            </w:pPr>
            <w:r>
              <w:rPr>
                <w:rStyle w:val="VerbatimChar"/>
              </w:rPr>
              <w:t xml:space="preserve">KSI-MLA-LET</w:t>
            </w:r>
            <w:r>
              <w:t xml:space="preserve">, Logging Event Types;</w:t>
            </w:r>
            <w:r>
              <w:t xml:space="preserve"> </w:t>
            </w:r>
            <w:r>
              <w:rPr>
                <w:rStyle w:val="VerbatimChar"/>
              </w:rPr>
              <w:t xml:space="preserve">KSI-MLA-RVL</w:t>
            </w:r>
            <w:r>
              <w:t xml:space="preserve">, Reviewing Logs</w:t>
            </w:r>
          </w:p>
        </w:tc>
        <w:tc>
          <w:tcPr/>
          <w:p>
            <w:pPr>
              <w:pStyle w:val="Compact"/>
            </w:pPr>
            <w:r>
              <w:t xml:space="preserve">Log Analytics integration; detection rules</w:t>
            </w:r>
          </w:p>
        </w:tc>
      </w:tr>
    </w:tbl>
    <w:p>
      <w:pPr>
        <w:pStyle w:val="BodyText"/>
      </w:pPr>
      <w:r>
        <w:t xml:space="preserve">The indicator IDs and titles are from FedRAMP’s published indicator pages.</w:t>
      </w:r>
      <w:r>
        <w:rPr>
          <w:rStyle w:val="FootnoteReference"/>
        </w:rPr>
        <w:footnoteReference w:id="1083"/>
      </w:r>
      <w:r>
        <w:rPr>
          <w:rStyle w:val="FootnoteReference"/>
        </w:rPr>
        <w:footnoteReference w:id="1084"/>
      </w:r>
      <w:r>
        <w:t xml:space="preserve"> </w:t>
      </w:r>
      <w:r>
        <w:t xml:space="preserve">The control-to-indicator mapping is the program’s.</w:t>
      </w:r>
    </w:p>
    <w:bookmarkEnd w:id="1086"/>
    <w:bookmarkEnd w:id="1087"/>
    <w:bookmarkStart w:id="1109" w:name="the-migration-execution-playbook"/>
    <w:p>
      <w:pPr>
        <w:pStyle w:val="Heading2"/>
      </w:pPr>
      <w:bookmarkStart w:id="1484" w:name="_Toc00001484"/>
      <w:r>
        <w:t xml:space="preserve">The migration execution playbook</w:t>
      </w:r>
      <w:bookmarkEnd w:id="1484"/>
    </w:p>
    <w:p>
      <w:pPr>
        <w:pStyle w:val="FirstParagraph"/>
      </w:pPr>
      <w:r>
        <w:t xml:space="preserve">The migration runs in eleven phases, grouped into five waves. Each phase has prerequisites, steps, validation criteria, a rollback procedure, and a duration estimate. Phases run in order: a phase’s validation criteria must be met before the next begins. The durations are the program’s planning estimates, not measured results; the total runs 40 to 70 weeks.</w:t>
      </w:r>
    </w:p>
    <w:bookmarkStart w:id="1091" w:name="fig-ch10-migration-waves"/>
    <w:p>
      <w:pPr>
        <w:pStyle w:val="CaptionedFigure"/>
      </w:pPr>
      <w:r>
        <w:drawing>
          <wp:inline>
            <wp:extent cx="5334000" cy="917976"/>
            <wp:effectExtent b="0" l="0" r="0" t="0"/>
            <wp:docPr descr="The eleven playbook phases in five waves: foundation, objects, privilege and policy, authentication, and sustain." title="" id="1089" name="Picture"/>
            <a:graphic>
              <a:graphicData uri="http://schemas.openxmlformats.org/drawingml/2006/picture">
                <pic:pic>
                  <pic:nvPicPr>
                    <pic:cNvPr descr="/home/runner/work/modernization-workbook/modernization-workbook/docs/images/diagrams/b02-identity/png/ch10-migration-waves.png" id="1090" name="Picture"/>
                    <pic:cNvPicPr>
                      <a:picLocks noChangeArrowheads="1" noChangeAspect="1"/>
                    </pic:cNvPicPr>
                  </pic:nvPicPr>
                  <pic:blipFill>
                    <a:blip r:embed="rId1088"/>
                    <a:stretch>
                      <a:fillRect/>
                    </a:stretch>
                  </pic:blipFill>
                  <pic:spPr bwMode="auto">
                    <a:xfrm>
                      <a:off x="0" y="0"/>
                      <a:ext cx="5334000" cy="917976"/>
                    </a:xfrm>
                    <a:prstGeom prst="rect">
                      <a:avLst/>
                    </a:prstGeom>
                    <a:noFill/>
                    <a:ln w="9525">
                      <a:noFill/>
                      <a:headEnd/>
                      <a:tailEnd/>
                    </a:ln>
                  </pic:spPr>
                </pic:pic>
              </a:graphicData>
            </a:graphic>
          </wp:inline>
        </w:drawing>
      </w:r>
    </w:p>
    <w:p>
      <w:pPr>
        <w:pStyle w:val="ImageCaption"/>
      </w:pPr>
      <w:r>
        <w:t xml:space="preserve">The eleven playbook phases in five waves: foundation, objects, privilege and policy, authentication, and sustain.</w:t>
      </w:r>
    </w:p>
    <w:bookmarkEnd w:id="1091"/>
    <w:bookmarkStart w:id="1092" w:name="phase-0-assessment"/>
    <w:p>
      <w:pPr>
        <w:pStyle w:val="Heading3"/>
      </w:pPr>
      <w:r>
        <w:t xml:space="preserve">Phase 0: Assessment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w:t>
            </w:r>
          </w:p>
        </w:tc>
        <w:tc>
          <w:tcPr/>
          <w:p>
            <w:pPr>
              <w:pStyle w:val="Compact"/>
            </w:pPr>
            <w:r>
              <w:t xml:space="preserve">Detail</w:t>
            </w:r>
          </w:p>
        </w:tc>
      </w:tr>
      <w:tr>
        <w:tc>
          <w:tcPr/>
          <w:p>
            <w:pPr>
              <w:pStyle w:val="Compact"/>
            </w:pPr>
            <w:r>
              <w:t xml:space="preserve">Prerequisites</w:t>
            </w:r>
          </w:p>
        </w:tc>
        <w:tc>
          <w:tcPr/>
          <w:p>
            <w:pPr>
              <w:pStyle w:val="Compact"/>
            </w:pPr>
            <w:r>
              <w:t xml:space="preserve">Read access to the forest; the Git repository provisioned; the program’s PowerShell modules installed</w:t>
            </w:r>
          </w:p>
        </w:tc>
      </w:tr>
      <w:tr>
        <w:tc>
          <w:tcPr/>
          <w:p>
            <w:pPr>
              <w:pStyle w:val="Compact"/>
            </w:pPr>
            <w:r>
              <w:t xml:space="preserve">Steps</w:t>
            </w:r>
          </w:p>
        </w:tc>
        <w:tc>
          <w:tcPr/>
          <w:p>
            <w:pPr>
              <w:pStyle w:val="Compact"/>
            </w:pPr>
            <w:r>
              <w:t xml:space="preserve">1. Run</w:t>
            </w:r>
            <w:r>
              <w:t xml:space="preserve"> </w:t>
            </w:r>
            <w:r>
              <w:rPr>
                <w:rStyle w:val="VerbatimChar"/>
              </w:rPr>
              <w:t xml:space="preserve">Invoke-FMPADAssessment</w:t>
            </w:r>
            <w:r>
              <w:t xml:space="preserve"> </w:t>
            </w:r>
            <w:r>
              <w:t xml:space="preserve">(Chapter 07 and Chapter 08) to inventory the forest. 2. Run</w:t>
            </w:r>
            <w:r>
              <w:t xml:space="preserve"> </w:t>
            </w:r>
            <w:r>
              <w:rPr>
                <w:rStyle w:val="VerbatimChar"/>
              </w:rPr>
              <w:t xml:space="preserve">Export-FMPIdentityBaseline</w:t>
            </w:r>
            <w:r>
              <w:t xml:space="preserve"> </w:t>
            </w:r>
            <w:r>
              <w:t xml:space="preserve">(Appendix C) for user, group, and service account inventories. 3. Find UPN suffix mismatches and non-routable suffixes. 4. Map the OU structure to proposed administrative units. 5. Document every trust for cross-tenant planning. 6. Commit the assessment output (JSON) to Git.</w:t>
            </w:r>
          </w:p>
        </w:tc>
      </w:tr>
      <w:tr>
        <w:tc>
          <w:tcPr/>
          <w:p>
            <w:pPr>
              <w:pStyle w:val="Compact"/>
            </w:pPr>
            <w:r>
              <w:t xml:space="preserve">Validation</w:t>
            </w:r>
          </w:p>
        </w:tc>
        <w:tc>
          <w:tcPr/>
          <w:p>
            <w:pPr>
              <w:pStyle w:val="Compact"/>
            </w:pPr>
            <w:r>
              <w:t xml:space="preserve">Complete inventory in Git; UPN remediation plan documented; a recorded decision for every group; service account risk classification complete</w:t>
            </w:r>
          </w:p>
        </w:tc>
      </w:tr>
      <w:tr>
        <w:tc>
          <w:tcPr/>
          <w:p>
            <w:pPr>
              <w:pStyle w:val="Compact"/>
            </w:pPr>
            <w:r>
              <w:t xml:space="preserve">Rollback</w:t>
            </w:r>
          </w:p>
        </w:tc>
        <w:tc>
          <w:tcPr/>
          <w:p>
            <w:pPr>
              <w:pStyle w:val="Compact"/>
            </w:pPr>
            <w:r>
              <w:t xml:space="preserve">Not applicable; assessment is read-only</w:t>
            </w:r>
          </w:p>
        </w:tc>
      </w:tr>
      <w:tr>
        <w:tc>
          <w:tcPr/>
          <w:p>
            <w:pPr>
              <w:pStyle w:val="Compact"/>
            </w:pPr>
            <w:r>
              <w:t xml:space="preserve">Duration</w:t>
            </w:r>
          </w:p>
        </w:tc>
        <w:tc>
          <w:tcPr/>
          <w:p>
            <w:pPr>
              <w:pStyle w:val="Compact"/>
            </w:pPr>
            <w:r>
              <w:t xml:space="preserve">2–4 weeks</w:t>
            </w:r>
          </w:p>
        </w:tc>
      </w:tr>
    </w:tbl>
    <w:bookmarkEnd w:id="1092"/>
    <w:bookmarkStart w:id="1093" w:name="phase-1-sync-deployment-and-initial-sync"/>
    <w:p>
      <w:pPr>
        <w:pStyle w:val="Heading3"/>
      </w:pPr>
      <w:r>
        <w:t xml:space="preserve">Phase 1: Sync deployment and initial sync</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w:t>
            </w:r>
          </w:p>
        </w:tc>
        <w:tc>
          <w:tcPr/>
          <w:p>
            <w:pPr>
              <w:pStyle w:val="Compact"/>
            </w:pPr>
            <w:r>
              <w:t xml:space="preserve">Detail</w:t>
            </w:r>
          </w:p>
        </w:tc>
      </w:tr>
      <w:tr>
        <w:tc>
          <w:tcPr/>
          <w:p>
            <w:pPr>
              <w:pStyle w:val="Compact"/>
            </w:pPr>
            <w:r>
              <w:t xml:space="preserve">Prerequisites</w:t>
            </w:r>
          </w:p>
        </w:tc>
        <w:tc>
          <w:tcPr/>
          <w:p>
            <w:pPr>
              <w:pStyle w:val="Compact"/>
            </w:pPr>
            <w:r>
              <w:t xml:space="preserve">Phase 0 complete; the sync engine chosen (Chapter 09); servers built to the workbook’s server standards; OU scoping finalized; UPN remediation complete; soft and hard match blocks reviewed</w:t>
            </w:r>
          </w:p>
        </w:tc>
      </w:tr>
      <w:tr>
        <w:tc>
          <w:tcPr/>
          <w:p>
            <w:pPr>
              <w:pStyle w:val="Compact"/>
            </w:pPr>
            <w:r>
              <w:t xml:space="preserve">Steps</w:t>
            </w:r>
          </w:p>
        </w:tc>
        <w:tc>
          <w:tcPr/>
          <w:p>
            <w:pPr>
              <w:pStyle w:val="Compact"/>
            </w:pPr>
            <w:r>
              <w:t xml:space="preserve">1. Deploy Cloud Sync agents (at least two), or install Connect Sync where a Connect-only requirement applies. 2. Configure OU scoping. 3. Configure attribute mappings. 4. Enable PHS, even if PTA or federation is primary. 5. For Connect Sync, run the initial sync in staging mode and check object counts and attribute mapping; for Cloud Sync, test with on-demand provisioning. 6. Enable export after validation. 7. For Connect Sync, build the staging-mode standby server. 8. Commit the sync configuration export to Git.</w:t>
            </w:r>
          </w:p>
        </w:tc>
      </w:tr>
      <w:tr>
        <w:tc>
          <w:tcPr/>
          <w:p>
            <w:pPr>
              <w:pStyle w:val="Compact"/>
            </w:pPr>
            <w:r>
              <w:t xml:space="preserve">Validation</w:t>
            </w:r>
          </w:p>
        </w:tc>
        <w:tc>
          <w:tcPr/>
          <w:p>
            <w:pPr>
              <w:pStyle w:val="Compact"/>
            </w:pPr>
            <w:r>
              <w:t xml:space="preserve">Object counts in Entra ID match the expected count (±1%); no sync errors; attribute spot-check (10 users, 5 groups) correct; standby verified</w:t>
            </w:r>
          </w:p>
        </w:tc>
      </w:tr>
      <w:tr>
        <w:tc>
          <w:tcPr/>
          <w:p>
            <w:pPr>
              <w:pStyle w:val="Compact"/>
            </w:pPr>
            <w:r>
              <w:t xml:space="preserve">Rollback</w:t>
            </w:r>
          </w:p>
        </w:tc>
        <w:tc>
          <w:tcPr/>
          <w:p>
            <w:pPr>
              <w:pStyle w:val="Compact"/>
            </w:pPr>
            <w:r>
              <w:t xml:space="preserve">Stop sync; remove the synced objects from scope (they’re soft-deleted and recoverable for 30 days); reconfigure from a clean state. Don’t hard-delete during rollback.</w:t>
            </w:r>
          </w:p>
        </w:tc>
      </w:tr>
      <w:tr>
        <w:tc>
          <w:tcPr/>
          <w:p>
            <w:pPr>
              <w:pStyle w:val="Compact"/>
            </w:pPr>
            <w:r>
              <w:t xml:space="preserve">Duration</w:t>
            </w:r>
          </w:p>
        </w:tc>
        <w:tc>
          <w:tcPr/>
          <w:p>
            <w:pPr>
              <w:pStyle w:val="Compact"/>
            </w:pPr>
            <w:r>
              <w:t xml:space="preserve">2–3 weeks</w:t>
            </w:r>
          </w:p>
        </w:tc>
      </w:tr>
    </w:tbl>
    <w:bookmarkEnd w:id="1093"/>
    <w:bookmarkStart w:id="1095" w:name="X429a3cee687490685226ba09b196c4a67770d31"/>
    <w:p>
      <w:pPr>
        <w:pStyle w:val="Heading3"/>
      </w:pPr>
      <w:r>
        <w:t xml:space="preserve">Phase 2: Sign-in method and Conditional Access in report-only</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w:t>
            </w:r>
          </w:p>
        </w:tc>
        <w:tc>
          <w:tcPr/>
          <w:p>
            <w:pPr>
              <w:pStyle w:val="Compact"/>
            </w:pPr>
            <w:r>
              <w:t xml:space="preserve">Detail</w:t>
            </w:r>
          </w:p>
        </w:tc>
      </w:tr>
      <w:tr>
        <w:tc>
          <w:tcPr/>
          <w:p>
            <w:pPr>
              <w:pStyle w:val="Compact"/>
            </w:pPr>
            <w:r>
              <w:t xml:space="preserve">Prerequisites</w:t>
            </w:r>
          </w:p>
        </w:tc>
        <w:tc>
          <w:tcPr/>
          <w:p>
            <w:pPr>
              <w:pStyle w:val="Compact"/>
            </w:pPr>
            <w:r>
              <w:t xml:space="preserve">Phase 1 complete; emergency access accounts created with passkeys; Conditional Access policies drafted</w:t>
            </w:r>
          </w:p>
        </w:tc>
      </w:tr>
      <w:tr>
        <w:tc>
          <w:tcPr/>
          <w:p>
            <w:pPr>
              <w:pStyle w:val="Compact"/>
            </w:pPr>
            <w:r>
              <w:t xml:space="preserve">Steps</w:t>
            </w:r>
          </w:p>
        </w:tc>
        <w:tc>
          <w:tcPr/>
          <w:p>
            <w:pPr>
              <w:pStyle w:val="Compact"/>
            </w:pPr>
            <w:r>
              <w:t xml:space="preserve">1. Confirm PHS is active. 2. If PTA is kept for now, deploy at least three agents. 3. Configure Seamless SSO only for devices that are domain joined but not hybrid joined or Entra joined; Entra joined and hybrid joined devices already get single sign-on.</w:t>
            </w:r>
            <w:r>
              <w:rPr>
                <w:rStyle w:val="FootnoteReference"/>
              </w:rPr>
              <w:footnoteReference w:id="1094"/>
            </w:r>
            <w:r>
              <w:t xml:space="preserve"> </w:t>
            </w:r>
            <w:r>
              <w:t xml:space="preserve">4. Deploy every Conditional Access policy in report-only mode. 5. Create the break-glass exclusion group and confirm it’s excluded from every policy. 6. Watch the Conditional Access insights workbook for 2–4 weeks. 7. Fix users and devices the policies would block.</w:t>
            </w:r>
          </w:p>
        </w:tc>
      </w:tr>
      <w:tr>
        <w:tc>
          <w:tcPr/>
          <w:p>
            <w:pPr>
              <w:pStyle w:val="Compact"/>
            </w:pPr>
            <w:r>
              <w:t xml:space="preserve">Validation</w:t>
            </w:r>
          </w:p>
        </w:tc>
        <w:tc>
          <w:tcPr/>
          <w:p>
            <w:pPr>
              <w:pStyle w:val="Compact"/>
            </w:pPr>
            <w:r>
              <w:t xml:space="preserve">PHS verified (a test password change propagates); PTA agents healthy; every policy shows the expected impact in report-only; an emergency account sign-in tested and logged</w:t>
            </w:r>
          </w:p>
        </w:tc>
      </w:tr>
      <w:tr>
        <w:tc>
          <w:tcPr/>
          <w:p>
            <w:pPr>
              <w:pStyle w:val="Compact"/>
            </w:pPr>
            <w:r>
              <w:t xml:space="preserve">Rollback</w:t>
            </w:r>
          </w:p>
        </w:tc>
        <w:tc>
          <w:tcPr/>
          <w:p>
            <w:pPr>
              <w:pStyle w:val="Compact"/>
            </w:pPr>
            <w:r>
              <w:t xml:space="preserve">Remove PTA agents; return to PHS; set the policies off</w:t>
            </w:r>
          </w:p>
        </w:tc>
      </w:tr>
      <w:tr>
        <w:tc>
          <w:tcPr/>
          <w:p>
            <w:pPr>
              <w:pStyle w:val="Compact"/>
            </w:pPr>
            <w:r>
              <w:t xml:space="preserve">Duration</w:t>
            </w:r>
          </w:p>
        </w:tc>
        <w:tc>
          <w:tcPr/>
          <w:p>
            <w:pPr>
              <w:pStyle w:val="Compact"/>
            </w:pPr>
            <w:r>
              <w:t xml:space="preserve">3–4 weeks</w:t>
            </w:r>
          </w:p>
        </w:tc>
      </w:tr>
    </w:tbl>
    <w:bookmarkEnd w:id="1095"/>
    <w:bookmarkStart w:id="1096" w:name="X103176ef284060c6944c20738fd615710a8a5a3"/>
    <w:p>
      <w:pPr>
        <w:pStyle w:val="Heading3"/>
      </w:pPr>
      <w:r>
        <w:t xml:space="preserve">Phase 3: Group migration and dynamic group conversion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w:t>
            </w:r>
          </w:p>
        </w:tc>
        <w:tc>
          <w:tcPr/>
          <w:p>
            <w:pPr>
              <w:pStyle w:val="Compact"/>
            </w:pPr>
            <w:r>
              <w:t xml:space="preserve">Detail</w:t>
            </w:r>
          </w:p>
        </w:tc>
      </w:tr>
      <w:tr>
        <w:tc>
          <w:tcPr/>
          <w:p>
            <w:pPr>
              <w:pStyle w:val="Compact"/>
            </w:pPr>
            <w:r>
              <w:t xml:space="preserve">Prerequisites</w:t>
            </w:r>
          </w:p>
        </w:tc>
        <w:tc>
          <w:tcPr/>
          <w:p>
            <w:pPr>
              <w:pStyle w:val="Compact"/>
            </w:pPr>
            <w:r>
              <w:t xml:space="preserve">Phase 2 complete; group decisions final (Chapter 09); extension attributes populated at the source</w:t>
            </w:r>
          </w:p>
        </w:tc>
      </w:tr>
      <w:tr>
        <w:tc>
          <w:tcPr/>
          <w:p>
            <w:pPr>
              <w:pStyle w:val="Compact"/>
            </w:pPr>
            <w:r>
              <w:t xml:space="preserve">Steps</w:t>
            </w:r>
          </w:p>
        </w:tc>
        <w:tc>
          <w:tcPr/>
          <w:p>
            <w:pPr>
              <w:pStyle w:val="Compact"/>
            </w:pPr>
            <w:r>
              <w:t xml:space="preserve">1. Create dynamic groups. 2. Validate dynamic membership against the expected populations. 3. Create cloud-only security groups for the groups marked cloud-only. 4. Move resource assignments from synced groups to cloud groups, in phases. 5. Apply Microsoft 365 group governance (naming, expiration, labels). 6. Configure self-service group management. 7. Configure Cloud Sync group provisioning to AD for cloud groups that still guard Kerberos applications. 8. Retire AD groups that are fully migrated.</w:t>
            </w:r>
          </w:p>
        </w:tc>
      </w:tr>
      <w:tr>
        <w:tc>
          <w:tcPr/>
          <w:p>
            <w:pPr>
              <w:pStyle w:val="Compact"/>
            </w:pPr>
            <w:r>
              <w:t xml:space="preserve">Validation</w:t>
            </w:r>
          </w:p>
        </w:tc>
        <w:tc>
          <w:tcPr/>
          <w:p>
            <w:pPr>
              <w:pStyle w:val="Compact"/>
            </w:pPr>
            <w:r>
              <w:t xml:space="preserve">Dynamic groups contain the expected members (±2%); resource access unchanged after migration; no help desk tickets attributable to group changes</w:t>
            </w:r>
          </w:p>
        </w:tc>
      </w:tr>
      <w:tr>
        <w:tc>
          <w:tcPr/>
          <w:p>
            <w:pPr>
              <w:pStyle w:val="Compact"/>
            </w:pPr>
            <w:r>
              <w:t xml:space="preserve">Rollback</w:t>
            </w:r>
          </w:p>
        </w:tc>
        <w:tc>
          <w:tcPr/>
          <w:p>
            <w:pPr>
              <w:pStyle w:val="Compact"/>
            </w:pPr>
            <w:r>
              <w:t xml:space="preserve">Reassign resources to the original synced groups; delete the cloud groups; restore AD groups from the recycle bin or backup</w:t>
            </w:r>
          </w:p>
        </w:tc>
      </w:tr>
      <w:tr>
        <w:tc>
          <w:tcPr/>
          <w:p>
            <w:pPr>
              <w:pStyle w:val="Compact"/>
            </w:pPr>
            <w:r>
              <w:t xml:space="preserve">Duration</w:t>
            </w:r>
          </w:p>
        </w:tc>
        <w:tc>
          <w:tcPr/>
          <w:p>
            <w:pPr>
              <w:pStyle w:val="Compact"/>
            </w:pPr>
            <w:r>
              <w:t xml:space="preserve">4–6 weeks</w:t>
            </w:r>
          </w:p>
        </w:tc>
      </w:tr>
    </w:tbl>
    <w:bookmarkEnd w:id="1096"/>
    <w:bookmarkStart w:id="1097" w:name="phase-4-service-account-modernization"/>
    <w:p>
      <w:pPr>
        <w:pStyle w:val="Heading3"/>
      </w:pPr>
      <w:r>
        <w:t xml:space="preserve">Phase 4: Service account modernization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w:t>
            </w:r>
          </w:p>
        </w:tc>
        <w:tc>
          <w:tcPr/>
          <w:p>
            <w:pPr>
              <w:pStyle w:val="Compact"/>
            </w:pPr>
            <w:r>
              <w:t xml:space="preserve">Detail</w:t>
            </w:r>
          </w:p>
        </w:tc>
      </w:tr>
      <w:tr>
        <w:tc>
          <w:tcPr/>
          <w:p>
            <w:pPr>
              <w:pStyle w:val="Compact"/>
            </w:pPr>
            <w:r>
              <w:t xml:space="preserve">Prerequisites</w:t>
            </w:r>
          </w:p>
        </w:tc>
        <w:tc>
          <w:tcPr/>
          <w:p>
            <w:pPr>
              <w:pStyle w:val="Compact"/>
            </w:pPr>
            <w:r>
              <w:t xml:space="preserve">Phase 3 complete; service account inventory classified (Chapter 09); application owners identified</w:t>
            </w:r>
          </w:p>
        </w:tc>
      </w:tr>
      <w:tr>
        <w:tc>
          <w:tcPr/>
          <w:p>
            <w:pPr>
              <w:pStyle w:val="Compact"/>
            </w:pPr>
            <w:r>
              <w:t xml:space="preserve">Steps</w:t>
            </w:r>
          </w:p>
        </w:tc>
        <w:tc>
          <w:tcPr/>
          <w:p>
            <w:pPr>
              <w:pStyle w:val="Compact"/>
            </w:pPr>
            <w:r>
              <w:t xml:space="preserve">1. Convert HIGH-risk accounts first (password never expires, over-privileged). 2. Create workload identities: managed identities for Azure-hosted workloads, federated credentials for pipelines and other OIDC-capable hosts, certificates only where neither applies. 3. Configure Conditional Access for workload identities (single-tenant service principals). 4. Set credential rotation schedules and two human owners per application. 5. Run old and new credentials in parallel for 30 days, then disable the legacy accounts.</w:t>
            </w:r>
          </w:p>
        </w:tc>
      </w:tr>
      <w:tr>
        <w:tc>
          <w:tcPr/>
          <w:p>
            <w:pPr>
              <w:pStyle w:val="Compact"/>
            </w:pPr>
            <w:r>
              <w:t xml:space="preserve">Validation</w:t>
            </w:r>
          </w:p>
        </w:tc>
        <w:tc>
          <w:tcPr/>
          <w:p>
            <w:pPr>
              <w:pStyle w:val="Compact"/>
            </w:pPr>
            <w:r>
              <w:t xml:space="preserve">Every HIGH-risk account converted or retired; new identities authenticate without stored secrets where possible; no service disruption during the parallel run; workload identity policies enforced</w:t>
            </w:r>
          </w:p>
        </w:tc>
      </w:tr>
      <w:tr>
        <w:tc>
          <w:tcPr/>
          <w:p>
            <w:pPr>
              <w:pStyle w:val="Compact"/>
            </w:pPr>
            <w:r>
              <w:t xml:space="preserve">Rollback</w:t>
            </w:r>
          </w:p>
        </w:tc>
        <w:tc>
          <w:tcPr/>
          <w:p>
            <w:pPr>
              <w:pStyle w:val="Compact"/>
            </w:pPr>
            <w:r>
              <w:t xml:space="preserve">Re-enable the legacy accounts; revert application configuration</w:t>
            </w:r>
          </w:p>
        </w:tc>
      </w:tr>
      <w:tr>
        <w:tc>
          <w:tcPr/>
          <w:p>
            <w:pPr>
              <w:pStyle w:val="Compact"/>
            </w:pPr>
            <w:r>
              <w:t xml:space="preserve">Duration</w:t>
            </w:r>
          </w:p>
        </w:tc>
        <w:tc>
          <w:tcPr/>
          <w:p>
            <w:pPr>
              <w:pStyle w:val="Compact"/>
            </w:pPr>
            <w:r>
              <w:t xml:space="preserve">6–8 weeks</w:t>
            </w:r>
          </w:p>
        </w:tc>
      </w:tr>
    </w:tbl>
    <w:bookmarkEnd w:id="1097"/>
    <w:bookmarkStart w:id="1098" w:name="phase-5-pim-rollout"/>
    <w:p>
      <w:pPr>
        <w:pStyle w:val="Heading3"/>
      </w:pPr>
      <w:r>
        <w:t xml:space="preserve">Phase 5: PIM rollout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w:t>
            </w:r>
          </w:p>
        </w:tc>
        <w:tc>
          <w:tcPr/>
          <w:p>
            <w:pPr>
              <w:pStyle w:val="Compact"/>
            </w:pPr>
            <w:r>
              <w:t xml:space="preserve">Detail</w:t>
            </w:r>
          </w:p>
        </w:tc>
      </w:tr>
      <w:tr>
        <w:tc>
          <w:tcPr/>
          <w:p>
            <w:pPr>
              <w:pStyle w:val="Compact"/>
            </w:pPr>
            <w:r>
              <w:t xml:space="preserve">Prerequisites</w:t>
            </w:r>
          </w:p>
        </w:tc>
        <w:tc>
          <w:tcPr/>
          <w:p>
            <w:pPr>
              <w:pStyle w:val="Compact"/>
            </w:pPr>
            <w:r>
              <w:t xml:space="preserve">Phase 4 complete; role mapping final (Chapter 09); every administrator registered for a phishing-resistant method</w:t>
            </w:r>
          </w:p>
        </w:tc>
      </w:tr>
      <w:tr>
        <w:tc>
          <w:tcPr/>
          <w:p>
            <w:pPr>
              <w:pStyle w:val="Compact"/>
            </w:pPr>
            <w:r>
              <w:t xml:space="preserve">Steps</w:t>
            </w:r>
          </w:p>
        </w:tc>
        <w:tc>
          <w:tcPr/>
          <w:p>
            <w:pPr>
              <w:pStyle w:val="Compact"/>
            </w:pPr>
            <w:r>
              <w:t xml:space="preserve">1. Configure PIM role settings per the standards. 2. Convert every permanent active assignment to eligible, except the emergency accounts. 3. Configure PIM for Groups for resource-level just-in-time access. 4. Create quarterly access reviews for all eligible assignments. 5. Add protected actions for Conditional Access, cross-tenant settings, named locations, and hard deletion. 6. Train administrators on activation. 7. Watch the PIM audit log for the first two weeks.</w:t>
            </w:r>
          </w:p>
        </w:tc>
      </w:tr>
      <w:tr>
        <w:tc>
          <w:tcPr/>
          <w:p>
            <w:pPr>
              <w:pStyle w:val="Compact"/>
            </w:pPr>
            <w:r>
              <w:t xml:space="preserve">Validation</w:t>
            </w:r>
          </w:p>
        </w:tc>
        <w:tc>
          <w:tcPr/>
          <w:p>
            <w:pPr>
              <w:pStyle w:val="Compact"/>
            </w:pPr>
            <w:r>
              <w:t xml:space="preserve">Zero permanent active assignments except the emergency accounts; every administrator can activate; the first review cycle started; protected actions enforced</w:t>
            </w:r>
          </w:p>
        </w:tc>
      </w:tr>
      <w:tr>
        <w:tc>
          <w:tcPr/>
          <w:p>
            <w:pPr>
              <w:pStyle w:val="Compact"/>
            </w:pPr>
            <w:r>
              <w:t xml:space="preserve">Rollback</w:t>
            </w:r>
          </w:p>
        </w:tc>
        <w:tc>
          <w:tcPr/>
          <w:p>
            <w:pPr>
              <w:pStyle w:val="Compact"/>
            </w:pPr>
            <w:r>
              <w:t xml:space="preserve">Convert eligible assignments back to active, using an emergency account if activation fails</w:t>
            </w:r>
          </w:p>
        </w:tc>
      </w:tr>
      <w:tr>
        <w:tc>
          <w:tcPr/>
          <w:p>
            <w:pPr>
              <w:pStyle w:val="Compact"/>
            </w:pPr>
            <w:r>
              <w:t xml:space="preserve">Duration</w:t>
            </w:r>
          </w:p>
        </w:tc>
        <w:tc>
          <w:tcPr/>
          <w:p>
            <w:pPr>
              <w:pStyle w:val="Compact"/>
            </w:pPr>
            <w:r>
              <w:t xml:space="preserve">2–3 weeks</w:t>
            </w:r>
          </w:p>
        </w:tc>
      </w:tr>
    </w:tbl>
    <w:bookmarkEnd w:id="1098"/>
    <w:bookmarkStart w:id="1099" w:name="phase-6-conditional-access-enforcement"/>
    <w:p>
      <w:pPr>
        <w:pStyle w:val="Heading3"/>
      </w:pPr>
      <w:r>
        <w:t xml:space="preserve">Phase 6: Conditional Access enforcement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w:t>
            </w:r>
          </w:p>
        </w:tc>
        <w:tc>
          <w:tcPr/>
          <w:p>
            <w:pPr>
              <w:pStyle w:val="Compact"/>
            </w:pPr>
            <w:r>
              <w:t xml:space="preserve">Detail</w:t>
            </w:r>
          </w:p>
        </w:tc>
      </w:tr>
      <w:tr>
        <w:tc>
          <w:tcPr/>
          <w:p>
            <w:pPr>
              <w:pStyle w:val="Compact"/>
            </w:pPr>
            <w:r>
              <w:t xml:space="preserve">Prerequisites</w:t>
            </w:r>
          </w:p>
        </w:tc>
        <w:tc>
          <w:tcPr/>
          <w:p>
            <w:pPr>
              <w:pStyle w:val="Compact"/>
            </w:pPr>
            <w:r>
              <w:t xml:space="preserve">Phase 5 complete; report-only analysis complete; MFA registration above 95% for each targeted population</w:t>
            </w:r>
          </w:p>
        </w:tc>
      </w:tr>
      <w:tr>
        <w:tc>
          <w:tcPr/>
          <w:p>
            <w:pPr>
              <w:pStyle w:val="Compact"/>
            </w:pPr>
            <w:r>
              <w:t xml:space="preserve">Steps</w:t>
            </w:r>
          </w:p>
        </w:tc>
        <w:tc>
          <w:tcPr/>
          <w:p>
            <w:pPr>
              <w:pStyle w:val="Compact"/>
            </w:pPr>
            <w:r>
              <w:t xml:space="preserve">1. Turn policies on for wave 1 (IT and security teams). 2. Watch for a week; work the help desk tickets. 3. Wave 2 (corporate staff), one week. 4. Wave 3 (field and remote workers), one week. 5. Wave 4 (everyone remaining), two weeks. 6. Turn on the risk policies (CA013, CA014) once the baseline is stable. 7. Final check: every policy enforcing, no unintended blocks.</w:t>
            </w:r>
          </w:p>
        </w:tc>
      </w:tr>
      <w:tr>
        <w:tc>
          <w:tcPr/>
          <w:p>
            <w:pPr>
              <w:pStyle w:val="Compact"/>
            </w:pPr>
            <w:r>
              <w:t xml:space="preserve">Validation</w:t>
            </w:r>
          </w:p>
        </w:tc>
        <w:tc>
          <w:tcPr/>
          <w:p>
            <w:pPr>
              <w:pStyle w:val="Compact"/>
            </w:pPr>
            <w:r>
              <w:t xml:space="preserve">Every policy on; help desk volume back to baseline within a week of each wave; no reports of legitimate access blocked for more than an hour</w:t>
            </w:r>
          </w:p>
        </w:tc>
      </w:tr>
      <w:tr>
        <w:tc>
          <w:tcPr/>
          <w:p>
            <w:pPr>
              <w:pStyle w:val="Compact"/>
            </w:pPr>
            <w:r>
              <w:t xml:space="preserve">Rollback</w:t>
            </w:r>
          </w:p>
        </w:tc>
        <w:tc>
          <w:tcPr/>
          <w:p>
            <w:pPr>
              <w:pStyle w:val="Compact"/>
            </w:pPr>
            <w:r>
              <w:t xml:space="preserve">Set the affected policies back to report-only; fix; re-enable</w:t>
            </w:r>
          </w:p>
        </w:tc>
      </w:tr>
      <w:tr>
        <w:tc>
          <w:tcPr/>
          <w:p>
            <w:pPr>
              <w:pStyle w:val="Compact"/>
            </w:pPr>
            <w:r>
              <w:t xml:space="preserve">Duration</w:t>
            </w:r>
          </w:p>
        </w:tc>
        <w:tc>
          <w:tcPr/>
          <w:p>
            <w:pPr>
              <w:pStyle w:val="Compact"/>
            </w:pPr>
            <w:r>
              <w:t xml:space="preserve">4–6 weeks</w:t>
            </w:r>
          </w:p>
        </w:tc>
      </w:tr>
    </w:tbl>
    <w:bookmarkEnd w:id="1099"/>
    <w:bookmarkStart w:id="1100" w:name="X70ea9ab25de19e7b47c74fdfb06131e09442207"/>
    <w:p>
      <w:pPr>
        <w:pStyle w:val="Heading3"/>
      </w:pPr>
      <w:r>
        <w:t xml:space="preserve">Phase 7: Phishing-resistant authentication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w:t>
            </w:r>
          </w:p>
        </w:tc>
        <w:tc>
          <w:tcPr/>
          <w:p>
            <w:pPr>
              <w:pStyle w:val="Compact"/>
            </w:pPr>
            <w:r>
              <w:t xml:space="preserve">Detail</w:t>
            </w:r>
          </w:p>
        </w:tc>
      </w:tr>
      <w:tr>
        <w:tc>
          <w:tcPr/>
          <w:p>
            <w:pPr>
              <w:pStyle w:val="Compact"/>
            </w:pPr>
            <w:r>
              <w:t xml:space="preserve">Prerequisites</w:t>
            </w:r>
          </w:p>
        </w:tc>
        <w:tc>
          <w:tcPr/>
          <w:p>
            <w:pPr>
              <w:pStyle w:val="Compact"/>
            </w:pPr>
            <w:r>
              <w:t xml:space="preserve">Phase 6 complete; FIDO2 keys procured; CBA configured; Windows Hello for Business policy in Intune; Authenticator deployed</w:t>
            </w:r>
          </w:p>
        </w:tc>
      </w:tr>
      <w:tr>
        <w:tc>
          <w:tcPr/>
          <w:p>
            <w:pPr>
              <w:pStyle w:val="Compact"/>
            </w:pPr>
            <w:r>
              <w:t xml:space="preserve">Steps</w:t>
            </w:r>
          </w:p>
        </w:tc>
        <w:tc>
          <w:tcPr/>
          <w:p>
            <w:pPr>
              <w:pStyle w:val="Compact"/>
            </w:pPr>
            <w:r>
              <w:t xml:space="preserve">1. FIDO2 keys and CBA for privileged accounts (roadmap phase 1). 2. CBA for PIV and CAC holders (phase 2). 3. Windows Hello for Business on managed Windows devices (phase 3). 4. Authenticator passkey registration campaign (phase 4). 5. Track registration in the authentication methods reports. 6. Raise Conditional Access authentication strengths to phishing-resistant as each population crosses its threshold.</w:t>
            </w:r>
          </w:p>
        </w:tc>
      </w:tr>
      <w:tr>
        <w:tc>
          <w:tcPr/>
          <w:p>
            <w:pPr>
              <w:pStyle w:val="Compact"/>
            </w:pPr>
            <w:r>
              <w:t xml:space="preserve">Validation</w:t>
            </w:r>
          </w:p>
        </w:tc>
        <w:tc>
          <w:tcPr/>
          <w:p>
            <w:pPr>
              <w:pStyle w:val="Compact"/>
            </w:pPr>
            <w:r>
              <w:t xml:space="preserve">100% of privileged accounts on FIDO2 or CBA; more than 80% of managed-device users on Windows Hello for Business; more than 70% of all users on a phishing-resistant method; the remainder on a dated plan</w:t>
            </w:r>
          </w:p>
        </w:tc>
      </w:tr>
      <w:tr>
        <w:tc>
          <w:tcPr/>
          <w:p>
            <w:pPr>
              <w:pStyle w:val="Compact"/>
            </w:pPr>
            <w:r>
              <w:t xml:space="preserve">Rollback</w:t>
            </w:r>
          </w:p>
        </w:tc>
        <w:tc>
          <w:tcPr/>
          <w:p>
            <w:pPr>
              <w:pStyle w:val="Compact"/>
            </w:pPr>
            <w:r>
              <w:t xml:space="preserve">Lower the authentication strength to MFA for the affected population; keep the existing methods</w:t>
            </w:r>
          </w:p>
        </w:tc>
      </w:tr>
      <w:tr>
        <w:tc>
          <w:tcPr/>
          <w:p>
            <w:pPr>
              <w:pStyle w:val="Compact"/>
            </w:pPr>
            <w:r>
              <w:t xml:space="preserve">Duration</w:t>
            </w:r>
          </w:p>
        </w:tc>
        <w:tc>
          <w:tcPr/>
          <w:p>
            <w:pPr>
              <w:pStyle w:val="Compact"/>
            </w:pPr>
            <w:r>
              <w:t xml:space="preserve">8–16 weeks</w:t>
            </w:r>
          </w:p>
        </w:tc>
      </w:tr>
    </w:tbl>
    <w:bookmarkEnd w:id="1100"/>
    <w:bookmarkStart w:id="1101" w:name="phase-8-legacy-authentication-cutoff"/>
    <w:p>
      <w:pPr>
        <w:pStyle w:val="Heading3"/>
      </w:pPr>
      <w:r>
        <w:t xml:space="preserve">Phase 8: Legacy authentication cutoff</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w:t>
            </w:r>
          </w:p>
        </w:tc>
        <w:tc>
          <w:tcPr/>
          <w:p>
            <w:pPr>
              <w:pStyle w:val="Compact"/>
            </w:pPr>
            <w:r>
              <w:t xml:space="preserve">Detail</w:t>
            </w:r>
          </w:p>
        </w:tc>
      </w:tr>
      <w:tr>
        <w:tc>
          <w:tcPr/>
          <w:p>
            <w:pPr>
              <w:pStyle w:val="Compact"/>
            </w:pPr>
            <w:r>
              <w:t xml:space="preserve">Prerequisites</w:t>
            </w:r>
          </w:p>
        </w:tc>
        <w:tc>
          <w:tcPr/>
          <w:p>
            <w:pPr>
              <w:pStyle w:val="Compact"/>
            </w:pPr>
            <w:r>
              <w:t xml:space="preserve">Phase 7 complete or running in parallel; legacy discovery complete; every dependency remediated</w:t>
            </w:r>
          </w:p>
        </w:tc>
      </w:tr>
      <w:tr>
        <w:tc>
          <w:tcPr/>
          <w:p>
            <w:pPr>
              <w:pStyle w:val="Compact"/>
            </w:pPr>
            <w:r>
              <w:t xml:space="preserve">Steps</w:t>
            </w:r>
          </w:p>
        </w:tc>
        <w:tc>
          <w:tcPr/>
          <w:p>
            <w:pPr>
              <w:pStyle w:val="Compact"/>
            </w:pPr>
            <w:r>
              <w:t xml:space="preserve">1. Confirm zero successful legacy sign-ins for 30 consecutive days. 2. Enforce CA001 if it isn’t already. 3. Confirm Basic authentication is off for every Exchange Online protocol; Microsoft has already removed it for most. 4. Disable SMTP AUTH on every mailbox except documented, approved exceptions, and move those to OAuth or a relay before Microsoft’s retirement date. 5. Monitor for 30 days.</w:t>
            </w:r>
          </w:p>
        </w:tc>
      </w:tr>
      <w:tr>
        <w:tc>
          <w:tcPr/>
          <w:p>
            <w:pPr>
              <w:pStyle w:val="Compact"/>
            </w:pPr>
            <w:r>
              <w:t xml:space="preserve">Validation</w:t>
            </w:r>
          </w:p>
        </w:tc>
        <w:tc>
          <w:tcPr/>
          <w:p>
            <w:pPr>
              <w:pStyle w:val="Compact"/>
            </w:pPr>
            <w:r>
              <w:t xml:space="preserve">Zero legacy sign-ins for 30 days after enforcement; no disruption; every exception documented and approved</w:t>
            </w:r>
          </w:p>
        </w:tc>
      </w:tr>
      <w:tr>
        <w:tc>
          <w:tcPr/>
          <w:p>
            <w:pPr>
              <w:pStyle w:val="Compact"/>
            </w:pPr>
            <w:r>
              <w:t xml:space="preserve">Rollback</w:t>
            </w:r>
          </w:p>
        </w:tc>
        <w:tc>
          <w:tcPr/>
          <w:p>
            <w:pPr>
              <w:pStyle w:val="Compact"/>
            </w:pPr>
            <w:r>
              <w:t xml:space="preserve">Re-enable SMTP AUTH for a specific mailbox if a critical dependency appears; file an exception and a remediation plan</w:t>
            </w:r>
          </w:p>
        </w:tc>
      </w:tr>
      <w:tr>
        <w:tc>
          <w:tcPr/>
          <w:p>
            <w:pPr>
              <w:pStyle w:val="Compact"/>
            </w:pPr>
            <w:r>
              <w:t xml:space="preserve">Duration</w:t>
            </w:r>
          </w:p>
        </w:tc>
        <w:tc>
          <w:tcPr/>
          <w:p>
            <w:pPr>
              <w:pStyle w:val="Compact"/>
            </w:pPr>
            <w:r>
              <w:t xml:space="preserve">2–4 weeks</w:t>
            </w:r>
          </w:p>
        </w:tc>
      </w:tr>
    </w:tbl>
    <w:bookmarkEnd w:id="1101"/>
    <w:bookmarkStart w:id="1107" w:name="Xea15fa55f16423157bc11ea141cc99b31b98c16"/>
    <w:p>
      <w:pPr>
        <w:pStyle w:val="Heading3"/>
      </w:pPr>
      <w:r>
        <w:t xml:space="preserve">Phase 9: Federation decommission (if applicable)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w:t>
            </w:r>
          </w:p>
        </w:tc>
        <w:tc>
          <w:tcPr/>
          <w:p>
            <w:pPr>
              <w:pStyle w:val="Compact"/>
            </w:pPr>
            <w:r>
              <w:t xml:space="preserve">Detail</w:t>
            </w:r>
          </w:p>
        </w:tc>
      </w:tr>
      <w:tr>
        <w:tc>
          <w:tcPr/>
          <w:p>
            <w:pPr>
              <w:pStyle w:val="Compact"/>
            </w:pPr>
            <w:r>
              <w:t xml:space="preserve">Prerequisites</w:t>
            </w:r>
          </w:p>
        </w:tc>
        <w:tc>
          <w:tcPr/>
          <w:p>
            <w:pPr>
              <w:pStyle w:val="Compact"/>
            </w:pPr>
            <w:r>
              <w:t xml:space="preserve">Phase 8 complete; PHS verified; every federated domain identified; staged rollout tested</w:t>
            </w:r>
          </w:p>
        </w:tc>
      </w:tr>
      <w:tr>
        <w:tc>
          <w:tcPr/>
          <w:p>
            <w:pPr>
              <w:pStyle w:val="Compact"/>
            </w:pPr>
            <w:r>
              <w:t xml:space="preserve">Steps</w:t>
            </w:r>
          </w:p>
        </w:tc>
        <w:tc>
          <w:tcPr/>
          <w:p>
            <w:pPr>
              <w:pStyle w:val="Compact"/>
            </w:pPr>
            <w:r>
              <w:t xml:space="preserve">1. Use staged rollout to move users from federation to PHS in waves; staged rollout tests cloud authentication but doesn’t convert domains.</w:t>
            </w:r>
            <w:r>
              <w:rPr>
                <w:rStyle w:val="FootnoteReference"/>
              </w:rPr>
              <w:footnoteReference w:id="1102"/>
            </w:r>
            <w:r>
              <w:t xml:space="preserve"> </w:t>
            </w:r>
            <w:r>
              <w:t xml:space="preserve">2. Wave 1: the IT team, one week. 3. Wave 2: a pilot group, two weeks. 4. Wave 3: everyone else. 5. Document and back up the federation settings (</w:t>
            </w:r>
            <w:r>
              <w:rPr>
                <w:rStyle w:val="VerbatimChar"/>
              </w:rPr>
              <w:t xml:space="preserve">Get-MgDomainFederationConfiguration</w:t>
            </w:r>
            <w:r>
              <w:t xml:space="preserve">). 6. Convert each domain with</w:t>
            </w:r>
            <w:r>
              <w:t xml:space="preserve"> </w:t>
            </w:r>
            <w:r>
              <w:rPr>
                <w:rStyle w:val="VerbatimChar"/>
              </w:rPr>
              <w:t xml:space="preserve">Update-MgDomain -DomainId &lt;domain&gt; -AuthenticationType "Managed"</w:t>
            </w:r>
            <w:r>
              <w:t xml:space="preserve">; conversion can take up to 60 minutes per domain.</w:t>
            </w:r>
            <w:r>
              <w:rPr>
                <w:rStyle w:val="FootnoteReference"/>
              </w:rPr>
              <w:footnoteReference w:id="1104"/>
            </w:r>
            <w:r>
              <w:t xml:space="preserve"> </w:t>
            </w:r>
            <w:r>
              <w:t xml:space="preserve">The retired</w:t>
            </w:r>
            <w:r>
              <w:t xml:space="preserve"> </w:t>
            </w:r>
            <w:r>
              <w:rPr>
                <w:rStyle w:val="VerbatimChar"/>
              </w:rPr>
              <w:t xml:space="preserve">Convert-MsolDomainToStandard</w:t>
            </w:r>
            <w:r>
              <w:t xml:space="preserve"> </w:t>
            </w:r>
            <w:r>
              <w:t xml:space="preserve">cmdlet must not be used. 7. Decommission AD FS (servers, Web Application Proxy, certificates). 8. Remove the AD FS DNS records. 9. Update documentation and the Git records.</w:t>
            </w:r>
          </w:p>
        </w:tc>
      </w:tr>
      <w:tr>
        <w:tc>
          <w:tcPr/>
          <w:p>
            <w:pPr>
              <w:pStyle w:val="Compact"/>
            </w:pPr>
            <w:r>
              <w:t xml:space="preserve">Validation</w:t>
            </w:r>
          </w:p>
        </w:tc>
        <w:tc>
          <w:tcPr/>
          <w:p>
            <w:pPr>
              <w:pStyle w:val="Compact"/>
            </w:pPr>
            <w:r>
              <w:t xml:space="preserve">Every domain managed; every user authenticating through PHS; AD FS decommissioned; no authentication failures from the cutover</w:t>
            </w:r>
          </w:p>
        </w:tc>
      </w:tr>
      <w:tr>
        <w:tc>
          <w:tcPr/>
          <w:p>
            <w:pPr>
              <w:pStyle w:val="Compact"/>
            </w:pPr>
            <w:r>
              <w:t xml:space="preserve">Rollback</w:t>
            </w:r>
          </w:p>
        </w:tc>
        <w:tc>
          <w:tcPr/>
          <w:p>
            <w:pPr>
              <w:pStyle w:val="Compact"/>
            </w:pPr>
            <w:r>
              <w:t xml:space="preserve">Re-federate the domain with</w:t>
            </w:r>
            <w:r>
              <w:t xml:space="preserve"> </w:t>
            </w:r>
            <w:r>
              <w:rPr>
                <w:rStyle w:val="VerbatimChar"/>
              </w:rPr>
              <w:t xml:space="preserve">New-MgDomainFederationConfiguration</w:t>
            </w:r>
            <w:r>
              <w:t xml:space="preserve">, which needs the AD FS infrastructure, so keep it recoverable for 90 days after decommission</w:t>
            </w:r>
            <w:r>
              <w:rPr>
                <w:rStyle w:val="FootnoteReference"/>
              </w:rPr>
              <w:footnoteReference w:id="1106"/>
            </w:r>
          </w:p>
        </w:tc>
      </w:tr>
      <w:tr>
        <w:tc>
          <w:tcPr/>
          <w:p>
            <w:pPr>
              <w:pStyle w:val="Compact"/>
            </w:pPr>
            <w:r>
              <w:t xml:space="preserve">Duration</w:t>
            </w:r>
          </w:p>
        </w:tc>
        <w:tc>
          <w:tcPr/>
          <w:p>
            <w:pPr>
              <w:pStyle w:val="Compact"/>
            </w:pPr>
            <w:r>
              <w:t xml:space="preserve">4–8 weeks</w:t>
            </w:r>
          </w:p>
        </w:tc>
      </w:tr>
    </w:tbl>
    <w:bookmarkEnd w:id="1107"/>
    <w:bookmarkStart w:id="1108" w:name="phase-10-steady-state-governance"/>
    <w:p>
      <w:pPr>
        <w:pStyle w:val="Heading3"/>
      </w:pPr>
      <w:r>
        <w:t xml:space="preserve">Phase 10: Steady-state governance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w:t>
            </w:r>
          </w:p>
        </w:tc>
        <w:tc>
          <w:tcPr/>
          <w:p>
            <w:pPr>
              <w:pStyle w:val="Compact"/>
            </w:pPr>
            <w:r>
              <w:t xml:space="preserve">Detail</w:t>
            </w:r>
          </w:p>
        </w:tc>
      </w:tr>
      <w:tr>
        <w:tc>
          <w:tcPr/>
          <w:p>
            <w:pPr>
              <w:pStyle w:val="Compact"/>
            </w:pPr>
            <w:r>
              <w:t xml:space="preserve">Prerequisites</w:t>
            </w:r>
          </w:p>
        </w:tc>
        <w:tc>
          <w:tcPr/>
          <w:p>
            <w:pPr>
              <w:pStyle w:val="Compact"/>
            </w:pPr>
            <w:r>
              <w:t xml:space="preserve">All earlier phases complete</w:t>
            </w:r>
          </w:p>
        </w:tc>
      </w:tr>
      <w:tr>
        <w:tc>
          <w:tcPr/>
          <w:p>
            <w:pPr>
              <w:pStyle w:val="Compact"/>
            </w:pPr>
            <w:r>
              <w:t xml:space="preserve">Steps</w:t>
            </w:r>
          </w:p>
        </w:tc>
        <w:tc>
          <w:tcPr/>
          <w:p>
            <w:pPr>
              <w:pStyle w:val="Compact"/>
            </w:pPr>
            <w:r>
              <w:t xml:space="preserve">1. Turn on the joiner, mover, and leaver workflows. 2. Configure the access packages. 3. Turn on every scheduled access review. 4. Deploy identity drift detection through Git. 5. Hold a weekly identity governance review. 6. Write and approve the steady-state operations runbook.</w:t>
            </w:r>
          </w:p>
        </w:tc>
      </w:tr>
      <w:tr>
        <w:tc>
          <w:tcPr/>
          <w:p>
            <w:pPr>
              <w:pStyle w:val="Compact"/>
            </w:pPr>
            <w:r>
              <w:t xml:space="preserve">Validation</w:t>
            </w:r>
          </w:p>
        </w:tc>
        <w:tc>
          <w:tcPr/>
          <w:p>
            <w:pPr>
              <w:pStyle w:val="Compact"/>
            </w:pPr>
            <w:r>
              <w:t xml:space="preserve">Every governance workflow running; access reviews producing results; drift alerts working; the runbook approved and committed to Git</w:t>
            </w:r>
          </w:p>
        </w:tc>
      </w:tr>
      <w:tr>
        <w:tc>
          <w:tcPr/>
          <w:p>
            <w:pPr>
              <w:pStyle w:val="Compact"/>
            </w:pPr>
            <w:r>
              <w:t xml:space="preserve">Rollback</w:t>
            </w:r>
          </w:p>
        </w:tc>
        <w:tc>
          <w:tcPr/>
          <w:p>
            <w:pPr>
              <w:pStyle w:val="Compact"/>
            </w:pPr>
            <w:r>
              <w:t xml:space="preserve">Not applicable; handle workflow problems individually</w:t>
            </w:r>
          </w:p>
        </w:tc>
      </w:tr>
      <w:tr>
        <w:tc>
          <w:tcPr/>
          <w:p>
            <w:pPr>
              <w:pStyle w:val="Compact"/>
            </w:pPr>
            <w:r>
              <w:t xml:space="preserve">Duration</w:t>
            </w:r>
          </w:p>
        </w:tc>
        <w:tc>
          <w:tcPr/>
          <w:p>
            <w:pPr>
              <w:pStyle w:val="Compact"/>
            </w:pPr>
            <w:r>
              <w:t xml:space="preserve">Ongoing; initial setup 2–4 weeks</w:t>
            </w:r>
          </w:p>
        </w:tc>
      </w:tr>
    </w:tbl>
    <w:bookmarkEnd w:id="1108"/>
    <w:bookmarkEnd w:id="1109"/>
    <w:bookmarkStart w:id="1115" w:name="git-based-drift-detection"/>
    <w:p>
      <w:pPr>
        <w:pStyle w:val="Heading2"/>
      </w:pPr>
      <w:bookmarkStart w:id="1485" w:name="_Toc00001485"/>
      <w:r>
        <w:t xml:space="preserve">Git-based drift detection</w:t>
      </w:r>
      <w:bookmarkEnd w:id="1485"/>
    </w:p>
    <w:bookmarkStart w:id="1110" w:name="the-assessment-pipeline-1"/>
    <w:p>
      <w:pPr>
        <w:pStyle w:val="Heading3"/>
      </w:pPr>
      <w:r>
        <w:t xml:space="preserve">The assessment pipeline</w:t>
      </w:r>
    </w:p>
    <w:p>
      <w:pPr>
        <w:pStyle w:val="FirstParagraph"/>
      </w:pPr>
      <w:r>
        <w:t xml:space="preserve">The identity assessment produces structured JSON inventories that go into Git, where version control turns them into a drift record. The program’s reference build uses Gitea; any Git host with an issues API works the same way.</w:t>
      </w:r>
    </w:p>
    <w:p>
      <w:pPr>
        <w:pStyle w:val="Compact"/>
        <w:numPr>
          <w:ilvl w:val="0"/>
          <w:numId w:val="1092"/>
        </w:numPr>
      </w:pPr>
      <w:r>
        <w:rPr>
          <w:b/>
          <w:bCs/>
        </w:rPr>
        <w:t xml:space="preserve">Run the assessment.</w:t>
      </w:r>
      <w:r>
        <w:t xml:space="preserve"> </w:t>
      </w:r>
      <w:r>
        <w:rPr>
          <w:rStyle w:val="VerbatimChar"/>
        </w:rPr>
        <w:t xml:space="preserve">Invoke-FMPIdentityAssessment</w:t>
      </w:r>
      <w:r>
        <w:t xml:space="preserve"> </w:t>
      </w:r>
      <w:r>
        <w:t xml:space="preserve">produces JSON for users, groups, service accounts, privileged access, and legacy authentication.</w:t>
      </w:r>
    </w:p>
    <w:p>
      <w:pPr>
        <w:pStyle w:val="Compact"/>
        <w:numPr>
          <w:ilvl w:val="0"/>
          <w:numId w:val="1092"/>
        </w:numPr>
      </w:pPr>
      <w:r>
        <w:rPr>
          <w:b/>
          <w:bCs/>
        </w:rPr>
        <w:t xml:space="preserve">Commit.</w:t>
      </w:r>
      <w:r>
        <w:t xml:space="preserve"> </w:t>
      </w:r>
      <w:r>
        <w:t xml:space="preserve">The output goes to the</w:t>
      </w:r>
      <w:r>
        <w:t xml:space="preserve"> </w:t>
      </w:r>
      <w:r>
        <w:rPr>
          <w:rStyle w:val="VerbatimChar"/>
        </w:rPr>
        <w:t xml:space="preserve">identity-baseline</w:t>
      </w:r>
      <w:r>
        <w:t xml:space="preserve"> </w:t>
      </w:r>
      <w:r>
        <w:t xml:space="preserve">branch of the program’s configuration repository.</w:t>
      </w:r>
    </w:p>
    <w:p>
      <w:pPr>
        <w:pStyle w:val="Compact"/>
        <w:numPr>
          <w:ilvl w:val="0"/>
          <w:numId w:val="1092"/>
        </w:numPr>
      </w:pPr>
      <w:r>
        <w:rPr>
          <w:b/>
          <w:bCs/>
        </w:rPr>
        <w:t xml:space="preserve">Compare.</w:t>
      </w:r>
      <w:r>
        <w:t xml:space="preserve"> </w:t>
      </w:r>
      <w:r>
        <w:t xml:space="preserve">Each later run is compared with the committed baseline. New objects, removed objects, and attribute changes are drift.</w:t>
      </w:r>
    </w:p>
    <w:p>
      <w:pPr>
        <w:pStyle w:val="Compact"/>
        <w:numPr>
          <w:ilvl w:val="0"/>
          <w:numId w:val="1092"/>
        </w:numPr>
      </w:pPr>
      <w:r>
        <w:rPr>
          <w:b/>
          <w:bCs/>
        </w:rPr>
        <w:t xml:space="preserve">Raise issues.</w:t>
      </w:r>
      <w:r>
        <w:t xml:space="preserve"> </w:t>
      </w:r>
      <w:r>
        <w:t xml:space="preserve">Drift above a threshold opens an issue with the diff, a severity, and a recommended action.</w:t>
      </w:r>
    </w:p>
    <w:p>
      <w:pPr>
        <w:pStyle w:val="FirstParagraph"/>
      </w:pPr>
      <w:r>
        <w:t xml:space="preserve">The design rule is the same as in HR-Driven Identity, Chapter 9: close each finding at the source (fix the record or the rule), never by editing the copy.</w:t>
      </w:r>
    </w:p>
    <w:bookmarkEnd w:id="1110"/>
    <w:bookmarkStart w:id="1111" w:name="scheduled-tasks"/>
    <w:p>
      <w:pPr>
        <w:pStyle w:val="Heading3"/>
      </w:pPr>
      <w:r>
        <w:t xml:space="preserve">Scheduled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Task</w:t>
            </w:r>
          </w:p>
        </w:tc>
        <w:tc>
          <w:tcPr/>
          <w:p>
            <w:pPr>
              <w:pStyle w:val="Compact"/>
            </w:pPr>
            <w:r>
              <w:t xml:space="preserve">Schedule (Eastern time)</w:t>
            </w:r>
          </w:p>
        </w:tc>
        <w:tc>
          <w:tcPr/>
          <w:p>
            <w:pPr>
              <w:pStyle w:val="Compact"/>
            </w:pPr>
            <w:r>
              <w:t xml:space="preserve">Command</w:t>
            </w:r>
          </w:p>
        </w:tc>
        <w:tc>
          <w:tcPr/>
          <w:p>
            <w:pPr>
              <w:pStyle w:val="Compact"/>
            </w:pPr>
            <w:r>
              <w:t xml:space="preserve">Output</w:t>
            </w:r>
          </w:p>
        </w:tc>
        <w:tc>
          <w:tcPr/>
          <w:p>
            <w:pPr>
              <w:pStyle w:val="Compact"/>
            </w:pPr>
            <w:r>
              <w:t xml:space="preserve">Status</w:t>
            </w:r>
          </w:p>
        </w:tc>
      </w:tr>
      <w:tr>
        <w:tc>
          <w:tcPr/>
          <w:p>
            <w:pPr>
              <w:pStyle w:val="Compact"/>
            </w:pPr>
            <w:r>
              <w:t xml:space="preserve">Identity drift scan</w:t>
            </w:r>
          </w:p>
        </w:tc>
        <w:tc>
          <w:tcPr/>
          <w:p>
            <w:pPr>
              <w:pStyle w:val="Compact"/>
            </w:pPr>
            <w:r>
              <w:t xml:space="preserve">Weekly, Sunday 02:00</w:t>
            </w:r>
          </w:p>
        </w:tc>
        <w:tc>
          <w:tcPr/>
          <w:p>
            <w:pPr>
              <w:pStyle w:val="Compact"/>
            </w:pPr>
            <w:r>
              <w:rPr>
                <w:rStyle w:val="VerbatimChar"/>
              </w:rPr>
              <w:t xml:space="preserve">Invoke-FMPIdentityAssessment -Compare -PreviousBaselinePath &lt;path&gt; -CommitToGitea</w:t>
            </w:r>
          </w:p>
        </w:tc>
        <w:tc>
          <w:tcPr/>
          <w:p>
            <w:pPr>
              <w:pStyle w:val="Compact"/>
            </w:pPr>
            <w:r>
              <w:t xml:space="preserve">Drift report JSON; an issue if drift is found</w:t>
            </w:r>
          </w:p>
        </w:tc>
        <w:tc>
          <w:tcPr/>
          <w:p>
            <w:pPr>
              <w:pStyle w:val="Compact"/>
            </w:pPr>
            <w:r>
              <w:t xml:space="preserve">In the Appendix C module</w:t>
            </w:r>
          </w:p>
        </w:tc>
      </w:tr>
      <w:tr>
        <w:tc>
          <w:tcPr/>
          <w:p>
            <w:pPr>
              <w:pStyle w:val="Compact"/>
            </w:pPr>
            <w:r>
              <w:t xml:space="preserve">PIM activation audit</w:t>
            </w:r>
          </w:p>
        </w:tc>
        <w:tc>
          <w:tcPr/>
          <w:p>
            <w:pPr>
              <w:pStyle w:val="Compact"/>
            </w:pPr>
            <w:r>
              <w:t xml:space="preserve">Daily, 06:00</w:t>
            </w:r>
          </w:p>
        </w:tc>
        <w:tc>
          <w:tcPr/>
          <w:p>
            <w:pPr>
              <w:pStyle w:val="Compact"/>
            </w:pPr>
            <w:r>
              <w:rPr>
                <w:rStyle w:val="VerbatimChar"/>
              </w:rPr>
              <w:t xml:space="preserve">Get-FMPPrivilegedAccessReport -Last24Hours</w:t>
            </w:r>
          </w:p>
        </w:tc>
        <w:tc>
          <w:tcPr/>
          <w:p>
            <w:pPr>
              <w:pStyle w:val="Compact"/>
            </w:pPr>
            <w:r>
              <w:t xml:space="preserve">Privileged access report; review of off-hours activations</w:t>
            </w:r>
          </w:p>
        </w:tc>
        <w:tc>
          <w:tcPr/>
          <w:p>
            <w:pPr>
              <w:pStyle w:val="Compact"/>
            </w:pPr>
            <w:r>
              <w:t xml:space="preserve">In the Appendix C module</w:t>
            </w:r>
          </w:p>
        </w:tc>
      </w:tr>
      <w:tr>
        <w:tc>
          <w:tcPr/>
          <w:p>
            <w:pPr>
              <w:pStyle w:val="Compact"/>
            </w:pPr>
            <w:r>
              <w:t xml:space="preserve">Conditional Access policy export</w:t>
            </w:r>
          </w:p>
        </w:tc>
        <w:tc>
          <w:tcPr/>
          <w:p>
            <w:pPr>
              <w:pStyle w:val="Compact"/>
            </w:pPr>
            <w:r>
              <w:t xml:space="preserve">Weekly, Sunday 03:00</w:t>
            </w:r>
          </w:p>
        </w:tc>
        <w:tc>
          <w:tcPr/>
          <w:p>
            <w:pPr>
              <w:pStyle w:val="Compact"/>
            </w:pPr>
            <w:r>
              <w:rPr>
                <w:rStyle w:val="VerbatimChar"/>
              </w:rPr>
              <w:t xml:space="preserve">Export-FMPConditionalAccessPolicy</w:t>
            </w:r>
          </w:p>
        </w:tc>
        <w:tc>
          <w:tcPr/>
          <w:p>
            <w:pPr>
              <w:pStyle w:val="Compact"/>
            </w:pPr>
            <w:r>
              <w:t xml:space="preserve">Policy JSON and a diff against the previous export</w:t>
            </w:r>
          </w:p>
        </w:tc>
        <w:tc>
          <w:tcPr/>
          <w:p>
            <w:pPr>
              <w:pStyle w:val="Compact"/>
            </w:pPr>
            <w:r>
              <w:t xml:space="preserve">Planned; the export pattern is in Appendix C</w:t>
            </w:r>
          </w:p>
        </w:tc>
      </w:tr>
      <w:tr>
        <w:tc>
          <w:tcPr/>
          <w:p>
            <w:pPr>
              <w:pStyle w:val="Compact"/>
            </w:pPr>
            <w:r>
              <w:t xml:space="preserve">Application credential audit</w:t>
            </w:r>
          </w:p>
        </w:tc>
        <w:tc>
          <w:tcPr/>
          <w:p>
            <w:pPr>
              <w:pStyle w:val="Compact"/>
            </w:pPr>
            <w:r>
              <w:t xml:space="preserve">Weekly, Monday 06:00</w:t>
            </w:r>
          </w:p>
        </w:tc>
        <w:tc>
          <w:tcPr/>
          <w:p>
            <w:pPr>
              <w:pStyle w:val="Compact"/>
            </w:pPr>
            <w:r>
              <w:rPr>
                <w:rStyle w:val="VerbatimChar"/>
              </w:rPr>
              <w:t xml:space="preserve">Get-FMPServicePrincipalCredentialReport -ExpiringWithin 30</w:t>
            </w:r>
          </w:p>
        </w:tc>
        <w:tc>
          <w:tcPr/>
          <w:p>
            <w:pPr>
              <w:pStyle w:val="Compact"/>
            </w:pPr>
            <w:r>
              <w:t xml:space="preserve">Expiring credentials; an issue per application</w:t>
            </w:r>
          </w:p>
        </w:tc>
        <w:tc>
          <w:tcPr/>
          <w:p>
            <w:pPr>
              <w:pStyle w:val="Compact"/>
            </w:pPr>
            <w:r>
              <w:t xml:space="preserve">Planned</w:t>
            </w:r>
          </w:p>
        </w:tc>
      </w:tr>
      <w:tr>
        <w:tc>
          <w:tcPr/>
          <w:p>
            <w:pPr>
              <w:pStyle w:val="Compact"/>
            </w:pPr>
            <w:r>
              <w:t xml:space="preserve">Stale account report</w:t>
            </w:r>
          </w:p>
        </w:tc>
        <w:tc>
          <w:tcPr/>
          <w:p>
            <w:pPr>
              <w:pStyle w:val="Compact"/>
            </w:pPr>
            <w:r>
              <w:t xml:space="preserve">Monthly, 1st, 06:00</w:t>
            </w:r>
          </w:p>
        </w:tc>
        <w:tc>
          <w:tcPr/>
          <w:p>
            <w:pPr>
              <w:pStyle w:val="Compact"/>
            </w:pPr>
            <w:r>
              <w:rPr>
                <w:rStyle w:val="VerbatimChar"/>
              </w:rPr>
              <w:t xml:space="preserve">Get-FMPStaleAccountReport -InactiveDays 90</w:t>
            </w:r>
          </w:p>
        </w:tc>
        <w:tc>
          <w:tcPr/>
          <w:p>
            <w:pPr>
              <w:pStyle w:val="Compact"/>
            </w:pPr>
            <w:r>
              <w:t xml:space="preserve">Stale account list; access review trigger</w:t>
            </w:r>
          </w:p>
        </w:tc>
        <w:tc>
          <w:tcPr/>
          <w:p>
            <w:pPr>
              <w:pStyle w:val="Compact"/>
            </w:pPr>
            <w:r>
              <w:t xml:space="preserve">Planned</w:t>
            </w:r>
          </w:p>
        </w:tc>
      </w:tr>
    </w:tbl>
    <w:p>
      <w:pPr>
        <w:pStyle w:val="BodyText"/>
      </w:pPr>
      <w:r>
        <w:t xml:space="preserve">The planned functions aren’t in the module yet. Until they are, run the equivalent steps by hand and commit the output; don’t schedule a command that doesn’t exist.</w:t>
      </w:r>
    </w:p>
    <w:bookmarkEnd w:id="1111"/>
    <w:bookmarkStart w:id="1114" w:name="X681874dd3c9cc3e2f3026737dbb34fa6fd7ed3c"/>
    <w:p>
      <w:pPr>
        <w:pStyle w:val="Heading3"/>
      </w:pPr>
      <w:r>
        <w:t xml:space="preserve">Raising drift issues through the Git host’s API</w:t>
      </w:r>
    </w:p>
    <w:p>
      <w:pPr>
        <w:pStyle w:val="FirstParagraph"/>
      </w:pPr>
      <w:r>
        <w:rPr>
          <w:rStyle w:val="VerbatimChar"/>
        </w:rPr>
        <w:t xml:space="preserve">Invoke-FMPIdentityAssessment -CommitToGitea</w:t>
      </w:r>
      <w:r>
        <w:t xml:space="preserve"> </w:t>
      </w:r>
      <w:r>
        <w:t xml:space="preserve">calls</w:t>
      </w:r>
      <w:r>
        <w:t xml:space="preserve"> </w:t>
      </w:r>
      <w:r>
        <w:rPr>
          <w:rStyle w:val="VerbatimChar"/>
        </w:rPr>
        <w:t xml:space="preserve">New-FMPGiteaDriftIssue</w:t>
      </w:r>
      <w:r>
        <w:t xml:space="preserve">, which opens an issue through the Gitea REST API. Gitea’s API lives under</w:t>
      </w:r>
      <w:r>
        <w:t xml:space="preserve"> </w:t>
      </w:r>
      <w:r>
        <w:rPr>
          <w:rStyle w:val="VerbatimChar"/>
        </w:rPr>
        <w:t xml:space="preserve">/api/v1/</w:t>
      </w:r>
      <w:r>
        <w:t xml:space="preserve">, takes an API token in an</w:t>
      </w:r>
      <w:r>
        <w:t xml:space="preserve"> </w:t>
      </w:r>
      <w:r>
        <w:rPr>
          <w:rStyle w:val="VerbatimChar"/>
        </w:rPr>
        <w:t xml:space="preserve">Authorization: token &lt;value&gt;</w:t>
      </w:r>
      <w:r>
        <w:t xml:space="preserve"> </w:t>
      </w:r>
      <w:r>
        <w:t xml:space="preserve">header, and accepts label IDs (integers) when creating an issue.</w:t>
      </w:r>
      <w:r>
        <w:rPr>
          <w:rStyle w:val="FootnoteReference"/>
        </w:rPr>
        <w:footnoteReference w:id="1112"/>
      </w:r>
      <w:r>
        <w:rPr>
          <w:rStyle w:val="FootnoteReference"/>
        </w:rPr>
        <w:footnoteReference w:id="1113"/>
      </w:r>
      <w:r>
        <w:t xml:space="preserve"> </w:t>
      </w:r>
      <w:r>
        <w:t xml:space="preserve">The function, and the small helper that looks up label IDs by name, are in the module in Appendix C. The token comes from an environment variable on the scheduled-task host; keep it in a secret store, scope it to the one repository, and never commit it.</w:t>
      </w:r>
    </w:p>
    <w:bookmarkEnd w:id="1114"/>
    <w:bookmarkEnd w:id="1115"/>
    <w:bookmarkStart w:id="1125" w:name="troubleshooting-reference"/>
    <w:p>
      <w:pPr>
        <w:pStyle w:val="Heading2"/>
      </w:pPr>
      <w:bookmarkStart w:id="1486" w:name="_Toc00001486"/>
      <w:r>
        <w:t xml:space="preserve">Troubleshooting reference</w:t>
      </w:r>
      <w:bookmarkEnd w:id="1486"/>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Symptom</w:t>
            </w:r>
          </w:p>
        </w:tc>
        <w:tc>
          <w:tcPr/>
          <w:p>
            <w:pPr>
              <w:pStyle w:val="Compact"/>
            </w:pPr>
            <w:r>
              <w:t xml:space="preserve">Likely cause</w:t>
            </w:r>
          </w:p>
        </w:tc>
        <w:tc>
          <w:tcPr/>
          <w:p>
            <w:pPr>
              <w:pStyle w:val="Compact"/>
            </w:pPr>
            <w:r>
              <w:t xml:space="preserve">Resolution</w:t>
            </w:r>
          </w:p>
        </w:tc>
        <w:tc>
          <w:tcPr/>
          <w:p>
            <w:pPr>
              <w:pStyle w:val="Compact"/>
            </w:pPr>
            <w:r>
              <w:t xml:space="preserve">Prevention</w:t>
            </w:r>
          </w:p>
        </w:tc>
      </w:tr>
      <w:tr>
        <w:tc>
          <w:tcPr/>
          <w:p>
            <w:pPr>
              <w:pStyle w:val="Compact"/>
            </w:pPr>
            <w:r>
              <w:t xml:space="preserve">Sync error</w:t>
            </w:r>
            <w:r>
              <w:t xml:space="preserve"> </w:t>
            </w:r>
            <w:r>
              <w:rPr>
                <w:rStyle w:val="VerbatimChar"/>
              </w:rPr>
              <w:t xml:space="preserve">InvalidSoftMatch</w:t>
            </w:r>
          </w:p>
        </w:tc>
        <w:tc>
          <w:tcPr/>
          <w:p>
            <w:pPr>
              <w:pStyle w:val="Compact"/>
            </w:pPr>
            <w:r>
              <w:t xml:space="preserve">A soft match on UPN or primary SMTP address found a cloud object that already has a different</w:t>
            </w:r>
            <w:r>
              <w:t xml:space="preserve"> </w:t>
            </w:r>
            <w:r>
              <w:rPr>
                <w:rStyle w:val="VerbatimChar"/>
              </w:rPr>
              <w:t xml:space="preserve">onPremisesImmutableId</w:t>
            </w:r>
            <w:r>
              <w:t xml:space="preserve">, usually because it was synced from another AD object, or two AD objects share a UPN or proxy address</w:t>
            </w:r>
            <w:r>
              <w:rPr>
                <w:rStyle w:val="FootnoteReference"/>
              </w:rPr>
              <w:footnoteReference w:id="1116"/>
            </w:r>
          </w:p>
        </w:tc>
        <w:tc>
          <w:tcPr/>
          <w:p>
            <w:pPr>
              <w:pStyle w:val="Compact"/>
            </w:pPr>
            <w:r>
              <w:t xml:space="preserve">Find the duplicate. If it’s the same person being re-provisioned, set the AD object’s</w:t>
            </w:r>
            <w:r>
              <w:t xml:space="preserve"> </w:t>
            </w:r>
            <w:r>
              <w:rPr>
                <w:rStyle w:val="VerbatimChar"/>
              </w:rPr>
              <w:t xml:space="preserve">mS-DS-ConsistencyGuid</w:t>
            </w:r>
            <w:r>
              <w:t xml:space="preserve"> </w:t>
            </w:r>
            <w:r>
              <w:t xml:space="preserve">to the value matching the cloud object’s ImmutableId so a hard match succeeds</w:t>
            </w:r>
            <w:r>
              <w:rPr>
                <w:rStyle w:val="FootnoteReference"/>
              </w:rPr>
              <w:footnoteReference w:id="1118"/>
            </w:r>
          </w:p>
        </w:tc>
        <w:tc>
          <w:tcPr/>
          <w:p>
            <w:pPr>
              <w:pStyle w:val="Compact"/>
            </w:pPr>
            <w:r>
              <w:t xml:space="preserve">Clean duplicate UPNs and proxy addresses in Phase 0; keep soft and hard match blocked outside planned matching windows</w:t>
            </w:r>
          </w:p>
        </w:tc>
      </w:tr>
      <w:tr>
        <w:tc>
          <w:tcPr/>
          <w:p>
            <w:pPr>
              <w:pStyle w:val="Compact"/>
            </w:pPr>
            <w:r>
              <w:t xml:space="preserve">Sync error</w:t>
            </w:r>
            <w:r>
              <w:t xml:space="preserve"> </w:t>
            </w:r>
            <w:r>
              <w:rPr>
                <w:rStyle w:val="VerbatimChar"/>
              </w:rPr>
              <w:t xml:space="preserve">InvalidHardMatch</w:t>
            </w:r>
          </w:p>
        </w:tc>
        <w:tc>
          <w:tcPr/>
          <w:p>
            <w:pPr>
              <w:pStyle w:val="Compact"/>
            </w:pPr>
            <w:r>
              <w:t xml:space="preserve">Since July 1, 2026, Entra ID blocks a hard match to a cloud account that already has</w:t>
            </w:r>
            <w:r>
              <w:t xml:space="preserve"> </w:t>
            </w:r>
            <w:r>
              <w:rPr>
                <w:rStyle w:val="VerbatimChar"/>
              </w:rPr>
              <w:t xml:space="preserve">onPremisesObjectIdentifier</w:t>
            </w:r>
            <w:r>
              <w:t xml:space="preserve"> </w:t>
            </w:r>
            <w:r>
              <w:t xml:space="preserve">set or holds or is eligible for a privileged role, or the tenant blocks hard-match takeover</w:t>
            </w:r>
            <w:r>
              <w:rPr>
                <w:rStyle w:val="FootnoteReference"/>
              </w:rPr>
              <w:footnoteReference w:id="1119"/>
            </w:r>
          </w:p>
        </w:tc>
        <w:tc>
          <w:tcPr/>
          <w:p>
            <w:pPr>
              <w:pStyle w:val="Compact"/>
            </w:pPr>
            <w:r>
              <w:t xml:space="preserve">Don’t take over privileged cloud accounts by sync. For a legitimate remap, clear</w:t>
            </w:r>
            <w:r>
              <w:t xml:space="preserve"> </w:t>
            </w:r>
            <w:r>
              <w:rPr>
                <w:rStyle w:val="VerbatimChar"/>
              </w:rPr>
              <w:t xml:space="preserve">onPremisesObjectIdentifier</w:t>
            </w:r>
            <w:r>
              <w:t xml:space="preserve"> </w:t>
            </w:r>
            <w:r>
              <w:t xml:space="preserve">through Microsoft’s documented Graph recovery call, then retry</w:t>
            </w:r>
            <w:r>
              <w:rPr>
                <w:rStyle w:val="FootnoteReference"/>
              </w:rPr>
              <w:footnoteReference w:id="1120"/>
            </w:r>
          </w:p>
        </w:tc>
        <w:tc>
          <w:tcPr/>
          <w:p>
            <w:pPr>
              <w:pStyle w:val="Compact"/>
            </w:pPr>
            <w:r>
              <w:t xml:space="preserve">Keep administrators cloud-only; don’t sync AD accounts onto existing admin accounts</w:t>
            </w:r>
          </w:p>
        </w:tc>
      </w:tr>
      <w:tr>
        <w:tc>
          <w:tcPr/>
          <w:p>
            <w:pPr>
              <w:pStyle w:val="Compact"/>
            </w:pPr>
            <w:r>
              <w:t xml:space="preserve">“Unable to update userPrincipalName”</w:t>
            </w:r>
          </w:p>
        </w:tc>
        <w:tc>
          <w:tcPr/>
          <w:p>
            <w:pPr>
              <w:pStyle w:val="Compact"/>
            </w:pPr>
            <w:r>
              <w:t xml:space="preserve">The suffix isn’t a verified domain, or another object already uses the UPN</w:t>
            </w:r>
          </w:p>
        </w:tc>
        <w:tc>
          <w:tcPr/>
          <w:p>
            <w:pPr>
              <w:pStyle w:val="Compact"/>
            </w:pPr>
            <w:r>
              <w:t xml:space="preserve">Verify the domain in the admin center; resolve the duplicate in AD or Entra ID</w:t>
            </w:r>
          </w:p>
        </w:tc>
        <w:tc>
          <w:tcPr/>
          <w:p>
            <w:pPr>
              <w:pStyle w:val="Compact"/>
            </w:pPr>
            <w:r>
              <w:t xml:space="preserve">Verify every UPN suffix as a custom domain before sync; audit UPNs in Phase 0</w:t>
            </w:r>
          </w:p>
        </w:tc>
      </w:tr>
      <w:tr>
        <w:tc>
          <w:tcPr/>
          <w:p>
            <w:pPr>
              <w:pStyle w:val="Compact"/>
            </w:pPr>
            <w:r>
              <w:t xml:space="preserve">Cloud group not appearing in AD</w:t>
            </w:r>
          </w:p>
        </w:tc>
        <w:tc>
          <w:tcPr/>
          <w:p>
            <w:pPr>
              <w:pStyle w:val="Compact"/>
            </w:pPr>
            <w:r>
              <w:t xml:space="preserve">Cloud Sync group provisioning isn’t configured for the group or target OU, or the group isn’t a cloud security group</w:t>
            </w:r>
          </w:p>
        </w:tc>
        <w:tc>
          <w:tcPr/>
          <w:p>
            <w:pPr>
              <w:pStyle w:val="Compact"/>
            </w:pPr>
            <w:r>
              <w:t xml:space="preserve">Check the provisioning logs for the group; confirm the scoping and target OU</w:t>
            </w:r>
          </w:p>
        </w:tc>
        <w:tc>
          <w:tcPr/>
          <w:p>
            <w:pPr>
              <w:pStyle w:val="Compact"/>
            </w:pPr>
            <w:r>
              <w:t xml:space="preserve">Configure group provisioning to AD before moving Kerberos applications onto cloud groups. (Connect Sync Group Writeback v2 is discontinued; don’t troubleshoot it, migrate off it.)</w:t>
            </w:r>
          </w:p>
        </w:tc>
      </w:tr>
      <w:tr>
        <w:tc>
          <w:tcPr/>
          <w:p>
            <w:pPr>
              <w:pStyle w:val="Compact"/>
            </w:pPr>
            <w:r>
              <w:t xml:space="preserve">PIM activation fails:</w:t>
            </w:r>
            <w:r>
              <w:t xml:space="preserve"> </w:t>
            </w:r>
            <w:r>
              <w:t xml:space="preserve">“user does not meet activation requirements”</w:t>
            </w:r>
          </w:p>
        </w:tc>
        <w:tc>
          <w:tcPr/>
          <w:p>
            <w:pPr>
              <w:pStyle w:val="Compact"/>
            </w:pPr>
            <w:r>
              <w:t xml:space="preserve">The user hasn’t registered a method that satisfies the activation authentication context, or Conditional Access blocks the request</w:t>
            </w:r>
          </w:p>
        </w:tc>
        <w:tc>
          <w:tcPr/>
          <w:p>
            <w:pPr>
              <w:pStyle w:val="Compact"/>
            </w:pPr>
            <w:r>
              <w:t xml:space="preserve">Register a phishing-resistant method; check the sign-in logs for the blocking policy</w:t>
            </w:r>
          </w:p>
        </w:tc>
        <w:tc>
          <w:tcPr/>
          <w:p>
            <w:pPr>
              <w:pStyle w:val="Compact"/>
            </w:pPr>
            <w:r>
              <w:t xml:space="preserve">Require registration before granting eligibility; test activation in the pilot</w:t>
            </w:r>
          </w:p>
        </w:tc>
      </w:tr>
      <w:tr>
        <w:tc>
          <w:tcPr/>
          <w:p>
            <w:pPr>
              <w:pStyle w:val="Compact"/>
            </w:pPr>
            <w:r>
              <w:t xml:space="preserve">Conditional Access blocks legitimate access</w:t>
            </w:r>
          </w:p>
        </w:tc>
        <w:tc>
          <w:tcPr/>
          <w:p>
            <w:pPr>
              <w:pStyle w:val="Compact"/>
            </w:pPr>
            <w:r>
              <w:t xml:space="preserve">The user doesn’t meet a grant control (device compliance, location, MFA)</w:t>
            </w:r>
          </w:p>
        </w:tc>
        <w:tc>
          <w:tcPr/>
          <w:p>
            <w:pPr>
              <w:pStyle w:val="Compact"/>
            </w:pPr>
            <w:r>
              <w:t xml:space="preserve">Find the blocking policy in the sign-in log’s Conditional Access tab; fix the specific condition</w:t>
            </w:r>
          </w:p>
        </w:tc>
        <w:tc>
          <w:tcPr/>
          <w:p>
            <w:pPr>
              <w:pStyle w:val="Compact"/>
            </w:pPr>
            <w:r>
              <w:t xml:space="preserve">Report-only first; keep a documented exception process</w:t>
            </w:r>
          </w:p>
        </w:tc>
      </w:tr>
      <w:tr>
        <w:tc>
          <w:tcPr/>
          <w:p>
            <w:pPr>
              <w:pStyle w:val="Compact"/>
            </w:pPr>
            <w:r>
              <w:t xml:space="preserve">Password writeback fails</w:t>
            </w:r>
          </w:p>
        </w:tc>
        <w:tc>
          <w:tcPr/>
          <w:p>
            <w:pPr>
              <w:pStyle w:val="Compact"/>
            </w:pPr>
            <w:r>
              <w:t xml:space="preserve">Writeback not enabled, or the AD DS connector account lacks permissions</w:t>
            </w:r>
          </w:p>
        </w:tc>
        <w:tc>
          <w:tcPr/>
          <w:p>
            <w:pPr>
              <w:pStyle w:val="Compact"/>
            </w:pPr>
            <w:r>
              <w:t xml:space="preserve">Enable writeback; grant Reset password, Change password, Write</w:t>
            </w:r>
            <w:r>
              <w:t xml:space="preserve"> </w:t>
            </w:r>
            <w:r>
              <w:rPr>
                <w:rStyle w:val="VerbatimChar"/>
              </w:rPr>
              <w:t xml:space="preserve">lockoutTime</w:t>
            </w:r>
            <w:r>
              <w:t xml:space="preserve">, and Write</w:t>
            </w:r>
            <w:r>
              <w:t xml:space="preserve"> </w:t>
            </w:r>
            <w:r>
              <w:rPr>
                <w:rStyle w:val="VerbatimChar"/>
              </w:rPr>
              <w:t xml:space="preserve">pwdLastSet</w:t>
            </w:r>
            <w:r>
              <w:t xml:space="preserve"> </w:t>
            </w:r>
            <w:r>
              <w:t xml:space="preserve">on descendant user objects, and Unexpire Password on each domain root;</w:t>
            </w:r>
            <w:r>
              <w:t xml:space="preserve"> </w:t>
            </w:r>
            <w:r>
              <w:rPr>
                <w:rStyle w:val="VerbatimChar"/>
              </w:rPr>
              <w:t xml:space="preserve">Set-ADSyncPasswordWritebackPermissions</w:t>
            </w:r>
            <w:r>
              <w:t xml:space="preserve"> </w:t>
            </w:r>
            <w:r>
              <w:t xml:space="preserve">sets the core set for Connect Sync</w:t>
            </w:r>
            <w:r>
              <w:rPr>
                <w:rStyle w:val="FootnoteReference"/>
              </w:rPr>
              <w:footnoteReference w:id="1121"/>
            </w:r>
            <w:r>
              <w:rPr>
                <w:rStyle w:val="FootnoteReference"/>
              </w:rPr>
              <w:footnoteReference w:id="1123"/>
            </w:r>
          </w:p>
        </w:tc>
        <w:tc>
          <w:tcPr/>
          <w:p>
            <w:pPr>
              <w:pStyle w:val="Compact"/>
            </w:pPr>
            <w:r>
              <w:t xml:space="preserve">Set permissions during installation; test with a reset</w:t>
            </w:r>
          </w:p>
        </w:tc>
      </w:tr>
      <w:tr>
        <w:tc>
          <w:tcPr/>
          <w:p>
            <w:pPr>
              <w:pStyle w:val="Compact"/>
            </w:pPr>
            <w:r>
              <w:t xml:space="preserve">Dynamic group not populating</w:t>
            </w:r>
          </w:p>
        </w:tc>
        <w:tc>
          <w:tcPr/>
          <w:p>
            <w:pPr>
              <w:pStyle w:val="Compact"/>
            </w:pPr>
            <w:r>
              <w:t xml:space="preserve">Rule syntax error, or the attribute is empty for the expected users</w:t>
            </w:r>
          </w:p>
        </w:tc>
        <w:tc>
          <w:tcPr/>
          <w:p>
            <w:pPr>
              <w:pStyle w:val="Compact"/>
            </w:pPr>
            <w:r>
              <w:t xml:space="preserve">Use rule validation in the admin center; check the attribute:</w:t>
            </w:r>
            <w:r>
              <w:t xml:space="preserve"> </w:t>
            </w:r>
            <w:r>
              <w:rPr>
                <w:rStyle w:val="VerbatimChar"/>
              </w:rPr>
              <w:t xml:space="preserve">Get-MgUser -UserId &lt;id&gt; -Property onPremisesExtensionAttributes \| Select-Object -ExpandProperty OnPremisesExtensionAttributes</w:t>
            </w:r>
          </w:p>
        </w:tc>
        <w:tc>
          <w:tcPr/>
          <w:p>
            <w:pPr>
              <w:pStyle w:val="Compact"/>
            </w:pPr>
            <w:r>
              <w:t xml:space="preserve">Validate rules before deployment; populate attributes at the source before sync</w:t>
            </w:r>
          </w:p>
        </w:tc>
      </w:tr>
      <w:tr>
        <w:tc>
          <w:tcPr/>
          <w:p>
            <w:pPr>
              <w:pStyle w:val="Compact"/>
            </w:pPr>
            <w:r>
              <w:t xml:space="preserve">Service principal blocked by workload identity policy</w:t>
            </w:r>
          </w:p>
        </w:tc>
        <w:tc>
          <w:tcPr/>
          <w:p>
            <w:pPr>
              <w:pStyle w:val="Compact"/>
            </w:pPr>
            <w:r>
              <w:t xml:space="preserve">The workload authenticates from an IP outside the trusted named location</w:t>
            </w:r>
          </w:p>
        </w:tc>
        <w:tc>
          <w:tcPr/>
          <w:p>
            <w:pPr>
              <w:pStyle w:val="Compact"/>
            </w:pPr>
            <w:r>
              <w:t xml:space="preserve">Add the service’s egress IP to the named location, or exclude that service principal with a documented exception</w:t>
            </w:r>
          </w:p>
        </w:tc>
        <w:tc>
          <w:tcPr/>
          <w:p>
            <w:pPr>
              <w:pStyle w:val="Compact"/>
            </w:pPr>
            <w:r>
              <w:t xml:space="preserve">Record every workload’s egress IPs before enforcing CA015</w:t>
            </w:r>
          </w:p>
        </w:tc>
      </w:tr>
      <w:tr>
        <w:tc>
          <w:tcPr/>
          <w:p>
            <w:pPr>
              <w:pStyle w:val="Compact"/>
            </w:pPr>
            <w:r>
              <w:t xml:space="preserve">B2B guest can’t reach shared resources</w:t>
            </w:r>
          </w:p>
        </w:tc>
        <w:tc>
          <w:tcPr/>
          <w:p>
            <w:pPr>
              <w:pStyle w:val="Compact"/>
            </w:pPr>
            <w:r>
              <w:t xml:space="preserve">Invitation not redeemed, terms of use not accepted, or blocked by a guest policy</w:t>
            </w:r>
          </w:p>
        </w:tc>
        <w:tc>
          <w:tcPr/>
          <w:p>
            <w:pPr>
              <w:pStyle w:val="Compact"/>
            </w:pPr>
            <w:r>
              <w:t xml:space="preserve">Check redemption; check Conditional Access evaluation in the sign-in log</w:t>
            </w:r>
          </w:p>
        </w:tc>
        <w:tc>
          <w:tcPr/>
          <w:p>
            <w:pPr>
              <w:pStyle w:val="Compact"/>
            </w:pPr>
            <w:r>
              <w:t xml:space="preserve">Trust partner MFA in cross-tenant settings; make the terms of use reachable</w:t>
            </w:r>
          </w:p>
        </w:tc>
      </w:tr>
      <w:tr>
        <w:tc>
          <w:tcPr/>
          <w:p>
            <w:pPr>
              <w:pStyle w:val="Compact"/>
            </w:pPr>
            <w:r>
              <w:t xml:space="preserve">Lifecycle workflow doesn’t fire for a new hire</w:t>
            </w:r>
          </w:p>
        </w:tc>
        <w:tc>
          <w:tcPr/>
          <w:p>
            <w:pPr>
              <w:pStyle w:val="Compact"/>
            </w:pPr>
            <w:r>
              <w:rPr>
                <w:rStyle w:val="VerbatimChar"/>
              </w:rPr>
              <w:t xml:space="preserve">employeeHireDate</w:t>
            </w:r>
            <w:r>
              <w:t xml:space="preserve"> </w:t>
            </w:r>
            <w:r>
              <w:t xml:space="preserve">isn’t populated in Entra ID (not mapped through provisioning or sync), or the sync cycle hasn’t delivered it</w:t>
            </w:r>
          </w:p>
        </w:tc>
        <w:tc>
          <w:tcPr/>
          <w:p>
            <w:pPr>
              <w:pStyle w:val="Compact"/>
            </w:pPr>
            <w:r>
              <w:t xml:space="preserve">Check the attribute on the user; check the workflow’s run history in the admin center</w:t>
            </w:r>
          </w:p>
        </w:tc>
        <w:tc>
          <w:tcPr/>
          <w:p>
            <w:pPr>
              <w:pStyle w:val="Compact"/>
            </w:pPr>
            <w:r>
              <w:t xml:space="preserve">Map the hire date from HR through provisioning; validate the format at the source</w:t>
            </w:r>
          </w:p>
        </w:tc>
      </w:tr>
      <w:tr>
        <w:tc>
          <w:tcPr/>
          <w:p>
            <w:pPr>
              <w:pStyle w:val="Compact"/>
            </w:pPr>
            <w:r>
              <w:t xml:space="preserve">No leaked-credential detections</w:t>
            </w:r>
          </w:p>
        </w:tc>
        <w:tc>
          <w:tcPr/>
          <w:p>
            <w:pPr>
              <w:pStyle w:val="Compact"/>
            </w:pPr>
            <w:r>
              <w:t xml:space="preserve">PHS not active for the affected users, or no P2 licensing for the reports and risk policies</w:t>
            </w:r>
          </w:p>
        </w:tc>
        <w:tc>
          <w:tcPr/>
          <w:p>
            <w:pPr>
              <w:pStyle w:val="Compact"/>
            </w:pPr>
            <w:r>
              <w:t xml:space="preserve">Confirm PHS is active (not only in staged rollout); confirm licensing; check ID Protection risk detections</w:t>
            </w:r>
          </w:p>
        </w:tc>
        <w:tc>
          <w:tcPr/>
          <w:p>
            <w:pPr>
              <w:pStyle w:val="Compact"/>
            </w:pPr>
            <w:r>
              <w:t xml:space="preserve">Enable PHS before deploying risk policies</w:t>
            </w:r>
          </w:p>
        </w:tc>
      </w:tr>
      <w:tr>
        <w:tc>
          <w:tcPr/>
          <w:p>
            <w:pPr>
              <w:pStyle w:val="Compact"/>
            </w:pPr>
            <w:r>
              <w:t xml:space="preserve">Connect Sync staging server shows different counts</w:t>
            </w:r>
          </w:p>
        </w:tc>
        <w:tc>
          <w:tcPr/>
          <w:p>
            <w:pPr>
              <w:pStyle w:val="Compact"/>
            </w:pPr>
            <w:r>
              <w:t xml:space="preserve">Configuration drift between active and staging servers</w:t>
            </w:r>
          </w:p>
        </w:tc>
        <w:tc>
          <w:tcPr/>
          <w:p>
            <w:pPr>
              <w:pStyle w:val="Compact"/>
            </w:pPr>
            <w:r>
              <w:t xml:space="preserve">Export both configurations with</w:t>
            </w:r>
            <w:r>
              <w:t xml:space="preserve"> </w:t>
            </w:r>
            <w:r>
              <w:rPr>
                <w:rStyle w:val="VerbatimChar"/>
              </w:rPr>
              <w:t xml:space="preserve">Get-ADSyncServerConfiguration -Path &lt;folder&gt;</w:t>
            </w:r>
            <w:r>
              <w:t xml:space="preserve"> </w:t>
            </w:r>
            <w:r>
              <w:t xml:space="preserve">and compare</w:t>
            </w:r>
          </w:p>
        </w:tc>
        <w:tc>
          <w:tcPr/>
          <w:p>
            <w:pPr>
              <w:pStyle w:val="Compact"/>
            </w:pPr>
            <w:r>
              <w:t xml:space="preserve">After any change on the active server, apply it to staging; commit both exports to Git</w:t>
            </w:r>
          </w:p>
        </w:tc>
      </w:tr>
    </w:tbl>
    <w:bookmarkEnd w:id="1125"/>
    <w:bookmarkStart w:id="1126" w:name="continue-the-book-9"/>
    <w:p>
      <w:pPr>
        <w:pStyle w:val="Heading2"/>
      </w:pPr>
      <w:bookmarkStart w:id="1487" w:name="_Toc00001487"/>
      <w:r>
        <w:t xml:space="preserve">Continue the book</w:t>
      </w:r>
      <w:bookmarkEnd w:id="1487"/>
    </w:p>
    <w:p>
      <w:pPr>
        <w:pStyle w:val="FirstParagraph"/>
      </w:pPr>
      <w:r>
        <w:t xml:space="preserve">← Previous: Chapter 09 — Building the Entra ID Target · Book index · Next: Chapter 11 — Reference Deployment →</w:t>
      </w:r>
    </w:p>
    <w:bookmarkEnd w:id="1126"/>
    <w:bookmarkEnd w:id="1127"/>
    <w:bookmarkStart w:id="1192" w:name="chapter-11-reference-deployment"/>
    <w:p>
      <w:pPr>
        <w:pStyle w:val="Heading1"/>
      </w:pPr>
      <w:bookmarkStart w:id="1488" w:name="_Toc00001488"/>
      <w:r>
        <w:t xml:space="preserve">Chapter 11 — Reference Deployment</w:t>
      </w:r>
      <w:bookmarkEnd w:id="1488"/>
    </w:p>
    <w:p>
      <w:pPr>
        <w:pStyle w:val="FirstParagraph"/>
      </w:pPr>
      <w:r>
        <w:rPr>
          <w:i/>
          <w:iCs/>
        </w:rPr>
        <w:t xml:space="preserve">Run the migration as a governed sequence and the authorization evidence becomes a byproduct of the work, not a separate project afterward.</w:t>
      </w:r>
    </w:p>
    <w:bookmarkStart w:id="1128" w:name="in-this-chapter-10"/>
    <w:p>
      <w:pPr>
        <w:pStyle w:val="Heading2"/>
      </w:pPr>
      <w:bookmarkStart w:id="1489" w:name="_Toc00001489"/>
      <w:r>
        <w:t xml:space="preserve">In this chapter</w:t>
      </w:r>
      <w:bookmarkEnd w:id="1489"/>
    </w:p>
    <w:p>
      <w:pPr>
        <w:pStyle w:val="FirstParagraph"/>
      </w:pPr>
      <w:r>
        <w:t xml:space="preserve">This chapter puts the How chapters together on one representative estate: two Active Directory forests, a SQL Server estate of about ninety instances, and a Microsoft 365 Government Community Cloud (GCC) destination. It walks the five phases (Discover, Normalize, Map, Migrate, Validate), shows what each phase hands to the next, describes the bridge to the agency’s data platform, and lists the evidence bundle an assessor consumes and what the agency keeps when the contract ends.</w:t>
      </w:r>
    </w:p>
    <w:bookmarkEnd w:id="1128"/>
    <w:bookmarkStart w:id="1129" w:name="a-framing-pattern-not-a-real-engagement"/>
    <w:p>
      <w:pPr>
        <w:pStyle w:val="Heading2"/>
      </w:pPr>
      <w:bookmarkStart w:id="1490" w:name="_Toc00001490"/>
      <w:r>
        <w:t xml:space="preserve">A framing pattern, not a real engagement</w:t>
      </w:r>
      <w:bookmarkEnd w:id="1490"/>
    </w:p>
    <w:p>
      <w:pPr>
        <w:pStyle w:val="FirstParagraph"/>
      </w:pPr>
      <w:r>
        <w:t xml:space="preserve">This chapter describes a</w:t>
      </w:r>
      <w:r>
        <w:t xml:space="preserve"> </w:t>
      </w:r>
      <w:r>
        <w:rPr>
          <w:i/>
          <w:iCs/>
        </w:rPr>
        <w:t xml:space="preserve">pattern</w:t>
      </w:r>
      <w:r>
        <w:t xml:space="preserve">: how the Federal Modernization Program’s approach behaves against a typical federal civilian estate. It is not a report on a deployed and attested engagement. The agency is a composite, the counts are illustrative orders of magnitude, and there are no agency names, contractor names or calendar dates. When real engagement material can be released, measured results replace the illustrative figures.</w:t>
      </w:r>
    </w:p>
    <w:bookmarkEnd w:id="1129"/>
    <w:bookmarkStart w:id="1142" w:name="the-archetype"/>
    <w:p>
      <w:pPr>
        <w:pStyle w:val="Heading2"/>
      </w:pPr>
      <w:bookmarkStart w:id="1491" w:name="_Toc00001491"/>
      <w:r>
        <w:t xml:space="preserve">The archetype</w:t>
      </w:r>
      <w:bookmarkEnd w:id="1491"/>
    </w:p>
    <w:p>
      <w:pPr>
        <w:pStyle w:val="FirstParagraph"/>
      </w:pPr>
      <w:r>
        <w:t xml:space="preserve">The agency has about fifty thousand users in two Active Directory forests. One belongs to the agency itself. The other came from a component organization absorbed in an earlier reorganization. A forest trust joins them; nobody fully documented it and nobody owns it now. Between them the forests hold about seventy thousand computer accounts, twelve thousand groups and several thousand service accounts whose original owners have moved on. The SQL Server estate has about ninety instances across regional offices and the headquarters data center, plus a few workloads already connected to Azure Arc.</w:t>
      </w:r>
    </w:p>
    <w:p>
      <w:pPr>
        <w:pStyle w:val="BodyText"/>
      </w:pPr>
      <w:r>
        <w:t xml:space="preserve">Federal policy pushes from several directions. OMB M-22-09 directs agencies to consolidate identity systems so that protections and monitoring apply consistently, and to give staff enterprise-managed accounts that resist phishing.</w:t>
      </w:r>
      <w:r>
        <w:rPr>
          <w:rStyle w:val="FootnoteReference"/>
        </w:rPr>
        <w:footnoteReference w:id="1130"/>
      </w:r>
      <w:r>
        <w:t xml:space="preserve"> </w:t>
      </w:r>
      <w:r>
        <w:t xml:space="preserve">OMB M-21-31 sets event-logging maturity tiers (EL0 through EL3) for log retention and centralized access.</w:t>
      </w:r>
      <w:r>
        <w:rPr>
          <w:rStyle w:val="FootnoteReference"/>
        </w:rPr>
        <w:footnoteReference w:id="1131"/>
      </w:r>
      <w:r>
        <w:t xml:space="preserve"> </w:t>
      </w:r>
      <w:r>
        <w:t xml:space="preserve">CISA BOD 25-01 requires agencies to inventory their in-scope cloud tenants, run CISA’s SCuBA assessment tools, and put the mandatory Secure Cloud Business Applications (SCuBA) baselines in place for Microsoft 365.</w:t>
      </w:r>
      <w:r>
        <w:rPr>
          <w:rStyle w:val="FootnoteReference"/>
        </w:rPr>
        <w:footnoteReference w:id="1133"/>
      </w:r>
      <w:r>
        <w:t xml:space="preserve"> </w:t>
      </w:r>
      <w:r>
        <w:t xml:space="preserve">The source page called BOD 25-01 a logging directive. That was wrong: logging belongs to M-21-31, and BOD 25-01 covers cloud configuration baselines. Meanwhile FedRAMP 20x is moving cloud service providers toward Key Security Indicators that are validated continuously rather than assessed once a year.</w:t>
      </w:r>
      <w:r>
        <w:rPr>
          <w:rStyle w:val="FootnoteReference"/>
        </w:rPr>
        <w:footnoteReference w:id="1135"/>
      </w:r>
    </w:p>
    <w:p>
      <w:pPr>
        <w:pStyle w:val="BodyText"/>
      </w:pPr>
      <w:r>
        <w:t xml:space="preserve">The agency has picked Microsoft 365 GCC (often called GCC-Moderate) as its identity and collaboration destination. In GCC, Microsoft 365 is paired with Microsoft Entra ID in the Azure commercial cloud, not Azure Government. That pairing matters for every service the bridge in this chapter depends on.</w:t>
      </w:r>
      <w:r>
        <w:rPr>
          <w:rStyle w:val="FootnoteReference"/>
        </w:rPr>
        <w:footnoteReference w:id="1136"/>
      </w:r>
      <w:r>
        <w:t xml:space="preserve"> </w:t>
      </w:r>
      <w:r>
        <w:t xml:space="preserve">The agency also wants its data estate to converge on Microsoft Purview for governance, with Microsoft Fabric and OneLake for analytics where the government cloud supports them.</w:t>
      </w:r>
    </w:p>
    <w:p>
      <w:pPr>
        <w:pStyle w:val="BodyText"/>
      </w:pPr>
      <w:r>
        <w:t xml:space="preserve">Its compliance posture is familiar. A systems integrator who is no longer on contract assembled the last authorization package after the fact, over most of a year. The service principal name (SPN) inventory lives in spreadsheets that are two years old. The SQL Server estate’s ownership is recorded in component binders that disagree with each other. The agency owns the right tools (Entra ID, Intune, Defender, Purview), but no shared, authoritative record tells those tools how the agency is organized. Chapter 02 describes that structural problem, and Chapter 06 covers who has to own fixing it.</w:t>
      </w:r>
    </w:p>
    <w:bookmarkStart w:id="1141" w:name="fig-ch11-five-phases"/>
    <w:p>
      <w:pPr>
        <w:pStyle w:val="CaptionedFigure"/>
      </w:pPr>
      <w:r>
        <w:drawing>
          <wp:inline>
            <wp:extent cx="3217156" cy="7257750"/>
            <wp:effectExtent b="0" l="0" r="0" t="0"/>
            <wp:docPr descr="The five phases of the reference deployment and the artifact each phase hands to the next." title="" id="1139" name="Picture"/>
            <a:graphic>
              <a:graphicData uri="http://schemas.openxmlformats.org/drawingml/2006/picture">
                <pic:pic>
                  <pic:nvPicPr>
                    <pic:cNvPr descr="/home/runner/work/modernization-workbook/modernization-workbook/docs/images/diagrams/b02-identity/png/ch11-five-phases.png" id="1140" name="Picture"/>
                    <pic:cNvPicPr>
                      <a:picLocks noChangeArrowheads="1" noChangeAspect="1"/>
                    </pic:cNvPicPr>
                  </pic:nvPicPr>
                  <pic:blipFill>
                    <a:blip r:embed="rId1138"/>
                    <a:stretch>
                      <a:fillRect/>
                    </a:stretch>
                  </pic:blipFill>
                  <pic:spPr bwMode="auto">
                    <a:xfrm>
                      <a:off x="0" y="0"/>
                      <a:ext cx="3217156" cy="7257750"/>
                    </a:xfrm>
                    <a:prstGeom prst="rect">
                      <a:avLst/>
                    </a:prstGeom>
                    <a:noFill/>
                    <a:ln w="9525">
                      <a:noFill/>
                      <a:headEnd/>
                      <a:tailEnd/>
                    </a:ln>
                  </pic:spPr>
                </pic:pic>
              </a:graphicData>
            </a:graphic>
          </wp:inline>
        </w:drawing>
      </w:r>
    </w:p>
    <w:p>
      <w:pPr>
        <w:pStyle w:val="ImageCaption"/>
      </w:pPr>
      <w:r>
        <w:t xml:space="preserve">The five phases of the reference deployment and the artifact each phase hands to the next.</w:t>
      </w:r>
    </w:p>
    <w:bookmarkEnd w:id="1141"/>
    <w:p>
      <w:pPr>
        <w:pStyle w:val="BodyText"/>
      </w:pPr>
      <w:r>
        <w:t xml:space="preserve">The rest of the chapter walks those phases in order. Each phase ends with a</w:t>
      </w:r>
      <w:r>
        <w:t xml:space="preserve"> </w:t>
      </w:r>
      <w:r>
        <w:rPr>
          <w:i/>
          <w:iCs/>
        </w:rPr>
        <w:t xml:space="preserve">readiness bundle</w:t>
      </w:r>
      <w:r>
        <w:t xml:space="preserve">: a signed record of what the phase produced and which program documents it was produced against. The next phase starts only from that bundle, never from someone’s memory of what the last phase did. That gating is a program design choice, and it is what makes the evidence bundle at the end possible.</w:t>
      </w:r>
    </w:p>
    <w:bookmarkEnd w:id="1142"/>
    <w:bookmarkStart w:id="1147" w:name="phase-1-discover"/>
    <w:p>
      <w:pPr>
        <w:pStyle w:val="Heading2"/>
      </w:pPr>
      <w:bookmarkStart w:id="1492" w:name="_Toc00001492"/>
      <w:r>
        <w:t xml:space="preserve">Phase 1 — Discover</w:t>
      </w:r>
      <w:bookmarkEnd w:id="1492"/>
    </w:p>
    <w:p>
      <w:pPr>
        <w:pStyle w:val="FirstParagraph"/>
      </w:pPr>
      <w:r>
        <w:t xml:space="preserve">The first job is an honest picture of the current state. The read-only discovery approach in Chapter 07 reads both forests without writing to either. It enumerates the object classes that Chapter 04 catalogs as the hidden migration surface: users, computers, service accounts, security groups, Group Policy objects, DNS and DHCP records, PKI artifacts, RADIUS configuration, LDAP-dependent applications, Kerberos SPNs and the trust between the two forests. The survey uses the same tooling on every engagement. It is not a script written for this agency.</w:t>
      </w:r>
    </w:p>
    <w:p>
      <w:pPr>
        <w:pStyle w:val="BodyText"/>
      </w:pPr>
      <w:r>
        <w:t xml:space="preserve">The service-account scan runs in the same pass. For each account it records the delegation configuration,</w:t>
      </w:r>
      <w:r>
        <w:t xml:space="preserve"> </w:t>
      </w:r>
      <w:r>
        <w:rPr>
          <w:rStyle w:val="VerbatimChar"/>
        </w:rPr>
        <w:t xml:space="preserve">adminCount</w:t>
      </w:r>
      <w:r>
        <w:t xml:space="preserve"> </w:t>
      </w:r>
      <w:r>
        <w:t xml:space="preserve">status and a risk score. Two conditions are flagged as critical before migration starts. The first is an SPN that depends on Active Directory Certificate Services (ADCS). The second is unconstrained Kerberos delegation, which Windows Credential Guard already blocks on current Windows versions, and which Microsoft directs customers to replace with constrained delegation.</w:t>
      </w:r>
      <w:r>
        <w:rPr>
          <w:rStyle w:val="FootnoteReference"/>
        </w:rPr>
        <w:footnoteReference w:id="1143"/>
      </w:r>
      <w:r>
        <w:t xml:space="preserve"> </w:t>
      </w:r>
      <w:r>
        <w:t xml:space="preserve">In the archetype, about four hundred service accounts carry at least one SPN. The scan rates about sixty critical and another hundred high risk. Chapter 08 and Appendix B cover how to read and rank those findings.</w:t>
      </w:r>
    </w:p>
    <w:p>
      <w:pPr>
        <w:pStyle w:val="BodyText"/>
      </w:pPr>
      <w:r>
        <w:t xml:space="preserve">The SPN inventory is the artifact the SQL Server work depends on most. Every</w:t>
      </w:r>
      <w:r>
        <w:t xml:space="preserve"> </w:t>
      </w:r>
      <w:r>
        <w:rPr>
          <w:rStyle w:val="VerbatimChar"/>
        </w:rPr>
        <w:t xml:space="preserve">MSSQLSvc/*</w:t>
      </w:r>
      <w:r>
        <w:t xml:space="preserve"> </w:t>
      </w:r>
      <w:r>
        <w:t xml:space="preserve">registration is captured with a</w:t>
      </w:r>
      <w:r>
        <w:t xml:space="preserve"> </w:t>
      </w:r>
      <w:r>
        <w:rPr>
          <w:rStyle w:val="VerbatimChar"/>
        </w:rPr>
        <w:t xml:space="preserve">pre_migration</w:t>
      </w:r>
      <w:r>
        <w:t xml:space="preserve"> </w:t>
      </w:r>
      <w:r>
        <w:t xml:space="preserve">phase tag, a discovery timestamp and an organizational attribution. The attribution comes from the service account that owns the SPN where possible, and from the hosting computer otherwise. SQL Server needs that registration to use Kerberos at all. An SPN maps to the Windows account that runs the instance, and if it’s missing or wrong the connection silently falls back to NTLM.</w:t>
      </w:r>
      <w:r>
        <w:rPr>
          <w:rStyle w:val="FootnoteReference"/>
        </w:rPr>
        <w:footnoteReference w:id="1145"/>
      </w:r>
      <w:r>
        <w:t xml:space="preserve"> </w:t>
      </w:r>
      <w:r>
        <w:t xml:space="preserve">About eighty of the ninety instances resolve cleanly. The other ten raise identity findings because their service accounts predate any organizational attribution the agency can defend. They’re recorded as high-severity (P2) conditions, and someone has to explicitly reassign an owner before those instances can migrate.</w:t>
      </w:r>
    </w:p>
    <w:p>
      <w:pPr>
        <w:pStyle w:val="BodyText"/>
      </w:pPr>
      <w:r>
        <w:t xml:space="preserve">Discovery ends with its readiness bundle, which records the survey output, the scan, the phase-tagged SPN inventory and the program documents the run used.</w:t>
      </w:r>
    </w:p>
    <w:bookmarkEnd w:id="1147"/>
    <w:bookmarkStart w:id="1148" w:name="phase-2-normalize"/>
    <w:p>
      <w:pPr>
        <w:pStyle w:val="Heading2"/>
      </w:pPr>
      <w:bookmarkStart w:id="1493" w:name="_Toc00001493"/>
      <w:r>
        <w:t xml:space="preserve">Phase 2 — Normalize</w:t>
      </w:r>
      <w:bookmarkEnd w:id="1493"/>
    </w:p>
    <w:p>
      <w:pPr>
        <w:pStyle w:val="FirstParagraph"/>
      </w:pPr>
      <w:r>
        <w:t xml:space="preserve">Discovery output is not yet authoritative. Both forests have a top-level</w:t>
      </w:r>
      <w:r>
        <w:t xml:space="preserve"> </w:t>
      </w:r>
      <w:r>
        <w:t xml:space="preserve">“Operations”</w:t>
      </w:r>
      <w:r>
        <w:t xml:space="preserve"> </w:t>
      </w:r>
      <w:r>
        <w:t xml:space="preserve">OU, but they hold different populations, and a merged tenant can’t tolerate that ambiguity. The agency builds an organizational registry from the discovery output and refines it against its organizational chart of record. From then on, the registry is the source of truth for where each principal sits in the organization. The collision gets resolved in the registry, not by renaming groups. Chapter 05 explains why OU placement can’t carry that meaning in Entra ID.</w:t>
      </w:r>
    </w:p>
    <w:p>
      <w:pPr>
        <w:pStyle w:val="BodyText"/>
      </w:pPr>
      <w:r>
        <w:t xml:space="preserve">Normalization raises an identity finding for every principal the registry can’t attribute. On the first pass in the archetype, that’s about two thousand users and several hundred service accounts. Each finding comes with a suggested attribution drawn from OU placement, the manager chain or the hosting computer. The program doesn’t assign attributions automatically, because every later policy decision depends on them: Conditional Access targeting, administrative-unit scope, Purview policy scope and access reviews. The agency’s governance team resolves the findings through its change-request workflow before Phase 3 begins. Where the agency’s HR system can supply the attribution directly, that’s the better source, and it’s the subject of the HR-driven identity series.</w:t>
      </w:r>
    </w:p>
    <w:bookmarkEnd w:id="1148"/>
    <w:bookmarkStart w:id="1160" w:name="phase-3-map"/>
    <w:p>
      <w:pPr>
        <w:pStyle w:val="Heading2"/>
      </w:pPr>
      <w:bookmarkStart w:id="1494" w:name="_Toc00001494"/>
      <w:r>
        <w:t xml:space="preserve">Phase 3 — Map</w:t>
      </w:r>
      <w:bookmarkEnd w:id="1494"/>
    </w:p>
    <w:p>
      <w:pPr>
        <w:pStyle w:val="FirstParagraph"/>
      </w:pPr>
      <w:r>
        <w:t xml:space="preserve">Mapping translates the governance model encoded in Active Directory (OU hierarchy, group nesting, delegated ACLs) into the attribute-driven model Entra ID requires. Chapter 09 designs that target. This chapter adds the per-surface contracts a two-forest estate needs. Each AD-adjacent surface gets an adapter with an explicit contract: what it reads, what it may change, its mission class and whether its target sits inside the GCC boundary. The surfaces are IP address management, PKI, RADIUS, LDAP proxy, the sync engine, device management, time service, DFS and the SQL Server workload.</w:t>
      </w:r>
    </w:p>
    <w:p>
      <w:pPr>
        <w:pStyle w:val="BodyText"/>
      </w:pPr>
      <w:r>
        <w:t xml:space="preserve">Four of them carry most of the risk in this archetype:</w:t>
      </w:r>
    </w:p>
    <w:p>
      <w:pPr>
        <w:pStyle w:val="Compact"/>
        <w:numPr>
          <w:ilvl w:val="0"/>
          <w:numId w:val="1093"/>
        </w:numPr>
      </w:pPr>
      <w:r>
        <w:rPr>
          <w:b/>
          <w:bCs/>
        </w:rPr>
        <w:t xml:space="preserve">Synchronization.</w:t>
      </w:r>
      <w:r>
        <w:t xml:space="preserve"> </w:t>
      </w:r>
      <w:r>
        <w:t xml:space="preserve">Two forests with a trust and about 130,000 directory objects push the choice of sync engine into the design. Microsoft Entra Cloud Sync is the platform Microsoft is now developing, and Microsoft says it will replace Connect Sync once it reaches functional parity.</w:t>
      </w:r>
      <w:r>
        <w:rPr>
          <w:rStyle w:val="FootnoteReference"/>
        </w:rPr>
        <w:footnoteReference w:id="1149"/>
      </w:r>
      <w:r>
        <w:t xml:space="preserve"> </w:t>
      </w:r>
      <w:r>
        <w:t xml:space="preserve">Today Cloud Sync supports up to 150,000 objects per domain and doesn’t support cross-forest references (for example, a manager in the other forest), while Connect Sync does.</w:t>
      </w:r>
      <w:r>
        <w:rPr>
          <w:rStyle w:val="FootnoteReference"/>
        </w:rPr>
        <w:footnoteReference w:id="1150"/>
      </w:r>
      <w:r>
        <w:t xml:space="preserve"> </w:t>
      </w:r>
      <w:r>
        <w:t xml:space="preserve">Chapter 09 works through that decision. The archetype’s cross-forest manager chains are the deciding input.</w:t>
      </w:r>
    </w:p>
    <w:p>
      <w:pPr>
        <w:pStyle w:val="Compact"/>
        <w:numPr>
          <w:ilvl w:val="0"/>
          <w:numId w:val="1093"/>
        </w:numPr>
      </w:pPr>
      <w:r>
        <w:rPr>
          <w:b/>
          <w:bCs/>
        </w:rPr>
        <w:t xml:space="preserve">PKI.</w:t>
      </w:r>
      <w:r>
        <w:t xml:space="preserve"> </w:t>
      </w:r>
      <w:r>
        <w:t xml:space="preserve">The ADCS hierarchy issues dozens of templates through auto-enrollment. Intune can deliver certificates to managed devices with SCEP profiles. Against an ADCS issuing CA, that requires NDES and the Certificate Connector for Microsoft Intune.</w:t>
      </w:r>
      <w:r>
        <w:rPr>
          <w:rStyle w:val="FootnoteReference"/>
        </w:rPr>
        <w:footnoteReference w:id="1151"/>
      </w:r>
      <w:r>
        <w:t xml:space="preserve"> </w:t>
      </w:r>
      <w:r>
        <w:t xml:space="preserve">Microsoft Cloud PKI can replace the on-premises CA, NDES and connector for Intune-managed devices, but confirm it’s available in your cloud environment before you plan around it.</w:t>
      </w:r>
      <w:r>
        <w:rPr>
          <w:rStyle w:val="FootnoteReference"/>
        </w:rPr>
        <w:footnoteReference w:id="1153"/>
      </w:r>
      <w:r>
        <w:t xml:space="preserve"> </w:t>
      </w:r>
      <w:r>
        <w:t xml:space="preserve">Either way, sequence the cutover so no certificate expires in the middle of it.</w:t>
      </w:r>
    </w:p>
    <w:p>
      <w:pPr>
        <w:pStyle w:val="Compact"/>
        <w:numPr>
          <w:ilvl w:val="0"/>
          <w:numId w:val="1093"/>
        </w:numPr>
      </w:pPr>
      <w:r>
        <w:rPr>
          <w:b/>
          <w:bCs/>
        </w:rPr>
        <w:t xml:space="preserve">RADIUS.</w:t>
      </w:r>
      <w:r>
        <w:t xml:space="preserve"> </w:t>
      </w:r>
      <w:r>
        <w:t xml:space="preserve">Network access in this archetype uses 802.1X EAP-TLS, which depends on the same ADCS hierarchy. The RADIUS adapter moves in lockstep with the PKI adapter.</w:t>
      </w:r>
    </w:p>
    <w:p>
      <w:pPr>
        <w:pStyle w:val="Compact"/>
        <w:numPr>
          <w:ilvl w:val="0"/>
          <w:numId w:val="1093"/>
        </w:numPr>
      </w:pPr>
      <w:r>
        <w:rPr>
          <w:b/>
          <w:bCs/>
        </w:rPr>
        <w:t xml:space="preserve">SQL Server.</w:t>
      </w:r>
      <w:r>
        <w:t xml:space="preserve"> </w:t>
      </w:r>
      <w:r>
        <w:t xml:space="preserve">The ninety instances need their SPNs re-registered in step with the service-account migration. Each instance also needs a path to Microsoft Entra authentication. That path requires SQL Server 2022 or later and is usually configured through Azure Arc.</w:t>
      </w:r>
      <w:r>
        <w:rPr>
          <w:rStyle w:val="FootnoteReference"/>
        </w:rPr>
        <w:footnoteReference w:id="1154"/>
      </w:r>
      <w:r>
        <w:t xml:space="preserve"> </w:t>
      </w:r>
      <w:r>
        <w:t xml:space="preserve">Microsoft also documents a configuration without Arc for SQL Server 2022 and later.</w:t>
      </w:r>
      <w:r>
        <w:rPr>
          <w:rStyle w:val="FootnoteReference"/>
        </w:rPr>
        <w:footnoteReference w:id="1156"/>
      </w:r>
      <w:r>
        <w:t xml:space="preserve"> </w:t>
      </w:r>
      <w:r>
        <w:t xml:space="preserve">Entra authentication isn’t supported on failover cluster instances, so any clustered instance in the estate needs its own plan.</w:t>
      </w:r>
      <w:r>
        <w:rPr>
          <w:rStyle w:val="FootnoteReference"/>
        </w:rPr>
        <w:footnoteReference w:id="1158"/>
      </w:r>
      <w:r>
        <w:t xml:space="preserve"> </w:t>
      </w:r>
      <w:r>
        <w:t xml:space="preserve">About forty LDAP-bound internal applications go through the LDAP-proxy adapter.</w:t>
      </w:r>
    </w:p>
    <w:p>
      <w:pPr>
        <w:pStyle w:val="FirstParagraph"/>
      </w:pPr>
      <w:r>
        <w:t xml:space="preserve">This chapter doesn’t repeat the SQL Server procedure. The SQL Server Identity Transformation narrative explains the sequence and why it runs in that order: estate consolidation, authentication audit, the identity bridge, login migration, NTLM elimination and the certificate-authority dependency. The Implementation Companion has the runbooks for each step. This chapter’s job is to place that work inside the forest migration, so that SQL Server SPNs and service accounts move under the same gates as everything else.</w:t>
      </w:r>
    </w:p>
    <w:bookmarkEnd w:id="1160"/>
    <w:bookmarkStart w:id="1163" w:name="phase-4-migrate"/>
    <w:p>
      <w:pPr>
        <w:pStyle w:val="Heading2"/>
      </w:pPr>
      <w:bookmarkStart w:id="1495" w:name="_Toc00001495"/>
      <w:r>
        <w:t xml:space="preserve">Phase 4 — Migrate</w:t>
      </w:r>
      <w:bookmarkEnd w:id="1495"/>
    </w:p>
    <w:p>
      <w:pPr>
        <w:pStyle w:val="FirstParagraph"/>
      </w:pPr>
      <w:r>
        <w:t xml:space="preserve">The migration runs as a sequence of provenance-chained events. Each adapter operation leaves a record that can’t be altered afterward. The record names the principal that requested the change, the authority for it, the version of the program documents it was made against and a hash of the resulting state. Two contract rules apply throughout. First, adapters read from and write against the authoritative record, but never replace it. Second, every operation is signed with an identity certificate. These are program design rules. The execution mechanics (staged cutover, coexistence, rollback) are in Chapter 10.</w:t>
      </w:r>
    </w:p>
    <w:p>
      <w:pPr>
        <w:pStyle w:val="BodyText"/>
      </w:pPr>
      <w:r>
        <w:t xml:space="preserve">Drift findings appear during the migration as it runs. The program classifies them with the five-class drift taxonomy described in the workbook’s Drift Engine page: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Drift class</w:t>
            </w:r>
          </w:p>
        </w:tc>
        <w:tc>
          <w:tcPr/>
          <w:p>
            <w:pPr>
              <w:pStyle w:val="Compact"/>
            </w:pPr>
            <w:r>
              <w:t xml:space="preserve">Example in this archetype</w:t>
            </w:r>
          </w:p>
        </w:tc>
      </w:tr>
      <w:tr>
        <w:tc>
          <w:tcPr/>
          <w:p>
            <w:pPr>
              <w:pStyle w:val="Compact"/>
            </w:pPr>
            <w:r>
              <w:rPr>
                <w:rStyle w:val="VerbatimChar"/>
              </w:rPr>
              <w:t xml:space="preserve">DRIFT-SCHEMA</w:t>
            </w:r>
          </w:p>
        </w:tc>
        <w:tc>
          <w:tcPr/>
          <w:p>
            <w:pPr>
              <w:pStyle w:val="Compact"/>
            </w:pPr>
            <w:r>
              <w:t xml:space="preserve">A newly migrated computer object carries an attribute encoding that doesn’t match the current schema version.</w:t>
            </w:r>
          </w:p>
        </w:tc>
      </w:tr>
      <w:tr>
        <w:tc>
          <w:tcPr/>
          <w:p>
            <w:pPr>
              <w:pStyle w:val="Compact"/>
            </w:pPr>
            <w:r>
              <w:rPr>
                <w:rStyle w:val="VerbatimChar"/>
              </w:rPr>
              <w:t xml:space="preserve">DRIFT-SEMANTIC</w:t>
            </w:r>
          </w:p>
        </w:tc>
        <w:tc>
          <w:tcPr/>
          <w:p>
            <w:pPr>
              <w:pStyle w:val="Compact"/>
            </w:pPr>
            <w:r>
              <w:t xml:space="preserve">An organizational attribute value slips back into a deprecated geographic OU naming pattern.</w:t>
            </w:r>
          </w:p>
        </w:tc>
      </w:tr>
      <w:tr>
        <w:tc>
          <w:tcPr/>
          <w:p>
            <w:pPr>
              <w:pStyle w:val="Compact"/>
            </w:pPr>
            <w:r>
              <w:rPr>
                <w:rStyle w:val="VerbatimChar"/>
              </w:rPr>
              <w:t xml:space="preserve">DRIFT-PROVENANCE</w:t>
            </w:r>
          </w:p>
        </w:tc>
        <w:tc>
          <w:tcPr/>
          <w:p>
            <w:pPr>
              <w:pStyle w:val="Compact"/>
            </w:pPr>
            <w:r>
              <w:t xml:space="preserve">A state change appears with no provenance event in the chain. This is critical (P1): the run halts until someone investigates.</w:t>
            </w:r>
          </w:p>
        </w:tc>
      </w:tr>
      <w:tr>
        <w:tc>
          <w:tcPr/>
          <w:p>
            <w:pPr>
              <w:pStyle w:val="Compact"/>
            </w:pPr>
            <w:r>
              <w:rPr>
                <w:rStyle w:val="VerbatimChar"/>
              </w:rPr>
              <w:t xml:space="preserve">DRIFT-AUTHZ</w:t>
            </w:r>
          </w:p>
        </w:tc>
        <w:tc>
          <w:tcPr/>
          <w:p>
            <w:pPr>
              <w:pStyle w:val="Compact"/>
            </w:pPr>
            <w:r>
              <w:t xml:space="preserve">A Conditional Access policy contradicts the authentication assurance level recorded for that principal.</w:t>
            </w:r>
          </w:p>
        </w:tc>
      </w:tr>
      <w:tr>
        <w:tc>
          <w:tcPr/>
          <w:p>
            <w:pPr>
              <w:pStyle w:val="Compact"/>
            </w:pPr>
            <w:r>
              <w:rPr>
                <w:rStyle w:val="VerbatimChar"/>
              </w:rPr>
              <w:t xml:space="preserve">DRIFT-IDENTITY</w:t>
            </w:r>
          </w:p>
        </w:tc>
        <w:tc>
          <w:tcPr/>
          <w:p>
            <w:pPr>
              <w:pStyle w:val="Compact"/>
            </w:pPr>
            <w:r>
              <w:t xml:space="preserve">A principal exists in the migrated tenant with no counterpart in the registry, an orphaned migration artifact.</w:t>
            </w:r>
          </w:p>
        </w:tc>
      </w:tr>
    </w:tbl>
    <w:p>
      <w:pPr>
        <w:pStyle w:val="BodyText"/>
      </w:pPr>
      <w:r>
        <w:t xml:space="preserve">Assurance levels follow NIST SP 800-63-4, which superseded SP 800-63-3 in July 2025.</w:t>
      </w:r>
      <w:r>
        <w:rPr>
          <w:rStyle w:val="FootnoteReference"/>
        </w:rPr>
        <w:footnoteReference w:id="1161"/>
      </w:r>
      <w:r>
        <w:t xml:space="preserve"> </w:t>
      </w:r>
      <w:r>
        <w:t xml:space="preserve">Be honest about maturity. On the Drift Engine page, schema and provenance detection are shipped, semantic detection is partial, and authorization and identity detection are still design-only. In a real engagement today, the last two classes are found by the assessment modules and by people reviewing them, not by a runtime engine.</w:t>
      </w:r>
    </w:p>
    <w:p>
      <w:pPr>
        <w:pStyle w:val="BodyText"/>
      </w:pPr>
      <w:r>
        <w:t xml:space="preserve">The archetype produces about three hundred drift findings across the migration window. Most are medium or low severity (P3 or P4) and are remediated automatically under the drift standard. A representative cycle has one P1. A finance service account’s post-migration role assignment exceeds what the assurance level recorded for it allows, so the dependent SQL Server instance’s migration stops until someone reduces the role assignment.</w:t>
      </w:r>
    </w:p>
    <w:bookmarkEnd w:id="1163"/>
    <w:bookmarkStart w:id="1166" w:name="phase-5-validate"/>
    <w:p>
      <w:pPr>
        <w:pStyle w:val="Heading2"/>
      </w:pPr>
      <w:bookmarkStart w:id="1496" w:name="_Toc00001496"/>
      <w:r>
        <w:t xml:space="preserve">Phase 5 — Validate</w:t>
      </w:r>
      <w:bookmarkEnd w:id="1496"/>
    </w:p>
    <w:p>
      <w:pPr>
        <w:pStyle w:val="FirstParagraph"/>
      </w:pPr>
      <w:r>
        <w:t xml:space="preserve">After migration, the SPN inventory is captured again with a</w:t>
      </w:r>
      <w:r>
        <w:t xml:space="preserve"> </w:t>
      </w:r>
      <w:r>
        <w:rPr>
          <w:rStyle w:val="VerbatimChar"/>
        </w:rPr>
        <w:t xml:space="preserve">post_migration</w:t>
      </w:r>
      <w:r>
        <w:t xml:space="preserve"> </w:t>
      </w:r>
      <w:r>
        <w:t xml:space="preserve">tag, and the two inventories are compared. The program checks four conditions: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Condition</w:t>
            </w:r>
          </w:p>
        </w:tc>
        <w:tc>
          <w:tcPr/>
          <w:p>
            <w:pPr>
              <w:pStyle w:val="Compact"/>
            </w:pPr>
            <w:r>
              <w:t xml:space="preserve">Drift class</w:t>
            </w:r>
          </w:p>
        </w:tc>
        <w:tc>
          <w:tcPr/>
          <w:p>
            <w:pPr>
              <w:pStyle w:val="Compact"/>
            </w:pPr>
            <w:r>
              <w:t xml:space="preserve">Severity</w:t>
            </w:r>
          </w:p>
        </w:tc>
        <w:tc>
          <w:tcPr/>
          <w:p>
            <w:pPr>
              <w:pStyle w:val="Compact"/>
            </w:pPr>
            <w:r>
              <w:t xml:space="preserve">How it’s detected</w:t>
            </w:r>
          </w:p>
        </w:tc>
      </w:tr>
      <w:tr>
        <w:tc>
          <w:tcPr/>
          <w:p>
            <w:pPr>
              <w:pStyle w:val="Compact"/>
            </w:pPr>
            <w:r>
              <w:t xml:space="preserve">SPN present before migration, absent after</w:t>
            </w:r>
          </w:p>
        </w:tc>
        <w:tc>
          <w:tcPr/>
          <w:p>
            <w:pPr>
              <w:pStyle w:val="Compact"/>
            </w:pPr>
            <w:r>
              <w:rPr>
                <w:rStyle w:val="VerbatimChar"/>
              </w:rPr>
              <w:t xml:space="preserve">DRIFT-IDENTITY</w:t>
            </w:r>
          </w:p>
        </w:tc>
        <w:tc>
          <w:tcPr/>
          <w:p>
            <w:pPr>
              <w:pStyle w:val="Compact"/>
            </w:pPr>
            <w:r>
              <w:t xml:space="preserve">P1</w:t>
            </w:r>
          </w:p>
        </w:tc>
        <w:tc>
          <w:tcPr/>
          <w:p>
            <w:pPr>
              <w:pStyle w:val="Compact"/>
            </w:pPr>
            <w:r>
              <w:t xml:space="preserve">Set difference between the two phase-tagged inventories</w:t>
            </w:r>
          </w:p>
        </w:tc>
      </w:tr>
      <w:tr>
        <w:tc>
          <w:tcPr/>
          <w:p>
            <w:pPr>
              <w:pStyle w:val="Compact"/>
            </w:pPr>
            <w:r>
              <w:t xml:space="preserve">SPN host or port changed with no provenance record</w:t>
            </w:r>
          </w:p>
        </w:tc>
        <w:tc>
          <w:tcPr/>
          <w:p>
            <w:pPr>
              <w:pStyle w:val="Compact"/>
            </w:pPr>
            <w:r>
              <w:rPr>
                <w:rStyle w:val="VerbatimChar"/>
              </w:rPr>
              <w:t xml:space="preserve">DRIFT-PROVENANCE</w:t>
            </w:r>
          </w:p>
        </w:tc>
        <w:tc>
          <w:tcPr/>
          <w:p>
            <w:pPr>
              <w:pStyle w:val="Compact"/>
            </w:pPr>
            <w:r>
              <w:t xml:space="preserve">P2</w:t>
            </w:r>
          </w:p>
        </w:tc>
        <w:tc>
          <w:tcPr/>
          <w:p>
            <w:pPr>
              <w:pStyle w:val="Compact"/>
            </w:pPr>
            <w:r>
              <w:t xml:space="preserve">Same service class and principal, different host or port</w:t>
            </w:r>
          </w:p>
        </w:tc>
      </w:tr>
      <w:tr>
        <w:tc>
          <w:tcPr/>
          <w:p>
            <w:pPr>
              <w:pStyle w:val="Compact"/>
            </w:pPr>
            <w:r>
              <w:t xml:space="preserve">SPN owner changed with no recorded migration event</w:t>
            </w:r>
          </w:p>
        </w:tc>
        <w:tc>
          <w:tcPr/>
          <w:p>
            <w:pPr>
              <w:pStyle w:val="Compact"/>
            </w:pPr>
            <w:r>
              <w:rPr>
                <w:rStyle w:val="VerbatimChar"/>
              </w:rPr>
              <w:t xml:space="preserve">DRIFT-AUTHZ</w:t>
            </w:r>
          </w:p>
        </w:tc>
        <w:tc>
          <w:tcPr/>
          <w:p>
            <w:pPr>
              <w:pStyle w:val="Compact"/>
            </w:pPr>
            <w:r>
              <w:t xml:space="preserve">P1</w:t>
            </w:r>
          </w:p>
        </w:tc>
        <w:tc>
          <w:tcPr/>
          <w:p>
            <w:pPr>
              <w:pStyle w:val="Compact"/>
            </w:pPr>
            <w:r>
              <w:t xml:space="preserve">Same SPN, different principal, no transition record</w:t>
            </w:r>
          </w:p>
        </w:tc>
      </w:tr>
      <w:tr>
        <w:tc>
          <w:tcPr/>
          <w:p>
            <w:pPr>
              <w:pStyle w:val="Compact"/>
            </w:pPr>
            <w:r>
              <w:t xml:space="preserve">SPN still in AD but no decided authentication path for the instance</w:t>
            </w:r>
          </w:p>
        </w:tc>
        <w:tc>
          <w:tcPr/>
          <w:p>
            <w:pPr>
              <w:pStyle w:val="Compact"/>
            </w:pPr>
            <w:r>
              <w:rPr>
                <w:rStyle w:val="VerbatimChar"/>
              </w:rPr>
              <w:t xml:space="preserve">DRIFT-IDENTITY</w:t>
            </w:r>
          </w:p>
        </w:tc>
        <w:tc>
          <w:tcPr/>
          <w:p>
            <w:pPr>
              <w:pStyle w:val="Compact"/>
            </w:pPr>
            <w:r>
              <w:t xml:space="preserve">P2</w:t>
            </w:r>
          </w:p>
        </w:tc>
        <w:tc>
          <w:tcPr/>
          <w:p>
            <w:pPr>
              <w:pStyle w:val="Compact"/>
            </w:pPr>
            <w:r>
              <w:t xml:space="preserve">The instance has neither a configured Entra authentication path nor a recorded decision to keep Kerberos</w:t>
            </w:r>
          </w:p>
        </w:tc>
      </w:tr>
    </w:tbl>
    <w:p>
      <w:pPr>
        <w:pStyle w:val="BodyText"/>
      </w:pPr>
      <w:r>
        <w:t xml:space="preserve">The fourth row is restated from the source page, which described it as a cross-check against</w:t>
      </w:r>
      <w:r>
        <w:t xml:space="preserve"> </w:t>
      </w:r>
      <w:r>
        <w:t xml:space="preserve">“Entra Kerberos delegation”</w:t>
      </w:r>
      <w:r>
        <w:t xml:space="preserve"> </w:t>
      </w:r>
      <w:r>
        <w:t xml:space="preserve">and workload-identity federation. Entra ID doesn’t take over Kerberos delegation for on-premises SQL Server SPNs. Those SPNs stay in Active Directory until the instance stops using Windows authentication. What gets validated is whether every instance has a decided path.</w:t>
      </w:r>
    </w:p>
    <w:p>
      <w:pPr>
        <w:pStyle w:val="BodyText"/>
      </w:pPr>
      <w:r>
        <w:t xml:space="preserve">The third row is common, and it’s easy to miss. When a SQL Server service account changes, for example to a group managed service account, the SPNs registered on the old account stay there until someone moves or removes them. Microsoft’s guidance is that each</w:t>
      </w:r>
      <w:r>
        <w:t xml:space="preserve"> </w:t>
      </w:r>
      <w:r>
        <w:rPr>
          <w:rStyle w:val="VerbatimChar"/>
        </w:rPr>
        <w:t xml:space="preserve">MSSQLSvc</w:t>
      </w:r>
      <w:r>
        <w:t xml:space="preserve"> </w:t>
      </w:r>
      <w:r>
        <w:t xml:space="preserve">SPN should have exactly one owner: the account that now runs the service.</w:t>
      </w:r>
      <w:r>
        <w:rPr>
          <w:rStyle w:val="FootnoteReference"/>
        </w:rPr>
        <w:footnoteReference w:id="1164"/>
      </w:r>
      <w:r>
        <w:t xml:space="preserve"> </w:t>
      </w:r>
      <w:r>
        <w:t xml:space="preserve">The checks below show how to confirm that on one instance.</w:t>
      </w:r>
    </w:p>
    <w:bookmarkEnd w:id="1166"/>
    <w:bookmarkStart w:id="1167" w:name="illustrative-commands"/>
    <w:p>
      <w:pPr>
        <w:pStyle w:val="Heading2"/>
      </w:pPr>
      <w:bookmarkStart w:id="1497" w:name="_Toc00001497"/>
      <w:r>
        <w:t xml:space="preserve">Illustrative commands</w:t>
      </w:r>
      <w:bookmarkEnd w:id="1497"/>
    </w:p>
    <w:p>
      <w:pPr>
        <w:pStyle w:val="FirstParagraph"/>
      </w:pPr>
      <w:r>
        <w:t xml:space="preserve">These commands are illustrative and haven’t been tested against a production forest. Review them, and substitute your own host, port and account names, before you run them.</w:t>
      </w:r>
    </w:p>
    <w:bookmarkEnd w:id="1167"/>
    <w:p>
      <w:pPr>
        <w:pStyle w:val="SourceCode"/>
      </w:pPr>
      <w:r>
        <w:rPr>
          <w:rStyle w:val="CommentTok"/>
        </w:rPr>
        <w:t xml:space="preserve"># List the SPNs registered on the account that now runs the instance</w:t>
      </w:r>
      <w:r>
        <w:br/>
      </w:r>
      <w:r>
        <w:rPr>
          <w:rStyle w:val="CommentTok"/>
        </w:rPr>
        <w:t xml:space="preserve"># (a gMSA needs the trailing $).</w:t>
      </w:r>
      <w:r>
        <w:br/>
      </w:r>
      <w:r>
        <w:rPr>
          <w:rStyle w:val="NormalTok"/>
        </w:rPr>
        <w:t xml:space="preserve">setspn </w:t>
      </w:r>
      <w:r>
        <w:rPr>
          <w:rStyle w:val="OperatorTok"/>
        </w:rPr>
        <w:t xml:space="preserve">-</w:t>
      </w:r>
      <w:r>
        <w:rPr>
          <w:rStyle w:val="NormalTok"/>
        </w:rPr>
        <w:t xml:space="preserve">L CONTOSO\SQLgMSA$</w:t>
      </w:r>
      <w:r>
        <w:br/>
      </w:r>
      <w:r>
        <w:br/>
      </w:r>
      <w:r>
        <w:rPr>
          <w:rStyle w:val="CommentTok"/>
        </w:rPr>
        <w:t xml:space="preserve"># Find which account owns a given SQL Server SPN. Exactly one should.</w:t>
      </w:r>
      <w:r>
        <w:br/>
      </w:r>
      <w:r>
        <w:rPr>
          <w:rStyle w:val="NormalTok"/>
        </w:rPr>
        <w:t xml:space="preserve">setspn </w:t>
      </w:r>
      <w:r>
        <w:rPr>
          <w:rStyle w:val="OperatorTok"/>
        </w:rPr>
        <w:t xml:space="preserve">-</w:t>
      </w:r>
      <w:r>
        <w:rPr>
          <w:rStyle w:val="NormalTok"/>
        </w:rPr>
        <w:t xml:space="preserve">Q MSSQLSvc</w:t>
      </w:r>
      <w:r>
        <w:rPr>
          <w:rStyle w:val="OperatorTok"/>
        </w:rPr>
        <w:t xml:space="preserve">/</w:t>
      </w:r>
      <w:r>
        <w:rPr>
          <w:rStyle w:val="NormalTok"/>
        </w:rPr>
        <w:t xml:space="preserve">sql01</w:t>
      </w:r>
      <w:r>
        <w:rPr>
          <w:rStyle w:val="OperatorTok"/>
        </w:rPr>
        <w:t xml:space="preserve">.</w:t>
      </w:r>
      <w:r>
        <w:rPr>
          <w:rStyle w:val="FunctionTok"/>
        </w:rPr>
        <w:t xml:space="preserve">contoso</w:t>
      </w:r>
      <w:r>
        <w:rPr>
          <w:rStyle w:val="OperatorTok"/>
        </w:rPr>
        <w:t xml:space="preserve">.</w:t>
      </w:r>
      <w:r>
        <w:rPr>
          <w:rStyle w:val="FunctionTok"/>
        </w:rPr>
        <w:t xml:space="preserve">com</w:t>
      </w:r>
      <w:r>
        <w:rPr>
          <w:rStyle w:val="OperatorTok"/>
        </w:rPr>
        <w:t xml:space="preserve">:</w:t>
      </w:r>
      <w:r>
        <w:rPr>
          <w:rStyle w:val="DecValTok"/>
        </w:rPr>
        <w:t xml:space="preserve">1433</w:t>
      </w:r>
      <w:r>
        <w:br/>
      </w:r>
      <w:r>
        <w:br/>
      </w:r>
      <w:r>
        <w:rPr>
          <w:rStyle w:val="CommentTok"/>
        </w:rPr>
        <w:t xml:space="preserve"># Clear cached tickets on the test client before reconnecting.</w:t>
      </w:r>
      <w:r>
        <w:br/>
      </w:r>
      <w:r>
        <w:rPr>
          <w:rStyle w:val="NormalTok"/>
        </w:rPr>
        <w:t xml:space="preserve">klist purge</w:t>
      </w:r>
    </w:p>
    <w:p>
      <w:pPr>
        <w:pStyle w:val="SourceCode"/>
      </w:pPr>
      <w:r>
        <w:rPr>
          <w:rStyle w:val="CommentTok"/>
        </w:rPr>
        <w:t xml:space="preserve">-- From a remote Windows-authenticated session: KERBEROS is expected,</w:t>
      </w:r>
      <w:r>
        <w:br/>
      </w:r>
      <w:r>
        <w:rPr>
          <w:rStyle w:val="CommentTok"/>
        </w:rPr>
        <w:t xml:space="preserve">-- NTLM means the SPN is still missing or misplaced.</w:t>
      </w:r>
      <w:r>
        <w:br/>
      </w:r>
      <w:r>
        <w:rPr>
          <w:rStyle w:val="KeywordTok"/>
        </w:rPr>
        <w:t xml:space="preserve">SELECT</w:t>
      </w:r>
      <w:r>
        <w:rPr>
          <w:rStyle w:val="NormalTok"/>
        </w:rPr>
        <w:t xml:space="preserve"> auth_scheme</w:t>
      </w:r>
      <w:r>
        <w:br/>
      </w:r>
      <w:r>
        <w:rPr>
          <w:rStyle w:val="KeywordTok"/>
        </w:rPr>
        <w:t xml:space="preserve">FROM</w:t>
      </w:r>
      <w:r>
        <w:rPr>
          <w:rStyle w:val="NormalTok"/>
        </w:rPr>
        <w:t xml:space="preserve"> sys.dm_exec_connections</w:t>
      </w:r>
      <w:r>
        <w:br/>
      </w:r>
      <w:r>
        <w:rPr>
          <w:rStyle w:val="KeywordTok"/>
        </w:rPr>
        <w:t xml:space="preserve">WHERE</w:t>
      </w:r>
      <w:r>
        <w:rPr>
          <w:rStyle w:val="NormalTok"/>
        </w:rPr>
        <w:t xml:space="preserve"> session_id </w:t>
      </w:r>
      <w:r>
        <w:rPr>
          <w:rStyle w:val="OperatorTok"/>
        </w:rPr>
        <w:t xml:space="preserve">=</w:t>
      </w:r>
      <w:r>
        <w:rPr>
          <w:rStyle w:val="NormalTok"/>
        </w:rPr>
        <w:t xml:space="preserve"> @@SPID;</w:t>
      </w:r>
    </w:p>
    <w:p>
      <w:pPr>
        <w:pStyle w:val="FirstParagraph"/>
      </w:pPr>
      <w:r>
        <w:t xml:space="preserve">In the archetype, about three SPNs come back as P1 identity findings. These are SPNs whose re-registration step was skipped during the SQL Server sequence. Under the severity model, they halt the run and raise an alert. The operations team re-registers the SPNs against the migrated principals and recaptures the post-migration inventory, and repeats until no P1 findings remain. The SQL Server series covers the same check from the database side, in its NTLM-elimination book.</w:t>
      </w:r>
    </w:p>
    <w:bookmarkStart w:id="1180" w:name="the-azure-ssot-bridge"/>
    <w:p>
      <w:pPr>
        <w:pStyle w:val="Heading2"/>
      </w:pPr>
      <w:bookmarkStart w:id="1498" w:name="_Toc00001498"/>
      <w:r>
        <w:t xml:space="preserve">The Azure SSOT bridge</w:t>
      </w:r>
      <w:bookmarkEnd w:id="1498"/>
    </w:p>
    <w:p>
      <w:pPr>
        <w:pStyle w:val="FirstParagraph"/>
      </w:pPr>
      <w:r>
        <w:t xml:space="preserve">When the identity migration is complete, the agency’s data platform joins the same single source of truth. The organizational registry from Phase 2 becomes the scope for data governance as well as identity.</w:t>
      </w:r>
    </w:p>
    <w:p>
      <w:pPr>
        <w:pStyle w:val="BodyText"/>
      </w:pPr>
      <w:r>
        <w:t xml:space="preserve">On the Microsoft 365 side, Purview adaptive scopes target policies by Entra ID attributes, so they follow the registry without hand-maintained groups. Adaptive scopes apply to retention policies, retention label policies, auto-labeling policies and communication compliance policies.</w:t>
      </w:r>
      <w:r>
        <w:rPr>
          <w:rStyle w:val="FootnoteReference"/>
        </w:rPr>
        <w:footnoteReference w:id="1168"/>
      </w:r>
      <w:r>
        <w:t xml:space="preserve"> </w:t>
      </w:r>
      <w:r>
        <w:t xml:space="preserve">The source page also listed DLP and eDiscovery custodian queries as adaptive-scope targets. Microsoft doesn’t list those, so this chapter doesn’t claim them.</w:t>
      </w:r>
    </w:p>
    <w:p>
      <w:pPr>
        <w:pStyle w:val="BodyText"/>
      </w:pPr>
      <w:r>
        <w:t xml:space="preserve">On the data side, the SQL Server instances are registered in the Purview Data Map under collections that follow the organizational structure. Purview supports registering and scanning SQL Server instances enabled by Azure Arc, with a self-hosted integration runtime, for SQL Server 2012 and later.</w:t>
      </w:r>
      <w:r>
        <w:rPr>
          <w:rStyle w:val="FootnoteReference"/>
        </w:rPr>
        <w:footnoteReference w:id="1170"/>
      </w:r>
      <w:r>
        <w:t xml:space="preserve"> </w:t>
      </w:r>
      <w:r>
        <w:t xml:space="preserve">Fabric domains mirror the same hierarchy. Each workspace is assigned to the domain of the segment that owns it, and every item in the workspace inherits that association.</w:t>
      </w:r>
      <w:r>
        <w:rPr>
          <w:rStyle w:val="FootnoteReference"/>
        </w:rPr>
        <w:footnoteReference w:id="1172"/>
      </w:r>
      <w:r>
        <w:t xml:space="preserve"> </w:t>
      </w:r>
      <w:r>
        <w:t xml:space="preserve">The instances that migrated cleanly can then be mirrored into OneLake. Fabric mirroring supports on-premises SQL Server 2016 through 2025, and SQL Server 2025 mirroring requires an Arc connection.</w:t>
      </w:r>
      <w:r>
        <w:rPr>
          <w:rStyle w:val="FootnoteReference"/>
        </w:rPr>
        <w:footnoteReference w:id="1174"/>
      </w:r>
      <w:r>
        <w:t xml:space="preserve"> </w:t>
      </w:r>
      <w:r>
        <w:t xml:space="preserve">The instances still remediating drift wait until their drift cycle closes.</w:t>
      </w:r>
    </w:p>
    <w:p>
      <w:pPr>
        <w:pStyle w:val="BodyText"/>
      </w:pPr>
      <w:r>
        <w:t xml:space="preserve">That last step depends on the cloud. Fabric’s feature set in the US government clouds is narrower than in the commercial cloud. In GCC High, for example, Azure SQL Database is the only supported mirroring source.</w:t>
      </w:r>
      <w:r>
        <w:rPr>
          <w:rStyle w:val="FootnoteReference"/>
        </w:rPr>
        <w:footnoteReference w:id="1176"/>
      </w:r>
      <w:r>
        <w:t xml:space="preserve"> </w:t>
      </w:r>
      <w:r>
        <w:t xml:space="preserve">Fabric (F SKU) capacities aren’t supported in GCC; only EM and P SKUs are.</w:t>
      </w:r>
      <w:r>
        <w:rPr>
          <w:rStyle w:val="FootnoteReference"/>
        </w:rPr>
        <w:footnoteReference w:id="1178"/>
      </w:r>
      <w:r>
        <w:t xml:space="preserve"> </w:t>
      </w:r>
      <w:r>
        <w:t xml:space="preserve">Treat OneLake mirroring as conditional, and confirm it against Microsoft’s current availability pages for your environment before you commit it to a schedule.</w:t>
      </w:r>
    </w:p>
    <w:p>
      <w:pPr>
        <w:pStyle w:val="BodyText"/>
      </w:pPr>
      <w:r>
        <w:t xml:space="preserve">The GCC boundary has a structural limit: the agency can’t independently verify some of the service-side telemetry that sensitivity-label decisions rely on. The program doesn’t claim to remediate that. It records the compensating controls the agency has put in place and verifies them on a schedule. Those records go into the evidence bundle.</w:t>
      </w:r>
    </w:p>
    <w:bookmarkEnd w:id="1180"/>
    <w:bookmarkStart w:id="1188" w:name="X8647eb54451234531754f6fbaa735de947b6d74"/>
    <w:p>
      <w:pPr>
        <w:pStyle w:val="Heading2"/>
      </w:pPr>
      <w:bookmarkStart w:id="1499" w:name="_Toc00001499"/>
      <w:r>
        <w:t xml:space="preserve">The evidence bundle the assessor consumes</w:t>
      </w:r>
      <w:bookmarkEnd w:id="1499"/>
    </w:p>
    <w:p>
      <w:pPr>
        <w:pStyle w:val="FirstParagraph"/>
      </w:pPr>
      <w:r>
        <w:t xml:space="preserve">From Phase 2 on, the agency can produce an evidence bundle at any time from the artifacts the phases have accumulated:</w:t>
      </w:r>
    </w:p>
    <w:p>
      <w:pPr>
        <w:pStyle w:val="Compact"/>
        <w:numPr>
          <w:ilvl w:val="0"/>
          <w:numId w:val="1094"/>
        </w:numPr>
      </w:pPr>
      <w:r>
        <w:t xml:space="preserve">the signed readiness bundle from each phase</w:t>
      </w:r>
    </w:p>
    <w:p>
      <w:pPr>
        <w:pStyle w:val="Compact"/>
        <w:numPr>
          <w:ilvl w:val="0"/>
          <w:numId w:val="1094"/>
        </w:numPr>
      </w:pPr>
      <w:r>
        <w:t xml:space="preserve">both phase-tagged SPN inventories, with the results of comparing them</w:t>
      </w:r>
    </w:p>
    <w:p>
      <w:pPr>
        <w:pStyle w:val="Compact"/>
        <w:numPr>
          <w:ilvl w:val="0"/>
          <w:numId w:val="1094"/>
        </w:numPr>
      </w:pPr>
      <w:r>
        <w:t xml:space="preserve">the provenance chain for every adapter operation</w:t>
      </w:r>
    </w:p>
    <w:p>
      <w:pPr>
        <w:pStyle w:val="Compact"/>
        <w:numPr>
          <w:ilvl w:val="0"/>
          <w:numId w:val="1094"/>
        </w:numPr>
      </w:pPr>
      <w:r>
        <w:t xml:space="preserve">every drift finding, with its severity, drift class and remediation evidence</w:t>
      </w:r>
    </w:p>
    <w:p>
      <w:pPr>
        <w:pStyle w:val="Compact"/>
        <w:numPr>
          <w:ilvl w:val="0"/>
          <w:numId w:val="1094"/>
        </w:numPr>
      </w:pPr>
      <w:r>
        <w:t xml:space="preserve">the GCC boundary finding, with the agency’s catalog of compensating controls and when each was last verified</w:t>
      </w:r>
    </w:p>
    <w:p>
      <w:pPr>
        <w:pStyle w:val="Compact"/>
        <w:numPr>
          <w:ilvl w:val="0"/>
          <w:numId w:val="1094"/>
        </w:numPr>
      </w:pPr>
      <w:r>
        <w:t xml:space="preserve">the Purview Data Map registration state, with an owner attributed for each asset</w:t>
      </w:r>
    </w:p>
    <w:p>
      <w:pPr>
        <w:pStyle w:val="Compact"/>
        <w:numPr>
          <w:ilvl w:val="0"/>
          <w:numId w:val="1094"/>
        </w:numPr>
      </w:pPr>
      <w:r>
        <w:t xml:space="preserve">the Fabric domain assignment state, with an owner attributed for each workspace</w:t>
      </w:r>
    </w:p>
    <w:bookmarkStart w:id="1184" w:name="fig-ch11-evidence-bundle"/>
    <w:p>
      <w:pPr>
        <w:pStyle w:val="CaptionedFigure"/>
      </w:pPr>
      <w:r>
        <w:drawing>
          <wp:inline>
            <wp:extent cx="5334000" cy="3144024"/>
            <wp:effectExtent b="0" l="0" r="0" t="0"/>
            <wp:docPr descr="The evidence bundle assembles identity, drift and data-platform artifacts into one package the authorizing official and the assessor consume." title="" id="1182" name="Picture"/>
            <a:graphic>
              <a:graphicData uri="http://schemas.openxmlformats.org/drawingml/2006/picture">
                <pic:pic>
                  <pic:nvPicPr>
                    <pic:cNvPr descr="/home/runner/work/modernization-workbook/modernization-workbook/docs/images/diagrams/b02-identity/png/ch11-evidence-bundle.png" id="1183" name="Picture"/>
                    <pic:cNvPicPr>
                      <a:picLocks noChangeArrowheads="1" noChangeAspect="1"/>
                    </pic:cNvPicPr>
                  </pic:nvPicPr>
                  <pic:blipFill>
                    <a:blip r:embed="rId1181"/>
                    <a:stretch>
                      <a:fillRect/>
                    </a:stretch>
                  </pic:blipFill>
                  <pic:spPr bwMode="auto">
                    <a:xfrm>
                      <a:off x="0" y="0"/>
                      <a:ext cx="5334000" cy="3144024"/>
                    </a:xfrm>
                    <a:prstGeom prst="rect">
                      <a:avLst/>
                    </a:prstGeom>
                    <a:noFill/>
                    <a:ln w="9525">
                      <a:noFill/>
                      <a:headEnd/>
                      <a:tailEnd/>
                    </a:ln>
                  </pic:spPr>
                </pic:pic>
              </a:graphicData>
            </a:graphic>
          </wp:inline>
        </w:drawing>
      </w:r>
    </w:p>
    <w:p>
      <w:pPr>
        <w:pStyle w:val="ImageCaption"/>
      </w:pPr>
      <w:r>
        <w:t xml:space="preserve">The evidence bundle assembles identity, drift and data-platform artifacts into one package the authorizing official and the assessor consume.</w:t>
      </w:r>
    </w:p>
    <w:bookmarkEnd w:id="1184"/>
    <w:p>
      <w:pPr>
        <w:pStyle w:val="BodyText"/>
      </w:pPr>
      <w:r>
        <w:t xml:space="preserve">The source page said a FedRAMP 3PAO would consume this bundle in the agency’s next FedRAMP cycle. That needs correcting. FedRAMP authorizes cloud service offerings, and 3PAOs assess cloud service providers. FedRAMP 20x is likewise aimed mainly at providers, with agencies as consumers of what it produces.</w:t>
      </w:r>
      <w:r>
        <w:rPr>
          <w:rStyle w:val="FootnoteReference"/>
        </w:rPr>
        <w:footnoteReference w:id="1185"/>
      </w:r>
      <w:r>
        <w:t xml:space="preserve"> </w:t>
      </w:r>
      <w:r>
        <w:t xml:space="preserve">The agency’s own systems are authorized by the agency’s authorizing official under the NIST Risk Management Framework (SP 800-37 Rev. 2), which supports ongoing authorization driven by continuous monitoring.</w:t>
      </w:r>
      <w:r>
        <w:rPr>
          <w:rStyle w:val="FootnoteReference"/>
        </w:rPr>
        <w:footnoteReference w:id="1186"/>
      </w:r>
      <w:r>
        <w:t xml:space="preserve"> </w:t>
      </w:r>
      <w:r>
        <w:t xml:space="preserve">So the bundle goes to the agency’s security control assessor and authorizing official. It also shows how the agency’s side of the shared-responsibility model holds up on top of its providers’ FedRAMP packages.</w:t>
      </w:r>
    </w:p>
    <w:p>
      <w:pPr>
        <w:pStyle w:val="BodyText"/>
      </w:pPr>
      <w:r>
        <w:t xml:space="preserve">The difference from the archetype’s last authorization is timing. The bundle comes out of operations as they happen; nobody assembles it over most of a year afterward. The authorizing official sees current state, not a snapshot that’s out of date by the time it’s signed.</w:t>
      </w:r>
    </w:p>
    <w:bookmarkEnd w:id="1188"/>
    <w:bookmarkStart w:id="1189" w:name="what-survives-the-engagement"/>
    <w:p>
      <w:pPr>
        <w:pStyle w:val="Heading2"/>
      </w:pPr>
      <w:bookmarkStart w:id="1500" w:name="_Toc00001500"/>
      <w:r>
        <w:t xml:space="preserve">What survives the engagement</w:t>
      </w:r>
      <w:bookmarkEnd w:id="1500"/>
    </w:p>
    <w:p>
      <w:pPr>
        <w:pStyle w:val="FirstParagraph"/>
      </w:pPr>
      <w:r>
        <w:t xml:space="preserve">The registry, the schemas, the drift findings and the evidence bundle don’t belong to the systems integrator who delivered the migration. They belong to the agency. The next authorization cycle uses the existing record instead of rebuilding it. The next engagement, whether another consolidation, a data-governance expansion or the HR-driven identity work, starts from the current state, not from zero. That’s the cost shift the Federal SSOT Alignment whitepaper argues for: later engagements consume the record instead of rediscovering it.</w:t>
      </w:r>
    </w:p>
    <w:p>
      <w:pPr>
        <w:pStyle w:val="BodyText"/>
      </w:pPr>
      <w:r>
        <w:t xml:space="preserve">A real engagement would measure the things this pattern is built to report:</w:t>
      </w:r>
    </w:p>
    <w:p>
      <w:pPr>
        <w:pStyle w:val="Compact"/>
        <w:numPr>
          <w:ilvl w:val="0"/>
          <w:numId w:val="1095"/>
        </w:numPr>
      </w:pPr>
      <w:r>
        <w:t xml:space="preserve">time to produce evidence, compared with the prior baseline of most of a year</w:t>
      </w:r>
    </w:p>
    <w:p>
      <w:pPr>
        <w:pStyle w:val="Compact"/>
        <w:numPr>
          <w:ilvl w:val="0"/>
          <w:numId w:val="1095"/>
        </w:numPr>
      </w:pPr>
      <w:r>
        <w:t xml:space="preserve">drift-finding rate over the migration window, by class and severity</w:t>
      </w:r>
    </w:p>
    <w:p>
      <w:pPr>
        <w:pStyle w:val="Compact"/>
        <w:numPr>
          <w:ilvl w:val="0"/>
          <w:numId w:val="1095"/>
        </w:numPr>
      </w:pPr>
      <w:r>
        <w:t xml:space="preserve">SPN drift per ten SQL Server instances migrated</w:t>
      </w:r>
    </w:p>
    <w:p>
      <w:pPr>
        <w:pStyle w:val="Compact"/>
        <w:numPr>
          <w:ilvl w:val="0"/>
          <w:numId w:val="1095"/>
        </w:numPr>
      </w:pPr>
      <w:r>
        <w:t xml:space="preserve">how often the GCC compensating controls are verified, and their false-positive rate</w:t>
      </w:r>
    </w:p>
    <w:p>
      <w:pPr>
        <w:pStyle w:val="Compact"/>
        <w:numPr>
          <w:ilvl w:val="0"/>
          <w:numId w:val="1095"/>
        </w:numPr>
      </w:pPr>
      <w:r>
        <w:t xml:space="preserve">the number of Purview policy decisions whose scope rests on continuously verified identity state</w:t>
      </w:r>
    </w:p>
    <w:p>
      <w:pPr>
        <w:pStyle w:val="FirstParagraph"/>
      </w:pPr>
      <w:r>
        <w:t xml:space="preserve">When engagement data can be released, those measurements replace the illustrative figures in this chapter.</w:t>
      </w:r>
    </w:p>
    <w:bookmarkEnd w:id="1189"/>
    <w:bookmarkStart w:id="1190" w:name="where-to-go-next"/>
    <w:p>
      <w:pPr>
        <w:pStyle w:val="Heading2"/>
      </w:pPr>
      <w:bookmarkStart w:id="1501" w:name="_Toc00001501"/>
      <w:r>
        <w:t xml:space="preserve">Where to go next</w:t>
      </w:r>
      <w:bookmarkEnd w:id="1501"/>
    </w:p>
    <w:p>
      <w:pPr>
        <w:pStyle w:val="FirstParagraph"/>
      </w:pPr>
      <w:r>
        <w:t xml:space="preserve">This book ends with identity moved and governed. It doesn’t answer where attribution should come from in the first place. In this chapter, Phase 2 resolved two thousand unattributed users by hand, because the HR system of record wasn’t connected to identity. The HR-driven identity series picks up at that point. It covers making the HR system the source of authority for workforce attributes, joiner-mover-leaver automation with Lifecycle Workflows, and an illustrative reference deployment of its own. For the SQL Server estate, continue with the narrative series and its Implementation Companion.</w:t>
      </w:r>
    </w:p>
    <w:bookmarkEnd w:id="1190"/>
    <w:bookmarkStart w:id="1191" w:name="continue-the-book-10"/>
    <w:p>
      <w:pPr>
        <w:pStyle w:val="Heading2"/>
      </w:pPr>
      <w:bookmarkStart w:id="1502" w:name="_Toc00001502"/>
      <w:r>
        <w:t xml:space="preserve">Continue the book</w:t>
      </w:r>
      <w:bookmarkEnd w:id="1502"/>
    </w:p>
    <w:p>
      <w:pPr>
        <w:pStyle w:val="FirstParagraph"/>
      </w:pPr>
      <w:r>
        <w:t xml:space="preserve">← Previous: Chapter 10 — Migrating and Governing · Book index · Next: Appendix A — Federal Requirements Crosswalk →</w:t>
      </w:r>
    </w:p>
    <w:bookmarkEnd w:id="1191"/>
    <w:bookmarkEnd w:id="1192"/>
    <w:bookmarkStart w:id="1240" w:name="X63e5261b9b8f7a8bdc6c518b116f1ecdca196c8"/>
    <w:p>
      <w:pPr>
        <w:pStyle w:val="Heading1"/>
      </w:pPr>
      <w:bookmarkStart w:id="1503" w:name="_Toc00001503"/>
      <w:r>
        <w:t xml:space="preserve">Appendix A — Federal Requirements Crosswalk</w:t>
      </w:r>
      <w:bookmarkEnd w:id="1503"/>
    </w:p>
    <w:p>
      <w:pPr>
        <w:pStyle w:val="FirstParagraph"/>
      </w:pPr>
      <w:r>
        <w:rPr>
          <w:i/>
          <w:iCs/>
        </w:rPr>
        <w:t xml:space="preserve">A baseline check is a ten-minute toggle in one tenant and a nine-month program in another; the difference is the Active Directory estate behind it.</w:t>
      </w:r>
    </w:p>
    <w:bookmarkStart w:id="1193" w:name="in-this-appendix"/>
    <w:p>
      <w:pPr>
        <w:pStyle w:val="Heading2"/>
      </w:pPr>
      <w:bookmarkStart w:id="1504" w:name="_Toc00001504"/>
      <w:r>
        <w:t xml:space="preserve">In this appendix</w:t>
      </w:r>
      <w:bookmarkEnd w:id="1504"/>
    </w:p>
    <w:p>
      <w:pPr>
        <w:pStyle w:val="FirstParagraph"/>
      </w:pPr>
      <w:r>
        <w:t xml:space="preserve">Microsoft’s Entra security checklist and the three filters that decide what a federal agency can do with it. How to read the crosswalk, and a scored set of identity controls tied to the CISA BOD 25-01 required configurations. The contract requirements of the program’s identity modernization specification, and the NIST SP 800-53 Rev. 5 controls the identity work supports.</w:t>
      </w:r>
    </w:p>
    <w:bookmarkEnd w:id="1193"/>
    <w:bookmarkStart w:id="1195" w:name="the-assessment-in-one-paragraph"/>
    <w:p>
      <w:pPr>
        <w:pStyle w:val="Heading2"/>
      </w:pPr>
      <w:bookmarkStart w:id="1505" w:name="_Toc00001505"/>
      <w:r>
        <w:t xml:space="preserve">The assessment in one paragraph</w:t>
      </w:r>
      <w:bookmarkEnd w:id="1505"/>
    </w:p>
    <w:p>
      <w:pPr>
        <w:pStyle w:val="FirstParagraph"/>
      </w:pPr>
      <w:r>
        <w:t xml:space="preserve">An agency with twenty years of Active Directory behind its Entra ID tenant can put a meaningful part of Microsoft’s baseline in place quickly. The consent, guest, logging, emergency-access, legacy-authentication, and privileged-identity checks are mostly covered by licenses the agency already holds, and most are configuration only. Three filters then remove or defer a large share of the checklist before any work starts. Much of the</w:t>
      </w:r>
      <w:r>
        <w:t xml:space="preserve"> </w:t>
      </w:r>
      <w:r>
        <w:t xml:space="preserve">“Protect networks”</w:t>
      </w:r>
      <w:r>
        <w:t xml:space="preserve"> </w:t>
      </w:r>
      <w:r>
        <w:t xml:space="preserve">theme depends on Global Secure Access, which isn’t yet available in every government cloud. The AI theme is new, and its availability has to be confirmed cloud by cloud. And the heaviest identity checks (sign-in only from managed devices, token protection, phishing-resistant authentication for everyone, cloud authentication) are gated on device, device-management, and federation modernization that two decades of Active Directory turn into multi-quarter work. The agency’s structural advantage is the PIV/CAC card it already issues: Entra certificate-based authentication turns that card into a phishing-resistant credential without a federation server, which speeds up several of the hardest checks.</w:t>
      </w:r>
      <w:r>
        <w:rPr>
          <w:rStyle w:val="FootnoteReference"/>
        </w:rPr>
        <w:footnoteReference w:id="1194"/>
      </w:r>
    </w:p>
    <w:bookmarkEnd w:id="1195"/>
    <w:bookmarkStart w:id="1198" w:name="the-baseline"/>
    <w:p>
      <w:pPr>
        <w:pStyle w:val="Heading2"/>
      </w:pPr>
      <w:bookmarkStart w:id="1506" w:name="_Toc00001506"/>
      <w:r>
        <w:t xml:space="preserve">The baseline</w:t>
      </w:r>
      <w:bookmarkEnd w:id="1506"/>
    </w:p>
    <w:p>
      <w:pPr>
        <w:pStyle w:val="FirstParagraph"/>
      </w:pPr>
      <w:r>
        <w:t xml:space="preserve">Microsoft publishes a checklist,</w:t>
      </w:r>
      <w:r>
        <w:t xml:space="preserve"> </w:t>
      </w:r>
      <w:r>
        <w:t xml:space="preserve">“Configure Microsoft Entra for increased security,”</w:t>
      </w:r>
      <w:r>
        <w:t xml:space="preserve"> </w:t>
      </w:r>
      <w:r>
        <w:t xml:space="preserve">that groups its Entra security recommendations into themes based on the Secure Future Initiative and lists a minimum license for each check. The page is labeled preview, covers workforce tenants, and says Microsoft will add controls over time.</w:t>
      </w:r>
      <w:r>
        <w:rPr>
          <w:rStyle w:val="FootnoteReference"/>
        </w:rPr>
        <w:footnoteReference w:id="1196"/>
      </w:r>
      <w:r>
        <w:t xml:space="preserve"> </w:t>
      </w:r>
      <w:r>
        <w:t xml:space="preserve">Its seven themes are:</w:t>
      </w:r>
    </w:p>
    <w:p>
      <w:pPr>
        <w:pStyle w:val="Compact"/>
        <w:numPr>
          <w:ilvl w:val="0"/>
          <w:numId w:val="1096"/>
        </w:numPr>
      </w:pPr>
      <w:r>
        <w:t xml:space="preserve">Protect identities and secrets</w:t>
      </w:r>
    </w:p>
    <w:p>
      <w:pPr>
        <w:pStyle w:val="Compact"/>
        <w:numPr>
          <w:ilvl w:val="0"/>
          <w:numId w:val="1096"/>
        </w:numPr>
      </w:pPr>
      <w:r>
        <w:t xml:space="preserve">Protect tenants and isolate production systems</w:t>
      </w:r>
    </w:p>
    <w:p>
      <w:pPr>
        <w:pStyle w:val="Compact"/>
        <w:numPr>
          <w:ilvl w:val="0"/>
          <w:numId w:val="1096"/>
        </w:numPr>
      </w:pPr>
      <w:r>
        <w:t xml:space="preserve">Protect networks</w:t>
      </w:r>
    </w:p>
    <w:p>
      <w:pPr>
        <w:pStyle w:val="Compact"/>
        <w:numPr>
          <w:ilvl w:val="0"/>
          <w:numId w:val="1096"/>
        </w:numPr>
      </w:pPr>
      <w:r>
        <w:t xml:space="preserve">Protect engineering systems</w:t>
      </w:r>
    </w:p>
    <w:p>
      <w:pPr>
        <w:pStyle w:val="Compact"/>
        <w:numPr>
          <w:ilvl w:val="0"/>
          <w:numId w:val="1096"/>
        </w:numPr>
      </w:pPr>
      <w:r>
        <w:t xml:space="preserve">Monitor and detect cyberthreats</w:t>
      </w:r>
    </w:p>
    <w:p>
      <w:pPr>
        <w:pStyle w:val="Compact"/>
        <w:numPr>
          <w:ilvl w:val="0"/>
          <w:numId w:val="1096"/>
        </w:numPr>
      </w:pPr>
      <w:r>
        <w:t xml:space="preserve">Accelerate response and remediation</w:t>
      </w:r>
    </w:p>
    <w:p>
      <w:pPr>
        <w:pStyle w:val="Compact"/>
        <w:numPr>
          <w:ilvl w:val="0"/>
          <w:numId w:val="1096"/>
        </w:numPr>
      </w:pPr>
      <w:r>
        <w:t xml:space="preserve">AI</w:t>
      </w:r>
    </w:p>
    <w:p>
      <w:pPr>
        <w:pStyle w:val="FirstParagraph"/>
      </w:pPr>
      <w:r>
        <w:t xml:space="preserve">Microsoft’s Zero Trust Assessment tool tests a tenant against these checks automatically, which is faster and less error-prone than checking by hand.</w:t>
      </w:r>
      <w:r>
        <w:rPr>
          <w:rStyle w:val="FootnoteReference"/>
        </w:rPr>
        <w:footnoteReference w:id="1197"/>
      </w:r>
      <w:r>
        <w:t xml:space="preserve"> </w:t>
      </w:r>
      <w:r>
        <w:t xml:space="preserve">The crosswalk below uses the checklist’s own check names so that results from the assessment tool can be joined to it directly. Because the checklist changes, an agency should re-pull it before each planning cycle rather than treating this appendix as the current list.</w:t>
      </w:r>
    </w:p>
    <w:bookmarkEnd w:id="1198"/>
    <w:bookmarkStart w:id="1209" w:name="the-three-filters"/>
    <w:p>
      <w:pPr>
        <w:pStyle w:val="Heading2"/>
      </w:pPr>
      <w:bookmarkStart w:id="1507" w:name="_Toc00001507"/>
      <w:r>
        <w:t xml:space="preserve">The three filters</w:t>
      </w:r>
      <w:bookmarkEnd w:id="1507"/>
    </w:p>
    <w:bookmarkStart w:id="1205" w:name="filter-1-government-cloud-availability"/>
    <w:p>
      <w:pPr>
        <w:pStyle w:val="Heading3"/>
      </w:pPr>
      <w:r>
        <w:t xml:space="preserve">Filter 1: government-cloud availability</w:t>
      </w:r>
    </w:p>
    <w:p>
      <w:pPr>
        <w:pStyle w:val="TableCaption"/>
      </w:pPr>
      <w:r>
        <w:t xml:space="preserve">Filter 1 — availability by theme</w:t>
      </w:r>
    </w:p>
    <w:tbl>
      <w:tblPr>
        <w:tblStyle w:val="Table"/>
        <w:tblW w:type="pct" w:w="5000"/>
        <w:tblLayout w:type="fixed"/>
        <w:tblLook w:firstRow="1" w:lastRow="0" w:firstColumn="0" w:lastColumn="0" w:noHBand="0" w:noVBand="0" w:val="0020"/>
        <w:tblCaption w:val="Filter 1 — availability by theme"/>
      </w:tblPr>
      <w:tblGrid>
        <w:gridCol w:w="3960"/>
        <w:gridCol w:w="3960"/>
      </w:tblGrid>
      <w:tr>
        <w:trPr>
          <w:tblHeader w:val="on"/>
        </w:trPr>
        <w:tc>
          <w:tcPr/>
          <w:p>
            <w:pPr>
              <w:pStyle w:val="Compact"/>
            </w:pPr>
            <w:r>
              <w:t xml:space="preserve">Theme</w:t>
            </w:r>
          </w:p>
        </w:tc>
        <w:tc>
          <w:tcPr/>
          <w:p>
            <w:pPr>
              <w:pStyle w:val="Compact"/>
            </w:pPr>
            <w:r>
              <w:t xml:space="preserve">What to expect</w:t>
            </w:r>
          </w:p>
        </w:tc>
      </w:tr>
      <w:tr>
        <w:tc>
          <w:tcPr/>
          <w:p>
            <w:pPr>
              <w:pStyle w:val="Compact"/>
            </w:pPr>
            <w:r>
              <w:t xml:space="preserve">Protect identities and secrets</w:t>
            </w:r>
          </w:p>
        </w:tc>
        <w:tc>
          <w:tcPr/>
          <w:p>
            <w:pPr>
              <w:pStyle w:val="Compact"/>
            </w:pPr>
            <w:r>
              <w:t xml:space="preserve">Available. Two checks for private applications need Entra Internet Access or Private Access licenses, so they follow the network row.</w:t>
            </w:r>
          </w:p>
        </w:tc>
      </w:tr>
      <w:tr>
        <w:tc>
          <w:tcPr/>
          <w:p>
            <w:pPr>
              <w:pStyle w:val="Compact"/>
            </w:pPr>
            <w:r>
              <w:t xml:space="preserve">Protect tenants and isolate production systems</w:t>
            </w:r>
          </w:p>
        </w:tc>
        <w:tc>
          <w:tcPr/>
          <w:p>
            <w:pPr>
              <w:pStyle w:val="Compact"/>
            </w:pPr>
            <w:r>
              <w:t xml:space="preserve">Available.</w:t>
            </w:r>
          </w:p>
        </w:tc>
      </w:tr>
      <w:tr>
        <w:tc>
          <w:tcPr/>
          <w:p>
            <w:pPr>
              <w:pStyle w:val="Compact"/>
            </w:pPr>
            <w:r>
              <w:t xml:space="preserve">Protect networks</w:t>
            </w:r>
          </w:p>
        </w:tc>
        <w:tc>
          <w:tcPr/>
          <w:p>
            <w:pPr>
              <w:pStyle w:val="Compact"/>
            </w:pPr>
            <w:r>
              <w:t xml:space="preserve">Mixed. Named locations and Tenant restrictions v2 need only Entra ID P1. Most of the remaining checks need Microsoft Entra Internet Access or Private Access, part of Global Secure Access, which is available in GCC but not yet in GCC High, the Department of Defense cloud, or other sovereign clouds.</w:t>
            </w:r>
            <w:r>
              <w:rPr>
                <w:rStyle w:val="FootnoteReference"/>
              </w:rPr>
              <w:footnoteReference w:id="1199"/>
            </w:r>
            <w:r>
              <w:t xml:space="preserve"> </w:t>
            </w:r>
            <w:r>
              <w:t xml:space="preserve">Treat these as an evaluation, not a quick win.</w:t>
            </w:r>
          </w:p>
        </w:tc>
      </w:tr>
      <w:tr>
        <w:tc>
          <w:tcPr/>
          <w:p>
            <w:pPr>
              <w:pStyle w:val="Compact"/>
            </w:pPr>
            <w:r>
              <w:t xml:space="preserve">Protect engineering systems</w:t>
            </w:r>
          </w:p>
        </w:tc>
        <w:tc>
          <w:tcPr/>
          <w:p>
            <w:pPr>
              <w:pStyle w:val="Compact"/>
            </w:pPr>
            <w:r>
              <w:t xml:space="preserve">Available.</w:t>
            </w:r>
          </w:p>
        </w:tc>
      </w:tr>
      <w:tr>
        <w:tc>
          <w:tcPr/>
          <w:p>
            <w:pPr>
              <w:pStyle w:val="Compact"/>
            </w:pPr>
            <w:r>
              <w:t xml:space="preserve">Monitor and detect cyberthreats</w:t>
            </w:r>
          </w:p>
        </w:tc>
        <w:tc>
          <w:tcPr/>
          <w:p>
            <w:pPr>
              <w:pStyle w:val="Compact"/>
            </w:pPr>
            <w:r>
              <w:t xml:space="preserve">Available, except the network-access log checks, which follow Global Secure Access availability.</w:t>
            </w:r>
          </w:p>
        </w:tc>
      </w:tr>
      <w:tr>
        <w:tc>
          <w:tcPr/>
          <w:p>
            <w:pPr>
              <w:pStyle w:val="Compact"/>
            </w:pPr>
            <w:r>
              <w:t xml:space="preserve">Accelerate response and remediation</w:t>
            </w:r>
          </w:p>
        </w:tc>
        <w:tc>
          <w:tcPr/>
          <w:p>
            <w:pPr>
              <w:pStyle w:val="Compact"/>
            </w:pPr>
            <w:r>
              <w:t xml:space="preserve">Available; needs Entra ID P2 or Microsoft Entra Workload ID, so confirm entitlement.</w:t>
            </w:r>
            <w:r>
              <w:rPr>
                <w:rStyle w:val="FootnoteReference"/>
              </w:rPr>
              <w:footnoteReference w:id="1201"/>
            </w:r>
          </w:p>
        </w:tc>
      </w:tr>
      <w:tr>
        <w:tc>
          <w:tcPr/>
          <w:p>
            <w:pPr>
              <w:pStyle w:val="Compact"/>
            </w:pPr>
            <w:r>
              <w:t xml:space="preserve">AI</w:t>
            </w:r>
          </w:p>
        </w:tc>
        <w:tc>
          <w:tcPr/>
          <w:p>
            <w:pPr>
              <w:pStyle w:val="Compact"/>
            </w:pPr>
            <w:r>
              <w:t xml:space="preserve">New checks for agent identities. Confirm availability in the agency’s cloud before planning; defer otherwise.</w:t>
            </w:r>
          </w:p>
        </w:tc>
      </w:tr>
    </w:tbl>
    <w:p>
      <w:pPr>
        <w:pStyle w:val="BodyText"/>
      </w:pPr>
      <w:r>
        <w:t xml:space="preserve">The source material said the network theme was</w:t>
      </w:r>
      <w:r>
        <w:t xml:space="preserve"> </w:t>
      </w:r>
      <w:r>
        <w:t xml:space="preserve">“gated or non-FIPS in government clouds.”</w:t>
      </w:r>
      <w:r>
        <w:t xml:space="preserve"> </w:t>
      </w:r>
      <w:r>
        <w:t xml:space="preserve">Microsoft’s current limitation is narrower and more useful for planning: Global Secure Access runs in GCC, whose tenants use the commercial Entra ID service, and isn’t yet supported in GCC High or DoD.</w:t>
      </w:r>
      <w:r>
        <w:rPr>
          <w:rStyle w:val="FootnoteReference"/>
        </w:rPr>
        <w:footnoteReference w:id="1202"/>
      </w:r>
      <w:r>
        <w:rPr>
          <w:rStyle w:val="FootnoteReference"/>
        </w:rPr>
        <w:footnoteReference w:id="1203"/>
      </w:r>
      <w:r>
        <w:t xml:space="preserve"> </w:t>
      </w:r>
      <w:r>
        <w:t xml:space="preserve">The FIPS claim couldn’t be verified and is dropped.</w:t>
      </w:r>
    </w:p>
    <w:bookmarkEnd w:id="1205"/>
    <w:bookmarkStart w:id="1207" w:name="filter-2-licensing"/>
    <w:p>
      <w:pPr>
        <w:pStyle w:val="Heading3"/>
      </w:pPr>
      <w:r>
        <w:t xml:space="preserve">Filter 2: licensing</w:t>
      </w:r>
    </w:p>
    <w:p>
      <w:pPr>
        <w:pStyle w:val="FirstParagraph"/>
      </w:pPr>
      <w:r>
        <w:t xml:space="preserve">Each check in the checklist names a minimum license: none (included with Entra ID), Entra ID P1, Entra ID P2 or Microsoft Entra ID Governance, Entra Internet Access, Entra Private Access, the Microsoft Entra Suite, or Workload ID.</w:t>
      </w:r>
      <w:r>
        <w:rPr>
          <w:rStyle w:val="FootnoteReference"/>
        </w:rPr>
        <w:footnoteReference w:id="1206"/>
      </w:r>
      <w:r>
        <w:t xml:space="preserve"> </w:t>
      </w:r>
      <w:r>
        <w:t xml:space="preserve">Most identity, tenant, and engineering checks need P1 or P2, which many federal enterprise agreements already include. In the program’s experience the constraint for the majority of checks is operational, not entitlement. The exception is the network theme, where the Internet Access and Private Access licenses are separate purchases and run into Filter 1 as well.</w:t>
      </w:r>
    </w:p>
    <w:bookmarkEnd w:id="1207"/>
    <w:bookmarkStart w:id="1208" w:name="filter-3-active-directory-friction"/>
    <w:p>
      <w:pPr>
        <w:pStyle w:val="Heading3"/>
      </w:pPr>
      <w:r>
        <w:t xml:space="preserve">Filter 3: Active Directory friction</w:t>
      </w:r>
    </w:p>
    <w:p>
      <w:pPr>
        <w:pStyle w:val="FirstParagraph"/>
      </w:pPr>
      <w:r>
        <w:t xml:space="preserve">The same check can be a ten-minute toggle or a nine-month program depending on the hybrid estate behind it: directory synchronization, federation through AD FS, applications that still use basic authentication, decades of service accounts, domain-joined devices, and password policy set by on-premises Group Policy. The friction column in the crosswalk names that entanglement and the effort tier prices it. Both are the program’s assessment, not Microsoft’s.</w:t>
      </w:r>
    </w:p>
    <w:bookmarkEnd w:id="1208"/>
    <w:bookmarkEnd w:id="1209"/>
    <w:bookmarkStart w:id="1210" w:name="how-to-read-the-crosswalk"/>
    <w:p>
      <w:pPr>
        <w:pStyle w:val="Heading2"/>
      </w:pPr>
      <w:bookmarkStart w:id="1508" w:name="_Toc00001508"/>
      <w:r>
        <w:t xml:space="preserve">How to read the crosswalk</w:t>
      </w:r>
      <w:bookmarkEnd w:id="1508"/>
    </w:p>
    <w:p>
      <w:pPr>
        <w:pStyle w:val="FirstParagraph"/>
      </w:pPr>
      <w:r>
        <w:t xml:space="preserve">Government-cloud availability:</w:t>
      </w:r>
    </w:p>
    <w:p>
      <w:pPr>
        <w:pStyle w:val="Compact"/>
        <w:numPr>
          <w:ilvl w:val="0"/>
          <w:numId w:val="1097"/>
        </w:numPr>
      </w:pPr>
      <w:r>
        <w:rPr>
          <w:b/>
          <w:bCs/>
        </w:rPr>
        <w:t xml:space="preserve">Available</w:t>
      </w:r>
      <w:r>
        <w:t xml:space="preserve">: works in the agency’s cloud today.</w:t>
      </w:r>
    </w:p>
    <w:p>
      <w:pPr>
        <w:pStyle w:val="Compact"/>
        <w:numPr>
          <w:ilvl w:val="0"/>
          <w:numId w:val="1097"/>
        </w:numPr>
      </w:pPr>
      <w:r>
        <w:rPr>
          <w:b/>
          <w:bCs/>
        </w:rPr>
        <w:t xml:space="preserve">Caveated</w:t>
      </w:r>
      <w:r>
        <w:t xml:space="preserve">: works, with a license, preview, or feature limit noted.</w:t>
      </w:r>
    </w:p>
    <w:p>
      <w:pPr>
        <w:pStyle w:val="Compact"/>
        <w:numPr>
          <w:ilvl w:val="0"/>
          <w:numId w:val="1097"/>
        </w:numPr>
      </w:pPr>
      <w:r>
        <w:rPr>
          <w:b/>
          <w:bCs/>
        </w:rPr>
        <w:t xml:space="preserve">Not available</w:t>
      </w:r>
      <w:r>
        <w:t xml:space="preserve">: not supported in the agency’s cloud yet.</w:t>
      </w:r>
    </w:p>
    <w:p>
      <w:pPr>
        <w:pStyle w:val="FirstParagraph"/>
      </w:pPr>
      <w:r>
        <w:t xml:space="preserve">Active Directory friction:</w:t>
      </w:r>
    </w:p>
    <w:p>
      <w:pPr>
        <w:pStyle w:val="Compact"/>
        <w:numPr>
          <w:ilvl w:val="0"/>
          <w:numId w:val="1098"/>
        </w:numPr>
      </w:pPr>
      <w:r>
        <w:rPr>
          <w:b/>
          <w:bCs/>
        </w:rPr>
        <w:t xml:space="preserve">Cloud-only</w:t>
      </w:r>
      <w:r>
        <w:t xml:space="preserve">: no on-premises entanglement.</w:t>
      </w:r>
    </w:p>
    <w:p>
      <w:pPr>
        <w:pStyle w:val="Compact"/>
        <w:numPr>
          <w:ilvl w:val="0"/>
          <w:numId w:val="1098"/>
        </w:numPr>
      </w:pPr>
      <w:r>
        <w:rPr>
          <w:b/>
          <w:bCs/>
        </w:rPr>
        <w:t xml:space="preserve">Hybrid-touching</w:t>
      </w:r>
      <w:r>
        <w:t xml:space="preserve">: needs coordination with sync, devices, or users.</w:t>
      </w:r>
    </w:p>
    <w:p>
      <w:pPr>
        <w:pStyle w:val="Compact"/>
        <w:numPr>
          <w:ilvl w:val="0"/>
          <w:numId w:val="1098"/>
        </w:numPr>
      </w:pPr>
      <w:r>
        <w:rPr>
          <w:b/>
          <w:bCs/>
        </w:rPr>
        <w:t xml:space="preserve">Legacy-blocking</w:t>
      </w:r>
      <w:r>
        <w:t xml:space="preserve">: gated on retiring or modernizing a long-standing Active Directory dependency.</w:t>
      </w:r>
    </w:p>
    <w:p>
      <w:pPr>
        <w:pStyle w:val="FirstParagraph"/>
      </w:pPr>
      <w:r>
        <w:t xml:space="preserve">Effort tier:</w:t>
      </w:r>
    </w:p>
    <w:p>
      <w:pPr>
        <w:pStyle w:val="Compact"/>
        <w:numPr>
          <w:ilvl w:val="0"/>
          <w:numId w:val="1099"/>
        </w:numPr>
      </w:pPr>
      <w:r>
        <w:rPr>
          <w:b/>
          <w:bCs/>
        </w:rPr>
        <w:t xml:space="preserve">T0, this week</w:t>
      </w:r>
      <w:r>
        <w:t xml:space="preserve">: a tenant setting with no legacy dependency.</w:t>
      </w:r>
    </w:p>
    <w:p>
      <w:pPr>
        <w:pStyle w:val="Compact"/>
        <w:numPr>
          <w:ilvl w:val="0"/>
          <w:numId w:val="1099"/>
        </w:numPr>
      </w:pPr>
      <w:r>
        <w:rPr>
          <w:b/>
          <w:bCs/>
        </w:rPr>
        <w:t xml:space="preserve">T1, days</w:t>
      </w:r>
      <w:r>
        <w:t xml:space="preserve">: the setting is fast; discovery, coordination, and rollout are the work.</w:t>
      </w:r>
    </w:p>
    <w:p>
      <w:pPr>
        <w:pStyle w:val="Compact"/>
        <w:numPr>
          <w:ilvl w:val="0"/>
          <w:numId w:val="1099"/>
        </w:numPr>
      </w:pPr>
      <w:r>
        <w:rPr>
          <w:b/>
          <w:bCs/>
        </w:rPr>
        <w:t xml:space="preserve">T2, weeks</w:t>
      </w:r>
      <w:r>
        <w:t xml:space="preserve">: inventory and remediation, or a staged rollout.</w:t>
      </w:r>
    </w:p>
    <w:p>
      <w:pPr>
        <w:pStyle w:val="Compact"/>
        <w:numPr>
          <w:ilvl w:val="0"/>
          <w:numId w:val="1099"/>
        </w:numPr>
      </w:pPr>
      <w:r>
        <w:rPr>
          <w:b/>
          <w:bCs/>
        </w:rPr>
        <w:t xml:space="preserve">T3, multi-quarter</w:t>
      </w:r>
      <w:r>
        <w:t xml:space="preserve">: gated on device, identity, or federation modernization.</w:t>
      </w:r>
    </w:p>
    <w:bookmarkEnd w:id="1210"/>
    <w:bookmarkStart w:id="1220" w:name="the-crosswalk-identity-controls"/>
    <w:p>
      <w:pPr>
        <w:pStyle w:val="Heading2"/>
      </w:pPr>
      <w:bookmarkStart w:id="1509" w:name="_Toc00001509"/>
      <w:r>
        <w:t xml:space="preserve">The crosswalk: identity controls</w:t>
      </w:r>
      <w:bookmarkEnd w:id="1509"/>
    </w:p>
    <w:p>
      <w:pPr>
        <w:pStyle w:val="FirstParagraph"/>
      </w:pPr>
      <w:r>
        <w:t xml:space="preserve">The first three columns come from Microsoft’s checklist.</w:t>
      </w:r>
      <w:r>
        <w:rPr>
          <w:rStyle w:val="FootnoteReference"/>
        </w:rPr>
        <w:footnoteReference w:id="1211"/>
      </w:r>
      <w:r>
        <w:t xml:space="preserve"> </w:t>
      </w:r>
      <w:r>
        <w:t xml:space="preserve">The SCuBA column gives the matching mandatory policy from the CISA BOD 25-01 required configurations, where one exists.</w:t>
      </w:r>
      <w:r>
        <w:rPr>
          <w:rStyle w:val="FootnoteReference"/>
        </w:rPr>
        <w:footnoteReference w:id="1212"/>
      </w:r>
      <w:r>
        <w:t xml:space="preserve"> </w:t>
      </w:r>
      <w:r>
        <w:t xml:space="preserve">The NIST column is the program’s mapping to SP 800-53 Rev. 5 controls; the control titles are in the last section. Friction and tier are the program’s assessment.</w:t>
      </w:r>
    </w:p>
    <w:p>
      <w:pPr>
        <w:pStyle w:val="TableCaption"/>
      </w:pPr>
      <w:r>
        <w:t xml:space="preserve">Identity controls scored for a long-standing Active Directory estate</w:t>
      </w:r>
    </w:p>
    <w:tbl>
      <w:tblPr>
        <w:tblStyle w:val="Table"/>
        <w:tblW w:type="pct" w:w="5000"/>
        <w:tblLayout w:type="fixed"/>
        <w:tblLook w:firstRow="1" w:lastRow="0" w:firstColumn="0" w:lastColumn="0" w:noHBand="0" w:noVBand="0" w:val="0020"/>
        <w:tblCaption w:val="Identity controls scored for a long-standing Active Directory estate"/>
      </w:tblPr>
      <w:tblGrid>
        <w:gridCol w:w="1131"/>
        <w:gridCol w:w="1131"/>
        <w:gridCol w:w="1131"/>
        <w:gridCol w:w="1131"/>
        <w:gridCol w:w="1131"/>
        <w:gridCol w:w="1131"/>
        <w:gridCol w:w="1131"/>
      </w:tblGrid>
      <w:tr>
        <w:trPr>
          <w:tblHeader w:val="on"/>
        </w:trPr>
        <w:tc>
          <w:tcPr/>
          <w:p>
            <w:pPr>
              <w:pStyle w:val="Compact"/>
            </w:pPr>
            <w:r>
              <w:t xml:space="preserve">Check (Microsoft name)</w:t>
            </w:r>
          </w:p>
        </w:tc>
        <w:tc>
          <w:tcPr/>
          <w:p>
            <w:pPr>
              <w:pStyle w:val="Compact"/>
            </w:pPr>
            <w:r>
              <w:t xml:space="preserve">Theme</w:t>
            </w:r>
          </w:p>
        </w:tc>
        <w:tc>
          <w:tcPr/>
          <w:p>
            <w:pPr>
              <w:pStyle w:val="Compact"/>
            </w:pPr>
            <w:r>
              <w:t xml:space="preserve">Minimum license</w:t>
            </w:r>
          </w:p>
        </w:tc>
        <w:tc>
          <w:tcPr/>
          <w:p>
            <w:pPr>
              <w:pStyle w:val="Compact"/>
            </w:pPr>
            <w:r>
              <w:t xml:space="preserve">Friction</w:t>
            </w:r>
          </w:p>
        </w:tc>
        <w:tc>
          <w:tcPr/>
          <w:p>
            <w:pPr>
              <w:pStyle w:val="Compact"/>
            </w:pPr>
            <w:r>
              <w:t xml:space="preserve">Tier</w:t>
            </w:r>
          </w:p>
        </w:tc>
        <w:tc>
          <w:tcPr/>
          <w:p>
            <w:pPr>
              <w:pStyle w:val="Compact"/>
            </w:pPr>
            <w:r>
              <w:t xml:space="preserve">SCuBA mandatory policy</w:t>
            </w:r>
          </w:p>
        </w:tc>
        <w:tc>
          <w:tcPr/>
          <w:p>
            <w:pPr>
              <w:pStyle w:val="Compact"/>
            </w:pPr>
            <w:r>
              <w:t xml:space="preserve">NIST SP 800-53 Rev. 5</w:t>
            </w:r>
          </w:p>
        </w:tc>
      </w:tr>
      <w:tr>
        <w:tc>
          <w:tcPr/>
          <w:p>
            <w:pPr>
              <w:pStyle w:val="Compact"/>
            </w:pPr>
            <w:r>
              <w:t xml:space="preserve">User consent settings are restricted</w:t>
            </w:r>
          </w:p>
        </w:tc>
        <w:tc>
          <w:tcPr/>
          <w:p>
            <w:pPr>
              <w:pStyle w:val="Compact"/>
            </w:pPr>
            <w:r>
              <w:t xml:space="preserve">Identities</w:t>
            </w:r>
          </w:p>
        </w:tc>
        <w:tc>
          <w:tcPr/>
          <w:p>
            <w:pPr>
              <w:pStyle w:val="Compact"/>
            </w:pPr>
            <w:r>
              <w:t xml:space="preserve">None</w:t>
            </w:r>
          </w:p>
        </w:tc>
        <w:tc>
          <w:tcPr/>
          <w:p>
            <w:pPr>
              <w:pStyle w:val="Compact"/>
            </w:pPr>
            <w:r>
              <w:t xml:space="preserve">Cloud-only</w:t>
            </w:r>
          </w:p>
        </w:tc>
        <w:tc>
          <w:tcPr/>
          <w:p>
            <w:pPr>
              <w:pStyle w:val="Compact"/>
            </w:pPr>
            <w:r>
              <w:t xml:space="preserve">T0</w:t>
            </w:r>
          </w:p>
        </w:tc>
        <w:tc>
          <w:tcPr/>
          <w:p>
            <w:pPr>
              <w:pStyle w:val="Compact"/>
            </w:pPr>
            <w:r>
              <w:t xml:space="preserve">MS.AAD.5.2v1</w:t>
            </w:r>
          </w:p>
        </w:tc>
        <w:tc>
          <w:tcPr/>
          <w:p>
            <w:pPr>
              <w:pStyle w:val="Compact"/>
            </w:pPr>
            <w:r>
              <w:t xml:space="preserve">AC-6, CM-6</w:t>
            </w:r>
          </w:p>
        </w:tc>
      </w:tr>
      <w:tr>
        <w:tc>
          <w:tcPr/>
          <w:p>
            <w:pPr>
              <w:pStyle w:val="Compact"/>
            </w:pPr>
            <w:r>
              <w:t xml:space="preserve">Admin consent workflow is enabled</w:t>
            </w:r>
          </w:p>
        </w:tc>
        <w:tc>
          <w:tcPr/>
          <w:p>
            <w:pPr>
              <w:pStyle w:val="Compact"/>
            </w:pPr>
            <w:r>
              <w:t xml:space="preserve">Identities</w:t>
            </w:r>
          </w:p>
        </w:tc>
        <w:tc>
          <w:tcPr/>
          <w:p>
            <w:pPr>
              <w:pStyle w:val="Compact"/>
            </w:pPr>
            <w:r>
              <w:t xml:space="preserve">None</w:t>
            </w:r>
          </w:p>
        </w:tc>
        <w:tc>
          <w:tcPr/>
          <w:p>
            <w:pPr>
              <w:pStyle w:val="Compact"/>
            </w:pPr>
            <w:r>
              <w:t xml:space="preserve">Cloud-only</w:t>
            </w:r>
          </w:p>
        </w:tc>
        <w:tc>
          <w:tcPr/>
          <w:p>
            <w:pPr>
              <w:pStyle w:val="Compact"/>
            </w:pPr>
            <w:r>
              <w:t xml:space="preserve">T0</w:t>
            </w:r>
          </w:p>
        </w:tc>
        <w:tc>
          <w:tcPr/>
          <w:p>
            <w:pPr>
              <w:pStyle w:val="Compact"/>
            </w:pPr>
            <w:r>
              <w:t xml:space="preserve">MS.AAD.5.3v1</w:t>
            </w:r>
          </w:p>
        </w:tc>
        <w:tc>
          <w:tcPr/>
          <w:p>
            <w:pPr>
              <w:pStyle w:val="Compact"/>
            </w:pPr>
            <w:r>
              <w:t xml:space="preserve">AC-6</w:t>
            </w:r>
          </w:p>
        </w:tc>
      </w:tr>
      <w:tr>
        <w:tc>
          <w:tcPr/>
          <w:p>
            <w:pPr>
              <w:pStyle w:val="Compact"/>
            </w:pPr>
            <w:r>
              <w:t xml:space="preserve">Creating new applications and service principals is restricted to privileged users</w:t>
            </w:r>
          </w:p>
        </w:tc>
        <w:tc>
          <w:tcPr/>
          <w:p>
            <w:pPr>
              <w:pStyle w:val="Compact"/>
            </w:pPr>
            <w:r>
              <w:t xml:space="preserve">Engineering</w:t>
            </w:r>
          </w:p>
        </w:tc>
        <w:tc>
          <w:tcPr/>
          <w:p>
            <w:pPr>
              <w:pStyle w:val="Compact"/>
            </w:pPr>
            <w:r>
              <w:t xml:space="preserve">P1</w:t>
            </w:r>
          </w:p>
        </w:tc>
        <w:tc>
          <w:tcPr/>
          <w:p>
            <w:pPr>
              <w:pStyle w:val="Compact"/>
            </w:pPr>
            <w:r>
              <w:t xml:space="preserve">Cloud-only</w:t>
            </w:r>
          </w:p>
        </w:tc>
        <w:tc>
          <w:tcPr/>
          <w:p>
            <w:pPr>
              <w:pStyle w:val="Compact"/>
            </w:pPr>
            <w:r>
              <w:t xml:space="preserve">T0</w:t>
            </w:r>
          </w:p>
        </w:tc>
        <w:tc>
          <w:tcPr/>
          <w:p>
            <w:pPr>
              <w:pStyle w:val="Compact"/>
            </w:pPr>
            <w:r>
              <w:t xml:space="preserve">MS.AAD.5.1v1</w:t>
            </w:r>
          </w:p>
        </w:tc>
        <w:tc>
          <w:tcPr/>
          <w:p>
            <w:pPr>
              <w:pStyle w:val="Compact"/>
            </w:pPr>
            <w:r>
              <w:t xml:space="preserve">AC-6, CM-7</w:t>
            </w:r>
          </w:p>
        </w:tc>
      </w:tr>
      <w:tr>
        <w:tc>
          <w:tcPr/>
          <w:p>
            <w:pPr>
              <w:pStyle w:val="Compact"/>
            </w:pPr>
            <w:r>
              <w:t xml:space="preserve">Emergency access accounts are configured appropriately</w:t>
            </w:r>
          </w:p>
        </w:tc>
        <w:tc>
          <w:tcPr/>
          <w:p>
            <w:pPr>
              <w:pStyle w:val="Compact"/>
            </w:pPr>
            <w:r>
              <w:t xml:space="preserve">Engineering</w:t>
            </w:r>
          </w:p>
        </w:tc>
        <w:tc>
          <w:tcPr/>
          <w:p>
            <w:pPr>
              <w:pStyle w:val="Compact"/>
            </w:pPr>
            <w:r>
              <w:t xml:space="preserve">P1</w:t>
            </w:r>
          </w:p>
        </w:tc>
        <w:tc>
          <w:tcPr/>
          <w:p>
            <w:pPr>
              <w:pStyle w:val="Compact"/>
            </w:pPr>
            <w:r>
              <w:t xml:space="preserve">Cloud-only</w:t>
            </w:r>
          </w:p>
        </w:tc>
        <w:tc>
          <w:tcPr/>
          <w:p>
            <w:pPr>
              <w:pStyle w:val="Compact"/>
            </w:pPr>
            <w:r>
              <w:t xml:space="preserve">T0</w:t>
            </w:r>
          </w:p>
        </w:tc>
        <w:tc>
          <w:tcPr/>
          <w:p>
            <w:pPr>
              <w:pStyle w:val="Compact"/>
            </w:pPr>
            <w:r>
              <w:t xml:space="preserve">—</w:t>
            </w:r>
          </w:p>
        </w:tc>
        <w:tc>
          <w:tcPr/>
          <w:p>
            <w:pPr>
              <w:pStyle w:val="Compact"/>
            </w:pPr>
            <w:r>
              <w:t xml:space="preserve">AC-2</w:t>
            </w:r>
          </w:p>
        </w:tc>
      </w:tr>
      <w:tr>
        <w:tc>
          <w:tcPr/>
          <w:p>
            <w:pPr>
              <w:pStyle w:val="Compact"/>
            </w:pPr>
            <w:r>
              <w:t xml:space="preserve">Diagnostic settings are configured for all Microsoft Entra logs</w:t>
            </w:r>
          </w:p>
        </w:tc>
        <w:tc>
          <w:tcPr/>
          <w:p>
            <w:pPr>
              <w:pStyle w:val="Compact"/>
            </w:pPr>
            <w:r>
              <w:t xml:space="preserve">Monitor</w:t>
            </w:r>
          </w:p>
        </w:tc>
        <w:tc>
          <w:tcPr/>
          <w:p>
            <w:pPr>
              <w:pStyle w:val="Compact"/>
            </w:pPr>
            <w:r>
              <w:t xml:space="preserve">P1</w:t>
            </w:r>
          </w:p>
        </w:tc>
        <w:tc>
          <w:tcPr/>
          <w:p>
            <w:pPr>
              <w:pStyle w:val="Compact"/>
            </w:pPr>
            <w:r>
              <w:t xml:space="preserve">Cloud-only</w:t>
            </w:r>
          </w:p>
        </w:tc>
        <w:tc>
          <w:tcPr/>
          <w:p>
            <w:pPr>
              <w:pStyle w:val="Compact"/>
            </w:pPr>
            <w:r>
              <w:t xml:space="preserve">T0</w:t>
            </w:r>
          </w:p>
        </w:tc>
        <w:tc>
          <w:tcPr/>
          <w:p>
            <w:pPr>
              <w:pStyle w:val="Compact"/>
            </w:pPr>
            <w:r>
              <w:t xml:space="preserve">—</w:t>
            </w:r>
          </w:p>
        </w:tc>
        <w:tc>
          <w:tcPr/>
          <w:p>
            <w:pPr>
              <w:pStyle w:val="Compact"/>
            </w:pPr>
            <w:r>
              <w:t xml:space="preserve">AU-2, AU-12</w:t>
            </w:r>
          </w:p>
        </w:tc>
      </w:tr>
      <w:tr>
        <w:tc>
          <w:tcPr/>
          <w:p>
            <w:pPr>
              <w:pStyle w:val="Compact"/>
            </w:pPr>
            <w:r>
              <w:t xml:space="preserve">Guests can’t invite other guests</w:t>
            </w:r>
          </w:p>
        </w:tc>
        <w:tc>
          <w:tcPr/>
          <w:p>
            <w:pPr>
              <w:pStyle w:val="Compact"/>
            </w:pPr>
            <w:r>
              <w:t xml:space="preserve">Tenants</w:t>
            </w:r>
          </w:p>
        </w:tc>
        <w:tc>
          <w:tcPr/>
          <w:p>
            <w:pPr>
              <w:pStyle w:val="Compact"/>
            </w:pPr>
            <w:r>
              <w:t xml:space="preserve">Free</w:t>
            </w:r>
          </w:p>
        </w:tc>
        <w:tc>
          <w:tcPr/>
          <w:p>
            <w:pPr>
              <w:pStyle w:val="Compact"/>
            </w:pPr>
            <w:r>
              <w:t xml:space="preserve">Cloud-only</w:t>
            </w:r>
          </w:p>
        </w:tc>
        <w:tc>
          <w:tcPr/>
          <w:p>
            <w:pPr>
              <w:pStyle w:val="Compact"/>
            </w:pPr>
            <w:r>
              <w:t xml:space="preserve">T0</w:t>
            </w:r>
          </w:p>
        </w:tc>
        <w:tc>
          <w:tcPr/>
          <w:p>
            <w:pPr>
              <w:pStyle w:val="Compact"/>
            </w:pPr>
            <w:r>
              <w:t xml:space="preserve">—</w:t>
            </w:r>
          </w:p>
        </w:tc>
        <w:tc>
          <w:tcPr/>
          <w:p>
            <w:pPr>
              <w:pStyle w:val="Compact"/>
            </w:pPr>
            <w:r>
              <w:t xml:space="preserve">IA-8, AC-2</w:t>
            </w:r>
          </w:p>
        </w:tc>
      </w:tr>
      <w:tr>
        <w:tc>
          <w:tcPr/>
          <w:p>
            <w:pPr>
              <w:pStyle w:val="Compact"/>
            </w:pPr>
            <w:r>
              <w:t xml:space="preserve">Block legacy authentication policy is configured</w:t>
            </w:r>
          </w:p>
        </w:tc>
        <w:tc>
          <w:tcPr/>
          <w:p>
            <w:pPr>
              <w:pStyle w:val="Compact"/>
            </w:pPr>
            <w:r>
              <w:t xml:space="preserve">Identities</w:t>
            </w:r>
          </w:p>
        </w:tc>
        <w:tc>
          <w:tcPr/>
          <w:p>
            <w:pPr>
              <w:pStyle w:val="Compact"/>
            </w:pPr>
            <w:r>
              <w:t xml:space="preserve">P1</w:t>
            </w:r>
          </w:p>
        </w:tc>
        <w:tc>
          <w:tcPr/>
          <w:p>
            <w:pPr>
              <w:pStyle w:val="Compact"/>
            </w:pPr>
            <w:r>
              <w:t xml:space="preserve">Legacy-blocking</w:t>
            </w:r>
          </w:p>
        </w:tc>
        <w:tc>
          <w:tcPr/>
          <w:p>
            <w:pPr>
              <w:pStyle w:val="Compact"/>
            </w:pPr>
            <w:r>
              <w:t xml:space="preserve">T1, report-only first</w:t>
            </w:r>
          </w:p>
        </w:tc>
        <w:tc>
          <w:tcPr/>
          <w:p>
            <w:pPr>
              <w:pStyle w:val="Compact"/>
            </w:pPr>
            <w:r>
              <w:t xml:space="preserve">MS.AAD.1.1v1</w:t>
            </w:r>
          </w:p>
        </w:tc>
        <w:tc>
          <w:tcPr/>
          <w:p>
            <w:pPr>
              <w:pStyle w:val="Compact"/>
            </w:pPr>
            <w:r>
              <w:t xml:space="preserve">IA-2, AC-3</w:t>
            </w:r>
          </w:p>
        </w:tc>
      </w:tr>
      <w:tr>
        <w:tc>
          <w:tcPr/>
          <w:p>
            <w:pPr>
              <w:pStyle w:val="Compact"/>
            </w:pPr>
            <w:r>
              <w:t xml:space="preserve">Restrict high risk sign-ins</w:t>
            </w:r>
          </w:p>
        </w:tc>
        <w:tc>
          <w:tcPr/>
          <w:p>
            <w:pPr>
              <w:pStyle w:val="Compact"/>
            </w:pPr>
            <w:r>
              <w:t xml:space="preserve">Response</w:t>
            </w:r>
          </w:p>
        </w:tc>
        <w:tc>
          <w:tcPr/>
          <w:p>
            <w:pPr>
              <w:pStyle w:val="Compact"/>
            </w:pPr>
            <w:r>
              <w:t xml:space="preserve">P2</w:t>
            </w:r>
          </w:p>
        </w:tc>
        <w:tc>
          <w:tcPr/>
          <w:p>
            <w:pPr>
              <w:pStyle w:val="Compact"/>
            </w:pPr>
            <w:r>
              <w:t xml:space="preserve">Cloud-only</w:t>
            </w:r>
          </w:p>
        </w:tc>
        <w:tc>
          <w:tcPr/>
          <w:p>
            <w:pPr>
              <w:pStyle w:val="Compact"/>
            </w:pPr>
            <w:r>
              <w:t xml:space="preserve">T1</w:t>
            </w:r>
          </w:p>
        </w:tc>
        <w:tc>
          <w:tcPr/>
          <w:p>
            <w:pPr>
              <w:pStyle w:val="Compact"/>
            </w:pPr>
            <w:r>
              <w:t xml:space="preserve">MS.AAD.2.3v1</w:t>
            </w:r>
          </w:p>
        </w:tc>
        <w:tc>
          <w:tcPr/>
          <w:p>
            <w:pPr>
              <w:pStyle w:val="Compact"/>
            </w:pPr>
            <w:r>
              <w:t xml:space="preserve">SI-4, AC-3</w:t>
            </w:r>
          </w:p>
        </w:tc>
      </w:tr>
      <w:tr>
        <w:tc>
          <w:tcPr/>
          <w:p>
            <w:pPr>
              <w:pStyle w:val="Compact"/>
            </w:pPr>
            <w:r>
              <w:t xml:space="preserve">Restrict access to high risk users</w:t>
            </w:r>
          </w:p>
        </w:tc>
        <w:tc>
          <w:tcPr/>
          <w:p>
            <w:pPr>
              <w:pStyle w:val="Compact"/>
            </w:pPr>
            <w:r>
              <w:t xml:space="preserve">Response</w:t>
            </w:r>
          </w:p>
        </w:tc>
        <w:tc>
          <w:tcPr/>
          <w:p>
            <w:pPr>
              <w:pStyle w:val="Compact"/>
            </w:pPr>
            <w:r>
              <w:t xml:space="preserve">P2</w:t>
            </w:r>
          </w:p>
        </w:tc>
        <w:tc>
          <w:tcPr/>
          <w:p>
            <w:pPr>
              <w:pStyle w:val="Compact"/>
            </w:pPr>
            <w:r>
              <w:t xml:space="preserve">Cloud-only</w:t>
            </w:r>
          </w:p>
        </w:tc>
        <w:tc>
          <w:tcPr/>
          <w:p>
            <w:pPr>
              <w:pStyle w:val="Compact"/>
            </w:pPr>
            <w:r>
              <w:t xml:space="preserve">T1</w:t>
            </w:r>
          </w:p>
        </w:tc>
        <w:tc>
          <w:tcPr/>
          <w:p>
            <w:pPr>
              <w:pStyle w:val="Compact"/>
            </w:pPr>
            <w:r>
              <w:t xml:space="preserve">MS.AAD.2.1v1</w:t>
            </w:r>
          </w:p>
        </w:tc>
        <w:tc>
          <w:tcPr/>
          <w:p>
            <w:pPr>
              <w:pStyle w:val="Compact"/>
            </w:pPr>
            <w:r>
              <w:t xml:space="preserve">SI-4, AC-2</w:t>
            </w:r>
          </w:p>
        </w:tc>
      </w:tr>
      <w:tr>
        <w:tc>
          <w:tcPr/>
          <w:p>
            <w:pPr>
              <w:pStyle w:val="Compact"/>
            </w:pPr>
            <w:r>
              <w:t xml:space="preserve">Password expiration is disabled</w:t>
            </w:r>
          </w:p>
        </w:tc>
        <w:tc>
          <w:tcPr/>
          <w:p>
            <w:pPr>
              <w:pStyle w:val="Compact"/>
            </w:pPr>
            <w:r>
              <w:t xml:space="preserve">Identities</w:t>
            </w:r>
          </w:p>
        </w:tc>
        <w:tc>
          <w:tcPr/>
          <w:p>
            <w:pPr>
              <w:pStyle w:val="Compact"/>
            </w:pPr>
            <w:r>
              <w:t xml:space="preserve">P1</w:t>
            </w:r>
          </w:p>
        </w:tc>
        <w:tc>
          <w:tcPr/>
          <w:p>
            <w:pPr>
              <w:pStyle w:val="Compact"/>
            </w:pPr>
            <w:r>
              <w:t xml:space="preserve">Hybrid-touching</w:t>
            </w:r>
          </w:p>
        </w:tc>
        <w:tc>
          <w:tcPr/>
          <w:p>
            <w:pPr>
              <w:pStyle w:val="Compact"/>
            </w:pPr>
            <w:r>
              <w:t xml:space="preserve">T1</w:t>
            </w:r>
          </w:p>
        </w:tc>
        <w:tc>
          <w:tcPr/>
          <w:p>
            <w:pPr>
              <w:pStyle w:val="Compact"/>
            </w:pPr>
            <w:r>
              <w:t xml:space="preserve">MS.AAD.6.1v1</w:t>
            </w:r>
          </w:p>
        </w:tc>
        <w:tc>
          <w:tcPr/>
          <w:p>
            <w:pPr>
              <w:pStyle w:val="Compact"/>
            </w:pPr>
            <w:r>
              <w:t xml:space="preserve">IA-5(1)</w:t>
            </w:r>
          </w:p>
        </w:tc>
      </w:tr>
      <w:tr>
        <w:tc>
          <w:tcPr/>
          <w:p>
            <w:pPr>
              <w:pStyle w:val="Compact"/>
            </w:pPr>
            <w:r>
              <w:t xml:space="preserve">Global Administrator role activation triggers an approval workflow</w:t>
            </w:r>
          </w:p>
        </w:tc>
        <w:tc>
          <w:tcPr/>
          <w:p>
            <w:pPr>
              <w:pStyle w:val="Compact"/>
            </w:pPr>
            <w:r>
              <w:t xml:space="preserve">Engineering</w:t>
            </w:r>
          </w:p>
        </w:tc>
        <w:tc>
          <w:tcPr/>
          <w:p>
            <w:pPr>
              <w:pStyle w:val="Compact"/>
            </w:pPr>
            <w:r>
              <w:t xml:space="preserve">P2</w:t>
            </w:r>
          </w:p>
        </w:tc>
        <w:tc>
          <w:tcPr/>
          <w:p>
            <w:pPr>
              <w:pStyle w:val="Compact"/>
            </w:pPr>
            <w:r>
              <w:t xml:space="preserve">Cloud-only</w:t>
            </w:r>
          </w:p>
        </w:tc>
        <w:tc>
          <w:tcPr/>
          <w:p>
            <w:pPr>
              <w:pStyle w:val="Compact"/>
            </w:pPr>
            <w:r>
              <w:t xml:space="preserve">T1</w:t>
            </w:r>
          </w:p>
        </w:tc>
        <w:tc>
          <w:tcPr/>
          <w:p>
            <w:pPr>
              <w:pStyle w:val="Compact"/>
            </w:pPr>
            <w:r>
              <w:t xml:space="preserve">MS.AAD.7.6v1</w:t>
            </w:r>
          </w:p>
        </w:tc>
        <w:tc>
          <w:tcPr/>
          <w:p>
            <w:pPr>
              <w:pStyle w:val="Compact"/>
            </w:pPr>
            <w:r>
              <w:t xml:space="preserve">AC-6(5)</w:t>
            </w:r>
          </w:p>
        </w:tc>
      </w:tr>
      <w:tr>
        <w:tc>
          <w:tcPr/>
          <w:p>
            <w:pPr>
              <w:pStyle w:val="Compact"/>
            </w:pPr>
            <w:r>
              <w:t xml:space="preserve">Privileged accounts have phishing-resistant methods registered</w:t>
            </w:r>
          </w:p>
        </w:tc>
        <w:tc>
          <w:tcPr/>
          <w:p>
            <w:pPr>
              <w:pStyle w:val="Compact"/>
            </w:pPr>
            <w:r>
              <w:t xml:space="preserve">Identities</w:t>
            </w:r>
          </w:p>
        </w:tc>
        <w:tc>
          <w:tcPr/>
          <w:p>
            <w:pPr>
              <w:pStyle w:val="Compact"/>
            </w:pPr>
            <w:r>
              <w:t xml:space="preserve">P1</w:t>
            </w:r>
          </w:p>
        </w:tc>
        <w:tc>
          <w:tcPr/>
          <w:p>
            <w:pPr>
              <w:pStyle w:val="Compact"/>
            </w:pPr>
            <w:r>
              <w:t xml:space="preserve">Hybrid-touching; CBA accelerates</w:t>
            </w:r>
          </w:p>
        </w:tc>
        <w:tc>
          <w:tcPr/>
          <w:p>
            <w:pPr>
              <w:pStyle w:val="Compact"/>
            </w:pPr>
            <w:r>
              <w:t xml:space="preserve">T1 to T2</w:t>
            </w:r>
          </w:p>
        </w:tc>
        <w:tc>
          <w:tcPr/>
          <w:p>
            <w:pPr>
              <w:pStyle w:val="Compact"/>
            </w:pPr>
            <w:r>
              <w:t xml:space="preserve">MS.AAD.3.6v1</w:t>
            </w:r>
          </w:p>
        </w:tc>
        <w:tc>
          <w:tcPr/>
          <w:p>
            <w:pPr>
              <w:pStyle w:val="Compact"/>
            </w:pPr>
            <w:r>
              <w:t xml:space="preserve">IA-2(1), IA-2(8), IA-2(12)</w:t>
            </w:r>
          </w:p>
        </w:tc>
      </w:tr>
      <w:tr>
        <w:tc>
          <w:tcPr/>
          <w:p>
            <w:pPr>
              <w:pStyle w:val="Compact"/>
            </w:pPr>
            <w:r>
              <w:t xml:space="preserve">All privileged role assignments are activated just in time and not permanently active</w:t>
            </w:r>
          </w:p>
        </w:tc>
        <w:tc>
          <w:tcPr/>
          <w:p>
            <w:pPr>
              <w:pStyle w:val="Compact"/>
            </w:pPr>
            <w:r>
              <w:t xml:space="preserve">Identities</w:t>
            </w:r>
          </w:p>
        </w:tc>
        <w:tc>
          <w:tcPr/>
          <w:p>
            <w:pPr>
              <w:pStyle w:val="Compact"/>
            </w:pPr>
            <w:r>
              <w:t xml:space="preserve">P2</w:t>
            </w:r>
          </w:p>
        </w:tc>
        <w:tc>
          <w:tcPr/>
          <w:p>
            <w:pPr>
              <w:pStyle w:val="Compact"/>
            </w:pPr>
            <w:r>
              <w:t xml:space="preserve">Hybrid-touching</w:t>
            </w:r>
          </w:p>
        </w:tc>
        <w:tc>
          <w:tcPr/>
          <w:p>
            <w:pPr>
              <w:pStyle w:val="Compact"/>
            </w:pPr>
            <w:r>
              <w:t xml:space="preserve">T2</w:t>
            </w:r>
          </w:p>
        </w:tc>
        <w:tc>
          <w:tcPr/>
          <w:p>
            <w:pPr>
              <w:pStyle w:val="Compact"/>
            </w:pPr>
            <w:r>
              <w:t xml:space="preserve">MS.AAD.7.4v1</w:t>
            </w:r>
          </w:p>
        </w:tc>
        <w:tc>
          <w:tcPr/>
          <w:p>
            <w:pPr>
              <w:pStyle w:val="Compact"/>
            </w:pPr>
            <w:r>
              <w:t xml:space="preserve">AC-2(7), AC-6(5)</w:t>
            </w:r>
          </w:p>
        </w:tc>
      </w:tr>
      <w:tr>
        <w:tc>
          <w:tcPr/>
          <w:p>
            <w:pPr>
              <w:pStyle w:val="Compact"/>
            </w:pPr>
            <w:r>
              <w:t xml:space="preserve">Privileged accounts are cloud native identities</w:t>
            </w:r>
          </w:p>
        </w:tc>
        <w:tc>
          <w:tcPr/>
          <w:p>
            <w:pPr>
              <w:pStyle w:val="Compact"/>
            </w:pPr>
            <w:r>
              <w:t xml:space="preserve">Identities</w:t>
            </w:r>
          </w:p>
        </w:tc>
        <w:tc>
          <w:tcPr/>
          <w:p>
            <w:pPr>
              <w:pStyle w:val="Compact"/>
            </w:pPr>
            <w:r>
              <w:t xml:space="preserve">None</w:t>
            </w:r>
          </w:p>
        </w:tc>
        <w:tc>
          <w:tcPr/>
          <w:p>
            <w:pPr>
              <w:pStyle w:val="Compact"/>
            </w:pPr>
            <w:r>
              <w:t xml:space="preserve">Legacy-blocking</w:t>
            </w:r>
          </w:p>
        </w:tc>
        <w:tc>
          <w:tcPr/>
          <w:p>
            <w:pPr>
              <w:pStyle w:val="Compact"/>
            </w:pPr>
            <w:r>
              <w:t xml:space="preserve">T2 to T3</w:t>
            </w:r>
          </w:p>
        </w:tc>
        <w:tc>
          <w:tcPr/>
          <w:p>
            <w:pPr>
              <w:pStyle w:val="Compact"/>
            </w:pPr>
            <w:r>
              <w:t xml:space="preserve">MS.AAD.7.3v1</w:t>
            </w:r>
          </w:p>
        </w:tc>
        <w:tc>
          <w:tcPr/>
          <w:p>
            <w:pPr>
              <w:pStyle w:val="Compact"/>
            </w:pPr>
            <w:r>
              <w:t xml:space="preserve">AC-2(7), AC-6(5)</w:t>
            </w:r>
          </w:p>
        </w:tc>
      </w:tr>
      <w:tr>
        <w:tc>
          <w:tcPr/>
          <w:p>
            <w:pPr>
              <w:pStyle w:val="Compact"/>
            </w:pPr>
            <w:r>
              <w:t xml:space="preserve">All user sign-in activity uses phishing-resistant authentication methods</w:t>
            </w:r>
          </w:p>
        </w:tc>
        <w:tc>
          <w:tcPr/>
          <w:p>
            <w:pPr>
              <w:pStyle w:val="Compact"/>
            </w:pPr>
            <w:r>
              <w:t xml:space="preserve">Identities</w:t>
            </w:r>
          </w:p>
        </w:tc>
        <w:tc>
          <w:tcPr/>
          <w:p>
            <w:pPr>
              <w:pStyle w:val="Compact"/>
            </w:pPr>
            <w:r>
              <w:t xml:space="preserve">P1</w:t>
            </w:r>
          </w:p>
        </w:tc>
        <w:tc>
          <w:tcPr/>
          <w:p>
            <w:pPr>
              <w:pStyle w:val="Compact"/>
            </w:pPr>
            <w:r>
              <w:t xml:space="preserve">Legacy-blocking; CBA accelerates</w:t>
            </w:r>
          </w:p>
        </w:tc>
        <w:tc>
          <w:tcPr/>
          <w:p>
            <w:pPr>
              <w:pStyle w:val="Compact"/>
            </w:pPr>
            <w:r>
              <w:t xml:space="preserve">T2 to T3</w:t>
            </w:r>
          </w:p>
        </w:tc>
        <w:tc>
          <w:tcPr/>
          <w:p>
            <w:pPr>
              <w:pStyle w:val="Compact"/>
            </w:pPr>
            <w:r>
              <w:t xml:space="preserve">MS.AAD.3.1v1</w:t>
            </w:r>
          </w:p>
        </w:tc>
        <w:tc>
          <w:tcPr/>
          <w:p>
            <w:pPr>
              <w:pStyle w:val="Compact"/>
            </w:pPr>
            <w:r>
              <w:t xml:space="preserve">IA-2(1), IA-2(2), IA-2(8), IA-2(12)</w:t>
            </w:r>
          </w:p>
        </w:tc>
      </w:tr>
      <w:tr>
        <w:tc>
          <w:tcPr/>
          <w:p>
            <w:pPr>
              <w:pStyle w:val="Compact"/>
            </w:pPr>
            <w:r>
              <w:t xml:space="preserve">Use cloud authentication</w:t>
            </w:r>
          </w:p>
        </w:tc>
        <w:tc>
          <w:tcPr/>
          <w:p>
            <w:pPr>
              <w:pStyle w:val="Compact"/>
            </w:pPr>
            <w:r>
              <w:t xml:space="preserve">Identities</w:t>
            </w:r>
          </w:p>
        </w:tc>
        <w:tc>
          <w:tcPr/>
          <w:p>
            <w:pPr>
              <w:pStyle w:val="Compact"/>
            </w:pPr>
            <w:r>
              <w:t xml:space="preserve">P1</w:t>
            </w:r>
          </w:p>
        </w:tc>
        <w:tc>
          <w:tcPr/>
          <w:p>
            <w:pPr>
              <w:pStyle w:val="Compact"/>
            </w:pPr>
            <w:r>
              <w:t xml:space="preserve">Legacy-blocking (federation migration)</w:t>
            </w:r>
          </w:p>
        </w:tc>
        <w:tc>
          <w:tcPr/>
          <w:p>
            <w:pPr>
              <w:pStyle w:val="Compact"/>
            </w:pPr>
            <w:r>
              <w:t xml:space="preserve">T3</w:t>
            </w:r>
          </w:p>
        </w:tc>
        <w:tc>
          <w:tcPr/>
          <w:p>
            <w:pPr>
              <w:pStyle w:val="Compact"/>
            </w:pPr>
            <w:r>
              <w:t xml:space="preserve">—</w:t>
            </w:r>
          </w:p>
        </w:tc>
        <w:tc>
          <w:tcPr/>
          <w:p>
            <w:pPr>
              <w:pStyle w:val="Compact"/>
            </w:pPr>
            <w:r>
              <w:t xml:space="preserve">IA-2, IA-5</w:t>
            </w:r>
          </w:p>
        </w:tc>
      </w:tr>
      <w:tr>
        <w:tc>
          <w:tcPr/>
          <w:p>
            <w:pPr>
              <w:pStyle w:val="Compact"/>
            </w:pPr>
            <w:r>
              <w:t xml:space="preserve">All sign-in activity comes from managed devices</w:t>
            </w:r>
          </w:p>
        </w:tc>
        <w:tc>
          <w:tcPr/>
          <w:p>
            <w:pPr>
              <w:pStyle w:val="Compact"/>
            </w:pPr>
            <w:r>
              <w:t xml:space="preserve">Identities</w:t>
            </w:r>
          </w:p>
        </w:tc>
        <w:tc>
          <w:tcPr/>
          <w:p>
            <w:pPr>
              <w:pStyle w:val="Compact"/>
            </w:pPr>
            <w:r>
              <w:t xml:space="preserve">P1</w:t>
            </w:r>
          </w:p>
        </w:tc>
        <w:tc>
          <w:tcPr/>
          <w:p>
            <w:pPr>
              <w:pStyle w:val="Compact"/>
            </w:pPr>
            <w:r>
              <w:t xml:space="preserve">Legacy-blocking (device-management maturity)</w:t>
            </w:r>
          </w:p>
        </w:tc>
        <w:tc>
          <w:tcPr/>
          <w:p>
            <w:pPr>
              <w:pStyle w:val="Compact"/>
            </w:pPr>
            <w:r>
              <w:t xml:space="preserve">T3</w:t>
            </w:r>
          </w:p>
        </w:tc>
        <w:tc>
          <w:tcPr/>
          <w:p>
            <w:pPr>
              <w:pStyle w:val="Compact"/>
            </w:pPr>
            <w:r>
              <w:t xml:space="preserve">—</w:t>
            </w:r>
          </w:p>
        </w:tc>
        <w:tc>
          <w:tcPr/>
          <w:p>
            <w:pPr>
              <w:pStyle w:val="Compact"/>
            </w:pPr>
            <w:r>
              <w:t xml:space="preserve">AC-3, IA-3</w:t>
            </w:r>
          </w:p>
        </w:tc>
      </w:tr>
      <w:tr>
        <w:tc>
          <w:tcPr/>
          <w:p>
            <w:pPr>
              <w:pStyle w:val="Compact"/>
            </w:pPr>
            <w:r>
              <w:t xml:space="preserve">Token protection policies are configured</w:t>
            </w:r>
          </w:p>
        </w:tc>
        <w:tc>
          <w:tcPr/>
          <w:p>
            <w:pPr>
              <w:pStyle w:val="Compact"/>
            </w:pPr>
            <w:r>
              <w:t xml:space="preserve">Identities</w:t>
            </w:r>
          </w:p>
        </w:tc>
        <w:tc>
          <w:tcPr/>
          <w:p>
            <w:pPr>
              <w:pStyle w:val="Compact"/>
            </w:pPr>
            <w:r>
              <w:t xml:space="preserve">P1</w:t>
            </w:r>
          </w:p>
        </w:tc>
        <w:tc>
          <w:tcPr/>
          <w:p>
            <w:pPr>
              <w:pStyle w:val="Compact"/>
            </w:pPr>
            <w:r>
              <w:t xml:space="preserve">Legacy-blocking (device-join maturity)</w:t>
            </w:r>
          </w:p>
        </w:tc>
        <w:tc>
          <w:tcPr/>
          <w:p>
            <w:pPr>
              <w:pStyle w:val="Compact"/>
            </w:pPr>
            <w:r>
              <w:t xml:space="preserve">T3</w:t>
            </w:r>
          </w:p>
        </w:tc>
        <w:tc>
          <w:tcPr/>
          <w:p>
            <w:pPr>
              <w:pStyle w:val="Compact"/>
            </w:pPr>
            <w:r>
              <w:t xml:space="preserve">—</w:t>
            </w:r>
          </w:p>
        </w:tc>
        <w:tc>
          <w:tcPr/>
          <w:p>
            <w:pPr>
              <w:pStyle w:val="Compact"/>
            </w:pPr>
            <w:r>
              <w:t xml:space="preserve">SC-23, IA-3</w:t>
            </w:r>
          </w:p>
        </w:tc>
      </w:tr>
    </w:tbl>
    <w:p>
      <w:pPr>
        <w:pStyle w:val="BodyText"/>
      </w:pPr>
      <w:r>
        <w:t xml:space="preserve">Notes on the rows that the Active Directory estate changes most:</w:t>
      </w:r>
    </w:p>
    <w:p>
      <w:pPr>
        <w:pStyle w:val="Compact"/>
        <w:numPr>
          <w:ilvl w:val="0"/>
          <w:numId w:val="1100"/>
        </w:numPr>
      </w:pPr>
      <w:r>
        <w:rPr>
          <w:b/>
          <w:bCs/>
        </w:rPr>
        <w:t xml:space="preserve">Password expiration is disabled.</w:t>
      </w:r>
      <w:r>
        <w:t xml:space="preserve"> </w:t>
      </w:r>
      <w:r>
        <w:t xml:space="preserve">For users in scope of password hash synchronization, the cloud password is set to never expire by default, and the on-premises password policy still governs the password itself.</w:t>
      </w:r>
      <w:r>
        <w:rPr>
          <w:rStyle w:val="FootnoteReference"/>
        </w:rPr>
        <w:footnoteReference w:id="1214"/>
      </w:r>
      <w:r>
        <w:t xml:space="preserve"> </w:t>
      </w:r>
      <w:r>
        <w:t xml:space="preserve">Meeting the SCuBA policy for synced users means changing the on-premises policy too, which is why this row is hybrid-touching.</w:t>
      </w:r>
    </w:p>
    <w:p>
      <w:pPr>
        <w:pStyle w:val="Compact"/>
        <w:numPr>
          <w:ilvl w:val="0"/>
          <w:numId w:val="1100"/>
        </w:numPr>
      </w:pPr>
      <w:r>
        <w:rPr>
          <w:b/>
          <w:bCs/>
        </w:rPr>
        <w:t xml:space="preserve">Use cloud authentication.</w:t>
      </w:r>
      <w:r>
        <w:t xml:space="preserve"> </w:t>
      </w:r>
      <w:r>
        <w:t xml:space="preserve">Microsoft’s reasoning is that an on-premises federation server is a central point an attacker can use to forge tokens and pivot into the cloud; the remediation is migrating from federation to password hash synchronization or another cloud method.</w:t>
      </w:r>
      <w:r>
        <w:rPr>
          <w:rStyle w:val="FootnoteReference"/>
        </w:rPr>
        <w:footnoteReference w:id="1215"/>
      </w:r>
      <w:r>
        <w:t xml:space="preserve"> </w:t>
      </w:r>
      <w:r>
        <w:t xml:space="preserve">For a federated agency, that is a domain-by-domain migration, not a toggle.</w:t>
      </w:r>
    </w:p>
    <w:p>
      <w:pPr>
        <w:pStyle w:val="Compact"/>
        <w:numPr>
          <w:ilvl w:val="0"/>
          <w:numId w:val="1100"/>
        </w:numPr>
      </w:pPr>
      <w:r>
        <w:rPr>
          <w:b/>
          <w:bCs/>
        </w:rPr>
        <w:t xml:space="preserve">Phishing-resistant authentication.</w:t>
      </w:r>
      <w:r>
        <w:t xml:space="preserve"> </w:t>
      </w:r>
      <w:r>
        <w:t xml:space="preserve">OMB M-22-09 requires agency staff to use phishing-resistant multifactor authentication.</w:t>
      </w:r>
      <w:r>
        <w:rPr>
          <w:rStyle w:val="FootnoteReference"/>
        </w:rPr>
        <w:footnoteReference w:id="1217"/>
      </w:r>
      <w:r>
        <w:t xml:space="preserve"> </w:t>
      </w:r>
      <w:r>
        <w:t xml:space="preserve">SCuBA makes it mandatory for all users (MS.AAD.3.1v1), with an alternative MFA method required in the meantime (MS.AAD.3.2v1).</w:t>
      </w:r>
      <w:r>
        <w:rPr>
          <w:rStyle w:val="FootnoteReference"/>
        </w:rPr>
        <w:footnoteReference w:id="1218"/>
      </w:r>
      <w:r>
        <w:t xml:space="preserve"> </w:t>
      </w:r>
      <w:r>
        <w:t xml:space="preserve">Entra certificate-based authentication with PIV/CAC, FIDO2 security keys, and Windows Hello for Business are the qualifying methods Microsoft lists for M-22-09; Microsoft Authenticator alone isn’t phishing-resistant.</w:t>
      </w:r>
      <w:r>
        <w:rPr>
          <w:rStyle w:val="FootnoteReference"/>
        </w:rPr>
        <w:footnoteReference w:id="1219"/>
      </w:r>
    </w:p>
    <w:p>
      <w:pPr>
        <w:pStyle w:val="Compact"/>
        <w:numPr>
          <w:ilvl w:val="0"/>
          <w:numId w:val="1100"/>
        </w:numPr>
      </w:pPr>
      <w:r>
        <w:rPr>
          <w:b/>
          <w:bCs/>
        </w:rPr>
        <w:t xml:space="preserve">The source’s control names.</w:t>
      </w:r>
      <w:r>
        <w:t xml:space="preserve"> </w:t>
      </w:r>
      <w:r>
        <w:t xml:space="preserve">Several names in the source material were shortened (</w:t>
      </w:r>
      <w:r>
        <w:t xml:space="preserve">“All privileged role assignments are just-in-time”</w:t>
      </w:r>
      <w:r>
        <w:t xml:space="preserve">). The table uses Microsoft’s current wording so assessment output joins cleanly.</w:t>
      </w:r>
    </w:p>
    <w:bookmarkEnd w:id="1220"/>
    <w:bookmarkStart w:id="1221" w:name="sequencing"/>
    <w:p>
      <w:pPr>
        <w:pStyle w:val="Heading2"/>
      </w:pPr>
      <w:bookmarkStart w:id="1510" w:name="_Toc00001510"/>
      <w:r>
        <w:t xml:space="preserve">Sequencing</w:t>
      </w:r>
      <w:bookmarkEnd w:id="1510"/>
    </w:p>
    <w:p>
      <w:pPr>
        <w:pStyle w:val="FirstParagraph"/>
      </w:pPr>
      <w:r>
        <w:t xml:space="preserve">Start with the T0 and T1 cloud-only checks: consent, application registration, guests, emergency access, logging, risk policies, and legacy authentication in report-only mode. Several of these are also SCuBA mandatory policies, so they close BOD 25-01 findings at the same time. Treat the network and AI themes as gated evaluations, decided by Filter 1. Treat the device-dependent and federation-dependent checks as multi-quarter programs that depend on the attribute and device modernization work in Chapter 09 and the cutover sequencing in Chapter 10.</w:t>
      </w:r>
    </w:p>
    <w:bookmarkEnd w:id="1221"/>
    <w:bookmarkStart w:id="1230" w:name="federal-mandates-behind-the-baseline"/>
    <w:p>
      <w:pPr>
        <w:pStyle w:val="Heading2"/>
      </w:pPr>
      <w:bookmarkStart w:id="1511" w:name="_Toc00001511"/>
      <w:r>
        <w:t xml:space="preserve">Federal mandates behind the baseline</w:t>
      </w:r>
      <w:bookmarkEnd w:id="1511"/>
    </w:p>
    <w:bookmarkStart w:id="1226" w:name="cisa-bod-25-01-and-the-scuba-baselines"/>
    <w:p>
      <w:pPr>
        <w:pStyle w:val="Heading3"/>
      </w:pPr>
      <w:r>
        <w:t xml:space="preserve">CISA BOD 25-01 and the SCuBA baselines</w:t>
      </w:r>
    </w:p>
    <w:p>
      <w:pPr>
        <w:pStyle w:val="FirstParagraph"/>
      </w:pPr>
      <w:r>
        <w:t xml:space="preserve">CISA issued Binding Operational Directive 25-01,</w:t>
      </w:r>
      <w:r>
        <w:t xml:space="preserve"> </w:t>
      </w:r>
      <w:r>
        <w:rPr>
          <w:i/>
          <w:iCs/>
        </w:rPr>
        <w:t xml:space="preserve">Implementing Secure Practices for Cloud Services</w:t>
      </w:r>
      <w:r>
        <w:t xml:space="preserve">, on December 17, 2024. It applies to Federal Civilian Executive Branch agencies and covers production cloud tenants for products that have a final SCuBA Secure Configuration Baseline.</w:t>
      </w:r>
      <w:r>
        <w:rPr>
          <w:rStyle w:val="FootnoteReference"/>
        </w:rPr>
        <w:footnoteReference w:id="1222"/>
      </w:r>
      <w:r>
        <w:t xml:space="preserve"> </w:t>
      </w:r>
      <w:r>
        <w:t xml:space="preserve">Its deadlines were:</w:t>
      </w:r>
    </w:p>
    <w:p>
      <w:pPr>
        <w:pStyle w:val="TableCaption"/>
      </w:pPr>
      <w:r>
        <w:t xml:space="preserve">BOD 25-01 required actions</w:t>
      </w:r>
    </w:p>
    <w:tbl>
      <w:tblPr>
        <w:tblStyle w:val="Table"/>
        <w:tblW w:type="pct" w:w="5000"/>
        <w:tblLayout w:type="fixed"/>
        <w:tblLook w:firstRow="1" w:lastRow="0" w:firstColumn="0" w:lastColumn="0" w:noHBand="0" w:noVBand="0" w:val="0020"/>
        <w:tblCaption w:val="BOD 25-01 required actions"/>
      </w:tblPr>
      <w:tblGrid>
        <w:gridCol w:w="3960"/>
        <w:gridCol w:w="3960"/>
      </w:tblGrid>
      <w:tr>
        <w:trPr>
          <w:tblHeader w:val="on"/>
        </w:trPr>
        <w:tc>
          <w:tcPr/>
          <w:p>
            <w:pPr>
              <w:pStyle w:val="Compact"/>
            </w:pPr>
            <w:r>
              <w:t xml:space="preserve">Action</w:t>
            </w:r>
          </w:p>
        </w:tc>
        <w:tc>
          <w:tcPr/>
          <w:p>
            <w:pPr>
              <w:pStyle w:val="Compact"/>
            </w:pPr>
            <w:r>
              <w:t xml:space="preserve">Deadline</w:t>
            </w:r>
          </w:p>
        </w:tc>
      </w:tr>
      <w:tr>
        <w:tc>
          <w:tcPr/>
          <w:p>
            <w:pPr>
              <w:pStyle w:val="Compact"/>
            </w:pPr>
            <w:r>
              <w:t xml:space="preserve">Report an inventory of in-scope cloud tenants (name and owning agency or component), then update it annually</w:t>
            </w:r>
          </w:p>
        </w:tc>
        <w:tc>
          <w:tcPr/>
          <w:p>
            <w:pPr>
              <w:pStyle w:val="Compact"/>
            </w:pPr>
            <w:r>
              <w:t xml:space="preserve">February 21, 2025</w:t>
            </w:r>
          </w:p>
        </w:tc>
      </w:tr>
      <w:tr>
        <w:tc>
          <w:tcPr/>
          <w:p>
            <w:pPr>
              <w:pStyle w:val="Compact"/>
            </w:pPr>
            <w:r>
              <w:t xml:space="preserve">Deploy the SCuBA assessment tools (ScubaGear for Microsoft 365) and begin continuous reporting to CISA, or submit results quarterly</w:t>
            </w:r>
          </w:p>
        </w:tc>
        <w:tc>
          <w:tcPr/>
          <w:p>
            <w:pPr>
              <w:pStyle w:val="Compact"/>
            </w:pPr>
            <w:r>
              <w:t xml:space="preserve">April 25, 2025</w:t>
            </w:r>
          </w:p>
        </w:tc>
      </w:tr>
      <w:tr>
        <w:tc>
          <w:tcPr/>
          <w:p>
            <w:pPr>
              <w:pStyle w:val="Compact"/>
            </w:pPr>
            <w:r>
              <w:t xml:space="preserve">Implement all mandatory SCuBA policies on the Required Configurations list</w:t>
            </w:r>
          </w:p>
        </w:tc>
        <w:tc>
          <w:tcPr/>
          <w:p>
            <w:pPr>
              <w:pStyle w:val="Compact"/>
            </w:pPr>
            <w:r>
              <w:t xml:space="preserve">June 20, 2025</w:t>
            </w:r>
          </w:p>
        </w:tc>
      </w:tr>
      <w:tr>
        <w:tc>
          <w:tcPr/>
          <w:p>
            <w:pPr>
              <w:pStyle w:val="Compact"/>
            </w:pPr>
            <w:r>
              <w:t xml:space="preserve">Implement future mandatory policy updates</w:t>
            </w:r>
          </w:p>
        </w:tc>
        <w:tc>
          <w:tcPr/>
          <w:p>
            <w:pPr>
              <w:pStyle w:val="Compact"/>
            </w:pPr>
            <w:r>
              <w:t xml:space="preserve">On the timeline CISA posts</w:t>
            </w:r>
          </w:p>
        </w:tc>
      </w:tr>
      <w:tr>
        <w:tc>
          <w:tcPr/>
          <w:p>
            <w:pPr>
              <w:pStyle w:val="Compact"/>
            </w:pPr>
            <w:r>
              <w:t xml:space="preserve">New in-scope tenants</w:t>
            </w:r>
          </w:p>
        </w:tc>
        <w:tc>
          <w:tcPr/>
          <w:p>
            <w:pPr>
              <w:pStyle w:val="Compact"/>
            </w:pPr>
            <w:r>
              <w:t xml:space="preserve">Mandatory policies and continuous monitoring in place before an Authorization to Operate is granted</w:t>
            </w:r>
          </w:p>
        </w:tc>
      </w:tr>
    </w:tbl>
    <w:p>
      <w:pPr>
        <w:pStyle w:val="BodyText"/>
      </w:pPr>
      <w:r>
        <w:t xml:space="preserve">The directive distinguishes mandatory</w:t>
      </w:r>
      <w:r>
        <w:t xml:space="preserve"> </w:t>
      </w:r>
      <w:r>
        <w:t xml:space="preserve">“shall”</w:t>
      </w:r>
      <w:r>
        <w:t xml:space="preserve"> </w:t>
      </w:r>
      <w:r>
        <w:t xml:space="preserve">policies from recommended</w:t>
      </w:r>
      <w:r>
        <w:t xml:space="preserve"> </w:t>
      </w:r>
      <w:r>
        <w:t xml:space="preserve">“should”</w:t>
      </w:r>
      <w:r>
        <w:t xml:space="preserve"> </w:t>
      </w:r>
      <w:r>
        <w:t xml:space="preserve">policies, which are left to the agency.</w:t>
      </w:r>
      <w:r>
        <w:rPr>
          <w:rStyle w:val="FootnoteReference"/>
        </w:rPr>
        <w:footnoteReference w:id="1223"/>
      </w:r>
      <w:r>
        <w:t xml:space="preserve"> </w:t>
      </w:r>
      <w:r>
        <w:t xml:space="preserve">For Microsoft Entra ID, the Required Configurations page lists twenty mandatory policies, from blocking legacy authentication (MS.AAD.1.1v1) through alerting on Global Administrator activation (MS.AAD.7.8v1).</w:t>
      </w:r>
      <w:r>
        <w:rPr>
          <w:rStyle w:val="FootnoteReference"/>
        </w:rPr>
        <w:footnoteReference w:id="1224"/>
      </w:r>
      <w:r>
        <w:t xml:space="preserve"> </w:t>
      </w:r>
      <w:r>
        <w:t xml:space="preserve">Policies the crosswalk table doesn’t already show:</w:t>
      </w:r>
    </w:p>
    <w:p>
      <w:pPr>
        <w:pStyle w:val="TableCaption"/>
      </w:pPr>
      <w:r>
        <w:t xml:space="preserve">Remaining BOD 25-01 mandatory Entra ID policies</w:t>
      </w:r>
    </w:p>
    <w:tbl>
      <w:tblPr>
        <w:tblStyle w:val="Table"/>
        <w:tblW w:type="pct" w:w="5000"/>
        <w:tblLayout w:type="fixed"/>
        <w:tblLook w:firstRow="1" w:lastRow="0" w:firstColumn="0" w:lastColumn="0" w:noHBand="0" w:noVBand="0" w:val="0020"/>
        <w:tblCaption w:val="Remaining BOD 25-01 mandatory Entra ID policies"/>
      </w:tblPr>
      <w:tblGrid>
        <w:gridCol w:w="3960"/>
        <w:gridCol w:w="3960"/>
      </w:tblGrid>
      <w:tr>
        <w:trPr>
          <w:tblHeader w:val="on"/>
        </w:trPr>
        <w:tc>
          <w:tcPr/>
          <w:p>
            <w:pPr>
              <w:pStyle w:val="Compact"/>
            </w:pPr>
            <w:r>
              <w:t xml:space="preserve">SCuBA policy</w:t>
            </w:r>
          </w:p>
        </w:tc>
        <w:tc>
          <w:tcPr/>
          <w:p>
            <w:pPr>
              <w:pStyle w:val="Compact"/>
            </w:pPr>
            <w:r>
              <w:t xml:space="preserve">Requirement (paraphrased)</w:t>
            </w:r>
          </w:p>
        </w:tc>
      </w:tr>
      <w:tr>
        <w:tc>
          <w:tcPr/>
          <w:p>
            <w:pPr>
              <w:pStyle w:val="Compact"/>
            </w:pPr>
            <w:r>
              <w:t xml:space="preserve">MS.AAD.3.2v1</w:t>
            </w:r>
          </w:p>
        </w:tc>
        <w:tc>
          <w:tcPr/>
          <w:p>
            <w:pPr>
              <w:pStyle w:val="Compact"/>
            </w:pPr>
            <w:r>
              <w:t xml:space="preserve">If phishing-resistant MFA isn’t yet enforced, enforce an alternative MFA method for all users</w:t>
            </w:r>
          </w:p>
        </w:tc>
      </w:tr>
      <w:tr>
        <w:tc>
          <w:tcPr/>
          <w:p>
            <w:pPr>
              <w:pStyle w:val="Compact"/>
            </w:pPr>
            <w:r>
              <w:t xml:space="preserve">MS.AAD.3.3v2</w:t>
            </w:r>
          </w:p>
        </w:tc>
        <w:tc>
          <w:tcPr/>
          <w:p>
            <w:pPr>
              <w:pStyle w:val="Compact"/>
            </w:pPr>
            <w:r>
              <w:t xml:space="preserve">If Microsoft Authenticator is enabled, show login context information</w:t>
            </w:r>
          </w:p>
        </w:tc>
      </w:tr>
      <w:tr>
        <w:tc>
          <w:tcPr/>
          <w:p>
            <w:pPr>
              <w:pStyle w:val="Compact"/>
            </w:pPr>
            <w:r>
              <w:t xml:space="preserve">MS.AAD.3.4v1</w:t>
            </w:r>
          </w:p>
        </w:tc>
        <w:tc>
          <w:tcPr/>
          <w:p>
            <w:pPr>
              <w:pStyle w:val="Compact"/>
            </w:pPr>
            <w:r>
              <w:t xml:space="preserve">Set the Authentication Methods Manage Migration feature to Migration Complete</w:t>
            </w:r>
          </w:p>
        </w:tc>
      </w:tr>
      <w:tr>
        <w:tc>
          <w:tcPr/>
          <w:p>
            <w:pPr>
              <w:pStyle w:val="Compact"/>
            </w:pPr>
            <w:r>
              <w:t xml:space="preserve">MS.AAD.7.1v1</w:t>
            </w:r>
          </w:p>
        </w:tc>
        <w:tc>
          <w:tcPr/>
          <w:p>
            <w:pPr>
              <w:pStyle w:val="Compact"/>
            </w:pPr>
            <w:r>
              <w:t xml:space="preserve">Assign the Global Administrator role to between two and eight users</w:t>
            </w:r>
          </w:p>
        </w:tc>
      </w:tr>
      <w:tr>
        <w:tc>
          <w:tcPr/>
          <w:p>
            <w:pPr>
              <w:pStyle w:val="Compact"/>
            </w:pPr>
            <w:r>
              <w:t xml:space="preserve">MS.AAD.7.2v1</w:t>
            </w:r>
          </w:p>
        </w:tc>
        <w:tc>
          <w:tcPr/>
          <w:p>
            <w:pPr>
              <w:pStyle w:val="Compact"/>
            </w:pPr>
            <w:r>
              <w:t xml:space="preserve">Give privileged users finer-grained roles instead of Global Administrator</w:t>
            </w:r>
          </w:p>
        </w:tc>
      </w:tr>
      <w:tr>
        <w:tc>
          <w:tcPr/>
          <w:p>
            <w:pPr>
              <w:pStyle w:val="Compact"/>
            </w:pPr>
            <w:r>
              <w:t xml:space="preserve">MS.AAD.7.5v1</w:t>
            </w:r>
          </w:p>
        </w:tc>
        <w:tc>
          <w:tcPr/>
          <w:p>
            <w:pPr>
              <w:pStyle w:val="Compact"/>
            </w:pPr>
            <w:r>
              <w:t xml:space="preserve">Don’t provision highly privileged roles outside a privileged access management system</w:t>
            </w:r>
          </w:p>
        </w:tc>
      </w:tr>
      <w:tr>
        <w:tc>
          <w:tcPr/>
          <w:p>
            <w:pPr>
              <w:pStyle w:val="Compact"/>
            </w:pPr>
            <w:r>
              <w:t xml:space="preserve">MS.AAD.7.7v1</w:t>
            </w:r>
          </w:p>
        </w:tc>
        <w:tc>
          <w:tcPr/>
          <w:p>
            <w:pPr>
              <w:pStyle w:val="Compact"/>
            </w:pPr>
            <w:r>
              <w:t xml:space="preserve">Alert on eligible and active highly privileged role assignments</w:t>
            </w:r>
          </w:p>
        </w:tc>
      </w:tr>
      <w:tr>
        <w:tc>
          <w:tcPr/>
          <w:p>
            <w:pPr>
              <w:pStyle w:val="Compact"/>
            </w:pPr>
            <w:r>
              <w:t xml:space="preserve">MS.AAD.7.8v1</w:t>
            </w:r>
          </w:p>
        </w:tc>
        <w:tc>
          <w:tcPr/>
          <w:p>
            <w:pPr>
              <w:pStyle w:val="Compact"/>
            </w:pPr>
            <w:r>
              <w:t xml:space="preserve">Alert when a user activates the Global Administrator role</w:t>
            </w:r>
          </w:p>
        </w:tc>
      </w:tr>
    </w:tbl>
    <w:p>
      <w:pPr>
        <w:pStyle w:val="BodyText"/>
      </w:pPr>
      <w:r>
        <w:t xml:space="preserve">Two of these interact with Active Directory directly. MS.AAD.7.3v1, cloud-only privileged accounts, means every synced on-premises admin account that holds an Entra role is a finding. MS.AAD.3.4v1 retires the legacy per-user MFA and self-service password reset policies, which many hybrid tenants still carry. The required list changes; CISA notifies agencies of changes to mandatory policies, so the list on cisa.gov, not this table, is authoritative.</w:t>
      </w:r>
      <w:r>
        <w:rPr>
          <w:rStyle w:val="FootnoteReference"/>
        </w:rPr>
        <w:footnoteReference w:id="1225"/>
      </w:r>
    </w:p>
    <w:bookmarkEnd w:id="1226"/>
    <w:bookmarkStart w:id="1229" w:name="omb-m-22-09"/>
    <w:p>
      <w:pPr>
        <w:pStyle w:val="Heading3"/>
      </w:pPr>
      <w:r>
        <w:t xml:space="preserve">OMB M-22-09</w:t>
      </w:r>
    </w:p>
    <w:p>
      <w:pPr>
        <w:pStyle w:val="FirstParagraph"/>
      </w:pPr>
      <w:r>
        <w:t xml:space="preserve">OMB M-22-09,</w:t>
      </w:r>
      <w:r>
        <w:t xml:space="preserve"> </w:t>
      </w:r>
      <w:r>
        <w:rPr>
          <w:i/>
          <w:iCs/>
        </w:rPr>
        <w:t xml:space="preserve">Moving the U.S. Government Toward Zero Trust Cybersecurity Principles</w:t>
      </w:r>
      <w:r>
        <w:t xml:space="preserve">, sets the identity goals that the phishing-resistant rows serve: enterprise-managed identities for agency staff, protected by phishing-resistant multifactor authentication.</w:t>
      </w:r>
      <w:r>
        <w:rPr>
          <w:rStyle w:val="FootnoteReference"/>
        </w:rPr>
        <w:footnoteReference w:id="1227"/>
      </w:r>
      <w:r>
        <w:rPr>
          <w:rStyle w:val="FootnoteReference"/>
        </w:rPr>
        <w:footnoteReference w:id="1228"/>
      </w:r>
    </w:p>
    <w:bookmarkEnd w:id="1229"/>
    <w:bookmarkEnd w:id="1230"/>
    <w:bookmarkStart w:id="1234" w:name="the-identity-modernization-specification"/>
    <w:p>
      <w:pPr>
        <w:pStyle w:val="Heading2"/>
      </w:pPr>
      <w:bookmarkStart w:id="1512" w:name="_Toc00001512"/>
      <w:r>
        <w:t xml:space="preserve">The identity modernization specification</w:t>
      </w:r>
      <w:bookmarkEnd w:id="1512"/>
    </w:p>
    <w:p>
      <w:pPr>
        <w:pStyle w:val="FirstParagraph"/>
      </w:pPr>
      <w:r>
        <w:t xml:space="preserve">The program’s identity modernization specification is the cross-adapter contract for modernizing identity without building any vendor’s quirks into the authoritative source. It’s the program’s design, not an external requirement, and it’s what the crosswalk’s evidence rests on.</w:t>
      </w:r>
    </w:p>
    <w:bookmarkStart w:id="1231" w:name="contract-requirements"/>
    <w:p>
      <w:pPr>
        <w:pStyle w:val="Heading3"/>
      </w:pPr>
      <w:r>
        <w:t xml:space="preserve">Contract requirements</w:t>
      </w:r>
    </w:p>
    <w:p>
      <w:pPr>
        <w:pStyle w:val="Compact"/>
        <w:numPr>
          <w:ilvl w:val="0"/>
          <w:numId w:val="1101"/>
        </w:numPr>
      </w:pPr>
      <w:r>
        <w:t xml:space="preserve">Dynamic groups are defined by rules over directory attributes.</w:t>
      </w:r>
    </w:p>
    <w:p>
      <w:pPr>
        <w:pStyle w:val="Compact"/>
        <w:numPr>
          <w:ilvl w:val="0"/>
          <w:numId w:val="1101"/>
        </w:numPr>
      </w:pPr>
      <w:r>
        <w:t xml:space="preserve">Administrative units and scoped roles replace delegation through organizational units.</w:t>
      </w:r>
    </w:p>
    <w:p>
      <w:pPr>
        <w:pStyle w:val="Compact"/>
        <w:numPr>
          <w:ilvl w:val="0"/>
          <w:numId w:val="1101"/>
        </w:numPr>
      </w:pPr>
      <w:r>
        <w:t xml:space="preserve">Access is computed from attributes, not assigned by hand.</w:t>
      </w:r>
    </w:p>
    <w:p>
      <w:pPr>
        <w:pStyle w:val="Compact"/>
        <w:numPr>
          <w:ilvl w:val="0"/>
          <w:numId w:val="1101"/>
        </w:numPr>
      </w:pPr>
      <w:r>
        <w:t xml:space="preserve">The rule set that turns attributes into access is itself the audit evidence.</w:t>
      </w:r>
    </w:p>
    <w:bookmarkEnd w:id="1231"/>
    <w:bookmarkStart w:id="1233" w:name="integration-shape"/>
    <w:p>
      <w:pPr>
        <w:pStyle w:val="Heading3"/>
      </w:pPr>
      <w:r>
        <w:t xml:space="preserve">Integration shape</w:t>
      </w:r>
    </w:p>
    <w:p>
      <w:pPr>
        <w:pStyle w:val="Compact"/>
        <w:numPr>
          <w:ilvl w:val="0"/>
          <w:numId w:val="1102"/>
        </w:numPr>
      </w:pPr>
      <w:r>
        <w:t xml:space="preserve">Attribute writes for synced users are mastered in the directory, so the directory sync interval is the provisioning floor. With Microsoft Entra Connect Sync, that interval is 30 minutes by default.</w:t>
      </w:r>
      <w:r>
        <w:rPr>
          <w:rStyle w:val="FootnoteReference"/>
        </w:rPr>
        <w:footnoteReference w:id="1232"/>
      </w:r>
    </w:p>
    <w:p>
      <w:pPr>
        <w:pStyle w:val="Compact"/>
        <w:numPr>
          <w:ilvl w:val="0"/>
          <w:numId w:val="1102"/>
        </w:numPr>
      </w:pPr>
      <w:r>
        <w:t xml:space="preserve">Device attributes are mastered in the cloud and written through the cloud API.</w:t>
      </w:r>
    </w:p>
    <w:p>
      <w:pPr>
        <w:pStyle w:val="Compact"/>
        <w:numPr>
          <w:ilvl w:val="0"/>
          <w:numId w:val="1102"/>
        </w:numPr>
      </w:pPr>
      <w:r>
        <w:t xml:space="preserve">Downstream systems reference or synchronize from the authoritative origin; they don’t keep independent copies.</w:t>
      </w:r>
    </w:p>
    <w:p>
      <w:pPr>
        <w:pStyle w:val="FirstParagraph"/>
      </w:pPr>
      <w:r>
        <w:t xml:space="preserve">Chapter 05 describes how requirement 2 is built, and Chapter 09 describes the target the requirements produce.</w:t>
      </w:r>
    </w:p>
    <w:bookmarkEnd w:id="1233"/>
    <w:bookmarkEnd w:id="1234"/>
    <w:bookmarkStart w:id="1238" w:name="nist-sp-800-53-rev.-5-control-mapping"/>
    <w:p>
      <w:pPr>
        <w:pStyle w:val="Heading2"/>
      </w:pPr>
      <w:bookmarkStart w:id="1513" w:name="_Toc00001513"/>
      <w:r>
        <w:t xml:space="preserve">NIST SP 800-53 Rev. 5 control mapping</w:t>
      </w:r>
      <w:bookmarkEnd w:id="1513"/>
    </w:p>
    <w:p>
      <w:pPr>
        <w:pStyle w:val="FirstParagraph"/>
      </w:pPr>
      <w:r>
        <w:t xml:space="preserve">The specification supports account management, access enforcement, and continuous monitoring controls by making access a computed property that can be regenerated from the authoritative attributes. The table maps the specification and the crosswalk to SP 800-53 Rev. 5 controls. Control identifiers and titles are checked against Release 5.2.0 of the catalog, issued August 27, 2025.</w:t>
      </w:r>
      <w:r>
        <w:rPr>
          <w:rStyle w:val="FootnoteReference"/>
        </w:rPr>
        <w:footnoteReference w:id="1235"/>
      </w:r>
      <w:r>
        <w:rPr>
          <w:rStyle w:val="FootnoteReference"/>
        </w:rPr>
        <w:footnoteReference w:id="1236"/>
      </w:r>
      <w:r>
        <w:t xml:space="preserve"> </w:t>
      </w:r>
      <w:r>
        <w:t xml:space="preserve">The mapping itself is the program’s: it shows where identity evidence supports a control, not a claim that any configuration satisfies a control by itself. The agency’s authorizing official and assessors decide that.</w:t>
      </w:r>
    </w:p>
    <w:p>
      <w:pPr>
        <w:pStyle w:val="TableCaption"/>
      </w:pPr>
      <w:r>
        <w:t xml:space="preserve">NIST SP 800-53 Rev. 5 controls the identity work supports</w:t>
      </w:r>
    </w:p>
    <w:tbl>
      <w:tblPr>
        <w:tblStyle w:val="Table"/>
        <w:tblW w:type="pct" w:w="5000"/>
        <w:tblLayout w:type="fixed"/>
        <w:tblLook w:firstRow="1" w:lastRow="0" w:firstColumn="0" w:lastColumn="0" w:noHBand="0" w:noVBand="0" w:val="0020"/>
        <w:tblCaption w:val="NIST SP 800-53 Rev. 5 controls the identity work supports"/>
      </w:tblPr>
      <w:tblGrid>
        <w:gridCol w:w="2640"/>
        <w:gridCol w:w="2640"/>
        <w:gridCol w:w="2640"/>
      </w:tblGrid>
      <w:tr>
        <w:trPr>
          <w:tblHeader w:val="on"/>
        </w:trPr>
        <w:tc>
          <w:tcPr/>
          <w:p>
            <w:pPr>
              <w:pStyle w:val="Compact"/>
            </w:pPr>
            <w:r>
              <w:t xml:space="preserve">Control</w:t>
            </w:r>
          </w:p>
        </w:tc>
        <w:tc>
          <w:tcPr/>
          <w:p>
            <w:pPr>
              <w:pStyle w:val="Compact"/>
            </w:pPr>
            <w:r>
              <w:t xml:space="preserve">Title</w:t>
            </w:r>
          </w:p>
        </w:tc>
        <w:tc>
          <w:tcPr/>
          <w:p>
            <w:pPr>
              <w:pStyle w:val="Compact"/>
            </w:pPr>
            <w:r>
              <w:t xml:space="preserve">What the identity work contributes</w:t>
            </w:r>
          </w:p>
        </w:tc>
      </w:tr>
      <w:tr>
        <w:tc>
          <w:tcPr/>
          <w:p>
            <w:pPr>
              <w:pStyle w:val="Compact"/>
            </w:pPr>
            <w:r>
              <w:t xml:space="preserve">AC-2</w:t>
            </w:r>
          </w:p>
        </w:tc>
        <w:tc>
          <w:tcPr/>
          <w:p>
            <w:pPr>
              <w:pStyle w:val="Compact"/>
            </w:pPr>
            <w:r>
              <w:t xml:space="preserve">Account Management</w:t>
            </w:r>
          </w:p>
        </w:tc>
        <w:tc>
          <w:tcPr/>
          <w:p>
            <w:pPr>
              <w:pStyle w:val="Compact"/>
            </w:pPr>
            <w:r>
              <w:t xml:space="preserve">Lifecycle workflows driven by HR attributes; emergency access accounts defined and monitored</w:t>
            </w:r>
          </w:p>
        </w:tc>
      </w:tr>
      <w:tr>
        <w:tc>
          <w:tcPr/>
          <w:p>
            <w:pPr>
              <w:pStyle w:val="Compact"/>
            </w:pPr>
            <w:r>
              <w:t xml:space="preserve">AC-2(1)</w:t>
            </w:r>
          </w:p>
        </w:tc>
        <w:tc>
          <w:tcPr/>
          <w:p>
            <w:pPr>
              <w:pStyle w:val="Compact"/>
            </w:pPr>
            <w:r>
              <w:t xml:space="preserve">Automated System Account Management</w:t>
            </w:r>
          </w:p>
        </w:tc>
        <w:tc>
          <w:tcPr/>
          <w:p>
            <w:pPr>
              <w:pStyle w:val="Compact"/>
            </w:pPr>
            <w:r>
              <w:t xml:space="preserve">Provisioning and dynamic group membership computed from attributes</w:t>
            </w:r>
          </w:p>
        </w:tc>
      </w:tr>
      <w:tr>
        <w:tc>
          <w:tcPr/>
          <w:p>
            <w:pPr>
              <w:pStyle w:val="Compact"/>
            </w:pPr>
            <w:r>
              <w:t xml:space="preserve">AC-2(3)</w:t>
            </w:r>
          </w:p>
        </w:tc>
        <w:tc>
          <w:tcPr/>
          <w:p>
            <w:pPr>
              <w:pStyle w:val="Compact"/>
            </w:pPr>
            <w:r>
              <w:t xml:space="preserve">Disable Accounts</w:t>
            </w:r>
          </w:p>
        </w:tc>
        <w:tc>
          <w:tcPr/>
          <w:p>
            <w:pPr>
              <w:pStyle w:val="Compact"/>
            </w:pPr>
            <w:r>
              <w:t xml:space="preserve">Inactive and departed identities disabled by workflow, not by ticket</w:t>
            </w:r>
          </w:p>
        </w:tc>
      </w:tr>
      <w:tr>
        <w:tc>
          <w:tcPr/>
          <w:p>
            <w:pPr>
              <w:pStyle w:val="Compact"/>
            </w:pPr>
            <w:r>
              <w:t xml:space="preserve">AC-2(7)</w:t>
            </w:r>
          </w:p>
        </w:tc>
        <w:tc>
          <w:tcPr/>
          <w:p>
            <w:pPr>
              <w:pStyle w:val="Compact"/>
            </w:pPr>
            <w:r>
              <w:t xml:space="preserve">Privileged User Accounts</w:t>
            </w:r>
          </w:p>
        </w:tc>
        <w:tc>
          <w:tcPr/>
          <w:p>
            <w:pPr>
              <w:pStyle w:val="Compact"/>
            </w:pPr>
            <w:r>
              <w:t xml:space="preserve">Cloud-only privileged accounts with just-in-time activation</w:t>
            </w:r>
          </w:p>
        </w:tc>
      </w:tr>
      <w:tr>
        <w:tc>
          <w:tcPr/>
          <w:p>
            <w:pPr>
              <w:pStyle w:val="Compact"/>
            </w:pPr>
            <w:r>
              <w:t xml:space="preserve">AC-3</w:t>
            </w:r>
          </w:p>
        </w:tc>
        <w:tc>
          <w:tcPr/>
          <w:p>
            <w:pPr>
              <w:pStyle w:val="Compact"/>
            </w:pPr>
            <w:r>
              <w:t xml:space="preserve">Access Enforcement</w:t>
            </w:r>
          </w:p>
        </w:tc>
        <w:tc>
          <w:tcPr/>
          <w:p>
            <w:pPr>
              <w:pStyle w:val="Compact"/>
            </w:pPr>
            <w:r>
              <w:t xml:space="preserve">Conditional Access evaluates every sign-in to Entra ID</w:t>
            </w:r>
          </w:p>
        </w:tc>
      </w:tr>
      <w:tr>
        <w:tc>
          <w:tcPr/>
          <w:p>
            <w:pPr>
              <w:pStyle w:val="Compact"/>
            </w:pPr>
            <w:r>
              <w:t xml:space="preserve">AC-3(13)</w:t>
            </w:r>
          </w:p>
        </w:tc>
        <w:tc>
          <w:tcPr/>
          <w:p>
            <w:pPr>
              <w:pStyle w:val="Compact"/>
            </w:pPr>
            <w:r>
              <w:t xml:space="preserve">Attribute-based Access Control</w:t>
            </w:r>
          </w:p>
        </w:tc>
        <w:tc>
          <w:tcPr/>
          <w:p>
            <w:pPr>
              <w:pStyle w:val="Compact"/>
            </w:pPr>
            <w:r>
              <w:t xml:space="preserve">The attribute-to-access rule set (contract requirements 1, 3, and 4)</w:t>
            </w:r>
          </w:p>
        </w:tc>
      </w:tr>
      <w:tr>
        <w:tc>
          <w:tcPr/>
          <w:p>
            <w:pPr>
              <w:pStyle w:val="Compact"/>
            </w:pPr>
            <w:r>
              <w:t xml:space="preserve">AC-6</w:t>
            </w:r>
          </w:p>
        </w:tc>
        <w:tc>
          <w:tcPr/>
          <w:p>
            <w:pPr>
              <w:pStyle w:val="Compact"/>
            </w:pPr>
            <w:r>
              <w:t xml:space="preserve">Least Privilege</w:t>
            </w:r>
          </w:p>
        </w:tc>
        <w:tc>
          <w:tcPr/>
          <w:p>
            <w:pPr>
              <w:pStyle w:val="Compact"/>
            </w:pPr>
            <w:r>
              <w:t xml:space="preserve">Restricted consent and app registration; administrative units and scoped roles</w:t>
            </w:r>
          </w:p>
        </w:tc>
      </w:tr>
      <w:tr>
        <w:tc>
          <w:tcPr/>
          <w:p>
            <w:pPr>
              <w:pStyle w:val="Compact"/>
            </w:pPr>
            <w:r>
              <w:t xml:space="preserve">AC-6(5)</w:t>
            </w:r>
          </w:p>
        </w:tc>
        <w:tc>
          <w:tcPr/>
          <w:p>
            <w:pPr>
              <w:pStyle w:val="Compact"/>
            </w:pPr>
            <w:r>
              <w:t xml:space="preserve">Privileged Accounts</w:t>
            </w:r>
          </w:p>
        </w:tc>
        <w:tc>
          <w:tcPr/>
          <w:p>
            <w:pPr>
              <w:pStyle w:val="Compact"/>
            </w:pPr>
            <w:r>
              <w:t xml:space="preserve">Privileged roles limited, managed in PIM, approval-gated</w:t>
            </w:r>
          </w:p>
        </w:tc>
      </w:tr>
      <w:tr>
        <w:tc>
          <w:tcPr/>
          <w:p>
            <w:pPr>
              <w:pStyle w:val="Compact"/>
            </w:pPr>
            <w:r>
              <w:t xml:space="preserve">AC-6(7)</w:t>
            </w:r>
          </w:p>
        </w:tc>
        <w:tc>
          <w:tcPr/>
          <w:p>
            <w:pPr>
              <w:pStyle w:val="Compact"/>
            </w:pPr>
            <w:r>
              <w:t xml:space="preserve">Review of User Privileges</w:t>
            </w:r>
          </w:p>
        </w:tc>
        <w:tc>
          <w:tcPr/>
          <w:p>
            <w:pPr>
              <w:pStyle w:val="Compact"/>
            </w:pPr>
            <w:r>
              <w:t xml:space="preserve">Access reviews over groups, roles, and access packages</w:t>
            </w:r>
          </w:p>
        </w:tc>
      </w:tr>
      <w:tr>
        <w:tc>
          <w:tcPr/>
          <w:p>
            <w:pPr>
              <w:pStyle w:val="Compact"/>
            </w:pPr>
            <w:r>
              <w:t xml:space="preserve">AU-2</w:t>
            </w:r>
          </w:p>
        </w:tc>
        <w:tc>
          <w:tcPr/>
          <w:p>
            <w:pPr>
              <w:pStyle w:val="Compact"/>
            </w:pPr>
            <w:r>
              <w:t xml:space="preserve">Event Logging</w:t>
            </w:r>
          </w:p>
        </w:tc>
        <w:tc>
          <w:tcPr/>
          <w:p>
            <w:pPr>
              <w:pStyle w:val="Compact"/>
            </w:pPr>
            <w:r>
              <w:t xml:space="preserve">Entra sign-in and audit logs exported through diagnostic settings</w:t>
            </w:r>
          </w:p>
        </w:tc>
      </w:tr>
      <w:tr>
        <w:tc>
          <w:tcPr/>
          <w:p>
            <w:pPr>
              <w:pStyle w:val="Compact"/>
            </w:pPr>
            <w:r>
              <w:t xml:space="preserve">AU-6</w:t>
            </w:r>
          </w:p>
        </w:tc>
        <w:tc>
          <w:tcPr/>
          <w:p>
            <w:pPr>
              <w:pStyle w:val="Compact"/>
            </w:pPr>
            <w:r>
              <w:t xml:space="preserve">Audit Record Review, Analysis, and Reporting</w:t>
            </w:r>
          </w:p>
        </w:tc>
        <w:tc>
          <w:tcPr/>
          <w:p>
            <w:pPr>
              <w:pStyle w:val="Compact"/>
            </w:pPr>
            <w:r>
              <w:t xml:space="preserve">Sign-in and audit logs reviewed in the SIEM</w:t>
            </w:r>
          </w:p>
        </w:tc>
      </w:tr>
      <w:tr>
        <w:tc>
          <w:tcPr/>
          <w:p>
            <w:pPr>
              <w:pStyle w:val="Compact"/>
            </w:pPr>
            <w:r>
              <w:t xml:space="preserve">AU-12</w:t>
            </w:r>
          </w:p>
        </w:tc>
        <w:tc>
          <w:tcPr/>
          <w:p>
            <w:pPr>
              <w:pStyle w:val="Compact"/>
            </w:pPr>
            <w:r>
              <w:t xml:space="preserve">Audit Record Generation</w:t>
            </w:r>
          </w:p>
        </w:tc>
        <w:tc>
          <w:tcPr/>
          <w:p>
            <w:pPr>
              <w:pStyle w:val="Compact"/>
            </w:pPr>
            <w:r>
              <w:t xml:space="preserve">Every token issuance and directory change produces a record</w:t>
            </w:r>
          </w:p>
        </w:tc>
      </w:tr>
      <w:tr>
        <w:tc>
          <w:tcPr/>
          <w:p>
            <w:pPr>
              <w:pStyle w:val="Compact"/>
            </w:pPr>
            <w:r>
              <w:t xml:space="preserve">CA-7</w:t>
            </w:r>
          </w:p>
        </w:tc>
        <w:tc>
          <w:tcPr/>
          <w:p>
            <w:pPr>
              <w:pStyle w:val="Compact"/>
            </w:pPr>
            <w:r>
              <w:t xml:space="preserve">Continuous Monitoring</w:t>
            </w:r>
          </w:p>
        </w:tc>
        <w:tc>
          <w:tcPr/>
          <w:p>
            <w:pPr>
              <w:pStyle w:val="Compact"/>
            </w:pPr>
            <w:r>
              <w:t xml:space="preserve">ScubaGear reporting to CISA and the Zero Trust Assessment run on a schedule against the tenant</w:t>
            </w:r>
          </w:p>
        </w:tc>
      </w:tr>
      <w:tr>
        <w:tc>
          <w:tcPr/>
          <w:p>
            <w:pPr>
              <w:pStyle w:val="Compact"/>
            </w:pPr>
            <w:r>
              <w:t xml:space="preserve">CM-6</w:t>
            </w:r>
          </w:p>
        </w:tc>
        <w:tc>
          <w:tcPr/>
          <w:p>
            <w:pPr>
              <w:pStyle w:val="Compact"/>
            </w:pPr>
            <w:r>
              <w:t xml:space="preserve">Configuration Settings</w:t>
            </w:r>
          </w:p>
        </w:tc>
        <w:tc>
          <w:tcPr/>
          <w:p>
            <w:pPr>
              <w:pStyle w:val="Compact"/>
            </w:pPr>
            <w:r>
              <w:t xml:space="preserve">The baseline held as code and compared with the live tenant</w:t>
            </w:r>
          </w:p>
        </w:tc>
      </w:tr>
      <w:tr>
        <w:tc>
          <w:tcPr/>
          <w:p>
            <w:pPr>
              <w:pStyle w:val="Compact"/>
            </w:pPr>
            <w:r>
              <w:t xml:space="preserve">IA-2</w:t>
            </w:r>
          </w:p>
        </w:tc>
        <w:tc>
          <w:tcPr/>
          <w:p>
            <w:pPr>
              <w:pStyle w:val="Compact"/>
            </w:pPr>
            <w:r>
              <w:t xml:space="preserve">Identification and Authentication (Organizational Users)</w:t>
            </w:r>
          </w:p>
        </w:tc>
        <w:tc>
          <w:tcPr/>
          <w:p>
            <w:pPr>
              <w:pStyle w:val="Compact"/>
            </w:pPr>
            <w:r>
              <w:t xml:space="preserve">Cloud authentication to Entra ID for all workforce users</w:t>
            </w:r>
          </w:p>
        </w:tc>
      </w:tr>
      <w:tr>
        <w:tc>
          <w:tcPr/>
          <w:p>
            <w:pPr>
              <w:pStyle w:val="Compact"/>
            </w:pPr>
            <w:r>
              <w:t xml:space="preserve">IA-2(1)</w:t>
            </w:r>
          </w:p>
        </w:tc>
        <w:tc>
          <w:tcPr/>
          <w:p>
            <w:pPr>
              <w:pStyle w:val="Compact"/>
            </w:pPr>
            <w:r>
              <w:t xml:space="preserve">Multi-factor Authentication to Privileged Accounts</w:t>
            </w:r>
          </w:p>
        </w:tc>
        <w:tc>
          <w:tcPr/>
          <w:p>
            <w:pPr>
              <w:pStyle w:val="Compact"/>
            </w:pPr>
            <w:r>
              <w:t xml:space="preserve">Phishing-resistant methods required for privileged roles</w:t>
            </w:r>
          </w:p>
        </w:tc>
      </w:tr>
      <w:tr>
        <w:tc>
          <w:tcPr/>
          <w:p>
            <w:pPr>
              <w:pStyle w:val="Compact"/>
            </w:pPr>
            <w:r>
              <w:t xml:space="preserve">IA-2(2)</w:t>
            </w:r>
          </w:p>
        </w:tc>
        <w:tc>
          <w:tcPr/>
          <w:p>
            <w:pPr>
              <w:pStyle w:val="Compact"/>
            </w:pPr>
            <w:r>
              <w:t xml:space="preserve">Multi-factor Authentication to Non-privileged Accounts</w:t>
            </w:r>
          </w:p>
        </w:tc>
        <w:tc>
          <w:tcPr/>
          <w:p>
            <w:pPr>
              <w:pStyle w:val="Compact"/>
            </w:pPr>
            <w:r>
              <w:t xml:space="preserve">Phishing-resistant or alternative MFA for all users</w:t>
            </w:r>
          </w:p>
        </w:tc>
      </w:tr>
      <w:tr>
        <w:tc>
          <w:tcPr/>
          <w:p>
            <w:pPr>
              <w:pStyle w:val="Compact"/>
            </w:pPr>
            <w:r>
              <w:t xml:space="preserve">IA-2(8)</w:t>
            </w:r>
          </w:p>
        </w:tc>
        <w:tc>
          <w:tcPr/>
          <w:p>
            <w:pPr>
              <w:pStyle w:val="Compact"/>
            </w:pPr>
            <w:r>
              <w:t xml:space="preserve">Access to Accounts — Replay Resistant</w:t>
            </w:r>
          </w:p>
        </w:tc>
        <w:tc>
          <w:tcPr/>
          <w:p>
            <w:pPr>
              <w:pStyle w:val="Compact"/>
            </w:pPr>
            <w:r>
              <w:t xml:space="preserve">Certificate-based authentication and FIDO2 credentials</w:t>
            </w:r>
          </w:p>
        </w:tc>
      </w:tr>
      <w:tr>
        <w:tc>
          <w:tcPr/>
          <w:p>
            <w:pPr>
              <w:pStyle w:val="Compact"/>
            </w:pPr>
            <w:r>
              <w:t xml:space="preserve">IA-2(12)</w:t>
            </w:r>
          </w:p>
        </w:tc>
        <w:tc>
          <w:tcPr/>
          <w:p>
            <w:pPr>
              <w:pStyle w:val="Compact"/>
            </w:pPr>
            <w:r>
              <w:t xml:space="preserve">Acceptance of PIV Credentials</w:t>
            </w:r>
          </w:p>
        </w:tc>
        <w:tc>
          <w:tcPr/>
          <w:p>
            <w:pPr>
              <w:pStyle w:val="Compact"/>
            </w:pPr>
            <w:r>
              <w:t xml:space="preserve">Entra certificate-based authentication with PIV/CAC</w:t>
            </w:r>
          </w:p>
        </w:tc>
      </w:tr>
      <w:tr>
        <w:tc>
          <w:tcPr/>
          <w:p>
            <w:pPr>
              <w:pStyle w:val="Compact"/>
            </w:pPr>
            <w:r>
              <w:t xml:space="preserve">IA-3</w:t>
            </w:r>
          </w:p>
        </w:tc>
        <w:tc>
          <w:tcPr/>
          <w:p>
            <w:pPr>
              <w:pStyle w:val="Compact"/>
            </w:pPr>
            <w:r>
              <w:t xml:space="preserve">Device Identification and Authentication</w:t>
            </w:r>
          </w:p>
        </w:tc>
        <w:tc>
          <w:tcPr/>
          <w:p>
            <w:pPr>
              <w:pStyle w:val="Compact"/>
            </w:pPr>
            <w:r>
              <w:t xml:space="preserve">Managed-device and token-protection requirements</w:t>
            </w:r>
          </w:p>
        </w:tc>
      </w:tr>
      <w:tr>
        <w:tc>
          <w:tcPr/>
          <w:p>
            <w:pPr>
              <w:pStyle w:val="Compact"/>
            </w:pPr>
            <w:r>
              <w:t xml:space="preserve">IA-5</w:t>
            </w:r>
          </w:p>
        </w:tc>
        <w:tc>
          <w:tcPr/>
          <w:p>
            <w:pPr>
              <w:pStyle w:val="Compact"/>
            </w:pPr>
            <w:r>
              <w:t xml:space="preserve">Authenticator Management</w:t>
            </w:r>
          </w:p>
        </w:tc>
        <w:tc>
          <w:tcPr/>
          <w:p>
            <w:pPr>
              <w:pStyle w:val="Compact"/>
            </w:pPr>
            <w:r>
              <w:t xml:space="preserve">Authentication methods policy; legacy methods retired</w:t>
            </w:r>
          </w:p>
        </w:tc>
      </w:tr>
      <w:tr>
        <w:tc>
          <w:tcPr/>
          <w:p>
            <w:pPr>
              <w:pStyle w:val="Compact"/>
            </w:pPr>
            <w:r>
              <w:t xml:space="preserve">IA-5(1)</w:t>
            </w:r>
          </w:p>
        </w:tc>
        <w:tc>
          <w:tcPr/>
          <w:p>
            <w:pPr>
              <w:pStyle w:val="Compact"/>
            </w:pPr>
            <w:r>
              <w:t xml:space="preserve">Password-based Authentication</w:t>
            </w:r>
          </w:p>
        </w:tc>
        <w:tc>
          <w:tcPr/>
          <w:p>
            <w:pPr>
              <w:pStyle w:val="Compact"/>
            </w:pPr>
            <w:r>
              <w:t xml:space="preserve">Banned-password list, smart lockout, no forced expiration</w:t>
            </w:r>
          </w:p>
        </w:tc>
      </w:tr>
      <w:tr>
        <w:tc>
          <w:tcPr/>
          <w:p>
            <w:pPr>
              <w:pStyle w:val="Compact"/>
            </w:pPr>
            <w:r>
              <w:t xml:space="preserve">IA-8</w:t>
            </w:r>
          </w:p>
        </w:tc>
        <w:tc>
          <w:tcPr/>
          <w:p>
            <w:pPr>
              <w:pStyle w:val="Compact"/>
            </w:pPr>
            <w:r>
              <w:t xml:space="preserve">Identification and Authentication (Non-organizational Users)</w:t>
            </w:r>
          </w:p>
        </w:tc>
        <w:tc>
          <w:tcPr/>
          <w:p>
            <w:pPr>
              <w:pStyle w:val="Compact"/>
            </w:pPr>
            <w:r>
              <w:t xml:space="preserve">Guest restrictions, sponsors, and inactive-guest removal</w:t>
            </w:r>
          </w:p>
        </w:tc>
      </w:tr>
      <w:tr>
        <w:tc>
          <w:tcPr/>
          <w:p>
            <w:pPr>
              <w:pStyle w:val="Compact"/>
            </w:pPr>
            <w:r>
              <w:t xml:space="preserve">SC-23</w:t>
            </w:r>
          </w:p>
        </w:tc>
        <w:tc>
          <w:tcPr/>
          <w:p>
            <w:pPr>
              <w:pStyle w:val="Compact"/>
            </w:pPr>
            <w:r>
              <w:t xml:space="preserve">Session Authenticity</w:t>
            </w:r>
          </w:p>
        </w:tc>
        <w:tc>
          <w:tcPr/>
          <w:p>
            <w:pPr>
              <w:pStyle w:val="Compact"/>
            </w:pPr>
            <w:r>
              <w:t xml:space="preserve">Device-bound sign-in session tokens</w:t>
            </w:r>
          </w:p>
        </w:tc>
      </w:tr>
      <w:tr>
        <w:tc>
          <w:tcPr/>
          <w:p>
            <w:pPr>
              <w:pStyle w:val="Compact"/>
            </w:pPr>
            <w:r>
              <w:t xml:space="preserve">SI-4</w:t>
            </w:r>
          </w:p>
        </w:tc>
        <w:tc>
          <w:tcPr/>
          <w:p>
            <w:pPr>
              <w:pStyle w:val="Compact"/>
            </w:pPr>
            <w:r>
              <w:t xml:space="preserve">System Monitoring</w:t>
            </w:r>
          </w:p>
        </w:tc>
        <w:tc>
          <w:tcPr/>
          <w:p>
            <w:pPr>
              <w:pStyle w:val="Compact"/>
            </w:pPr>
            <w:r>
              <w:t xml:space="preserve">Risky user and sign-in detection with blocking policies</w:t>
            </w:r>
          </w:p>
        </w:tc>
      </w:tr>
    </w:tbl>
    <w:bookmarkEnd w:id="1238"/>
    <w:bookmarkStart w:id="1239" w:name="continue-the-book-11"/>
    <w:p>
      <w:pPr>
        <w:pStyle w:val="Heading2"/>
      </w:pPr>
      <w:bookmarkStart w:id="1514" w:name="_Toc00001514"/>
      <w:r>
        <w:t xml:space="preserve">Continue the book</w:t>
      </w:r>
      <w:bookmarkEnd w:id="1514"/>
    </w:p>
    <w:p>
      <w:pPr>
        <w:pStyle w:val="FirstParagraph"/>
      </w:pPr>
      <w:r>
        <w:t xml:space="preserve">← Previous: Chapter 11 — Reference Deployment · Book index · Next: Appendix B — Forest Assessment Module →</w:t>
      </w:r>
    </w:p>
    <w:bookmarkEnd w:id="1239"/>
    <w:bookmarkEnd w:id="1240"/>
    <w:bookmarkStart w:id="1307" w:name="appendix-b-forest-assessment-module"/>
    <w:p>
      <w:pPr>
        <w:pStyle w:val="Heading1"/>
      </w:pPr>
      <w:bookmarkStart w:id="1515" w:name="_Toc00001515"/>
      <w:r>
        <w:t xml:space="preserve">Appendix B — Forest Assessment Module</w:t>
      </w:r>
      <w:bookmarkEnd w:id="1515"/>
    </w:p>
    <w:p>
      <w:pPr>
        <w:pStyle w:val="FirstParagraph"/>
      </w:pPr>
      <w:r>
        <w:rPr>
          <w:i/>
          <w:iCs/>
        </w:rPr>
        <w:t xml:space="preserve">The code behind Chapter 08: one module, one output tree, one manifest per run.</w:t>
      </w:r>
    </w:p>
    <w:bookmarkStart w:id="1241" w:name="in-this-appendix-1"/>
    <w:p>
      <w:pPr>
        <w:pStyle w:val="Heading2"/>
      </w:pPr>
      <w:bookmarkStart w:id="1516" w:name="_Toc00001516"/>
      <w:r>
        <w:t xml:space="preserve">In this appendix</w:t>
      </w:r>
      <w:bookmarkEnd w:id="1516"/>
    </w:p>
    <w:p>
      <w:pPr>
        <w:pStyle w:val="FirstParagraph"/>
      </w:pPr>
      <w:r>
        <w:t xml:space="preserve">The</w:t>
      </w:r>
      <w:r>
        <w:t xml:space="preserve"> </w:t>
      </w:r>
      <w:r>
        <w:rPr>
          <w:rStyle w:val="VerbatimChar"/>
        </w:rPr>
        <w:t xml:space="preserve">FMPADAssessment</w:t>
      </w:r>
      <w:r>
        <w:t xml:space="preserve"> </w:t>
      </w:r>
      <w:r>
        <w:t xml:space="preserve">module manifest and module file, function by function, followed by installation steps and the schema of every output file with JSON examples. The module is the source design restored from a damaged conversion, with the cmdlet, parameter and logic errors that review found corrected. Each correction is noted where it’s made. Chapter 08 explains what each collector is for.</w:t>
      </w:r>
    </w:p>
    <w:bookmarkEnd w:id="1241"/>
    <w:bookmarkStart w:id="1242" w:name="illustrative-code-6"/>
    <w:p>
      <w:pPr>
        <w:pStyle w:val="Heading2"/>
      </w:pPr>
      <w:bookmarkStart w:id="1517" w:name="_Toc00001517"/>
      <w:r>
        <w:t xml:space="preserve">Illustrative code</w:t>
      </w:r>
      <w:bookmarkEnd w:id="1517"/>
    </w:p>
    <w:p>
      <w:pPr>
        <w:pStyle w:val="FirstParagraph"/>
      </w:pPr>
      <w:r>
        <w:t xml:space="preserve">This module is illustrative. It hasn’t been tested against a production forest. Review every function, sign the module, and run it first in a test forest under the narrow rights in Chapter 08. It reads the directory and writes only to the output path and, when you call the Gitea functions, to the repository you name. It changes nothing in Active Directory, DNS or AD CS.</w:t>
      </w:r>
    </w:p>
    <w:bookmarkEnd w:id="1242"/>
    <w:bookmarkStart w:id="1247" w:name="corrections-to-the-source-design"/>
    <w:p>
      <w:pPr>
        <w:pStyle w:val="Heading2"/>
      </w:pPr>
      <w:bookmarkStart w:id="1518" w:name="_Toc00001518"/>
      <w:r>
        <w:t xml:space="preserve">Corrections to the source design</w:t>
      </w:r>
      <w:bookmarkEnd w:id="1518"/>
    </w:p>
    <w:p>
      <w:pPr>
        <w:pStyle w:val="FirstParagraph"/>
      </w:pPr>
      <w:r>
        <w:t xml:space="preserve">The source module was flattened onto single lines during conversion, and several functions didn’t work as written. The table lists what changed and why.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Area</w:t>
            </w:r>
          </w:p>
        </w:tc>
        <w:tc>
          <w:tcPr/>
          <w:p>
            <w:pPr>
              <w:pStyle w:val="Compact"/>
            </w:pPr>
            <w:r>
              <w:t xml:space="preserve">Source</w:t>
            </w:r>
          </w:p>
        </w:tc>
        <w:tc>
          <w:tcPr/>
          <w:p>
            <w:pPr>
              <w:pStyle w:val="Compact"/>
            </w:pPr>
            <w:r>
              <w:t xml:space="preserve">Corrected to</w:t>
            </w:r>
          </w:p>
        </w:tc>
        <w:tc>
          <w:tcPr/>
          <w:p>
            <w:pPr>
              <w:pStyle w:val="Compact"/>
            </w:pPr>
            <w:r>
              <w:t xml:space="preserve">Reason</w:t>
            </w:r>
          </w:p>
        </w:tc>
      </w:tr>
      <w:tr>
        <w:tc>
          <w:tcPr/>
          <w:p>
            <w:pPr>
              <w:pStyle w:val="Compact"/>
            </w:pPr>
            <w:r>
              <w:t xml:space="preserve">Syntax</w:t>
            </w:r>
          </w:p>
        </w:tc>
        <w:tc>
          <w:tcPr/>
          <w:p>
            <w:pPr>
              <w:pStyle w:val="Compact"/>
            </w:pPr>
            <w:r>
              <w:rPr>
                <w:rStyle w:val="VerbatimChar"/>
              </w:rPr>
              <w:t xml:space="preserve">param</w:t>
            </w:r>
            <w:r>
              <w:t xml:space="preserve"> </w:t>
            </w:r>
            <w:r>
              <w:t xml:space="preserve">with no parentheses,</w:t>
            </w:r>
            <w:r>
              <w:t xml:space="preserve"> </w:t>
            </w:r>
            <w:r>
              <w:rPr>
                <w:rStyle w:val="VerbatimChar"/>
              </w:rPr>
              <w:t xml:space="preserve">@</w:t>
            </w:r>
            <w:r>
              <w:t xml:space="preserve"> </w:t>
            </w:r>
            <w:r>
              <w:t xml:space="preserve">for empty arrays,</w:t>
            </w:r>
            <w:r>
              <w:t xml:space="preserve"> </w:t>
            </w:r>
            <w:r>
              <w:rPr>
                <w:rStyle w:val="VerbatimChar"/>
              </w:rPr>
              <w:t xml:space="preserve">.ToString</w:t>
            </w:r>
            <w:r>
              <w:t xml:space="preserve"> </w:t>
            </w:r>
            <w:r>
              <w:t xml:space="preserve">and</w:t>
            </w:r>
            <w:r>
              <w:t xml:space="preserve"> </w:t>
            </w:r>
            <w:r>
              <w:rPr>
                <w:rStyle w:val="VerbatimChar"/>
              </w:rPr>
              <w:t xml:space="preserve">::NewGuid</w:t>
            </w:r>
            <w:r>
              <w:t xml:space="preserve"> </w:t>
            </w:r>
            <w:r>
              <w:t xml:space="preserve">without</w:t>
            </w:r>
            <w:r>
              <w:t xml:space="preserve"> </w:t>
            </w:r>
            <w:r>
              <w:rPr>
                <w:rStyle w:val="VerbatimChar"/>
              </w:rPr>
              <w:t xml:space="preserve">()</w:t>
            </w:r>
          </w:p>
        </w:tc>
        <w:tc>
          <w:tcPr/>
          <w:p>
            <w:pPr>
              <w:pStyle w:val="Compact"/>
            </w:pPr>
            <w:r>
              <w:t xml:space="preserve">Valid PowerShell</w:t>
            </w:r>
          </w:p>
        </w:tc>
        <w:tc>
          <w:tcPr/>
          <w:p>
            <w:pPr>
              <w:pStyle w:val="Compact"/>
            </w:pPr>
            <w:r>
              <w:t xml:space="preserve">Conversion damage</w:t>
            </w:r>
          </w:p>
        </w:tc>
      </w:tr>
      <w:tr>
        <w:tc>
          <w:tcPr/>
          <w:p>
            <w:pPr>
              <w:pStyle w:val="Compact"/>
            </w:pPr>
            <w:r>
              <w:t xml:space="preserve">Version check</w:t>
            </w:r>
          </w:p>
        </w:tc>
        <w:tc>
          <w:tcPr/>
          <w:p>
            <w:pPr>
              <w:pStyle w:val="Compact"/>
            </w:pPr>
            <w:r>
              <w:t xml:space="preserve">String comparison of</w:t>
            </w:r>
            <w:r>
              <w:t xml:space="preserve"> </w:t>
            </w:r>
            <w:r>
              <w:rPr>
                <w:rStyle w:val="VerbatimChar"/>
              </w:rPr>
              <w:t xml:space="preserve">Win32_OperatingSystem.Version</w:t>
            </w:r>
          </w:p>
        </w:tc>
        <w:tc>
          <w:tcPr/>
          <w:p>
            <w:pPr>
              <w:pStyle w:val="Compact"/>
            </w:pPr>
            <w:r>
              <w:rPr>
                <w:rStyle w:val="VerbatimChar"/>
              </w:rPr>
              <w:t xml:space="preserve">[version]</w:t>
            </w:r>
            <w:r>
              <w:t xml:space="preserve"> </w:t>
            </w:r>
            <w:r>
              <w:t xml:space="preserve">comparison</w:t>
            </w:r>
          </w:p>
        </w:tc>
        <w:tc>
          <w:tcPr/>
          <w:p>
            <w:pPr>
              <w:pStyle w:val="Compact"/>
            </w:pPr>
            <w:r>
              <w:rPr>
                <w:rStyle w:val="VerbatimChar"/>
              </w:rPr>
              <w:t xml:space="preserve">"10.0.9" -ge "10.0.26100"</w:t>
            </w:r>
            <w:r>
              <w:t xml:space="preserve"> </w:t>
            </w:r>
            <w:r>
              <w:t xml:space="preserve">is true as strings</w:t>
            </w:r>
          </w:p>
        </w:tc>
      </w:tr>
      <w:tr>
        <w:tc>
          <w:tcPr/>
          <w:p>
            <w:pPr>
              <w:pStyle w:val="Compact"/>
            </w:pPr>
            <w:r>
              <w:t xml:space="preserve">Required modules</w:t>
            </w:r>
          </w:p>
        </w:tc>
        <w:tc>
          <w:tcPr/>
          <w:p>
            <w:pPr>
              <w:pStyle w:val="Compact"/>
            </w:pPr>
            <w:r>
              <w:rPr>
                <w:rStyle w:val="VerbatimChar"/>
              </w:rPr>
              <w:t xml:space="preserve">ADCSAdministration</w:t>
            </w:r>
            <w:r>
              <w:t xml:space="preserve"> </w:t>
            </w:r>
            <w:r>
              <w:t xml:space="preserve">required</w:t>
            </w:r>
          </w:p>
        </w:tc>
        <w:tc>
          <w:tcPr/>
          <w:p>
            <w:pPr>
              <w:pStyle w:val="Compact"/>
            </w:pPr>
            <w:r>
              <w:t xml:space="preserve">Removed; PSPKI optional</w:t>
            </w:r>
          </w:p>
        </w:tc>
        <w:tc>
          <w:tcPr/>
          <w:p>
            <w:pPr>
              <w:pStyle w:val="Compact"/>
            </w:pPr>
            <w:r>
              <w:t xml:space="preserve">Neither is needed; PSPKI is no longer actively supported by its publisher</w:t>
            </w:r>
            <w:r>
              <w:rPr>
                <w:rStyle w:val="FootnoteReference"/>
              </w:rPr>
              <w:footnoteReference w:id="1243"/>
            </w:r>
          </w:p>
        </w:tc>
      </w:tr>
      <w:tr>
        <w:tc>
          <w:tcPr/>
          <w:p>
            <w:pPr>
              <w:pStyle w:val="Compact"/>
            </w:pPr>
            <w:r>
              <w:t xml:space="preserve">DNS servers</w:t>
            </w:r>
          </w:p>
        </w:tc>
        <w:tc>
          <w:tcPr/>
          <w:p>
            <w:pPr>
              <w:pStyle w:val="Compact"/>
            </w:pPr>
            <w:r>
              <w:t xml:space="preserve">Global catalogs only</w:t>
            </w:r>
          </w:p>
        </w:tc>
        <w:tc>
          <w:tcPr/>
          <w:p>
            <w:pPr>
              <w:pStyle w:val="Compact"/>
            </w:pPr>
            <w:r>
              <w:t xml:space="preserve">All DCs, or a list you pass</w:t>
            </w:r>
          </w:p>
        </w:tc>
        <w:tc>
          <w:tcPr/>
          <w:p>
            <w:pPr>
              <w:pStyle w:val="Compact"/>
            </w:pPr>
            <w:r>
              <w:t xml:space="preserve">DNS servers and GCs are different sets</w:t>
            </w:r>
          </w:p>
        </w:tc>
      </w:tr>
      <w:tr>
        <w:tc>
          <w:tcPr/>
          <w:p>
            <w:pPr>
              <w:pStyle w:val="Compact"/>
            </w:pPr>
            <w:r>
              <w:t xml:space="preserve">DNS record data</w:t>
            </w:r>
          </w:p>
        </w:tc>
        <w:tc>
          <w:tcPr/>
          <w:p>
            <w:pPr>
              <w:pStyle w:val="Compact"/>
            </w:pPr>
            <w:r>
              <w:t xml:space="preserve">PowerShell 7</w:t>
            </w:r>
            <w:r>
              <w:t xml:space="preserve"> </w:t>
            </w:r>
            <w:r>
              <w:rPr>
                <w:rStyle w:val="VerbatimChar"/>
              </w:rPr>
              <w:t xml:space="preserve">??</w:t>
            </w:r>
            <w:r>
              <w:t xml:space="preserve"> </w:t>
            </w:r>
            <w:r>
              <w:t xml:space="preserve">operator</w:t>
            </w:r>
          </w:p>
        </w:tc>
        <w:tc>
          <w:tcPr/>
          <w:p>
            <w:pPr>
              <w:pStyle w:val="Compact"/>
            </w:pPr>
            <w:r>
              <w:rPr>
                <w:rStyle w:val="VerbatimChar"/>
              </w:rPr>
              <w:t xml:space="preserve">switch</w:t>
            </w:r>
            <w:r>
              <w:t xml:space="preserve"> </w:t>
            </w:r>
            <w:r>
              <w:t xml:space="preserve">on record type</w:t>
            </w:r>
          </w:p>
        </w:tc>
        <w:tc>
          <w:tcPr/>
          <w:p>
            <w:pPr>
              <w:pStyle w:val="Compact"/>
            </w:pPr>
            <w:r>
              <w:t xml:space="preserve">The module declares PowerShell 5.1</w:t>
            </w:r>
          </w:p>
        </w:tc>
      </w:tr>
      <w:tr>
        <w:tc>
          <w:tcPr/>
          <w:p>
            <w:pPr>
              <w:pStyle w:val="Compact"/>
            </w:pPr>
            <w:r>
              <w:t xml:space="preserve">GPO links</w:t>
            </w:r>
          </w:p>
        </w:tc>
        <w:tc>
          <w:tcPr/>
          <w:p>
            <w:pPr>
              <w:pStyle w:val="Compact"/>
            </w:pPr>
            <w:r>
              <w:t xml:space="preserve">OUs and domain root only</w:t>
            </w:r>
          </w:p>
        </w:tc>
        <w:tc>
          <w:tcPr/>
          <w:p>
            <w:pPr>
              <w:pStyle w:val="Compact"/>
            </w:pPr>
            <w:r>
              <w:t xml:space="preserve">Also sites</w:t>
            </w:r>
          </w:p>
        </w:tc>
        <w:tc>
          <w:tcPr/>
          <w:p>
            <w:pPr>
              <w:pStyle w:val="Compact"/>
            </w:pPr>
            <w:r>
              <w:t xml:space="preserve">Site-linked GPOs were reported as unlinked</w:t>
            </w:r>
          </w:p>
        </w:tc>
      </w:tr>
      <w:tr>
        <w:tc>
          <w:tcPr/>
          <w:p>
            <w:pPr>
              <w:pStyle w:val="Compact"/>
            </w:pPr>
            <w:r>
              <w:t xml:space="preserve">Empty GPO check</w:t>
            </w:r>
          </w:p>
        </w:tc>
        <w:tc>
          <w:tcPr/>
          <w:p>
            <w:pPr>
              <w:pStyle w:val="Compact"/>
            </w:pPr>
            <w:r>
              <w:rPr>
                <w:rStyle w:val="VerbatimChar"/>
              </w:rPr>
              <w:t xml:space="preserve">$Report = \xml\</w:t>
            </w:r>
            <w:r>
              <w:t xml:space="preserve"> </w:t>
            </w:r>
            <w:r>
              <w:t xml:space="preserve">(damaged)</w:t>
            </w:r>
          </w:p>
        </w:tc>
        <w:tc>
          <w:tcPr/>
          <w:p>
            <w:pPr>
              <w:pStyle w:val="Compact"/>
            </w:pPr>
            <w:r>
              <w:rPr>
                <w:rStyle w:val="VerbatimChar"/>
              </w:rPr>
              <w:t xml:space="preserve">[xml](Get-GPOReport ... -ReportType Xml)</w:t>
            </w:r>
          </w:p>
        </w:tc>
        <w:tc>
          <w:tcPr/>
          <w:p>
            <w:pPr>
              <w:pStyle w:val="Compact"/>
            </w:pPr>
            <w:r>
              <w:t xml:space="preserve">Conversion damage</w:t>
            </w:r>
          </w:p>
        </w:tc>
      </w:tr>
      <w:tr>
        <w:tc>
          <w:tcPr/>
          <w:p>
            <w:pPr>
              <w:pStyle w:val="Compact"/>
            </w:pPr>
            <w:r>
              <w:t xml:space="preserve">CA discovery</w:t>
            </w:r>
          </w:p>
        </w:tc>
        <w:tc>
          <w:tcPr/>
          <w:p>
            <w:pPr>
              <w:pStyle w:val="Compact"/>
            </w:pPr>
            <w:r>
              <w:rPr>
                <w:rStyle w:val="VerbatimChar"/>
              </w:rPr>
              <w:t xml:space="preserve">certutil -config - -ping</w:t>
            </w:r>
          </w:p>
        </w:tc>
        <w:tc>
          <w:tcPr/>
          <w:p>
            <w:pPr>
              <w:pStyle w:val="Compact"/>
            </w:pPr>
            <w:r>
              <w:t xml:space="preserve">Directory query of Enrollment Services</w:t>
            </w:r>
          </w:p>
        </w:tc>
        <w:tc>
          <w:tcPr/>
          <w:p>
            <w:pPr>
              <w:pStyle w:val="Compact"/>
            </w:pPr>
            <w:r>
              <w:rPr>
                <w:rStyle w:val="VerbatimChar"/>
              </w:rPr>
              <w:t xml:space="preserve">-config -</w:t>
            </w:r>
            <w:r>
              <w:t xml:space="preserve"> </w:t>
            </w:r>
            <w:r>
              <w:t xml:space="preserve">prompts for a CA interactively</w:t>
            </w:r>
          </w:p>
        </w:tc>
      </w:tr>
      <w:tr>
        <w:tc>
          <w:tcPr/>
          <w:p>
            <w:pPr>
              <w:pStyle w:val="Compact"/>
            </w:pPr>
            <w:r>
              <w:t xml:space="preserve">PSPKI calls</w:t>
            </w:r>
          </w:p>
        </w:tc>
        <w:tc>
          <w:tcPr/>
          <w:p>
            <w:pPr>
              <w:pStyle w:val="Compact"/>
            </w:pPr>
            <w:r>
              <w:rPr>
                <w:rStyle w:val="VerbatimChar"/>
              </w:rPr>
              <w:t xml:space="preserve">Get-CACertificate</w:t>
            </w:r>
            <w:r>
              <w:t xml:space="preserve">,</w:t>
            </w:r>
            <w:r>
              <w:t xml:space="preserve"> </w:t>
            </w:r>
            <w:r>
              <w:rPr>
                <w:rStyle w:val="VerbatimChar"/>
              </w:rPr>
              <w:t xml:space="preserve">Get-CACrlDistributionPoint</w:t>
            </w:r>
            <w:r>
              <w:t xml:space="preserve">,</w:t>
            </w:r>
            <w:r>
              <w:t xml:space="preserve"> </w:t>
            </w:r>
            <w:r>
              <w:rPr>
                <w:rStyle w:val="VerbatimChar"/>
              </w:rPr>
              <w:t xml:space="preserve">Get-CAAuthorityInformationAccess</w:t>
            </w:r>
          </w:p>
        </w:tc>
        <w:tc>
          <w:tcPr/>
          <w:p>
            <w:pPr>
              <w:pStyle w:val="Compact"/>
            </w:pPr>
            <w:r>
              <w:rPr>
                <w:rStyle w:val="VerbatimChar"/>
              </w:rPr>
              <w:t xml:space="preserve">certutil -ca.cert</w:t>
            </w:r>
            <w:r>
              <w:t xml:space="preserve">, directory CDP and AIA objects</w:t>
            </w:r>
          </w:p>
        </w:tc>
        <w:tc>
          <w:tcPr/>
          <w:p>
            <w:pPr>
              <w:pStyle w:val="Compact"/>
            </w:pPr>
            <w:r>
              <w:t xml:space="preserve">The first doesn’t exist; the PSPKI names are</w:t>
            </w:r>
            <w:r>
              <w:t xml:space="preserve"> </w:t>
            </w:r>
            <w:r>
              <w:rPr>
                <w:rStyle w:val="VerbatimChar"/>
              </w:rPr>
              <w:t xml:space="preserve">Get-CRLDistributionPoint</w:t>
            </w:r>
            <w:r>
              <w:t xml:space="preserve"> </w:t>
            </w:r>
            <w:r>
              <w:t xml:space="preserve">and</w:t>
            </w:r>
            <w:r>
              <w:t xml:space="preserve"> </w:t>
            </w:r>
            <w:r>
              <w:rPr>
                <w:rStyle w:val="VerbatimChar"/>
              </w:rPr>
              <w:t xml:space="preserve">Get-AuthorityInformationAccess</w:t>
            </w:r>
            <w:r>
              <w:rPr>
                <w:rStyle w:val="FootnoteReference"/>
              </w:rPr>
              <w:footnoteReference w:id="1244"/>
            </w:r>
          </w:p>
        </w:tc>
      </w:tr>
      <w:tr>
        <w:tc>
          <w:tcPr/>
          <w:p>
            <w:pPr>
              <w:pStyle w:val="Compact"/>
            </w:pPr>
            <w:r>
              <w:t xml:space="preserve">ESC1 check</w:t>
            </w:r>
          </w:p>
        </w:tc>
        <w:tc>
          <w:tcPr/>
          <w:p>
            <w:pPr>
              <w:pStyle w:val="Compact"/>
            </w:pPr>
            <w:r>
              <w:t xml:space="preserve">Key usage contains Digital Signature</w:t>
            </w:r>
          </w:p>
        </w:tc>
        <w:tc>
          <w:tcPr/>
          <w:p>
            <w:pPr>
              <w:pStyle w:val="Compact"/>
            </w:pPr>
            <w:r>
              <w:t xml:space="preserve">Authentication EKU present, enrollee supplies subject, no approval or signature, broad enroll right</w:t>
            </w:r>
          </w:p>
        </w:tc>
        <w:tc>
          <w:tcPr/>
          <w:p>
            <w:pPr>
              <w:pStyle w:val="Compact"/>
            </w:pPr>
            <w:r>
              <w:t xml:space="preserve">Key usage isn’t EKU; nearly every template has Digital Signature</w:t>
            </w:r>
          </w:p>
        </w:tc>
      </w:tr>
      <w:tr>
        <w:tc>
          <w:tcPr/>
          <w:p>
            <w:pPr>
              <w:pStyle w:val="Compact"/>
            </w:pPr>
            <w:r>
              <w:t xml:space="preserve">Delegation</w:t>
            </w:r>
          </w:p>
        </w:tc>
        <w:tc>
          <w:tcPr/>
          <w:p>
            <w:pPr>
              <w:pStyle w:val="Compact"/>
            </w:pPr>
            <w:r>
              <w:rPr>
                <w:rStyle w:val="VerbatimChar"/>
              </w:rPr>
              <w:t xml:space="preserve">TrustedToAuthForDelegation</w:t>
            </w:r>
            <w:r>
              <w:t xml:space="preserve"> </w:t>
            </w:r>
            <w:r>
              <w:t xml:space="preserve">alone labeled protocol transition; RBCD missing</w:t>
            </w:r>
          </w:p>
        </w:tc>
        <w:tc>
          <w:tcPr/>
          <w:p>
            <w:pPr>
              <w:pStyle w:val="Compact"/>
            </w:pPr>
            <w:r>
              <w:t xml:space="preserve">Four-way classification, DCs excluded</w:t>
            </w:r>
          </w:p>
        </w:tc>
        <w:tc>
          <w:tcPr/>
          <w:p>
            <w:pPr>
              <w:pStyle w:val="Compact"/>
            </w:pPr>
            <w:r>
              <w:t xml:space="preserve">See Chapter 08</w:t>
            </w:r>
          </w:p>
        </w:tc>
      </w:tr>
      <w:tr>
        <w:tc>
          <w:tcPr/>
          <w:p>
            <w:pPr>
              <w:pStyle w:val="Compact"/>
            </w:pPr>
            <w:r>
              <w:t xml:space="preserve">Trusts</w:t>
            </w:r>
          </w:p>
        </w:tc>
        <w:tc>
          <w:tcPr/>
          <w:p>
            <w:pPr>
              <w:pStyle w:val="Compact"/>
            </w:pPr>
            <w:r>
              <w:rPr>
                <w:rStyle w:val="VerbatimChar"/>
              </w:rPr>
              <w:t xml:space="preserve">Test-ADTrust</w:t>
            </w:r>
            <w:r>
              <w:t xml:space="preserve">; direction text reversed</w:t>
            </w:r>
          </w:p>
        </w:tc>
        <w:tc>
          <w:tcPr/>
          <w:p>
            <w:pPr>
              <w:pStyle w:val="Compact"/>
            </w:pPr>
            <w:r>
              <w:rPr>
                <w:rStyle w:val="VerbatimChar"/>
              </w:rPr>
              <w:t xml:space="preserve">netdom trust /verify</w:t>
            </w:r>
            <w:r>
              <w:t xml:space="preserve"> </w:t>
            </w:r>
            <w:r>
              <w:t xml:space="preserve">in a separate function; corrected text</w:t>
            </w:r>
          </w:p>
        </w:tc>
        <w:tc>
          <w:tcPr/>
          <w:p>
            <w:pPr>
              <w:pStyle w:val="Compact"/>
            </w:pPr>
            <w:r>
              <w:rPr>
                <w:rStyle w:val="VerbatimChar"/>
              </w:rPr>
              <w:t xml:space="preserve">Test-ADTrust</w:t>
            </w:r>
            <w:r>
              <w:t xml:space="preserve"> </w:t>
            </w:r>
            <w:r>
              <w:t xml:space="preserve">isn’t an ActiveDirectory cmdlet</w:t>
            </w:r>
            <w:r>
              <w:rPr>
                <w:rStyle w:val="FootnoteReference"/>
              </w:rPr>
              <w:footnoteReference w:id="1245"/>
            </w:r>
          </w:p>
        </w:tc>
      </w:tr>
      <w:tr>
        <w:tc>
          <w:tcPr/>
          <w:p>
            <w:pPr>
              <w:pStyle w:val="Compact"/>
            </w:pPr>
            <w:r>
              <w:t xml:space="preserve">Orphaned</w:t>
            </w:r>
            <w:r>
              <w:t xml:space="preserve"> </w:t>
            </w:r>
            <w:r>
              <w:rPr>
                <w:rStyle w:val="VerbatimChar"/>
              </w:rPr>
              <w:t xml:space="preserve">adminCount</w:t>
            </w:r>
          </w:p>
        </w:tc>
        <w:tc>
          <w:tcPr/>
          <w:p>
            <w:pPr>
              <w:pStyle w:val="Compact"/>
            </w:pPr>
            <w:r>
              <w:t xml:space="preserve">Direct</w:t>
            </w:r>
            <w:r>
              <w:t xml:space="preserve"> </w:t>
            </w:r>
            <w:r>
              <w:rPr>
                <w:rStyle w:val="VerbatimChar"/>
              </w:rPr>
              <w:t xml:space="preserve">MemberOf</w:t>
            </w:r>
            <w:r>
              <w:t xml:space="preserve"> </w:t>
            </w:r>
            <w:r>
              <w:t xml:space="preserve">name match</w:t>
            </w:r>
          </w:p>
        </w:tc>
        <w:tc>
          <w:tcPr/>
          <w:p>
            <w:pPr>
              <w:pStyle w:val="Compact"/>
            </w:pPr>
            <w:r>
              <w:t xml:space="preserve">Recursive membership of protected groups</w:t>
            </w:r>
          </w:p>
        </w:tc>
        <w:tc>
          <w:tcPr/>
          <w:p>
            <w:pPr>
              <w:pStyle w:val="Compact"/>
            </w:pPr>
            <w:r>
              <w:t xml:space="preserve">Nested members were reported as orphans</w:t>
            </w:r>
          </w:p>
        </w:tc>
      </w:tr>
      <w:tr>
        <w:tc>
          <w:tcPr/>
          <w:p>
            <w:pPr>
              <w:pStyle w:val="Compact"/>
            </w:pPr>
            <w:r>
              <w:t xml:space="preserve">Collector scope</w:t>
            </w:r>
          </w:p>
        </w:tc>
        <w:tc>
          <w:tcPr/>
          <w:p>
            <w:pPr>
              <w:pStyle w:val="Compact"/>
            </w:pPr>
            <w:r>
              <w:rPr>
                <w:rStyle w:val="VerbatimChar"/>
              </w:rPr>
              <w:t xml:space="preserve">-Domain</w:t>
            </w:r>
            <w:r>
              <w:t xml:space="preserve"> </w:t>
            </w:r>
            <w:r>
              <w:t xml:space="preserve">accepted but ignored</w:t>
            </w:r>
          </w:p>
        </w:tc>
        <w:tc>
          <w:tcPr/>
          <w:p>
            <w:pPr>
              <w:pStyle w:val="Compact"/>
            </w:pPr>
            <w:r>
              <w:t xml:space="preserve">Passed to every cmdlet as</w:t>
            </w:r>
            <w:r>
              <w:t xml:space="preserve"> </w:t>
            </w:r>
            <w:r>
              <w:rPr>
                <w:rStyle w:val="VerbatimChar"/>
              </w:rPr>
              <w:t xml:space="preserve">-Server</w:t>
            </w:r>
            <w:r>
              <w:t xml:space="preserve"> </w:t>
            </w:r>
            <w:r>
              <w:t xml:space="preserve">or</w:t>
            </w:r>
            <w:r>
              <w:t xml:space="preserve"> </w:t>
            </w:r>
            <w:r>
              <w:rPr>
                <w:rStyle w:val="VerbatimChar"/>
              </w:rPr>
              <w:t xml:space="preserve">-Domain</w:t>
            </w:r>
          </w:p>
        </w:tc>
        <w:tc>
          <w:tcPr/>
          <w:p>
            <w:pPr>
              <w:pStyle w:val="Compact"/>
            </w:pPr>
            <w:r>
              <w:t xml:space="preserve">Multi-domain runs assessed only the current domain</w:t>
            </w:r>
          </w:p>
        </w:tc>
      </w:tr>
      <w:tr>
        <w:tc>
          <w:tcPr/>
          <w:p>
            <w:pPr>
              <w:pStyle w:val="Compact"/>
            </w:pPr>
            <w:r>
              <w:t xml:space="preserve">Gitea</w:t>
            </w:r>
          </w:p>
        </w:tc>
        <w:tc>
          <w:tcPr/>
          <w:p>
            <w:pPr>
              <w:pStyle w:val="Compact"/>
            </w:pPr>
            <w:r>
              <w:t xml:space="preserve">One commit per file; labels never resolved</w:t>
            </w:r>
          </w:p>
        </w:tc>
        <w:tc>
          <w:tcPr/>
          <w:p>
            <w:pPr>
              <w:pStyle w:val="Compact"/>
            </w:pPr>
            <w:r>
              <w:t xml:space="preserve">One multi-file commit on a run branch; label IDs looked up</w:t>
            </w:r>
          </w:p>
        </w:tc>
        <w:tc>
          <w:tcPr/>
          <w:p>
            <w:pPr>
              <w:pStyle w:val="Compact"/>
            </w:pPr>
            <w:r>
              <w:t xml:space="preserve">One run, one commit; the API takes label IDs</w:t>
            </w:r>
            <w:r>
              <w:rPr>
                <w:rStyle w:val="FootnoteReference"/>
              </w:rPr>
              <w:footnoteReference w:id="1246"/>
            </w:r>
          </w:p>
        </w:tc>
      </w:tr>
      <w:tr>
        <w:tc>
          <w:tcPr/>
          <w:p>
            <w:pPr>
              <w:pStyle w:val="Compact"/>
            </w:pPr>
            <w:r>
              <w:t xml:space="preserve">Credentials</w:t>
            </w:r>
          </w:p>
        </w:tc>
        <w:tc>
          <w:tcPr/>
          <w:p>
            <w:pPr>
              <w:pStyle w:val="Compact"/>
            </w:pPr>
            <w:r>
              <w:t xml:space="preserve">Token in a text file; user account with typed password</w:t>
            </w:r>
          </w:p>
        </w:tc>
        <w:tc>
          <w:tcPr/>
          <w:p>
            <w:pPr>
              <w:pStyle w:val="Compact"/>
            </w:pPr>
            <w:r>
              <w:t xml:space="preserve">Token from the credential store; gMSA</w:t>
            </w:r>
          </w:p>
        </w:tc>
        <w:tc>
          <w:tcPr/>
          <w:p>
            <w:pPr>
              <w:pStyle w:val="Compact"/>
            </w:pPr>
            <w:r>
              <w:t xml:space="preserve">No stored secrets</w:t>
            </w:r>
          </w:p>
        </w:tc>
      </w:tr>
    </w:tbl>
    <w:bookmarkEnd w:id="1247"/>
    <w:bookmarkStart w:id="1248" w:name="c.1-module-manifest-fmpadassessment.psd1"/>
    <w:p>
      <w:pPr>
        <w:pStyle w:val="Heading2"/>
      </w:pPr>
      <w:bookmarkStart w:id="1519" w:name="_Toc00001519"/>
      <w:r>
        <w:t xml:space="preserve">C.1 Module manifest (</w:t>
      </w:r>
      <w:r>
        <w:rPr>
          <w:rStyle w:val="VerbatimChar"/>
        </w:rPr>
        <w:t xml:space="preserve">FMPADAssessment.psd1</w:t>
      </w:r>
      <w:r>
        <w:t xml:space="preserve">)</w:t>
      </w:r>
      <w:bookmarkEnd w:id="1519"/>
    </w:p>
    <w:p>
      <w:pPr>
        <w:pStyle w:val="FirstParagraph"/>
      </w:pPr>
      <w:r>
        <w:t xml:space="preserve">Generate a new GUID with</w:t>
      </w:r>
      <w:r>
        <w:t xml:space="preserve"> </w:t>
      </w:r>
      <w:r>
        <w:rPr>
          <w:rStyle w:val="VerbatimChar"/>
        </w:rPr>
        <w:t xml:space="preserve">New-Guid</w:t>
      </w:r>
      <w:r>
        <w:t xml:space="preserve"> </w:t>
      </w:r>
      <w:r>
        <w:t xml:space="preserve">and paste it in; the source’s placeholder GUID isn’t unique.</w:t>
      </w:r>
    </w:p>
    <w:p>
      <w:pPr>
        <w:pStyle w:val="SourceCode"/>
      </w:pPr>
      <w:r>
        <w:rPr>
          <w:rStyle w:val="NormalTok"/>
        </w:rPr>
        <w:t xml:space="preserve">@</w:t>
      </w:r>
      <w:r>
        <w:rPr>
          <w:rStyle w:val="OperatorTok"/>
        </w:rPr>
        <w:t xml:space="preserve">{</w:t>
      </w:r>
      <w:r>
        <w:br/>
      </w:r>
      <w:r>
        <w:rPr>
          <w:rStyle w:val="NormalTok"/>
        </w:rPr>
        <w:t xml:space="preserve">    RootModule        </w:t>
      </w:r>
      <w:r>
        <w:rPr>
          <w:rStyle w:val="OperatorTok"/>
        </w:rPr>
        <w:t xml:space="preserve">=</w:t>
      </w:r>
      <w:r>
        <w:rPr>
          <w:rStyle w:val="NormalTok"/>
        </w:rPr>
        <w:t xml:space="preserve"> </w:t>
      </w:r>
      <w:r>
        <w:rPr>
          <w:rStyle w:val="StringTok"/>
        </w:rPr>
        <w:t xml:space="preserve">'FMPADAssessment.psm1'</w:t>
      </w:r>
      <w:r>
        <w:br/>
      </w:r>
      <w:r>
        <w:rPr>
          <w:rStyle w:val="NormalTok"/>
        </w:rPr>
        <w:t xml:space="preserve">    ModuleVersion     </w:t>
      </w:r>
      <w:r>
        <w:rPr>
          <w:rStyle w:val="OperatorTok"/>
        </w:rPr>
        <w:t xml:space="preserve">=</w:t>
      </w:r>
      <w:r>
        <w:rPr>
          <w:rStyle w:val="NormalTok"/>
        </w:rPr>
        <w:t xml:space="preserve"> </w:t>
      </w:r>
      <w:r>
        <w:rPr>
          <w:rStyle w:val="StringTok"/>
        </w:rPr>
        <w:t xml:space="preserve">'1.1.0'</w:t>
      </w:r>
      <w:r>
        <w:br/>
      </w:r>
      <w:r>
        <w:rPr>
          <w:rStyle w:val="NormalTok"/>
        </w:rPr>
        <w:t xml:space="preserve">    GUID              </w:t>
      </w:r>
      <w:r>
        <w:rPr>
          <w:rStyle w:val="OperatorTok"/>
        </w:rPr>
        <w:t xml:space="preserve">=</w:t>
      </w:r>
      <w:r>
        <w:rPr>
          <w:rStyle w:val="NormalTok"/>
        </w:rPr>
        <w:t xml:space="preserve"> </w:t>
      </w:r>
      <w:r>
        <w:rPr>
          <w:rStyle w:val="StringTok"/>
        </w:rPr>
        <w:t xml:space="preserve">'&lt;paste the output of New-Guid here&gt;'</w:t>
      </w:r>
      <w:r>
        <w:br/>
      </w:r>
      <w:r>
        <w:rPr>
          <w:rStyle w:val="NormalTok"/>
        </w:rPr>
        <w:t xml:space="preserve">    Author            </w:t>
      </w:r>
      <w:r>
        <w:rPr>
          <w:rStyle w:val="OperatorTok"/>
        </w:rPr>
        <w:t xml:space="preserve">=</w:t>
      </w:r>
      <w:r>
        <w:rPr>
          <w:rStyle w:val="NormalTok"/>
        </w:rPr>
        <w:t xml:space="preserve"> </w:t>
      </w:r>
      <w:r>
        <w:rPr>
          <w:rStyle w:val="StringTok"/>
        </w:rPr>
        <w:t xml:space="preserve">'Federal Modernization Program'</w:t>
      </w:r>
      <w:r>
        <w:br/>
      </w:r>
      <w:r>
        <w:rPr>
          <w:rStyle w:val="NormalTok"/>
        </w:rPr>
        <w:t xml:space="preserve">    CompanyName       </w:t>
      </w:r>
      <w:r>
        <w:rPr>
          <w:rStyle w:val="OperatorTok"/>
        </w:rPr>
        <w:t xml:space="preserve">=</w:t>
      </w:r>
      <w:r>
        <w:rPr>
          <w:rStyle w:val="NormalTok"/>
        </w:rPr>
        <w:t xml:space="preserve"> </w:t>
      </w:r>
      <w:r>
        <w:rPr>
          <w:rStyle w:val="StringTok"/>
        </w:rPr>
        <w:t xml:space="preserve">'FMP'</w:t>
      </w:r>
      <w:r>
        <w:br/>
      </w:r>
      <w:r>
        <w:rPr>
          <w:rStyle w:val="NormalTok"/>
        </w:rPr>
        <w:t xml:space="preserve">    Copyright         </w:t>
      </w:r>
      <w:r>
        <w:rPr>
          <w:rStyle w:val="OperatorTok"/>
        </w:rPr>
        <w:t xml:space="preserve">=</w:t>
      </w:r>
      <w:r>
        <w:rPr>
          <w:rStyle w:val="NormalTok"/>
        </w:rPr>
        <w:t xml:space="preserve"> </w:t>
      </w:r>
      <w:r>
        <w:rPr>
          <w:rStyle w:val="StringTok"/>
        </w:rPr>
        <w:t xml:space="preserve">'(c) 2026 Federal Modernization Program'</w:t>
      </w:r>
      <w:r>
        <w:br/>
      </w:r>
      <w:r>
        <w:rPr>
          <w:rStyle w:val="NormalTok"/>
        </w:rPr>
        <w:t xml:space="preserve">    Description       </w:t>
      </w:r>
      <w:r>
        <w:rPr>
          <w:rStyle w:val="OperatorTok"/>
        </w:rPr>
        <w:t xml:space="preserve">=</w:t>
      </w:r>
      <w:r>
        <w:rPr>
          <w:rStyle w:val="NormalTok"/>
        </w:rPr>
        <w:t xml:space="preserve"> </w:t>
      </w:r>
      <w:r>
        <w:rPr>
          <w:rStyle w:val="StringTok"/>
        </w:rPr>
        <w:t xml:space="preserve">'Active Directory forest assessment: discovery, assessment and evidence pipeline.'</w:t>
      </w:r>
      <w:r>
        <w:br/>
      </w:r>
      <w:r>
        <w:rPr>
          <w:rStyle w:val="NormalTok"/>
        </w:rPr>
        <w:t xml:space="preserve">    PowerShellVersion </w:t>
      </w:r>
      <w:r>
        <w:rPr>
          <w:rStyle w:val="OperatorTok"/>
        </w:rPr>
        <w:t xml:space="preserve">=</w:t>
      </w:r>
      <w:r>
        <w:rPr>
          <w:rStyle w:val="NormalTok"/>
        </w:rPr>
        <w:t xml:space="preserve"> </w:t>
      </w:r>
      <w:r>
        <w:rPr>
          <w:rStyle w:val="StringTok"/>
        </w:rPr>
        <w:t xml:space="preserve">'5.1'</w:t>
      </w:r>
      <w:r>
        <w:br/>
      </w:r>
      <w:r>
        <w:rPr>
          <w:rStyle w:val="NormalTok"/>
        </w:rPr>
        <w:t xml:space="preserve">    RequiredModules   </w:t>
      </w:r>
      <w:r>
        <w:rPr>
          <w:rStyle w:val="OperatorTok"/>
        </w:rPr>
        <w:t xml:space="preserve">=</w:t>
      </w:r>
      <w:r>
        <w:rPr>
          <w:rStyle w:val="NormalTok"/>
        </w:rPr>
        <w:t xml:space="preserve"> </w:t>
      </w:r>
      <w:r>
        <w:rPr>
          <w:rStyle w:val="OperatorTok"/>
        </w:rPr>
        <w:t xml:space="preserve">@(</w:t>
      </w:r>
      <w:r>
        <w:rPr>
          <w:rStyle w:val="StringTok"/>
        </w:rPr>
        <w:t xml:space="preserve">'ActiveDirectory'</w:t>
      </w:r>
      <w:r>
        <w:rPr>
          <w:rStyle w:val="OperatorTok"/>
        </w:rPr>
        <w:t xml:space="preserve">,</w:t>
      </w:r>
      <w:r>
        <w:rPr>
          <w:rStyle w:val="NormalTok"/>
        </w:rPr>
        <w:t xml:space="preserve"> </w:t>
      </w:r>
      <w:r>
        <w:rPr>
          <w:rStyle w:val="StringTok"/>
        </w:rPr>
        <w:t xml:space="preserve">'GroupPolicy'</w:t>
      </w:r>
      <w:r>
        <w:rPr>
          <w:rStyle w:val="OperatorTok"/>
        </w:rPr>
        <w:t xml:space="preserve">)</w:t>
      </w:r>
      <w:r>
        <w:br/>
      </w:r>
      <w:r>
        <w:rPr>
          <w:rStyle w:val="NormalTok"/>
        </w:rPr>
        <w:t xml:space="preserve">    FunctionsToExport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'Test-FMPPrerequisites'</w:t>
      </w:r>
      <w:r>
        <w:br/>
      </w:r>
      <w:r>
        <w:rPr>
          <w:rStyle w:val="NormalTok"/>
        </w:rPr>
        <w:t xml:space="preserve">        </w:t>
      </w:r>
      <w:r>
        <w:rPr>
          <w:rStyle w:val="StringTok"/>
        </w:rPr>
        <w:t xml:space="preserve">'Get-FMPForestTopology'</w:t>
      </w:r>
      <w:r>
        <w:br/>
      </w:r>
      <w:r>
        <w:rPr>
          <w:rStyle w:val="NormalTok"/>
        </w:rPr>
        <w:t xml:space="preserve">        </w:t>
      </w:r>
      <w:r>
        <w:rPr>
          <w:rStyle w:val="StringTok"/>
        </w:rPr>
        <w:t xml:space="preserve">'Get-FMPOUHierarchy'</w:t>
      </w:r>
      <w:r>
        <w:br/>
      </w:r>
      <w:r>
        <w:rPr>
          <w:rStyle w:val="NormalTok"/>
        </w:rPr>
        <w:t xml:space="preserve">        </w:t>
      </w:r>
      <w:r>
        <w:rPr>
          <w:rStyle w:val="StringTok"/>
        </w:rPr>
        <w:t xml:space="preserve">'Get-FMPGPOInventory'</w:t>
      </w:r>
      <w:r>
        <w:br/>
      </w:r>
      <w:r>
        <w:rPr>
          <w:rStyle w:val="NormalTok"/>
        </w:rPr>
        <w:t xml:space="preserve">        </w:t>
      </w:r>
      <w:r>
        <w:rPr>
          <w:rStyle w:val="StringTok"/>
        </w:rPr>
        <w:t xml:space="preserve">'Export-FMPGPOSettings'</w:t>
      </w:r>
      <w:r>
        <w:br/>
      </w:r>
      <w:r>
        <w:rPr>
          <w:rStyle w:val="NormalTok"/>
        </w:rPr>
        <w:t xml:space="preserve">        </w:t>
      </w:r>
      <w:r>
        <w:rPr>
          <w:rStyle w:val="StringTok"/>
        </w:rPr>
        <w:t xml:space="preserve">'Get-FMPDNSAssessment'</w:t>
      </w:r>
      <w:r>
        <w:br/>
      </w:r>
      <w:r>
        <w:rPr>
          <w:rStyle w:val="NormalTok"/>
        </w:rPr>
        <w:t xml:space="preserve">        </w:t>
      </w:r>
      <w:r>
        <w:rPr>
          <w:rStyle w:val="StringTok"/>
        </w:rPr>
        <w:t xml:space="preserve">'Get-FMPPKIAssessment'</w:t>
      </w:r>
      <w:r>
        <w:br/>
      </w:r>
      <w:r>
        <w:rPr>
          <w:rStyle w:val="NormalTok"/>
        </w:rPr>
        <w:t xml:space="preserve">        </w:t>
      </w:r>
      <w:r>
        <w:rPr>
          <w:rStyle w:val="StringTok"/>
        </w:rPr>
        <w:t xml:space="preserve">'Get-FMPComputerInventory'</w:t>
      </w:r>
      <w:r>
        <w:br/>
      </w:r>
      <w:r>
        <w:rPr>
          <w:rStyle w:val="NormalTok"/>
        </w:rPr>
        <w:t xml:space="preserve">        </w:t>
      </w:r>
      <w:r>
        <w:rPr>
          <w:rStyle w:val="StringTok"/>
        </w:rPr>
        <w:t xml:space="preserve">'Get-FMPUserInventory'</w:t>
      </w:r>
      <w:r>
        <w:br/>
      </w:r>
      <w:r>
        <w:rPr>
          <w:rStyle w:val="NormalTok"/>
        </w:rPr>
        <w:t xml:space="preserve">        </w:t>
      </w:r>
      <w:r>
        <w:rPr>
          <w:rStyle w:val="StringTok"/>
        </w:rPr>
        <w:t xml:space="preserve">'Get-FMPGroupInventory'</w:t>
      </w:r>
      <w:r>
        <w:br/>
      </w:r>
      <w:r>
        <w:rPr>
          <w:rStyle w:val="NormalTok"/>
        </w:rPr>
        <w:t xml:space="preserve">        </w:t>
      </w:r>
      <w:r>
        <w:rPr>
          <w:rStyle w:val="StringTok"/>
        </w:rPr>
        <w:t xml:space="preserve">'Get-FMPTrustMap'</w:t>
      </w:r>
      <w:r>
        <w:br/>
      </w:r>
      <w:r>
        <w:rPr>
          <w:rStyle w:val="NormalTok"/>
        </w:rPr>
        <w:t xml:space="preserve">        </w:t>
      </w:r>
      <w:r>
        <w:rPr>
          <w:rStyle w:val="StringTok"/>
        </w:rPr>
        <w:t xml:space="preserve">'Test-FMPTrust'</w:t>
      </w:r>
      <w:r>
        <w:br/>
      </w:r>
      <w:r>
        <w:rPr>
          <w:rStyle w:val="NormalTok"/>
        </w:rPr>
        <w:t xml:space="preserve">        </w:t>
      </w:r>
      <w:r>
        <w:rPr>
          <w:rStyle w:val="StringTok"/>
        </w:rPr>
        <w:t xml:space="preserve">'Invoke-FMPADAssessment'</w:t>
      </w:r>
      <w:r>
        <w:br/>
      </w:r>
      <w:r>
        <w:rPr>
          <w:rStyle w:val="NormalTok"/>
        </w:rPr>
        <w:t xml:space="preserve">        </w:t>
      </w:r>
      <w:r>
        <w:rPr>
          <w:rStyle w:val="StringTok"/>
        </w:rPr>
        <w:t xml:space="preserve">'Compare-FMPAssessments'</w:t>
      </w:r>
      <w:r>
        <w:br/>
      </w:r>
      <w:r>
        <w:rPr>
          <w:rStyle w:val="NormalTok"/>
        </w:rPr>
        <w:t xml:space="preserve">        </w:t>
      </w:r>
      <w:r>
        <w:rPr>
          <w:rStyle w:val="StringTok"/>
        </w:rPr>
        <w:t xml:space="preserve">'Push-FMPAssessmentToGitea'</w:t>
      </w:r>
      <w:r>
        <w:br/>
      </w:r>
      <w:r>
        <w:rPr>
          <w:rStyle w:val="NormalTok"/>
        </w:rPr>
        <w:t xml:space="preserve">        </w:t>
      </w:r>
      <w:r>
        <w:rPr>
          <w:rStyle w:val="StringTok"/>
        </w:rPr>
        <w:t xml:space="preserve">'New-FMPSecurityIssue'</w:t>
      </w:r>
      <w:r>
        <w:br/>
      </w:r>
      <w:r>
        <w:rPr>
          <w:rStyle w:val="NormalTok"/>
        </w:rPr>
        <w:t xml:space="preserve">        </w:t>
      </w:r>
      <w:r>
        <w:rPr>
          <w:rStyle w:val="StringTok"/>
        </w:rPr>
        <w:t xml:space="preserve">'Invoke-FMPFindingIssues'</w:t>
      </w:r>
      <w:r>
        <w:br/>
      </w:r>
      <w:r>
        <w:rPr>
          <w:rStyle w:val="NormalTok"/>
        </w:rPr>
        <w:t xml:space="preserve">    </w:t>
      </w:r>
      <w:r>
        <w:rPr>
          <w:rStyle w:val="OperatorTok"/>
        </w:rPr>
        <w:t xml:space="preserve">)</w:t>
      </w:r>
      <w:r>
        <w:br/>
      </w:r>
      <w:r>
        <w:rPr>
          <w:rStyle w:val="NormalTok"/>
        </w:rPr>
        <w:t xml:space="preserve">    CmdletsToExport   </w:t>
      </w:r>
      <w:r>
        <w:rPr>
          <w:rStyle w:val="OperatorTok"/>
        </w:rPr>
        <w:t xml:space="preserve">=</w:t>
      </w:r>
      <w:r>
        <w:rPr>
          <w:rStyle w:val="NormalTok"/>
        </w:rPr>
        <w:t xml:space="preserve"> </w:t>
      </w:r>
      <w:r>
        <w:rPr>
          <w:rStyle w:val="OperatorTok"/>
        </w:rPr>
        <w:t xml:space="preserve">@()</w:t>
      </w:r>
      <w:r>
        <w:br/>
      </w:r>
      <w:r>
        <w:rPr>
          <w:rStyle w:val="NormalTok"/>
        </w:rPr>
        <w:t xml:space="preserve">    VariablesToExport </w:t>
      </w:r>
      <w:r>
        <w:rPr>
          <w:rStyle w:val="OperatorTok"/>
        </w:rPr>
        <w:t xml:space="preserve">=</w:t>
      </w:r>
      <w:r>
        <w:rPr>
          <w:rStyle w:val="NormalTok"/>
        </w:rPr>
        <w:t xml:space="preserve"> </w:t>
      </w:r>
      <w:r>
        <w:rPr>
          <w:rStyle w:val="OperatorTok"/>
        </w:rPr>
        <w:t xml:space="preserve">@()</w:t>
      </w:r>
      <w:r>
        <w:br/>
      </w:r>
      <w:r>
        <w:rPr>
          <w:rStyle w:val="NormalTok"/>
        </w:rPr>
        <w:t xml:space="preserve">    AliasesToExport   </w:t>
      </w:r>
      <w:r>
        <w:rPr>
          <w:rStyle w:val="OperatorTok"/>
        </w:rPr>
        <w:t xml:space="preserve">=</w:t>
      </w:r>
      <w:r>
        <w:rPr>
          <w:rStyle w:val="NormalTok"/>
        </w:rPr>
        <w:t xml:space="preserve"> </w:t>
      </w:r>
      <w:r>
        <w:rPr>
          <w:rStyle w:val="OperatorTok"/>
        </w:rPr>
        <w:t xml:space="preserve">@()</w:t>
      </w:r>
      <w:r>
        <w:br/>
      </w:r>
      <w:r>
        <w:rPr>
          <w:rStyle w:val="NormalTok"/>
        </w:rPr>
        <w:t xml:space="preserve">    PrivateData       </w:t>
      </w:r>
      <w:r>
        <w:rPr>
          <w:rStyle w:val="OperatorTok"/>
        </w:rPr>
        <w:t xml:space="preserve">=</w:t>
      </w:r>
      <w:r>
        <w:rPr>
          <w:rStyle w:val="NormalTok"/>
        </w:rPr>
        <w:t xml:space="preserve"> @</w:t>
      </w:r>
      <w:r>
        <w:rPr>
          <w:rStyle w:val="OperatorTok"/>
        </w:rPr>
        <w:t xml:space="preserve">{</w:t>
      </w:r>
      <w:r>
        <w:br/>
      </w:r>
      <w:r>
        <w:rPr>
          <w:rStyle w:val="NormalTok"/>
        </w:rPr>
        <w:t xml:space="preserve">        PSData </w:t>
      </w:r>
      <w:r>
        <w:rPr>
          <w:rStyle w:val="OperatorTok"/>
        </w:rPr>
        <w:t xml:space="preserve">=</w:t>
      </w:r>
      <w:r>
        <w:rPr>
          <w:rStyle w:val="NormalTok"/>
        </w:rPr>
        <w:t xml:space="preserve"> @</w:t>
      </w:r>
      <w:r>
        <w:rPr>
          <w:rStyle w:val="OperatorTok"/>
        </w:rPr>
        <w:t xml:space="preserve">{</w:t>
      </w:r>
      <w:r>
        <w:br/>
      </w:r>
      <w:r>
        <w:rPr>
          <w:rStyle w:val="NormalTok"/>
        </w:rPr>
        <w:t xml:space="preserve">            Tags </w:t>
      </w:r>
      <w:r>
        <w:rPr>
          <w:rStyle w:val="OperatorTok"/>
        </w:rPr>
        <w:t xml:space="preserve">=</w:t>
      </w:r>
      <w:r>
        <w:rPr>
          <w:rStyle w:val="NormalTok"/>
        </w:rPr>
        <w:t xml:space="preserve"> </w:t>
      </w:r>
      <w:r>
        <w:rPr>
          <w:rStyle w:val="OperatorTok"/>
        </w:rPr>
        <w:t xml:space="preserve">@(</w:t>
      </w:r>
      <w:r>
        <w:rPr>
          <w:rStyle w:val="StringTok"/>
        </w:rPr>
        <w:t xml:space="preserve">'ActiveDirectory'</w:t>
      </w:r>
      <w:r>
        <w:rPr>
          <w:rStyle w:val="OperatorTok"/>
        </w:rPr>
        <w:t xml:space="preserve">,</w:t>
      </w:r>
      <w:r>
        <w:rPr>
          <w:rStyle w:val="NormalTok"/>
        </w:rPr>
        <w:t xml:space="preserve"> </w:t>
      </w:r>
      <w:r>
        <w:rPr>
          <w:rStyle w:val="StringTok"/>
        </w:rPr>
        <w:t xml:space="preserve">'Assessment'</w:t>
      </w:r>
      <w:r>
        <w:rPr>
          <w:rStyle w:val="OperatorTok"/>
        </w:rPr>
        <w:t xml:space="preserve">,</w:t>
      </w:r>
      <w:r>
        <w:rPr>
          <w:rStyle w:val="NormalTok"/>
        </w:rPr>
        <w:t xml:space="preserve"> </w:t>
      </w:r>
      <w:r>
        <w:rPr>
          <w:rStyle w:val="StringTok"/>
        </w:rPr>
        <w:t xml:space="preserve">'Governance'</w:t>
      </w:r>
      <w:r>
        <w:rPr>
          <w:rStyle w:val="OperatorTok"/>
        </w:rPr>
        <w:t xml:space="preserve">,</w:t>
      </w:r>
      <w:r>
        <w:rPr>
          <w:rStyle w:val="NormalTok"/>
        </w:rPr>
        <w:t xml:space="preserve"> </w:t>
      </w:r>
      <w:r>
        <w:rPr>
          <w:rStyle w:val="StringTok"/>
        </w:rPr>
        <w:t xml:space="preserve">'FMP'</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p>
    <w:bookmarkEnd w:id="1248"/>
    <w:bookmarkStart w:id="1294" w:name="c.2-module-file-fmpadassessment.psm1"/>
    <w:p>
      <w:pPr>
        <w:pStyle w:val="Heading2"/>
      </w:pPr>
      <w:bookmarkStart w:id="1520" w:name="_Toc00001520"/>
      <w:r>
        <w:t xml:space="preserve">C.2 Module file (</w:t>
      </w:r>
      <w:r>
        <w:rPr>
          <w:rStyle w:val="VerbatimChar"/>
        </w:rPr>
        <w:t xml:space="preserve">FMPADAssessment.psm1</w:t>
      </w:r>
      <w:r>
        <w:t xml:space="preserve">)</w:t>
      </w:r>
      <w:bookmarkEnd w:id="1520"/>
    </w:p>
    <w:p>
      <w:pPr>
        <w:pStyle w:val="FirstParagraph"/>
      </w:pPr>
      <w:r>
        <w:t xml:space="preserve">The module file is one script. It’s shown here in sections, in file order.</w:t>
      </w:r>
    </w:p>
    <w:bookmarkStart w:id="1249" w:name="header-and-helpers"/>
    <w:p>
      <w:pPr>
        <w:pStyle w:val="Heading3"/>
      </w:pPr>
      <w:r>
        <w:t xml:space="preserve">Header and helpers</w:t>
      </w:r>
    </w:p>
    <w:p>
      <w:pPr>
        <w:pStyle w:val="SourceCode"/>
      </w:pPr>
      <w:r>
        <w:rPr>
          <w:rStyle w:val="CommentTok"/>
        </w:rPr>
        <w:t xml:space="preserve">#Requires -Version 5.1</w:t>
      </w:r>
      <w:r>
        <w:br/>
      </w:r>
      <w:r>
        <w:rPr>
          <w:rStyle w:val="CommentTok"/>
        </w:rPr>
        <w:t xml:space="preserve">#Requires -Modules ActiveDirectory, GroupPolicy</w:t>
      </w:r>
      <w:r>
        <w:br/>
      </w:r>
      <w:r>
        <w:br/>
      </w:r>
      <w:r>
        <w:rPr>
          <w:rStyle w:val="CommentTok"/>
        </w:rPr>
        <w:t xml:space="preserve">&lt;#</w:t>
      </w:r>
      <w:r>
        <w:br/>
      </w:r>
      <w:r>
        <w:rPr>
          <w:rStyle w:val="CommentTok"/>
        </w:rPr>
        <w:t xml:space="preserve">.SYNOPSIS</w:t>
      </w:r>
      <w:r>
        <w:br/>
      </w:r>
      <w:r>
        <w:rPr>
          <w:rStyle w:val="CommentTok"/>
        </w:rPr>
        <w:t xml:space="preserve">    Federal Modernization Program Active Directory assessment module.</w:t>
      </w:r>
      <w:r>
        <w:br/>
      </w:r>
      <w:r>
        <w:rPr>
          <w:rStyle w:val="CommentTok"/>
        </w:rPr>
        <w:t xml:space="preserve">.DESCRIPTION</w:t>
      </w:r>
      <w:r>
        <w:br/>
      </w:r>
      <w:r>
        <w:rPr>
          <w:rStyle w:val="CommentTok"/>
        </w:rPr>
        <w:t xml:space="preserve">    Forest discovery, infrastructure assessment and evidence extraction.</w:t>
      </w:r>
      <w:r>
        <w:br/>
      </w:r>
      <w:r>
        <w:rPr>
          <w:rStyle w:val="CommentTok"/>
        </w:rPr>
        <w:t xml:space="preserve">    Read-only against the directory. Writes only under -OutputPath.</w:t>
      </w:r>
      <w:r>
        <w:br/>
      </w:r>
      <w:r>
        <w:rPr>
          <w:rStyle w:val="CommentTok"/>
        </w:rPr>
        <w:t xml:space="preserve">#&gt;</w:t>
      </w:r>
      <w:r>
        <w:br/>
      </w:r>
      <w:r>
        <w:br/>
      </w:r>
      <w:r>
        <w:rPr>
          <w:rStyle w:val="KeywordTok"/>
        </w:rPr>
        <w:t xml:space="preserve">function</w:t>
      </w:r>
      <w:r>
        <w:rPr>
          <w:rStyle w:val="NormalTok"/>
        </w:rPr>
        <w:t xml:space="preserve"> Initialize-FMPPath </w:t>
      </w:r>
      <w:r>
        <w:rPr>
          <w:rStyle w:val="OperatorTok"/>
        </w:rPr>
        <w:t xml:space="preserve">{</w:t>
      </w:r>
      <w:r>
        <w:br/>
      </w:r>
      <w:r>
        <w:rPr>
          <w:rStyle w:val="NormalTok"/>
        </w:rPr>
        <w:t xml:space="preserve">    </w:t>
      </w:r>
      <w:r>
        <w:rPr>
          <w:rStyle w:val="KeywordTok"/>
        </w:rPr>
        <w:t xml:space="preserve">param</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$Path</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OperatorTok"/>
        </w:rPr>
        <w:t xml:space="preserve">(</w:t>
      </w:r>
      <w:r>
        <w:rPr>
          <w:rStyle w:val="FunctionTok"/>
        </w:rPr>
        <w:t xml:space="preserve">Test-Path</w:t>
      </w:r>
      <w:r>
        <w:rPr>
          <w:rStyle w:val="NormalTok"/>
        </w:rPr>
        <w:t xml:space="preserve"> </w:t>
      </w:r>
      <w:r>
        <w:rPr>
          <w:rStyle w:val="OperatorTok"/>
        </w:rPr>
        <w:t xml:space="preserve">-</w:t>
      </w:r>
      <w:r>
        <w:rPr>
          <w:rStyle w:val="NormalTok"/>
        </w:rPr>
        <w:t xml:space="preserve">Path </w:t>
      </w:r>
      <w:r>
        <w:rPr>
          <w:rStyle w:val="VariableTok"/>
        </w:rPr>
        <w:t xml:space="preserve">$Path</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New-Item</w:t>
      </w:r>
      <w:r>
        <w:rPr>
          <w:rStyle w:val="NormalTok"/>
        </w:rPr>
        <w:t xml:space="preserve"> </w:t>
      </w:r>
      <w:r>
        <w:rPr>
          <w:rStyle w:val="OperatorTok"/>
        </w:rPr>
        <w:t xml:space="preserve">-</w:t>
      </w:r>
      <w:r>
        <w:rPr>
          <w:rStyle w:val="NormalTok"/>
        </w:rPr>
        <w:t xml:space="preserve">Path </w:t>
      </w:r>
      <w:r>
        <w:rPr>
          <w:rStyle w:val="VariableTok"/>
        </w:rPr>
        <w:t xml:space="preserve">$Path</w:t>
      </w:r>
      <w:r>
        <w:rPr>
          <w:rStyle w:val="NormalTok"/>
        </w:rPr>
        <w:t xml:space="preserve"> </w:t>
      </w:r>
      <w:r>
        <w:rPr>
          <w:rStyle w:val="OperatorTok"/>
        </w:rPr>
        <w:t xml:space="preserve">-</w:t>
      </w:r>
      <w:r>
        <w:rPr>
          <w:rStyle w:val="NormalTok"/>
        </w:rPr>
        <w:t xml:space="preserve">ItemType Directory </w:t>
      </w:r>
      <w:r>
        <w:rPr>
          <w:rStyle w:val="OperatorTok"/>
        </w:rPr>
        <w:t xml:space="preserve">-</w:t>
      </w:r>
      <w:r>
        <w:rPr>
          <w:rStyle w:val="NormalTok"/>
        </w:rPr>
        <w:t xml:space="preserve">Force </w:t>
      </w:r>
      <w:r>
        <w:rPr>
          <w:rStyle w:val="OperatorTok"/>
        </w:rPr>
        <w:t xml:space="preserve">|</w:t>
      </w:r>
      <w:r>
        <w:rPr>
          <w:rStyle w:val="NormalTok"/>
        </w:rPr>
        <w:t xml:space="preserve"> </w:t>
      </w:r>
      <w:r>
        <w:rPr>
          <w:rStyle w:val="FunctionTok"/>
        </w:rPr>
        <w:t xml:space="preserve">Out-Null</w:t>
      </w:r>
      <w:r>
        <w:br/>
      </w:r>
      <w:r>
        <w:rPr>
          <w:rStyle w:val="NormalTok"/>
        </w:rPr>
        <w:t xml:space="preserve">    </w:t>
      </w:r>
      <w:r>
        <w:rPr>
          <w:rStyle w:val="OperatorTok"/>
        </w:rPr>
        <w:t xml:space="preserve">}</w:t>
      </w:r>
      <w:r>
        <w:br/>
      </w:r>
      <w:r>
        <w:rPr>
          <w:rStyle w:val="NormalTok"/>
        </w:rPr>
        <w:t xml:space="preserve">    </w:t>
      </w:r>
      <w:r>
        <w:rPr>
          <w:rStyle w:val="VariableTok"/>
        </w:rPr>
        <w:t xml:space="preserve">$Path</w:t>
      </w:r>
      <w:r>
        <w:br/>
      </w:r>
      <w:r>
        <w:rPr>
          <w:rStyle w:val="OperatorTok"/>
        </w:rPr>
        <w:t xml:space="preserve">}</w:t>
      </w:r>
      <w:r>
        <w:br/>
      </w:r>
      <w:r>
        <w:br/>
      </w:r>
      <w:r>
        <w:rPr>
          <w:rStyle w:val="KeywordTok"/>
        </w:rPr>
        <w:t xml:space="preserve">function</w:t>
      </w:r>
      <w:r>
        <w:rPr>
          <w:rStyle w:val="NormalTok"/>
        </w:rPr>
        <w:t xml:space="preserve"> Write-FMPJson </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VariableTok"/>
        </w:rPr>
        <w:t xml:space="preserve">$InputObject</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$Path</w:t>
      </w:r>
      <w:r>
        <w:rPr>
          <w:rStyle w:val="OperatorTok"/>
        </w:rPr>
        <w:t xml:space="preserve">,</w:t>
      </w:r>
      <w:r>
        <w:br/>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$Depth</w:t>
      </w:r>
      <w:r>
        <w:rPr>
          <w:rStyle w:val="NormalTok"/>
        </w:rPr>
        <w:t xml:space="preserve"> </w:t>
      </w:r>
      <w:r>
        <w:rPr>
          <w:rStyle w:val="OperatorTok"/>
        </w:rPr>
        <w:t xml:space="preserve">=</w:t>
      </w:r>
      <w:r>
        <w:rPr>
          <w:rStyle w:val="NormalTok"/>
        </w:rPr>
        <w:t xml:space="preserve"> </w:t>
      </w:r>
      <w:r>
        <w:rPr>
          <w:rStyle w:val="DecValTok"/>
        </w:rPr>
        <w:t xml:space="preserve">8</w:t>
      </w:r>
      <w:r>
        <w:br/>
      </w:r>
      <w:r>
        <w:rPr>
          <w:rStyle w:val="NormalTok"/>
        </w:rPr>
        <w:t xml:space="preserve">    </w:t>
      </w:r>
      <w:r>
        <w:rPr>
          <w:rStyle w:val="OperatorTok"/>
        </w:rPr>
        <w:t xml:space="preserve">)</w:t>
      </w:r>
      <w:r>
        <w:br/>
      </w:r>
      <w:r>
        <w:rPr>
          <w:rStyle w:val="NormalTok"/>
        </w:rPr>
        <w:t xml:space="preserve">    </w:t>
      </w:r>
      <w:r>
        <w:rPr>
          <w:rStyle w:val="VariableTok"/>
        </w:rPr>
        <w:t xml:space="preserve">$InputObject</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VariableTok"/>
        </w:rPr>
        <w:t xml:space="preserve">$Depth</w:t>
      </w:r>
      <w:r>
        <w:rPr>
          <w:rStyle w:val="NormalTok"/>
        </w:rPr>
        <w:t xml:space="preserve"> </w:t>
      </w:r>
      <w:r>
        <w:rPr>
          <w:rStyle w:val="OperatorTok"/>
        </w:rPr>
        <w:t xml:space="preserve">|</w:t>
      </w:r>
      <w:r>
        <w:br/>
      </w:r>
      <w:r>
        <w:rPr>
          <w:rStyle w:val="NormalTok"/>
        </w:rPr>
        <w:t xml:space="preserve">        </w:t>
      </w:r>
      <w:r>
        <w:rPr>
          <w:rStyle w:val="FunctionTok"/>
        </w:rPr>
        <w:t xml:space="preserve">Out-File</w:t>
      </w:r>
      <w:r>
        <w:rPr>
          <w:rStyle w:val="NormalTok"/>
        </w:rPr>
        <w:t xml:space="preserve"> </w:t>
      </w:r>
      <w:r>
        <w:rPr>
          <w:rStyle w:val="OperatorTok"/>
        </w:rPr>
        <w:t xml:space="preserve">-</w:t>
      </w:r>
      <w:r>
        <w:rPr>
          <w:rStyle w:val="NormalTok"/>
        </w:rPr>
        <w:t xml:space="preserve">FilePath </w:t>
      </w:r>
      <w:r>
        <w:rPr>
          <w:rStyle w:val="VariableTok"/>
        </w:rPr>
        <w:t xml:space="preserve">$Path</w:t>
      </w:r>
      <w:r>
        <w:rPr>
          <w:rStyle w:val="NormalTok"/>
        </w:rPr>
        <w:t xml:space="preserve"> </w:t>
      </w:r>
      <w:r>
        <w:rPr>
          <w:rStyle w:val="OperatorTok"/>
        </w:rPr>
        <w:t xml:space="preserve">-</w:t>
      </w:r>
      <w:r>
        <w:rPr>
          <w:rStyle w:val="NormalTok"/>
        </w:rPr>
        <w:t xml:space="preserve">Encoding UTF8</w:t>
      </w:r>
      <w:r>
        <w:br/>
      </w:r>
      <w:r>
        <w:rPr>
          <w:rStyle w:val="OperatorTok"/>
        </w:rPr>
        <w:t xml:space="preserve">}</w:t>
      </w:r>
      <w:r>
        <w:br/>
      </w:r>
      <w:r>
        <w:br/>
      </w:r>
      <w:r>
        <w:rPr>
          <w:rStyle w:val="KeywordTok"/>
        </w:rPr>
        <w:t xml:space="preserve">function</w:t>
      </w:r>
      <w:r>
        <w:rPr>
          <w:rStyle w:val="NormalTok"/>
        </w:rPr>
        <w:t xml:space="preserve"> Get-FMPDomainPath </w:t>
      </w:r>
      <w:r>
        <w:rPr>
          <w:rStyle w:val="OperatorTok"/>
        </w:rPr>
        <w:t xml:space="preserve">{</w:t>
      </w:r>
      <w:r>
        <w:br/>
      </w:r>
      <w:r>
        <w:rPr>
          <w:rStyle w:val="NormalTok"/>
        </w:rPr>
        <w:t xml:space="preserve">    </w:t>
      </w:r>
      <w:r>
        <w:rPr>
          <w:rStyle w:val="CommentTok"/>
        </w:rPr>
        <w:t xml:space="preserve"># Returns &lt;OutputPath&gt;\&lt;domain&gt;\&lt;Area&gt;, creating it if needed.</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$Area</w:t>
      </w:r>
      <w:r>
        <w:br/>
      </w:r>
      <w:r>
        <w:rPr>
          <w:rStyle w:val="NormalTok"/>
        </w:rPr>
        <w:t xml:space="preserve">    </w:t>
      </w:r>
      <w:r>
        <w:rPr>
          <w:rStyle w:val="OperatorTok"/>
        </w:rPr>
        <w:t xml:space="preserve">)</w:t>
      </w:r>
      <w:r>
        <w:br/>
      </w:r>
      <w:r>
        <w:rPr>
          <w:rStyle w:val="NormalTok"/>
        </w:rPr>
        <w:t xml:space="preserve">    Initialize-FMPPath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OperatorTok"/>
        </w:rPr>
        <w:t xml:space="preserve">(</w:t>
      </w:r>
      <w:r>
        <w:rPr>
          <w:rStyle w:val="FunctionTok"/>
        </w:rPr>
        <w:t xml:space="preserve">Join-Path</w:t>
      </w:r>
      <w:r>
        <w:rPr>
          <w:rStyle w:val="NormalTok"/>
        </w:rPr>
        <w:t xml:space="preserve"> </w:t>
      </w:r>
      <w:r>
        <w:rPr>
          <w:rStyle w:val="VariableTok"/>
        </w:rPr>
        <w:t xml:space="preserve">$OutputPath</w:t>
      </w:r>
      <w:r>
        <w:rPr>
          <w:rStyle w:val="NormalTok"/>
        </w:rPr>
        <w:t xml:space="preserve"> </w:t>
      </w:r>
      <w:r>
        <w:rPr>
          <w:rStyle w:val="VariableTok"/>
        </w:rPr>
        <w:t xml:space="preserve">$Domain</w:t>
      </w:r>
      <w:r>
        <w:rPr>
          <w:rStyle w:val="OperatorTok"/>
        </w:rPr>
        <w:t xml:space="preserve">)</w:t>
      </w:r>
      <w:r>
        <w:rPr>
          <w:rStyle w:val="NormalTok"/>
        </w:rPr>
        <w:t xml:space="preserve"> </w:t>
      </w:r>
      <w:r>
        <w:rPr>
          <w:rStyle w:val="VariableTok"/>
        </w:rPr>
        <w:t xml:space="preserve">$Area</w:t>
      </w:r>
      <w:r>
        <w:rPr>
          <w:rStyle w:val="OperatorTok"/>
        </w:rPr>
        <w:t xml:space="preserve">)</w:t>
      </w:r>
      <w:r>
        <w:br/>
      </w:r>
      <w:r>
        <w:rPr>
          <w:rStyle w:val="OperatorTok"/>
        </w:rPr>
        <w:t xml:space="preserve">}</w:t>
      </w:r>
    </w:p>
    <w:bookmarkEnd w:id="1249"/>
    <w:bookmarkStart w:id="1250" w:name="prerequisites-1"/>
    <w:p>
      <w:pPr>
        <w:pStyle w:val="Heading3"/>
      </w:pPr>
      <w:r>
        <w:t xml:space="preserve">Prerequisites</w:t>
      </w:r>
    </w:p>
    <w:p>
      <w:pPr>
        <w:pStyle w:val="SourceCode"/>
      </w:pPr>
      <w:r>
        <w:rPr>
          <w:rStyle w:val="KeywordTok"/>
        </w:rPr>
        <w:t xml:space="preserve">function</w:t>
      </w:r>
      <w:r>
        <w:rPr>
          <w:rStyle w:val="NormalTok"/>
        </w:rPr>
        <w:t xml:space="preserve"> Test-FMPPrerequisites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Checks OS build, modules, forest connectivity and the output root.</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'D:\FMP\Assessment'</w:t>
      </w:r>
      <w:r>
        <w:rPr>
          <w:rStyle w:val="OperatorTok"/>
        </w:rPr>
        <w:t xml:space="preserve">)</w:t>
      </w:r>
      <w:r>
        <w:br/>
      </w:r>
      <w:r>
        <w:br/>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CommentTok"/>
        </w:rPr>
        <w:t xml:space="preserve"># Windows Server 2025 and Windows 11 24H2 report build 26100; 25H2 reports 26200.</w:t>
      </w:r>
      <w:r>
        <w:br/>
      </w:r>
      <w:r>
        <w:rPr>
          <w:rStyle w:val="NormalTok"/>
        </w:rPr>
        <w:t xml:space="preserve">    </w:t>
      </w:r>
      <w:r>
        <w:rPr>
          <w:rStyle w:val="VariableTok"/>
        </w:rPr>
        <w:t xml:space="preserve">$os</w:t>
      </w:r>
      <w:r>
        <w:rPr>
          <w:rStyle w:val="NormalTok"/>
        </w:rPr>
        <w:t xml:space="preserve"> </w:t>
      </w:r>
      <w:r>
        <w:rPr>
          <w:rStyle w:val="OperatorTok"/>
        </w:rPr>
        <w:t xml:space="preserve">=</w:t>
      </w:r>
      <w:r>
        <w:rPr>
          <w:rStyle w:val="NormalTok"/>
        </w:rPr>
        <w:t xml:space="preserve"> </w:t>
      </w:r>
      <w:r>
        <w:rPr>
          <w:rStyle w:val="FunctionTok"/>
        </w:rPr>
        <w:t xml:space="preserve">Get-CimInstance</w:t>
      </w:r>
      <w:r>
        <w:rPr>
          <w:rStyle w:val="NormalTok"/>
        </w:rPr>
        <w:t xml:space="preserve"> </w:t>
      </w:r>
      <w:r>
        <w:rPr>
          <w:rStyle w:val="OperatorTok"/>
        </w:rPr>
        <w:t xml:space="preserve">-</w:t>
      </w:r>
      <w:r>
        <w:rPr>
          <w:rStyle w:val="NormalTok"/>
        </w:rPr>
        <w:t xml:space="preserve">ClassName Win32_OperatingSystem</w:t>
      </w:r>
      <w:r>
        <w:br/>
      </w:r>
      <w:r>
        <w:rPr>
          <w:rStyle w:val="NormalTok"/>
        </w:rPr>
        <w:t xml:space="preserve">    </w:t>
      </w:r>
      <w:r>
        <w:rPr>
          <w:rStyle w:val="VariableTok"/>
        </w:rPr>
        <w:t xml:space="preserve">$osPass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version</w:t>
      </w:r>
      <w:r>
        <w:rPr>
          <w:rStyle w:val="OperatorTok"/>
        </w:rPr>
        <w:t xml:space="preserve">]</w:t>
      </w:r>
      <w:r>
        <w:rPr>
          <w:rStyle w:val="VariableTok"/>
        </w:rPr>
        <w:t xml:space="preserve">$os</w:t>
      </w:r>
      <w:r>
        <w:rPr>
          <w:rStyle w:val="OperatorTok"/>
        </w:rPr>
        <w:t xml:space="preserve">.</w:t>
      </w:r>
      <w:r>
        <w:rPr>
          <w:rStyle w:val="FunctionTok"/>
        </w:rPr>
        <w:t xml:space="preserve">Version</w:t>
      </w:r>
      <w:r>
        <w:rPr>
          <w:rStyle w:val="OperatorTok"/>
        </w:rPr>
        <w:t xml:space="preserve">)</w:t>
      </w:r>
      <w:r>
        <w:rPr>
          <w:rStyle w:val="NormalTok"/>
        </w:rPr>
        <w:t xml:space="preserve"> </w:t>
      </w:r>
      <w:r>
        <w:rPr>
          <w:rStyle w:val="OperatorTok"/>
        </w:rPr>
        <w:t xml:space="preserve">-ge</w:t>
      </w:r>
      <w:r>
        <w:rPr>
          <w:rStyle w:val="NormalTok"/>
        </w:rPr>
        <w:t xml:space="preserve"> </w:t>
      </w:r>
      <w:r>
        <w:rPr>
          <w:rStyle w:val="OperatorTok"/>
        </w:rPr>
        <w:t xml:space="preserve">[</w:t>
      </w:r>
      <w:r>
        <w:rPr>
          <w:rStyle w:val="NormalTok"/>
        </w:rPr>
        <w:t xml:space="preserve">version</w:t>
      </w:r>
      <w:r>
        <w:rPr>
          <w:rStyle w:val="OperatorTok"/>
        </w:rPr>
        <w:t xml:space="preserve">]</w:t>
      </w:r>
      <w:r>
        <w:rPr>
          <w:rStyle w:val="StringTok"/>
        </w:rPr>
        <w:t xml:space="preserve">'10.0.26100'</w:t>
      </w:r>
      <w:r>
        <w:br/>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Check  </w:t>
      </w:r>
      <w:r>
        <w:rPr>
          <w:rStyle w:val="OperatorTok"/>
        </w:rPr>
        <w:t xml:space="preserve">=</w:t>
      </w:r>
      <w:r>
        <w:rPr>
          <w:rStyle w:val="NormalTok"/>
        </w:rPr>
        <w:t xml:space="preserve"> </w:t>
      </w:r>
      <w:r>
        <w:rPr>
          <w:rStyle w:val="StringTok"/>
        </w:rPr>
        <w:t xml:space="preserve">'Operating system'</w:t>
      </w:r>
      <w:r>
        <w:br/>
      </w:r>
      <w:r>
        <w:rPr>
          <w:rStyle w:val="NormalTok"/>
        </w:rPr>
        <w:t xml:space="preserve">        Status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$osPass</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'PASS'</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'FAIL'</w:t>
      </w:r>
      <w:r>
        <w:rPr>
          <w:rStyle w:val="NormalTok"/>
        </w:rPr>
        <w:t xml:space="preserve"> </w:t>
      </w:r>
      <w:r>
        <w:rPr>
          <w:rStyle w:val="OperatorTok"/>
        </w:rPr>
        <w:t xml:space="preserve">}</w:t>
      </w:r>
      <w:r>
        <w:br/>
      </w:r>
      <w:r>
        <w:rPr>
          <w:rStyle w:val="NormalTok"/>
        </w:rPr>
        <w:t xml:space="preserve">        Detail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$os</w:t>
      </w:r>
      <w:r>
        <w:rPr>
          <w:rStyle w:val="OperatorTok"/>
        </w:rPr>
        <w:t xml:space="preserve">.</w:t>
      </w:r>
      <w:r>
        <w:rPr>
          <w:rStyle w:val="FunctionTok"/>
        </w:rPr>
        <w:t xml:space="preserve">Caption</w:t>
      </w:r>
      <w:r>
        <w:rPr>
          <w:rStyle w:val="OperatorTok"/>
        </w:rPr>
        <w:t xml:space="preserve">)</w:t>
      </w:r>
      <w:r>
        <w:rPr>
          <w:rStyle w:val="StringTok"/>
        </w:rPr>
        <w:t xml:space="preserve"> (</w:t>
      </w:r>
      <w:r>
        <w:rPr>
          <w:rStyle w:val="OperatorTok"/>
        </w:rPr>
        <w:t xml:space="preserve">$(</w:t>
      </w:r>
      <w:r>
        <w:rPr>
          <w:rStyle w:val="VariableTok"/>
        </w:rPr>
        <w:t xml:space="preserve">$os</w:t>
      </w:r>
      <w:r>
        <w:rPr>
          <w:rStyle w:val="OperatorTok"/>
        </w:rPr>
        <w:t xml:space="preserve">.</w:t>
      </w:r>
      <w:r>
        <w:rPr>
          <w:rStyle w:val="FunctionTok"/>
        </w:rPr>
        <w:t xml:space="preserve">Version</w:t>
      </w:r>
      <w:r>
        <w:rPr>
          <w:rStyle w:val="OperatorTok"/>
        </w:rPr>
        <w:t xml:space="preserve">)</w:t>
      </w:r>
      <w:r>
        <w:rPr>
          <w:rStyle w:val="String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$required</w:t>
      </w:r>
      <w:r>
        <w:rPr>
          <w:rStyle w:val="NormalTok"/>
        </w:rPr>
        <w:t xml:space="preserve"> </w:t>
      </w:r>
      <w:r>
        <w:rPr>
          <w:rStyle w:val="OperatorTok"/>
        </w:rPr>
        <w:t xml:space="preserve">=</w:t>
      </w:r>
      <w:r>
        <w:rPr>
          <w:rStyle w:val="NormalTok"/>
        </w:rPr>
        <w:t xml:space="preserve"> </w:t>
      </w:r>
      <w:r>
        <w:rPr>
          <w:rStyle w:val="StringTok"/>
        </w:rPr>
        <w:t xml:space="preserve">'ActiveDirectory'</w:t>
      </w:r>
      <w:r>
        <w:rPr>
          <w:rStyle w:val="OperatorTok"/>
        </w:rPr>
        <w:t xml:space="preserve">,</w:t>
      </w:r>
      <w:r>
        <w:rPr>
          <w:rStyle w:val="NormalTok"/>
        </w:rPr>
        <w:t xml:space="preserve"> </w:t>
      </w:r>
      <w:r>
        <w:rPr>
          <w:rStyle w:val="StringTok"/>
        </w:rPr>
        <w:t xml:space="preserve">'GroupPolicy'</w:t>
      </w:r>
      <w:r>
        <w:rPr>
          <w:rStyle w:val="OperatorTok"/>
        </w:rPr>
        <w:t xml:space="preserve">,</w:t>
      </w:r>
      <w:r>
        <w:rPr>
          <w:rStyle w:val="NormalTok"/>
        </w:rPr>
        <w:t xml:space="preserve"> </w:t>
      </w:r>
      <w:r>
        <w:rPr>
          <w:rStyle w:val="StringTok"/>
        </w:rPr>
        <w:t xml:space="preserve">'DnsServer'</w:t>
      </w:r>
      <w:r>
        <w:br/>
      </w:r>
      <w:r>
        <w:rPr>
          <w:rStyle w:val="NormalTok"/>
        </w:rPr>
        <w:t xml:space="preserve">    </w:t>
      </w:r>
      <w:r>
        <w:rPr>
          <w:rStyle w:val="VariableTok"/>
        </w:rPr>
        <w:t xml:space="preserve">$optional</w:t>
      </w:r>
      <w:r>
        <w:rPr>
          <w:rStyle w:val="NormalTok"/>
        </w:rPr>
        <w:t xml:space="preserve"> </w:t>
      </w:r>
      <w:r>
        <w:rPr>
          <w:rStyle w:val="OperatorTok"/>
        </w:rPr>
        <w:t xml:space="preserve">=</w:t>
      </w:r>
      <w:r>
        <w:rPr>
          <w:rStyle w:val="NormalTok"/>
        </w:rPr>
        <w:t xml:space="preserve"> </w:t>
      </w:r>
      <w:r>
        <w:rPr>
          <w:rStyle w:val="StringTok"/>
        </w:rPr>
        <w:t xml:space="preserve">'PSPKI'</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$name</w:t>
      </w:r>
      <w:r>
        <w:rPr>
          <w:rStyle w:val="NormalTok"/>
        </w:rPr>
        <w:t xml:space="preserve"> </w:t>
      </w:r>
      <w:r>
        <w:rPr>
          <w:rStyle w:val="KeywordTok"/>
        </w:rPr>
        <w:t xml:space="preserve">in</w:t>
      </w:r>
      <w:r>
        <w:rPr>
          <w:rStyle w:val="NormalTok"/>
        </w:rPr>
        <w:t xml:space="preserve"> </w:t>
      </w:r>
      <w:r>
        <w:rPr>
          <w:rStyle w:val="OperatorTok"/>
        </w:rPr>
        <w:t xml:space="preserve">(</w:t>
      </w:r>
      <w:r>
        <w:rPr>
          <w:rStyle w:val="VariableTok"/>
        </w:rPr>
        <w:t xml:space="preserve">$required</w:t>
      </w:r>
      <w:r>
        <w:rPr>
          <w:rStyle w:val="NormalTok"/>
        </w:rPr>
        <w:t xml:space="preserve"> </w:t>
      </w:r>
      <w:r>
        <w:rPr>
          <w:rStyle w:val="OperatorTok"/>
        </w:rPr>
        <w:t xml:space="preserve">+</w:t>
      </w:r>
      <w:r>
        <w:rPr>
          <w:rStyle w:val="NormalTok"/>
        </w:rPr>
        <w:t xml:space="preserve"> </w:t>
      </w:r>
      <w:r>
        <w:rPr>
          <w:rStyle w:val="VariableTok"/>
        </w:rPr>
        <w:t xml:space="preserve">$optional</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$mod</w:t>
      </w:r>
      <w:r>
        <w:rPr>
          <w:rStyle w:val="NormalTok"/>
        </w:rPr>
        <w:t xml:space="preserve"> </w:t>
      </w:r>
      <w:r>
        <w:rPr>
          <w:rStyle w:val="OperatorTok"/>
        </w:rPr>
        <w:t xml:space="preserve">=</w:t>
      </w:r>
      <w:r>
        <w:rPr>
          <w:rStyle w:val="NormalTok"/>
        </w:rPr>
        <w:t xml:space="preserve"> </w:t>
      </w:r>
      <w:r>
        <w:rPr>
          <w:rStyle w:val="FunctionTok"/>
        </w:rPr>
        <w:t xml:space="preserve">Get-Module</w:t>
      </w:r>
      <w:r>
        <w:rPr>
          <w:rStyle w:val="NormalTok"/>
        </w:rPr>
        <w:t xml:space="preserve"> </w:t>
      </w:r>
      <w:r>
        <w:rPr>
          <w:rStyle w:val="OperatorTok"/>
        </w:rPr>
        <w:t xml:space="preserve">-</w:t>
      </w:r>
      <w:r>
        <w:rPr>
          <w:rStyle w:val="NormalTok"/>
        </w:rPr>
        <w:t xml:space="preserve">ListAvailable </w:t>
      </w:r>
      <w:r>
        <w:rPr>
          <w:rStyle w:val="OperatorTok"/>
        </w:rPr>
        <w:t xml:space="preserve">-</w:t>
      </w:r>
      <w:r>
        <w:rPr>
          <w:rStyle w:val="NormalTok"/>
        </w:rPr>
        <w:t xml:space="preserve">Name </w:t>
      </w:r>
      <w:r>
        <w:rPr>
          <w:rStyle w:val="VariableTok"/>
        </w:rPr>
        <w:t xml:space="preserve">$name</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First </w:t>
      </w:r>
      <w:r>
        <w:rPr>
          <w:rStyle w:val="DecValTok"/>
        </w:rPr>
        <w:t xml:space="preserve">1</w:t>
      </w:r>
      <w:r>
        <w:br/>
      </w:r>
      <w:r>
        <w:rPr>
          <w:rStyle w:val="NormalTok"/>
        </w:rPr>
        <w:t xml:space="preserve">        </w:t>
      </w:r>
      <w:r>
        <w:rPr>
          <w:rStyle w:val="VariableTok"/>
        </w:rPr>
        <w:t xml:space="preserve">$status</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$mod</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'PASS'</w:t>
      </w:r>
      <w:r>
        <w:rPr>
          <w:rStyle w:val="NormalTok"/>
        </w:rPr>
        <w:t xml:space="preserve"> </w:t>
      </w:r>
      <w:r>
        <w:rPr>
          <w:rStyle w:val="OperatorTok"/>
        </w:rPr>
        <w:t xml:space="preserve">}</w:t>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$name</w:t>
      </w:r>
      <w:r>
        <w:rPr>
          <w:rStyle w:val="NormalTok"/>
        </w:rPr>
        <w:t xml:space="preserve"> </w:t>
      </w:r>
      <w:r>
        <w:rPr>
          <w:rStyle w:val="OperatorTok"/>
        </w:rPr>
        <w:t xml:space="preserve">-</w:t>
      </w:r>
      <w:r>
        <w:rPr>
          <w:rStyle w:val="NormalTok"/>
        </w:rPr>
        <w:t xml:space="preserve">in </w:t>
      </w:r>
      <w:r>
        <w:rPr>
          <w:rStyle w:val="VariableTok"/>
        </w:rPr>
        <w:t xml:space="preserve">$optional</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'OPTIONAL'</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'FAIL'</w:t>
      </w:r>
      <w:r>
        <w:rPr>
          <w:rStyle w:val="NormalTok"/>
        </w:rPr>
        <w:t xml:space="preserve"> </w:t>
      </w:r>
      <w:r>
        <w:rPr>
          <w:rStyle w:val="OperatorTok"/>
        </w:rPr>
        <w:t xml:space="preserve">}</w:t>
      </w:r>
      <w:r>
        <w:br/>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Check  </w:t>
      </w:r>
      <w:r>
        <w:rPr>
          <w:rStyle w:val="OperatorTok"/>
        </w:rPr>
        <w:t xml:space="preserve">=</w:t>
      </w:r>
      <w:r>
        <w:rPr>
          <w:rStyle w:val="NormalTok"/>
        </w:rPr>
        <w:t xml:space="preserve"> </w:t>
      </w:r>
      <w:r>
        <w:rPr>
          <w:rStyle w:val="StringTok"/>
        </w:rPr>
        <w:t xml:space="preserve">"Module: </w:t>
      </w:r>
      <w:r>
        <w:rPr>
          <w:rStyle w:val="VariableTok"/>
        </w:rPr>
        <w:t xml:space="preserve">$name</w:t>
      </w:r>
      <w:r>
        <w:rPr>
          <w:rStyle w:val="StringTok"/>
        </w:rPr>
        <w:t xml:space="preserve">"</w:t>
      </w:r>
      <w:r>
        <w:br/>
      </w:r>
      <w:r>
        <w:rPr>
          <w:rStyle w:val="NormalTok"/>
        </w:rPr>
        <w:t xml:space="preserve">            Status </w:t>
      </w:r>
      <w:r>
        <w:rPr>
          <w:rStyle w:val="OperatorTok"/>
        </w:rPr>
        <w:t xml:space="preserve">=</w:t>
      </w:r>
      <w:r>
        <w:rPr>
          <w:rStyle w:val="NormalTok"/>
        </w:rPr>
        <w:t xml:space="preserve"> </w:t>
      </w:r>
      <w:r>
        <w:rPr>
          <w:rStyle w:val="VariableTok"/>
        </w:rPr>
        <w:t xml:space="preserve">$status</w:t>
      </w:r>
      <w:r>
        <w:br/>
      </w:r>
      <w:r>
        <w:rPr>
          <w:rStyle w:val="NormalTok"/>
        </w:rPr>
        <w:t xml:space="preserve">            Detail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$mod</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"Version </w:t>
      </w:r>
      <w:r>
        <w:rPr>
          <w:rStyle w:val="OperatorTok"/>
        </w:rPr>
        <w:t xml:space="preserve">$(</w:t>
      </w:r>
      <w:r>
        <w:rPr>
          <w:rStyle w:val="VariableTok"/>
        </w:rPr>
        <w:t xml:space="preserve">$mod</w:t>
      </w:r>
      <w:r>
        <w:rPr>
          <w:rStyle w:val="OperatorTok"/>
        </w:rPr>
        <w:t xml:space="preserve">.</w:t>
      </w:r>
      <w:r>
        <w:rPr>
          <w:rStyle w:val="FunctionTok"/>
        </w:rPr>
        <w:t xml:space="preserve">Version</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'Not installed'</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ControlFlowTok"/>
        </w:rPr>
        <w:t xml:space="preserve">try</w:t>
      </w:r>
      <w:r>
        <w:rPr>
          <w:rStyle w:val="NormalTok"/>
        </w:rPr>
        <w:t xml:space="preserve"> </w:t>
      </w:r>
      <w:r>
        <w:rPr>
          <w:rStyle w:val="OperatorTok"/>
        </w:rPr>
        <w:t xml:space="preserve">{</w:t>
      </w:r>
      <w:r>
        <w:br/>
      </w:r>
      <w:r>
        <w:rPr>
          <w:rStyle w:val="NormalTok"/>
        </w:rPr>
        <w:t xml:space="preserve">        </w:t>
      </w:r>
      <w:r>
        <w:rPr>
          <w:rStyle w:val="VariableTok"/>
        </w:rPr>
        <w:t xml:space="preserve">$forest</w:t>
      </w:r>
      <w:r>
        <w:rPr>
          <w:rStyle w:val="NormalTok"/>
        </w:rPr>
        <w:t xml:space="preserve"> </w:t>
      </w:r>
      <w:r>
        <w:rPr>
          <w:rStyle w:val="OperatorTok"/>
        </w:rPr>
        <w:t xml:space="preserve">=</w:t>
      </w:r>
      <w:r>
        <w:rPr>
          <w:rStyle w:val="NormalTok"/>
        </w:rPr>
        <w:t xml:space="preserve"> </w:t>
      </w:r>
      <w:r>
        <w:rPr>
          <w:rStyle w:val="FunctionTok"/>
        </w:rPr>
        <w:t xml:space="preserve">Get-ADForest</w:t>
      </w:r>
      <w:r>
        <w:rPr>
          <w:rStyle w:val="NormalTok"/>
        </w:rPr>
        <w:t xml:space="preserve"> </w:t>
      </w:r>
      <w:r>
        <w:rPr>
          <w:rStyle w:val="OperatorTok"/>
        </w:rPr>
        <w:t xml:space="preserve">-</w:t>
      </w:r>
      <w:r>
        <w:rPr>
          <w:rStyle w:val="NormalTok"/>
        </w:rPr>
        <w:t xml:space="preserve">ErrorAction Stop</w:t>
      </w:r>
      <w:r>
        <w:br/>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Check </w:t>
      </w:r>
      <w:r>
        <w:rPr>
          <w:rStyle w:val="OperatorTok"/>
        </w:rPr>
        <w:t xml:space="preserve">=</w:t>
      </w:r>
      <w:r>
        <w:rPr>
          <w:rStyle w:val="NormalTok"/>
        </w:rPr>
        <w:t xml:space="preserve"> </w:t>
      </w:r>
      <w:r>
        <w:rPr>
          <w:rStyle w:val="StringTok"/>
        </w:rPr>
        <w:t xml:space="preserve">'Forest connectivity'</w:t>
      </w:r>
      <w:r>
        <w:rPr>
          <w:rStyle w:val="OperatorTok"/>
        </w:rPr>
        <w:t xml:space="preserve">;</w:t>
      </w:r>
      <w:r>
        <w:rPr>
          <w:rStyle w:val="NormalTok"/>
        </w:rPr>
        <w:t xml:space="preserve"> Status </w:t>
      </w:r>
      <w:r>
        <w:rPr>
          <w:rStyle w:val="OperatorTok"/>
        </w:rPr>
        <w:t xml:space="preserve">=</w:t>
      </w:r>
      <w:r>
        <w:rPr>
          <w:rStyle w:val="NormalTok"/>
        </w:rPr>
        <w:t xml:space="preserve"> </w:t>
      </w:r>
      <w:r>
        <w:rPr>
          <w:rStyle w:val="StringTok"/>
        </w:rPr>
        <w:t xml:space="preserve">'PASS'</w:t>
      </w:r>
      <w:r>
        <w:rPr>
          <w:rStyle w:val="OperatorTok"/>
        </w:rPr>
        <w:t xml:space="preserve">;</w:t>
      </w:r>
      <w:r>
        <w:rPr>
          <w:rStyle w:val="NormalTok"/>
        </w:rPr>
        <w:t xml:space="preserve"> Detail </w:t>
      </w:r>
      <w:r>
        <w:rPr>
          <w:rStyle w:val="OperatorTok"/>
        </w:rPr>
        <w:t xml:space="preserve">=</w:t>
      </w:r>
      <w:r>
        <w:rPr>
          <w:rStyle w:val="NormalTok"/>
        </w:rPr>
        <w:t xml:space="preserve"> </w:t>
      </w:r>
      <w:r>
        <w:rPr>
          <w:rStyle w:val="StringTok"/>
        </w:rPr>
        <w:t xml:space="preserve">"Connected to </w:t>
      </w:r>
      <w:r>
        <w:rPr>
          <w:rStyle w:val="OperatorTok"/>
        </w:rPr>
        <w:t xml:space="preserve">$(</w:t>
      </w:r>
      <w:r>
        <w:rPr>
          <w:rStyle w:val="VariableTok"/>
        </w:rPr>
        <w:t xml:space="preserve">$forest</w:t>
      </w:r>
      <w:r>
        <w:rPr>
          <w:rStyle w:val="OperatorTok"/>
        </w:rPr>
        <w:t xml:space="preserve">.</w:t>
      </w:r>
      <w:r>
        <w:rPr>
          <w:rStyle w:val="FunctionTok"/>
        </w:rPr>
        <w:t xml:space="preserve">Name</w:t>
      </w:r>
      <w:r>
        <w:rPr>
          <w:rStyle w:val="OperatorTok"/>
        </w:rPr>
        <w:t xml:space="preserve">)</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ControlFlowTok"/>
        </w:rPr>
        <w:t xml:space="preserve">catch</w:t>
      </w:r>
      <w:r>
        <w:rPr>
          <w:rStyle w:val="NormalTok"/>
        </w:rPr>
        <w:t xml:space="preserve"> </w:t>
      </w:r>
      <w:r>
        <w:rPr>
          <w:rStyle w:val="OperatorTok"/>
        </w:rPr>
        <w:t xml:space="preserve">{</w:t>
      </w:r>
      <w:r>
        <w:br/>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Check </w:t>
      </w:r>
      <w:r>
        <w:rPr>
          <w:rStyle w:val="OperatorTok"/>
        </w:rPr>
        <w:t xml:space="preserve">=</w:t>
      </w:r>
      <w:r>
        <w:rPr>
          <w:rStyle w:val="NormalTok"/>
        </w:rPr>
        <w:t xml:space="preserve"> </w:t>
      </w:r>
      <w:r>
        <w:rPr>
          <w:rStyle w:val="StringTok"/>
        </w:rPr>
        <w:t xml:space="preserve">'Forest connectivity'</w:t>
      </w:r>
      <w:r>
        <w:rPr>
          <w:rStyle w:val="OperatorTok"/>
        </w:rPr>
        <w:t xml:space="preserve">;</w:t>
      </w:r>
      <w:r>
        <w:rPr>
          <w:rStyle w:val="NormalTok"/>
        </w:rPr>
        <w:t xml:space="preserve"> Status </w:t>
      </w:r>
      <w:r>
        <w:rPr>
          <w:rStyle w:val="OperatorTok"/>
        </w:rPr>
        <w:t xml:space="preserve">=</w:t>
      </w:r>
      <w:r>
        <w:rPr>
          <w:rStyle w:val="NormalTok"/>
        </w:rPr>
        <w:t xml:space="preserve"> </w:t>
      </w:r>
      <w:r>
        <w:rPr>
          <w:rStyle w:val="StringTok"/>
        </w:rPr>
        <w:t xml:space="preserve">'FAIL'</w:t>
      </w:r>
      <w:r>
        <w:rPr>
          <w:rStyle w:val="OperatorTok"/>
        </w:rPr>
        <w:t xml:space="preserve">;</w:t>
      </w:r>
      <w:r>
        <w:rPr>
          <w:rStyle w:val="NormalTok"/>
        </w:rPr>
        <w:t xml:space="preserve"> Detail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Exception</w:t>
      </w:r>
      <w:r>
        <w:rPr>
          <w:rStyle w:val="OperatorTok"/>
        </w:rPr>
        <w:t xml:space="preserve">.</w:t>
      </w:r>
      <w:r>
        <w:rPr>
          <w:rStyle w:val="FunctionTok"/>
        </w:rPr>
        <w:t xml:space="preserve">Message</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Check  </w:t>
      </w:r>
      <w:r>
        <w:rPr>
          <w:rStyle w:val="OperatorTok"/>
        </w:rPr>
        <w:t xml:space="preserve">=</w:t>
      </w:r>
      <w:r>
        <w:rPr>
          <w:rStyle w:val="NormalTok"/>
        </w:rPr>
        <w:t xml:space="preserve"> </w:t>
      </w:r>
      <w:r>
        <w:rPr>
          <w:rStyle w:val="StringTok"/>
        </w:rPr>
        <w:t xml:space="preserve">'Output root'</w:t>
      </w:r>
      <w:r>
        <w:br/>
      </w:r>
      <w:r>
        <w:rPr>
          <w:rStyle w:val="NormalTok"/>
        </w:rPr>
        <w:t xml:space="preserve">        Status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FunctionTok"/>
        </w:rPr>
        <w:t xml:space="preserve">Test-Path</w:t>
      </w:r>
      <w:r>
        <w:rPr>
          <w:rStyle w:val="NormalTok"/>
        </w:rPr>
        <w:t xml:space="preserve"> </w:t>
      </w:r>
      <w:r>
        <w:rPr>
          <w:rStyle w:val="VariableTok"/>
        </w:rPr>
        <w:t xml:space="preserve">$OutputPath</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'PASS'</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'FAIL'</w:t>
      </w:r>
      <w:r>
        <w:rPr>
          <w:rStyle w:val="NormalTok"/>
        </w:rPr>
        <w:t xml:space="preserve"> </w:t>
      </w:r>
      <w:r>
        <w:rPr>
          <w:rStyle w:val="OperatorTok"/>
        </w:rPr>
        <w:t xml:space="preserve">}</w:t>
      </w:r>
      <w:r>
        <w:br/>
      </w:r>
      <w:r>
        <w:rPr>
          <w:rStyle w:val="NormalTok"/>
        </w:rPr>
        <w:t xml:space="preserve">        Detail </w:t>
      </w:r>
      <w:r>
        <w:rPr>
          <w:rStyle w:val="OperatorTok"/>
        </w:rPr>
        <w:t xml:space="preserve">=</w:t>
      </w:r>
      <w:r>
        <w:rPr>
          <w:rStyle w:val="NormalTok"/>
        </w:rPr>
        <w:t xml:space="preserve"> </w:t>
      </w:r>
      <w:r>
        <w:rPr>
          <w:rStyle w:val="VariableTok"/>
        </w:rPr>
        <w:t xml:space="preserve">$OutputPath</w:t>
      </w:r>
      <w:r>
        <w:br/>
      </w:r>
      <w:r>
        <w:rPr>
          <w:rStyle w:val="NormalTok"/>
        </w:rPr>
        <w:t xml:space="preserve">    </w:t>
      </w:r>
      <w:r>
        <w:rPr>
          <w:rStyle w:val="OperatorTok"/>
        </w:rPr>
        <w:t xml:space="preserve">}</w:t>
      </w:r>
      <w:r>
        <w:br/>
      </w:r>
      <w:r>
        <w:br/>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Format-Table</w:t>
      </w:r>
      <w:r>
        <w:rPr>
          <w:rStyle w:val="NormalTok"/>
        </w:rPr>
        <w:t xml:space="preserve"> </w:t>
      </w:r>
      <w:r>
        <w:rPr>
          <w:rStyle w:val="OperatorTok"/>
        </w:rPr>
        <w:t xml:space="preserve">-</w:t>
      </w:r>
      <w:r>
        <w:rPr>
          <w:rStyle w:val="NormalTok"/>
        </w:rPr>
        <w:t xml:space="preserve">AutoSize </w:t>
      </w:r>
      <w:r>
        <w:rPr>
          <w:rStyle w:val="OperatorTok"/>
        </w:rPr>
        <w:t xml:space="preserve">|</w:t>
      </w:r>
      <w:r>
        <w:rPr>
          <w:rStyle w:val="NormalTok"/>
        </w:rPr>
        <w:t xml:space="preserve"> </w:t>
      </w:r>
      <w:r>
        <w:rPr>
          <w:rStyle w:val="FunctionTok"/>
        </w:rPr>
        <w:t xml:space="preserve">Out-Host</w:t>
      </w:r>
      <w:r>
        <w:br/>
      </w:r>
      <w:r>
        <w:rPr>
          <w:rStyle w:val="NormalTok"/>
        </w:rPr>
        <w:t xml:space="preserve">    </w:t>
      </w:r>
      <w:r>
        <w:rPr>
          <w:rStyle w:val="VariableTok"/>
        </w:rPr>
        <w:t xml:space="preserve">$failed</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Status </w:t>
      </w:r>
      <w:r>
        <w:rPr>
          <w:rStyle w:val="OperatorTok"/>
        </w:rPr>
        <w:t xml:space="preserve">-eq</w:t>
      </w:r>
      <w:r>
        <w:rPr>
          <w:rStyle w:val="NormalTok"/>
        </w:rPr>
        <w:t xml:space="preserve"> </w:t>
      </w:r>
      <w:r>
        <w:rPr>
          <w:rStyle w:val="StringTok"/>
        </w:rPr>
        <w:t xml:space="preserve">'FAIL'</w:t>
      </w:r>
      <w:r>
        <w:rPr>
          <w:rStyle w:val="OperatorTok"/>
        </w:rPr>
        <w:t xml:space="preserve">).</w:t>
      </w:r>
      <w:r>
        <w:rPr>
          <w:rStyle w:val="FunctionTok"/>
        </w:rPr>
        <w:t xml:space="preserve">Count</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$failed</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Write-Warning</w:t>
      </w:r>
      <w:r>
        <w:rPr>
          <w:rStyle w:val="NormalTok"/>
        </w:rPr>
        <w:t xml:space="preserve"> </w:t>
      </w:r>
      <w:r>
        <w:rPr>
          <w:rStyle w:val="StringTok"/>
        </w:rPr>
        <w:t xml:space="preserve">"</w:t>
      </w:r>
      <w:r>
        <w:rPr>
          <w:rStyle w:val="VariableTok"/>
        </w:rPr>
        <w:t xml:space="preserve">$failed</w:t>
      </w:r>
      <w:r>
        <w:rPr>
          <w:rStyle w:val="StringTok"/>
        </w:rPr>
        <w:t xml:space="preserve"> prerequisite(s) failed. Resolve before running the assessment."</w:t>
      </w:r>
      <w:r>
        <w:rPr>
          <w:rStyle w:val="NormalTok"/>
        </w:rPr>
        <w:t xml:space="preserve"> </w:t>
      </w:r>
      <w:r>
        <w:rPr>
          <w:rStyle w:val="OperatorTok"/>
        </w:rPr>
        <w:t xml:space="preserve">}</w:t>
      </w:r>
      <w:r>
        <w:br/>
      </w:r>
      <w:r>
        <w:rPr>
          <w:rStyle w:val="NormalTok"/>
        </w:rPr>
        <w:t xml:space="preserve">    </w:t>
      </w:r>
      <w:r>
        <w:rPr>
          <w:rStyle w:val="VariableTok"/>
        </w:rPr>
        <w:t xml:space="preserve">$results</w:t>
      </w:r>
      <w:r>
        <w:br/>
      </w:r>
      <w:r>
        <w:rPr>
          <w:rStyle w:val="OperatorTok"/>
        </w:rPr>
        <w:t xml:space="preserve">}</w:t>
      </w:r>
    </w:p>
    <w:bookmarkEnd w:id="1250"/>
    <w:bookmarkStart w:id="1251" w:name="forest-topology"/>
    <w:p>
      <w:pPr>
        <w:pStyle w:val="Heading3"/>
      </w:pPr>
      <w:r>
        <w:t xml:space="preserve">Forest topology</w:t>
      </w:r>
    </w:p>
    <w:p>
      <w:pPr>
        <w:pStyle w:val="SourceCode"/>
      </w:pPr>
      <w:r>
        <w:rPr>
          <w:rStyle w:val="KeywordTok"/>
        </w:rPr>
        <w:t xml:space="preserve">function</w:t>
      </w:r>
      <w:r>
        <w:rPr>
          <w:rStyle w:val="NormalTok"/>
        </w:rPr>
        <w:t xml:space="preserve"> Get-FMPForestTopology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Captures forest, domains, DCs, sites, site links, subnets and operations master roles.</w:t>
      </w:r>
      <w:r>
        <w:br/>
      </w:r>
      <w:r>
        <w:rPr>
          <w:rStyle w:val="CommentTok"/>
        </w:rPr>
        <w:t xml:space="preserve">    .OUTPUTS</w:t>
      </w:r>
      <w:r>
        <w:br/>
      </w:r>
      <w:r>
        <w:rPr>
          <w:rStyle w:val="CommentTok"/>
        </w:rPr>
        <w:t xml:space="preserve">        ForestTopology.json plus Domains\AllDomains.json and Domains\DomainControllers.json.</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DNSRoot</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'D:\FMP\Assessment'</w:t>
      </w:r>
      <w:r>
        <w:br/>
      </w:r>
      <w:r>
        <w:rPr>
          <w:rStyle w:val="NormalTok"/>
        </w:rPr>
        <w:t xml:space="preserve">    </w:t>
      </w:r>
      <w:r>
        <w:rPr>
          <w:rStyle w:val="OperatorTok"/>
        </w:rPr>
        <w:t xml:space="preserve">)</w:t>
      </w:r>
      <w:r>
        <w:br/>
      </w:r>
      <w:r>
        <w:br/>
      </w:r>
      <w:r>
        <w:rPr>
          <w:rStyle w:val="NormalTok"/>
        </w:rPr>
        <w:t xml:space="preserve">    </w:t>
      </w:r>
      <w:r>
        <w:rPr>
          <w:rStyle w:val="VariableTok"/>
        </w:rPr>
        <w:t xml:space="preserve">$forest</w:t>
      </w:r>
      <w:r>
        <w:rPr>
          <w:rStyle w:val="NormalTok"/>
        </w:rPr>
        <w:t xml:space="preserve">     </w:t>
      </w:r>
      <w:r>
        <w:rPr>
          <w:rStyle w:val="OperatorTok"/>
        </w:rPr>
        <w:t xml:space="preserve">=</w:t>
      </w:r>
      <w:r>
        <w:rPr>
          <w:rStyle w:val="NormalTok"/>
        </w:rPr>
        <w:t xml:space="preserve"> </w:t>
      </w:r>
      <w:r>
        <w:rPr>
          <w:rStyle w:val="FunctionTok"/>
        </w:rPr>
        <w:t xml:space="preserve">Get-ADForest</w:t>
      </w:r>
      <w:r>
        <w:rPr>
          <w:rStyle w:val="NormalTok"/>
        </w:rPr>
        <w:t xml:space="preserve"> </w:t>
      </w:r>
      <w:r>
        <w:rPr>
          <w:rStyle w:val="OperatorTok"/>
        </w:rPr>
        <w:t xml:space="preserve">-</w:t>
      </w:r>
      <w:r>
        <w:rPr>
          <w:rStyle w:val="NormalTok"/>
        </w:rPr>
        <w:t xml:space="preserve">Server </w:t>
      </w:r>
      <w:r>
        <w:rPr>
          <w:rStyle w:val="VariableTok"/>
        </w:rPr>
        <w:t xml:space="preserve">$Domain</w:t>
      </w:r>
      <w:r>
        <w:br/>
      </w:r>
      <w:r>
        <w:rPr>
          <w:rStyle w:val="NormalTok"/>
        </w:rPr>
        <w:t xml:space="preserve">    </w:t>
      </w:r>
      <w:r>
        <w:rPr>
          <w:rStyle w:val="VariableTok"/>
        </w:rPr>
        <w:t xml:space="preserve">$forestPath</w:t>
      </w:r>
      <w:r>
        <w:rPr>
          <w:rStyle w:val="NormalTok"/>
        </w:rPr>
        <w:t xml:space="preserve"> </w:t>
      </w:r>
      <w:r>
        <w:rPr>
          <w:rStyle w:val="OperatorTok"/>
        </w:rPr>
        <w:t xml:space="preserve">=</w:t>
      </w:r>
      <w:r>
        <w:rPr>
          <w:rStyle w:val="NormalTok"/>
        </w:rPr>
        <w:t xml:space="preserve"> Get-FMPDomainPath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Area </w:t>
      </w:r>
      <w:r>
        <w:rPr>
          <w:rStyle w:val="StringTok"/>
        </w:rPr>
        <w:t xml:space="preserve">'Forest'</w:t>
      </w:r>
      <w:r>
        <w:br/>
      </w:r>
      <w:r>
        <w:rPr>
          <w:rStyle w:val="NormalTok"/>
        </w:rPr>
        <w:t xml:space="preserve">    </w:t>
      </w:r>
      <w:r>
        <w:rPr>
          <w:rStyle w:val="VariableTok"/>
        </w:rPr>
        <w:t xml:space="preserve">$domainPath</w:t>
      </w:r>
      <w:r>
        <w:rPr>
          <w:rStyle w:val="NormalTok"/>
        </w:rPr>
        <w:t xml:space="preserve"> </w:t>
      </w:r>
      <w:r>
        <w:rPr>
          <w:rStyle w:val="OperatorTok"/>
        </w:rPr>
        <w:t xml:space="preserve">=</w:t>
      </w:r>
      <w:r>
        <w:rPr>
          <w:rStyle w:val="NormalTok"/>
        </w:rPr>
        <w:t xml:space="preserve"> Get-FMPDomainPath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Area </w:t>
      </w:r>
      <w:r>
        <w:rPr>
          <w:rStyle w:val="StringTok"/>
        </w:rPr>
        <w:t xml:space="preserve">'Domains'</w:t>
      </w:r>
      <w:r>
        <w:br/>
      </w:r>
      <w:r>
        <w:br/>
      </w:r>
      <w:r>
        <w:rPr>
          <w:rStyle w:val="NormalTok"/>
        </w:rPr>
        <w:t xml:space="preserve">    </w:t>
      </w:r>
      <w:r>
        <w:rPr>
          <w:rStyle w:val="VariableTok"/>
        </w:rPr>
        <w:t xml:space="preserve">$forestInfo</w:t>
      </w:r>
      <w:r>
        <w:rPr>
          <w:rStyle w:val="NormalTok"/>
        </w:rPr>
        <w:t xml:space="preserve"> </w:t>
      </w:r>
      <w:r>
        <w:rPr>
          <w:rStyle w:val="OperatorTok"/>
        </w:rPr>
        <w:t xml:space="preserve">=</w:t>
      </w:r>
      <w:r>
        <w:rPr>
          <w:rStyle w:val="NormalTok"/>
        </w:rPr>
        <w:t xml:space="preserve"> </w:t>
      </w:r>
      <w:r>
        <w:rPr>
          <w:rStyle w:val="VariableTok"/>
        </w:rPr>
        <w:t xml:space="preserve">$forest</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RootDomain</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'ForestMode'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ForestMode</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SchemaMaster</w:t>
      </w:r>
      <w:r>
        <w:rPr>
          <w:rStyle w:val="OperatorTok"/>
        </w:rPr>
        <w:t xml:space="preserve">,</w:t>
      </w:r>
      <w:r>
        <w:rPr>
          <w:rStyle w:val="NormalTok"/>
        </w:rPr>
        <w:t xml:space="preserve"> DomainNamingMaster</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'Domains'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Domains</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'Sites'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Sites</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'GlobalCatalogs'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GlobalCatalogs</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'UPNSuffixes'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UPNSuffixes</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'SPNSuffixes'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SPNSuffixes</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VariableTok"/>
        </w:rPr>
        <w:t xml:space="preserve">$domains</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$d</w:t>
      </w:r>
      <w:r>
        <w:rPr>
          <w:rStyle w:val="NormalTok"/>
        </w:rPr>
        <w:t xml:space="preserve"> </w:t>
      </w:r>
      <w:r>
        <w:rPr>
          <w:rStyle w:val="KeywordTok"/>
        </w:rPr>
        <w:t xml:space="preserve">in</w:t>
      </w:r>
      <w:r>
        <w:rPr>
          <w:rStyle w:val="NormalTok"/>
        </w:rPr>
        <w:t xml:space="preserve"> </w:t>
      </w:r>
      <w:r>
        <w:rPr>
          <w:rStyle w:val="VariableTok"/>
        </w:rPr>
        <w:t xml:space="preserve">$forest</w:t>
      </w:r>
      <w:r>
        <w:rPr>
          <w:rStyle w:val="OperatorTok"/>
        </w:rPr>
        <w:t xml:space="preserve">.</w:t>
      </w:r>
      <w:r>
        <w:rPr>
          <w:rStyle w:val="FunctionTok"/>
        </w:rPr>
        <w:t xml:space="preserve">Domains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Get-ADDomain</w:t>
      </w:r>
      <w:r>
        <w:rPr>
          <w:rStyle w:val="NormalTok"/>
        </w:rPr>
        <w:t xml:space="preserve"> </w:t>
      </w:r>
      <w:r>
        <w:rPr>
          <w:rStyle w:val="OperatorTok"/>
        </w:rPr>
        <w:t xml:space="preserve">-</w:t>
      </w:r>
      <w:r>
        <w:rPr>
          <w:rStyle w:val="NormalTok"/>
        </w:rPr>
        <w:t xml:space="preserve">Server </w:t>
      </w:r>
      <w:r>
        <w:rPr>
          <w:rStyle w:val="VariableTok"/>
        </w:rPr>
        <w:t xml:space="preserve">$d</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DNSRoot</w:t>
      </w:r>
      <w:r>
        <w:rPr>
          <w:rStyle w:val="OperatorTok"/>
        </w:rPr>
        <w:t xml:space="preserve">,</w:t>
      </w:r>
      <w:r>
        <w:rPr>
          <w:rStyle w:val="NormalTok"/>
        </w:rPr>
        <w:t xml:space="preserve"> NetBIOSName</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'DomainMode'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DomainMode</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'DomainSID'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DomainSID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PDCEmulator</w:t>
      </w:r>
      <w:r>
        <w:rPr>
          <w:rStyle w:val="OperatorTok"/>
        </w:rPr>
        <w:t xml:space="preserve">,</w:t>
      </w:r>
      <w:r>
        <w:rPr>
          <w:rStyle w:val="NormalTok"/>
        </w:rPr>
        <w:t xml:space="preserve"> RIDMaster</w:t>
      </w:r>
      <w:r>
        <w:rPr>
          <w:rStyle w:val="OperatorTok"/>
        </w:rPr>
        <w:t xml:space="preserve">,</w:t>
      </w:r>
      <w:r>
        <w:rPr>
          <w:rStyle w:val="NormalTok"/>
        </w:rPr>
        <w:t xml:space="preserve"> InfrastructureMaster</w:t>
      </w:r>
      <w:r>
        <w:rPr>
          <w:rStyle w:val="OperatorTok"/>
        </w:rPr>
        <w:t xml:space="preserve">,</w:t>
      </w:r>
      <w:r>
        <w:br/>
      </w:r>
      <w:r>
        <w:rPr>
          <w:rStyle w:val="NormalTok"/>
        </w:rPr>
        <w:t xml:space="preserve">            DistinguishedName</w:t>
      </w:r>
      <w:r>
        <w:rPr>
          <w:rStyle w:val="OperatorTok"/>
        </w:rPr>
        <w:t xml:space="preserve">,</w:t>
      </w:r>
      <w:r>
        <w:rPr>
          <w:rStyle w:val="NormalTok"/>
        </w:rPr>
        <w:t xml:space="preserve"> ParentDomain</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'ChildDomains'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ChildDomains</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$dcs</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$d</w:t>
      </w:r>
      <w:r>
        <w:rPr>
          <w:rStyle w:val="NormalTok"/>
        </w:rPr>
        <w:t xml:space="preserve"> </w:t>
      </w:r>
      <w:r>
        <w:rPr>
          <w:rStyle w:val="KeywordTok"/>
        </w:rPr>
        <w:t xml:space="preserve">in</w:t>
      </w:r>
      <w:r>
        <w:rPr>
          <w:rStyle w:val="NormalTok"/>
        </w:rPr>
        <w:t xml:space="preserve"> </w:t>
      </w:r>
      <w:r>
        <w:rPr>
          <w:rStyle w:val="VariableTok"/>
        </w:rPr>
        <w:t xml:space="preserve">$forest</w:t>
      </w:r>
      <w:r>
        <w:rPr>
          <w:rStyle w:val="OperatorTok"/>
        </w:rPr>
        <w:t xml:space="preserve">.</w:t>
      </w:r>
      <w:r>
        <w:rPr>
          <w:rStyle w:val="FunctionTok"/>
        </w:rPr>
        <w:t xml:space="preserve">Domains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Get-ADDomainController</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HostName</w:t>
      </w:r>
      <w:r>
        <w:rPr>
          <w:rStyle w:val="OperatorTok"/>
        </w:rPr>
        <w:t xml:space="preserve">,</w:t>
      </w:r>
      <w:r>
        <w:rPr>
          <w:rStyle w:val="NormalTok"/>
        </w:rPr>
        <w:t xml:space="preserve"> Domain</w:t>
      </w:r>
      <w:r>
        <w:rPr>
          <w:rStyle w:val="OperatorTok"/>
        </w:rPr>
        <w:t xml:space="preserve">,</w:t>
      </w:r>
      <w:r>
        <w:rPr>
          <w:rStyle w:val="NormalTok"/>
        </w:rPr>
        <w:t xml:space="preserve"> Site</w:t>
      </w:r>
      <w:r>
        <w:rPr>
          <w:rStyle w:val="OperatorTok"/>
        </w:rPr>
        <w:t xml:space="preserve">,</w:t>
      </w:r>
      <w:r>
        <w:br/>
      </w:r>
      <w:r>
        <w:rPr>
          <w:rStyle w:val="NormalTok"/>
        </w:rPr>
        <w:t xml:space="preserve">            IPv4Address</w:t>
      </w:r>
      <w:r>
        <w:rPr>
          <w:rStyle w:val="OperatorTok"/>
        </w:rPr>
        <w:t xml:space="preserve">,</w:t>
      </w:r>
      <w:r>
        <w:rPr>
          <w:rStyle w:val="NormalTok"/>
        </w:rPr>
        <w:t xml:space="preserve"> OperatingSystem</w:t>
      </w:r>
      <w:r>
        <w:rPr>
          <w:rStyle w:val="OperatorTok"/>
        </w:rPr>
        <w:t xml:space="preserve">,</w:t>
      </w:r>
      <w:r>
        <w:rPr>
          <w:rStyle w:val="NormalTok"/>
        </w:rPr>
        <w:t xml:space="preserve"> OperatingSystemVersion</w:t>
      </w:r>
      <w:r>
        <w:rPr>
          <w:rStyle w:val="OperatorTok"/>
        </w:rPr>
        <w:t xml:space="preserve">,</w:t>
      </w:r>
      <w:r>
        <w:br/>
      </w:r>
      <w:r>
        <w:rPr>
          <w:rStyle w:val="NormalTok"/>
        </w:rPr>
        <w:t xml:space="preserve">            IsGlobalCatalog</w:t>
      </w:r>
      <w:r>
        <w:rPr>
          <w:rStyle w:val="OperatorTok"/>
        </w:rPr>
        <w:t xml:space="preserve">,</w:t>
      </w:r>
      <w:r>
        <w:rPr>
          <w:rStyle w:val="NormalTok"/>
        </w:rPr>
        <w:t xml:space="preserve"> IsReadOnly</w:t>
      </w:r>
      <w:r>
        <w:rPr>
          <w:rStyle w:val="OperatorTok"/>
        </w:rPr>
        <w:t xml:space="preserve">,</w:t>
      </w:r>
      <w:r>
        <w:rPr>
          <w:rStyle w:val="NormalTok"/>
        </w:rPr>
        <w:t xml:space="preserve"> Enabled</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'OperationMasterRoles'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OperationMasterRoles</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$_</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$sites</w:t>
      </w:r>
      <w:r>
        <w:rPr>
          <w:rStyle w:val="NormalTok"/>
        </w:rPr>
        <w:t xml:space="preserve"> </w:t>
      </w:r>
      <w:r>
        <w:rPr>
          <w:rStyle w:val="OperatorTok"/>
        </w:rPr>
        <w:t xml:space="preserve">=</w:t>
      </w:r>
      <w:r>
        <w:rPr>
          <w:rStyle w:val="NormalTok"/>
        </w:rPr>
        <w:t xml:space="preserve"> Get-ADReplicationSite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Properties Description</w:t>
      </w:r>
      <w:r>
        <w:rPr>
          <w:rStyle w:val="OperatorTok"/>
        </w:rPr>
        <w:t xml:space="preserve">,</w:t>
      </w:r>
      <w:r>
        <w:rPr>
          <w:rStyle w:val="NormalTok"/>
        </w:rPr>
        <w:t xml:space="preserve"> Location </w:t>
      </w:r>
      <w:r>
        <w:rPr>
          <w:rStyle w:val="OperatorTok"/>
        </w:rPr>
        <w:t xml:space="preserve">|</w:t>
      </w:r>
      <w:r>
        <w:br/>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Description</w:t>
      </w:r>
      <w:r>
        <w:rPr>
          <w:rStyle w:val="OperatorTok"/>
        </w:rPr>
        <w:t xml:space="preserve">,</w:t>
      </w:r>
      <w:r>
        <w:rPr>
          <w:rStyle w:val="NormalTok"/>
        </w:rPr>
        <w:t xml:space="preserve"> Location</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'Subnets'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$dn</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DistinguishedName</w:t>
      </w:r>
      <w:r>
        <w:br/>
      </w:r>
      <w:r>
        <w:rPr>
          <w:rStyle w:val="NormalTok"/>
        </w:rPr>
        <w:t xml:space="preserve">                </w:t>
      </w:r>
      <w:r>
        <w:rPr>
          <w:rStyle w:val="OperatorTok"/>
        </w:rPr>
        <w:t xml:space="preserve">@(</w:t>
      </w:r>
      <w:r>
        <w:rPr>
          <w:rStyle w:val="NormalTok"/>
        </w:rPr>
        <w:t xml:space="preserve">Get-ADReplicationSubnet </w:t>
      </w:r>
      <w:r>
        <w:rPr>
          <w:rStyle w:val="OperatorTok"/>
        </w:rPr>
        <w:t xml:space="preserve">-</w:t>
      </w:r>
      <w:r>
        <w:rPr>
          <w:rStyle w:val="NormalTok"/>
        </w:rPr>
        <w:t xml:space="preserve">Filter </w:t>
      </w:r>
      <w:r>
        <w:rPr>
          <w:rStyle w:val="StringTok"/>
        </w:rPr>
        <w:t xml:space="preserve">"Site -eq '</w:t>
      </w:r>
      <w:r>
        <w:rPr>
          <w:rStyle w:val="VariableTok"/>
        </w:rPr>
        <w:t xml:space="preserve">$dn</w:t>
      </w:r>
      <w:r>
        <w:rPr>
          <w:rStyle w:val="String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ExpandProperty Name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VariableTok"/>
        </w:rPr>
        <w:t xml:space="preserve">$siteLinks</w:t>
      </w:r>
      <w:r>
        <w:rPr>
          <w:rStyle w:val="NormalTok"/>
        </w:rPr>
        <w:t xml:space="preserve"> </w:t>
      </w:r>
      <w:r>
        <w:rPr>
          <w:rStyle w:val="OperatorTok"/>
        </w:rPr>
        <w:t xml:space="preserve">=</w:t>
      </w:r>
      <w:r>
        <w:rPr>
          <w:rStyle w:val="NormalTok"/>
        </w:rPr>
        <w:t xml:space="preserve"> Get-ADReplicationSiteLink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Properties Description</w:t>
      </w:r>
      <w:r>
        <w:rPr>
          <w:rStyle w:val="OperatorTok"/>
        </w:rPr>
        <w:t xml:space="preserve">,</w:t>
      </w:r>
      <w:r>
        <w:rPr>
          <w:rStyle w:val="NormalTok"/>
        </w:rPr>
        <w:t xml:space="preserve"> Options </w:t>
      </w:r>
      <w:r>
        <w:rPr>
          <w:rStyle w:val="OperatorTok"/>
        </w:rPr>
        <w:t xml:space="preserve">|</w:t>
      </w:r>
      <w:r>
        <w:br/>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Cost</w:t>
      </w:r>
      <w:r>
        <w:rPr>
          <w:rStyle w:val="OperatorTok"/>
        </w:rPr>
        <w:t xml:space="preserve">,</w:t>
      </w:r>
      <w:r>
        <w:rPr>
          <w:rStyle w:val="NormalTok"/>
        </w:rPr>
        <w:t xml:space="preserve"> ReplicationFrequencyInMinutes</w:t>
      </w:r>
      <w:r>
        <w:rPr>
          <w:rStyle w:val="OperatorTok"/>
        </w:rPr>
        <w:t xml:space="preserve">,</w:t>
      </w:r>
      <w:r>
        <w:rPr>
          <w:rStyle w:val="NormalTok"/>
        </w:rPr>
        <w:t xml:space="preserve"> Options</w:t>
      </w:r>
      <w:r>
        <w:rPr>
          <w:rStyle w:val="OperatorTok"/>
        </w:rPr>
        <w:t xml:space="preserve">,</w:t>
      </w:r>
      <w:r>
        <w:rPr>
          <w:rStyle w:val="NormalTok"/>
        </w:rPr>
        <w:t xml:space="preserve"> Description</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'Sites'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SitesIncluded</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NormalTok"/>
        </w:rPr>
        <w:t xml:space="preserve"> </w:t>
      </w:r>
      <w:r>
        <w:rPr>
          <w:rStyle w:val="OperatorTok"/>
        </w:rPr>
        <w:t xml:space="preserve">-split</w:t>
      </w:r>
      <w:r>
        <w:rPr>
          <w:rStyle w:val="NormalTok"/>
        </w:rPr>
        <w:t xml:space="preserve"> </w:t>
      </w:r>
      <w:r>
        <w:rPr>
          <w:rStyle w:val="StringTok"/>
        </w:rPr>
        <w:t xml:space="preserve">','</w:t>
      </w:r>
      <w:r>
        <w:rPr>
          <w:rStyle w:val="OperatorTok"/>
        </w:rPr>
        <w:t xml:space="preserve">)[</w:t>
      </w:r>
      <w:r>
        <w:rPr>
          <w:rStyle w:val="DecValTok"/>
        </w:rPr>
        <w:t xml:space="preserve">0</w:t>
      </w:r>
      <w:r>
        <w:rPr>
          <w:rStyle w:val="OperatorTok"/>
        </w:rPr>
        <w:t xml:space="preserve">]</w:t>
      </w:r>
      <w:r>
        <w:rPr>
          <w:rStyle w:val="NormalTok"/>
        </w:rPr>
        <w:t xml:space="preserve"> </w:t>
      </w:r>
      <w:r>
        <w:rPr>
          <w:rStyle w:val="OperatorTok"/>
        </w:rPr>
        <w:t xml:space="preserve">-replace</w:t>
      </w:r>
      <w:r>
        <w:rPr>
          <w:rStyle w:val="NormalTok"/>
        </w:rPr>
        <w:t xml:space="preserve"> </w:t>
      </w:r>
      <w:r>
        <w:rPr>
          <w:rStyle w:val="StringTok"/>
        </w:rPr>
        <w:t xml:space="preserve">'^CN='</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VariableTok"/>
        </w:rPr>
        <w:t xml:space="preserve">$subnets</w:t>
      </w:r>
      <w:r>
        <w:rPr>
          <w:rStyle w:val="NormalTok"/>
        </w:rPr>
        <w:t xml:space="preserve"> </w:t>
      </w:r>
      <w:r>
        <w:rPr>
          <w:rStyle w:val="OperatorTok"/>
        </w:rPr>
        <w:t xml:space="preserve">=</w:t>
      </w:r>
      <w:r>
        <w:rPr>
          <w:rStyle w:val="NormalTok"/>
        </w:rPr>
        <w:t xml:space="preserve"> Get-ADReplicationSubnet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Properties Description</w:t>
      </w:r>
      <w:r>
        <w:rPr>
          <w:rStyle w:val="OperatorTok"/>
        </w:rPr>
        <w:t xml:space="preserve">,</w:t>
      </w:r>
      <w:r>
        <w:rPr>
          <w:rStyle w:val="NormalTok"/>
        </w:rPr>
        <w:t xml:space="preserve"> Location </w:t>
      </w:r>
      <w:r>
        <w:rPr>
          <w:rStyle w:val="OperatorTok"/>
        </w:rPr>
        <w:t xml:space="preserve">|</w:t>
      </w:r>
      <w:r>
        <w:br/>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Location</w:t>
      </w:r>
      <w:r>
        <w:rPr>
          <w:rStyle w:val="OperatorTok"/>
        </w:rPr>
        <w:t xml:space="preserve">,</w:t>
      </w:r>
      <w:r>
        <w:rPr>
          <w:rStyle w:val="NormalTok"/>
        </w:rPr>
        <w:t xml:space="preserve"> Description</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'Site'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Site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Site</w:t>
      </w:r>
      <w:r>
        <w:rPr>
          <w:rStyle w:val="NormalTok"/>
        </w:rPr>
        <w:t xml:space="preserve"> </w:t>
      </w:r>
      <w:r>
        <w:rPr>
          <w:rStyle w:val="OperatorTok"/>
        </w:rPr>
        <w:t xml:space="preserve">-split</w:t>
      </w:r>
      <w:r>
        <w:rPr>
          <w:rStyle w:val="NormalTok"/>
        </w:rPr>
        <w:t xml:space="preserve"> </w:t>
      </w:r>
      <w:r>
        <w:rPr>
          <w:rStyle w:val="StringTok"/>
        </w:rPr>
        <w:t xml:space="preserve">','</w:t>
      </w:r>
      <w:r>
        <w:rPr>
          <w:rStyle w:val="OperatorTok"/>
        </w:rPr>
        <w:t xml:space="preserve">)[</w:t>
      </w:r>
      <w:r>
        <w:rPr>
          <w:rStyle w:val="DecValTok"/>
        </w:rPr>
        <w:t xml:space="preserve">0</w:t>
      </w:r>
      <w:r>
        <w:rPr>
          <w:rStyle w:val="OperatorTok"/>
        </w:rPr>
        <w:t xml:space="preserve">]</w:t>
      </w:r>
      <w:r>
        <w:rPr>
          <w:rStyle w:val="NormalTok"/>
        </w:rPr>
        <w:t xml:space="preserve"> </w:t>
      </w:r>
      <w:r>
        <w:rPr>
          <w:rStyle w:val="OperatorTok"/>
        </w:rPr>
        <w:t xml:space="preserve">-replace</w:t>
      </w:r>
      <w:r>
        <w:rPr>
          <w:rStyle w:val="NormalTok"/>
        </w:rPr>
        <w:t xml:space="preserve"> </w:t>
      </w:r>
      <w:r>
        <w:rPr>
          <w:rStyle w:val="StringTok"/>
        </w:rPr>
        <w:t xml:space="preserve">'^CN='</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CommentTok"/>
        </w:rPr>
        <w:t xml:space="preserve"># Two forest-wide roles plus three per domain.</w:t>
      </w:r>
      <w:r>
        <w:br/>
      </w:r>
      <w:r>
        <w:rPr>
          <w:rStyle w:val="NormalTok"/>
        </w:rPr>
        <w:t xml:space="preserve">    </w:t>
      </w:r>
      <w:r>
        <w:rPr>
          <w:rStyle w:val="VariableTok"/>
        </w:rPr>
        <w:t xml:space="preserve">$fsmo</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Role </w:t>
      </w:r>
      <w:r>
        <w:rPr>
          <w:rStyle w:val="OperatorTok"/>
        </w:rPr>
        <w:t xml:space="preserve">=</w:t>
      </w:r>
      <w:r>
        <w:rPr>
          <w:rStyle w:val="NormalTok"/>
        </w:rPr>
        <w:t xml:space="preserve"> </w:t>
      </w:r>
      <w:r>
        <w:rPr>
          <w:rStyle w:val="StringTok"/>
        </w:rPr>
        <w:t xml:space="preserve">'SchemaMaster'</w:t>
      </w:r>
      <w:r>
        <w:rPr>
          <w:rStyle w:val="OperatorTok"/>
        </w:rPr>
        <w:t xml:space="preserve">;</w:t>
      </w:r>
      <w:r>
        <w:rPr>
          <w:rStyle w:val="NormalTok"/>
        </w:rPr>
        <w:t xml:space="preserve">       Scope </w:t>
      </w:r>
      <w:r>
        <w:rPr>
          <w:rStyle w:val="OperatorTok"/>
        </w:rPr>
        <w:t xml:space="preserve">=</w:t>
      </w:r>
      <w:r>
        <w:rPr>
          <w:rStyle w:val="NormalTok"/>
        </w:rPr>
        <w:t xml:space="preserve"> </w:t>
      </w:r>
      <w:r>
        <w:rPr>
          <w:rStyle w:val="StringTok"/>
        </w:rPr>
        <w:t xml:space="preserve">'Forest'</w:t>
      </w:r>
      <w:r>
        <w:rPr>
          <w:rStyle w:val="OperatorTok"/>
        </w:rPr>
        <w:t xml:space="preserve">;</w:t>
      </w:r>
      <w:r>
        <w:rPr>
          <w:rStyle w:val="NormalTok"/>
        </w:rPr>
        <w:t xml:space="preserve"> Domain </w:t>
      </w:r>
      <w:r>
        <w:rPr>
          <w:rStyle w:val="OperatorTok"/>
        </w:rPr>
        <w:t xml:space="preserve">=</w:t>
      </w:r>
      <w:r>
        <w:rPr>
          <w:rStyle w:val="NormalTok"/>
        </w:rPr>
        <w:t xml:space="preserve"> </w:t>
      </w:r>
      <w:r>
        <w:rPr>
          <w:rStyle w:val="VariableTok"/>
        </w:rPr>
        <w:t xml:space="preserve">$forest</w:t>
      </w:r>
      <w:r>
        <w:rPr>
          <w:rStyle w:val="OperatorTok"/>
        </w:rPr>
        <w:t xml:space="preserve">.</w:t>
      </w:r>
      <w:r>
        <w:rPr>
          <w:rStyle w:val="FunctionTok"/>
        </w:rPr>
        <w:t xml:space="preserve">RootDomain</w:t>
      </w:r>
      <w:r>
        <w:rPr>
          <w:rStyle w:val="OperatorTok"/>
        </w:rPr>
        <w:t xml:space="preserve">;</w:t>
      </w:r>
      <w:r>
        <w:rPr>
          <w:rStyle w:val="NormalTok"/>
        </w:rPr>
        <w:t xml:space="preserve"> Holder </w:t>
      </w:r>
      <w:r>
        <w:rPr>
          <w:rStyle w:val="OperatorTok"/>
        </w:rPr>
        <w:t xml:space="preserve">=</w:t>
      </w:r>
      <w:r>
        <w:rPr>
          <w:rStyle w:val="NormalTok"/>
        </w:rPr>
        <w:t xml:space="preserve"> </w:t>
      </w:r>
      <w:r>
        <w:rPr>
          <w:rStyle w:val="VariableTok"/>
        </w:rPr>
        <w:t xml:space="preserve">$forest</w:t>
      </w:r>
      <w:r>
        <w:rPr>
          <w:rStyle w:val="OperatorTok"/>
        </w:rPr>
        <w:t xml:space="preserve">.</w:t>
      </w:r>
      <w:r>
        <w:rPr>
          <w:rStyle w:val="FunctionTok"/>
        </w:rPr>
        <w:t xml:space="preserve">SchemaMaster</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Role </w:t>
      </w:r>
      <w:r>
        <w:rPr>
          <w:rStyle w:val="OperatorTok"/>
        </w:rPr>
        <w:t xml:space="preserve">=</w:t>
      </w:r>
      <w:r>
        <w:rPr>
          <w:rStyle w:val="NormalTok"/>
        </w:rPr>
        <w:t xml:space="preserve"> </w:t>
      </w:r>
      <w:r>
        <w:rPr>
          <w:rStyle w:val="StringTok"/>
        </w:rPr>
        <w:t xml:space="preserve">'DomainNamingMaster'</w:t>
      </w:r>
      <w:r>
        <w:rPr>
          <w:rStyle w:val="OperatorTok"/>
        </w:rPr>
        <w:t xml:space="preserve">;</w:t>
      </w:r>
      <w:r>
        <w:rPr>
          <w:rStyle w:val="NormalTok"/>
        </w:rPr>
        <w:t xml:space="preserve"> Scope </w:t>
      </w:r>
      <w:r>
        <w:rPr>
          <w:rStyle w:val="OperatorTok"/>
        </w:rPr>
        <w:t xml:space="preserve">=</w:t>
      </w:r>
      <w:r>
        <w:rPr>
          <w:rStyle w:val="NormalTok"/>
        </w:rPr>
        <w:t xml:space="preserve"> </w:t>
      </w:r>
      <w:r>
        <w:rPr>
          <w:rStyle w:val="StringTok"/>
        </w:rPr>
        <w:t xml:space="preserve">'Forest'</w:t>
      </w:r>
      <w:r>
        <w:rPr>
          <w:rStyle w:val="OperatorTok"/>
        </w:rPr>
        <w:t xml:space="preserve">;</w:t>
      </w:r>
      <w:r>
        <w:rPr>
          <w:rStyle w:val="NormalTok"/>
        </w:rPr>
        <w:t xml:space="preserve"> Domain </w:t>
      </w:r>
      <w:r>
        <w:rPr>
          <w:rStyle w:val="OperatorTok"/>
        </w:rPr>
        <w:t xml:space="preserve">=</w:t>
      </w:r>
      <w:r>
        <w:rPr>
          <w:rStyle w:val="NormalTok"/>
        </w:rPr>
        <w:t xml:space="preserve"> </w:t>
      </w:r>
      <w:r>
        <w:rPr>
          <w:rStyle w:val="VariableTok"/>
        </w:rPr>
        <w:t xml:space="preserve">$forest</w:t>
      </w:r>
      <w:r>
        <w:rPr>
          <w:rStyle w:val="OperatorTok"/>
        </w:rPr>
        <w:t xml:space="preserve">.</w:t>
      </w:r>
      <w:r>
        <w:rPr>
          <w:rStyle w:val="FunctionTok"/>
        </w:rPr>
        <w:t xml:space="preserve">RootDomain</w:t>
      </w:r>
      <w:r>
        <w:rPr>
          <w:rStyle w:val="OperatorTok"/>
        </w:rPr>
        <w:t xml:space="preserve">;</w:t>
      </w:r>
      <w:r>
        <w:rPr>
          <w:rStyle w:val="NormalTok"/>
        </w:rPr>
        <w:t xml:space="preserve"> Holder </w:t>
      </w:r>
      <w:r>
        <w:rPr>
          <w:rStyle w:val="OperatorTok"/>
        </w:rPr>
        <w:t xml:space="preserve">=</w:t>
      </w:r>
      <w:r>
        <w:rPr>
          <w:rStyle w:val="NormalTok"/>
        </w:rPr>
        <w:t xml:space="preserve"> </w:t>
      </w:r>
      <w:r>
        <w:rPr>
          <w:rStyle w:val="VariableTok"/>
        </w:rPr>
        <w:t xml:space="preserve">$forest</w:t>
      </w:r>
      <w:r>
        <w:rPr>
          <w:rStyle w:val="OperatorTok"/>
        </w:rPr>
        <w:t xml:space="preserve">.</w:t>
      </w:r>
      <w:r>
        <w:rPr>
          <w:rStyle w:val="FunctionTok"/>
        </w:rPr>
        <w:t xml:space="preserve">DomainNamingMaster</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$d</w:t>
      </w:r>
      <w:r>
        <w:rPr>
          <w:rStyle w:val="NormalTok"/>
        </w:rPr>
        <w:t xml:space="preserve"> </w:t>
      </w:r>
      <w:r>
        <w:rPr>
          <w:rStyle w:val="KeywordTok"/>
        </w:rPr>
        <w:t xml:space="preserve">in</w:t>
      </w:r>
      <w:r>
        <w:rPr>
          <w:rStyle w:val="NormalTok"/>
        </w:rPr>
        <w:t xml:space="preserve"> </w:t>
      </w:r>
      <w:r>
        <w:rPr>
          <w:rStyle w:val="VariableTok"/>
        </w:rPr>
        <w:t xml:space="preserve">$domains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$fsmo</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Role </w:t>
      </w:r>
      <w:r>
        <w:rPr>
          <w:rStyle w:val="OperatorTok"/>
        </w:rPr>
        <w:t xml:space="preserve">=</w:t>
      </w:r>
      <w:r>
        <w:rPr>
          <w:rStyle w:val="NormalTok"/>
        </w:rPr>
        <w:t xml:space="preserve"> </w:t>
      </w:r>
      <w:r>
        <w:rPr>
          <w:rStyle w:val="StringTok"/>
        </w:rPr>
        <w:t xml:space="preserve">'PDCEmulator'</w:t>
      </w:r>
      <w:r>
        <w:rPr>
          <w:rStyle w:val="OperatorTok"/>
        </w:rPr>
        <w:t xml:space="preserve">;</w:t>
      </w:r>
      <w:r>
        <w:rPr>
          <w:rStyle w:val="NormalTok"/>
        </w:rPr>
        <w:t xml:space="preserve">          Scope </w:t>
      </w:r>
      <w:r>
        <w:rPr>
          <w:rStyle w:val="OperatorTok"/>
        </w:rPr>
        <w:t xml:space="preserve">=</w:t>
      </w:r>
      <w:r>
        <w:rPr>
          <w:rStyle w:val="NormalTok"/>
        </w:rPr>
        <w:t xml:space="preserve"> </w:t>
      </w:r>
      <w:r>
        <w:rPr>
          <w:rStyle w:val="StringTok"/>
        </w:rPr>
        <w:t xml:space="preserve">'Domain'</w:t>
      </w:r>
      <w:r>
        <w:rPr>
          <w:rStyle w:val="OperatorTok"/>
        </w:rPr>
        <w:t xml:space="preserve">;</w:t>
      </w:r>
      <w:r>
        <w:rPr>
          <w:rStyle w:val="NormalTok"/>
        </w:rPr>
        <w:t xml:space="preserve"> Domain </w:t>
      </w:r>
      <w:r>
        <w:rPr>
          <w:rStyle w:val="OperatorTok"/>
        </w:rPr>
        <w:t xml:space="preserve">=</w:t>
      </w:r>
      <w:r>
        <w:rPr>
          <w:rStyle w:val="NormalTok"/>
        </w:rPr>
        <w:t xml:space="preserve"> </w:t>
      </w:r>
      <w:r>
        <w:rPr>
          <w:rStyle w:val="VariableTok"/>
        </w:rPr>
        <w:t xml:space="preserve">$d</w:t>
      </w:r>
      <w:r>
        <w:rPr>
          <w:rStyle w:val="OperatorTok"/>
        </w:rPr>
        <w:t xml:space="preserve">.</w:t>
      </w:r>
      <w:r>
        <w:rPr>
          <w:rStyle w:val="FunctionTok"/>
        </w:rPr>
        <w:t xml:space="preserve">DNSRoot</w:t>
      </w:r>
      <w:r>
        <w:rPr>
          <w:rStyle w:val="OperatorTok"/>
        </w:rPr>
        <w:t xml:space="preserve">;</w:t>
      </w:r>
      <w:r>
        <w:rPr>
          <w:rStyle w:val="NormalTok"/>
        </w:rPr>
        <w:t xml:space="preserve"> Holder </w:t>
      </w:r>
      <w:r>
        <w:rPr>
          <w:rStyle w:val="OperatorTok"/>
        </w:rPr>
        <w:t xml:space="preserve">=</w:t>
      </w:r>
      <w:r>
        <w:rPr>
          <w:rStyle w:val="NormalTok"/>
        </w:rPr>
        <w:t xml:space="preserve"> </w:t>
      </w:r>
      <w:r>
        <w:rPr>
          <w:rStyle w:val="VariableTok"/>
        </w:rPr>
        <w:t xml:space="preserve">$d</w:t>
      </w:r>
      <w:r>
        <w:rPr>
          <w:rStyle w:val="OperatorTok"/>
        </w:rPr>
        <w:t xml:space="preserve">.</w:t>
      </w:r>
      <w:r>
        <w:rPr>
          <w:rStyle w:val="FunctionTok"/>
        </w:rPr>
        <w:t xml:space="preserve">PDCEmulator</w:t>
      </w:r>
      <w:r>
        <w:rPr>
          <w:rStyle w:val="NormalTok"/>
        </w:rPr>
        <w:t xml:space="preserve"> </w:t>
      </w:r>
      <w:r>
        <w:rPr>
          <w:rStyle w:val="OperatorTok"/>
        </w:rPr>
        <w:t xml:space="preserve">}</w:t>
      </w:r>
      <w:r>
        <w:br/>
      </w:r>
      <w:r>
        <w:rPr>
          <w:rStyle w:val="NormalTok"/>
        </w:rPr>
        <w:t xml:space="preserve">        </w:t>
      </w:r>
      <w:r>
        <w:rPr>
          <w:rStyle w:val="VariableTok"/>
        </w:rPr>
        <w:t xml:space="preserve">$fsmo</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Role </w:t>
      </w:r>
      <w:r>
        <w:rPr>
          <w:rStyle w:val="OperatorTok"/>
        </w:rPr>
        <w:t xml:space="preserve">=</w:t>
      </w:r>
      <w:r>
        <w:rPr>
          <w:rStyle w:val="NormalTok"/>
        </w:rPr>
        <w:t xml:space="preserve"> </w:t>
      </w:r>
      <w:r>
        <w:rPr>
          <w:rStyle w:val="StringTok"/>
        </w:rPr>
        <w:t xml:space="preserve">'RIDMaster'</w:t>
      </w:r>
      <w:r>
        <w:rPr>
          <w:rStyle w:val="OperatorTok"/>
        </w:rPr>
        <w:t xml:space="preserve">;</w:t>
      </w:r>
      <w:r>
        <w:rPr>
          <w:rStyle w:val="NormalTok"/>
        </w:rPr>
        <w:t xml:space="preserve">            Scope </w:t>
      </w:r>
      <w:r>
        <w:rPr>
          <w:rStyle w:val="OperatorTok"/>
        </w:rPr>
        <w:t xml:space="preserve">=</w:t>
      </w:r>
      <w:r>
        <w:rPr>
          <w:rStyle w:val="NormalTok"/>
        </w:rPr>
        <w:t xml:space="preserve"> </w:t>
      </w:r>
      <w:r>
        <w:rPr>
          <w:rStyle w:val="StringTok"/>
        </w:rPr>
        <w:t xml:space="preserve">'Domain'</w:t>
      </w:r>
      <w:r>
        <w:rPr>
          <w:rStyle w:val="OperatorTok"/>
        </w:rPr>
        <w:t xml:space="preserve">;</w:t>
      </w:r>
      <w:r>
        <w:rPr>
          <w:rStyle w:val="NormalTok"/>
        </w:rPr>
        <w:t xml:space="preserve"> Domain </w:t>
      </w:r>
      <w:r>
        <w:rPr>
          <w:rStyle w:val="OperatorTok"/>
        </w:rPr>
        <w:t xml:space="preserve">=</w:t>
      </w:r>
      <w:r>
        <w:rPr>
          <w:rStyle w:val="NormalTok"/>
        </w:rPr>
        <w:t xml:space="preserve"> </w:t>
      </w:r>
      <w:r>
        <w:rPr>
          <w:rStyle w:val="VariableTok"/>
        </w:rPr>
        <w:t xml:space="preserve">$d</w:t>
      </w:r>
      <w:r>
        <w:rPr>
          <w:rStyle w:val="OperatorTok"/>
        </w:rPr>
        <w:t xml:space="preserve">.</w:t>
      </w:r>
      <w:r>
        <w:rPr>
          <w:rStyle w:val="FunctionTok"/>
        </w:rPr>
        <w:t xml:space="preserve">DNSRoot</w:t>
      </w:r>
      <w:r>
        <w:rPr>
          <w:rStyle w:val="OperatorTok"/>
        </w:rPr>
        <w:t xml:space="preserve">;</w:t>
      </w:r>
      <w:r>
        <w:rPr>
          <w:rStyle w:val="NormalTok"/>
        </w:rPr>
        <w:t xml:space="preserve"> Holder </w:t>
      </w:r>
      <w:r>
        <w:rPr>
          <w:rStyle w:val="OperatorTok"/>
        </w:rPr>
        <w:t xml:space="preserve">=</w:t>
      </w:r>
      <w:r>
        <w:rPr>
          <w:rStyle w:val="NormalTok"/>
        </w:rPr>
        <w:t xml:space="preserve"> </w:t>
      </w:r>
      <w:r>
        <w:rPr>
          <w:rStyle w:val="VariableTok"/>
        </w:rPr>
        <w:t xml:space="preserve">$d</w:t>
      </w:r>
      <w:r>
        <w:rPr>
          <w:rStyle w:val="OperatorTok"/>
        </w:rPr>
        <w:t xml:space="preserve">.</w:t>
      </w:r>
      <w:r>
        <w:rPr>
          <w:rStyle w:val="FunctionTok"/>
        </w:rPr>
        <w:t xml:space="preserve">RIDMaster</w:t>
      </w:r>
      <w:r>
        <w:rPr>
          <w:rStyle w:val="NormalTok"/>
        </w:rPr>
        <w:t xml:space="preserve"> </w:t>
      </w:r>
      <w:r>
        <w:rPr>
          <w:rStyle w:val="OperatorTok"/>
        </w:rPr>
        <w:t xml:space="preserve">}</w:t>
      </w:r>
      <w:r>
        <w:br/>
      </w:r>
      <w:r>
        <w:rPr>
          <w:rStyle w:val="NormalTok"/>
        </w:rPr>
        <w:t xml:space="preserve">        </w:t>
      </w:r>
      <w:r>
        <w:rPr>
          <w:rStyle w:val="VariableTok"/>
        </w:rPr>
        <w:t xml:space="preserve">$fsmo</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Role </w:t>
      </w:r>
      <w:r>
        <w:rPr>
          <w:rStyle w:val="OperatorTok"/>
        </w:rPr>
        <w:t xml:space="preserve">=</w:t>
      </w:r>
      <w:r>
        <w:rPr>
          <w:rStyle w:val="NormalTok"/>
        </w:rPr>
        <w:t xml:space="preserve"> </w:t>
      </w:r>
      <w:r>
        <w:rPr>
          <w:rStyle w:val="StringTok"/>
        </w:rPr>
        <w:t xml:space="preserve">'InfrastructureMaster'</w:t>
      </w:r>
      <w:r>
        <w:rPr>
          <w:rStyle w:val="OperatorTok"/>
        </w:rPr>
        <w:t xml:space="preserve">;</w:t>
      </w:r>
      <w:r>
        <w:rPr>
          <w:rStyle w:val="NormalTok"/>
        </w:rPr>
        <w:t xml:space="preserve"> Scope </w:t>
      </w:r>
      <w:r>
        <w:rPr>
          <w:rStyle w:val="OperatorTok"/>
        </w:rPr>
        <w:t xml:space="preserve">=</w:t>
      </w:r>
      <w:r>
        <w:rPr>
          <w:rStyle w:val="NormalTok"/>
        </w:rPr>
        <w:t xml:space="preserve"> </w:t>
      </w:r>
      <w:r>
        <w:rPr>
          <w:rStyle w:val="StringTok"/>
        </w:rPr>
        <w:t xml:space="preserve">'Domain'</w:t>
      </w:r>
      <w:r>
        <w:rPr>
          <w:rStyle w:val="OperatorTok"/>
        </w:rPr>
        <w:t xml:space="preserve">;</w:t>
      </w:r>
      <w:r>
        <w:rPr>
          <w:rStyle w:val="NormalTok"/>
        </w:rPr>
        <w:t xml:space="preserve"> Domain </w:t>
      </w:r>
      <w:r>
        <w:rPr>
          <w:rStyle w:val="OperatorTok"/>
        </w:rPr>
        <w:t xml:space="preserve">=</w:t>
      </w:r>
      <w:r>
        <w:rPr>
          <w:rStyle w:val="NormalTok"/>
        </w:rPr>
        <w:t xml:space="preserve"> </w:t>
      </w:r>
      <w:r>
        <w:rPr>
          <w:rStyle w:val="VariableTok"/>
        </w:rPr>
        <w:t xml:space="preserve">$d</w:t>
      </w:r>
      <w:r>
        <w:rPr>
          <w:rStyle w:val="OperatorTok"/>
        </w:rPr>
        <w:t xml:space="preserve">.</w:t>
      </w:r>
      <w:r>
        <w:rPr>
          <w:rStyle w:val="FunctionTok"/>
        </w:rPr>
        <w:t xml:space="preserve">DNSRoot</w:t>
      </w:r>
      <w:r>
        <w:rPr>
          <w:rStyle w:val="OperatorTok"/>
        </w:rPr>
        <w:t xml:space="preserve">;</w:t>
      </w:r>
      <w:r>
        <w:rPr>
          <w:rStyle w:val="NormalTok"/>
        </w:rPr>
        <w:t xml:space="preserve"> Holder </w:t>
      </w:r>
      <w:r>
        <w:rPr>
          <w:rStyle w:val="OperatorTok"/>
        </w:rPr>
        <w:t xml:space="preserve">=</w:t>
      </w:r>
      <w:r>
        <w:rPr>
          <w:rStyle w:val="NormalTok"/>
        </w:rPr>
        <w:t xml:space="preserve"> </w:t>
      </w:r>
      <w:r>
        <w:rPr>
          <w:rStyle w:val="VariableTok"/>
        </w:rPr>
        <w:t xml:space="preserve">$d</w:t>
      </w:r>
      <w:r>
        <w:rPr>
          <w:rStyle w:val="OperatorTok"/>
        </w:rPr>
        <w:t xml:space="preserve">.</w:t>
      </w:r>
      <w:r>
        <w:rPr>
          <w:rStyle w:val="FunctionTok"/>
        </w:rPr>
        <w:t xml:space="preserve">InfrastructureMaster</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$topology</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AssessmentTimestamp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'o'</w:t>
      </w:r>
      <w:r>
        <w:rPr>
          <w:rStyle w:val="OperatorTok"/>
        </w:rPr>
        <w:t xml:space="preserve">)</w:t>
      </w:r>
      <w:r>
        <w:br/>
      </w:r>
      <w:r>
        <w:rPr>
          <w:rStyle w:val="NormalTok"/>
        </w:rPr>
        <w:t xml:space="preserve">        Forest              </w:t>
      </w:r>
      <w:r>
        <w:rPr>
          <w:rStyle w:val="OperatorTok"/>
        </w:rPr>
        <w:t xml:space="preserve">=</w:t>
      </w:r>
      <w:r>
        <w:rPr>
          <w:rStyle w:val="NormalTok"/>
        </w:rPr>
        <w:t xml:space="preserve"> </w:t>
      </w:r>
      <w:r>
        <w:rPr>
          <w:rStyle w:val="VariableTok"/>
        </w:rPr>
        <w:t xml:space="preserve">$forestInfo</w:t>
      </w:r>
      <w:r>
        <w:br/>
      </w:r>
      <w:r>
        <w:rPr>
          <w:rStyle w:val="NormalTok"/>
        </w:rPr>
        <w:t xml:space="preserve">        Domains             </w:t>
      </w:r>
      <w:r>
        <w:rPr>
          <w:rStyle w:val="OperatorTok"/>
        </w:rPr>
        <w:t xml:space="preserve">=</w:t>
      </w:r>
      <w:r>
        <w:rPr>
          <w:rStyle w:val="NormalTok"/>
        </w:rPr>
        <w:t xml:space="preserve"> </w:t>
      </w:r>
      <w:r>
        <w:rPr>
          <w:rStyle w:val="OperatorTok"/>
        </w:rPr>
        <w:t xml:space="preserve">@(</w:t>
      </w:r>
      <w:r>
        <w:rPr>
          <w:rStyle w:val="VariableTok"/>
        </w:rPr>
        <w:t xml:space="preserve">$domains</w:t>
      </w:r>
      <w:r>
        <w:rPr>
          <w:rStyle w:val="OperatorTok"/>
        </w:rPr>
        <w:t xml:space="preserve">)</w:t>
      </w:r>
      <w:r>
        <w:br/>
      </w:r>
      <w:r>
        <w:rPr>
          <w:rStyle w:val="NormalTok"/>
        </w:rPr>
        <w:t xml:space="preserve">        DomainControllers   </w:t>
      </w:r>
      <w:r>
        <w:rPr>
          <w:rStyle w:val="OperatorTok"/>
        </w:rPr>
        <w:t xml:space="preserve">=</w:t>
      </w:r>
      <w:r>
        <w:rPr>
          <w:rStyle w:val="NormalTok"/>
        </w:rPr>
        <w:t xml:space="preserve"> </w:t>
      </w:r>
      <w:r>
        <w:rPr>
          <w:rStyle w:val="OperatorTok"/>
        </w:rPr>
        <w:t xml:space="preserve">@(</w:t>
      </w:r>
      <w:r>
        <w:rPr>
          <w:rStyle w:val="VariableTok"/>
        </w:rPr>
        <w:t xml:space="preserve">$dcs</w:t>
      </w:r>
      <w:r>
        <w:rPr>
          <w:rStyle w:val="OperatorTok"/>
        </w:rPr>
        <w:t xml:space="preserve">)</w:t>
      </w:r>
      <w:r>
        <w:br/>
      </w:r>
      <w:r>
        <w:rPr>
          <w:rStyle w:val="NormalTok"/>
        </w:rPr>
        <w:t xml:space="preserve">        Sites               </w:t>
      </w:r>
      <w:r>
        <w:rPr>
          <w:rStyle w:val="OperatorTok"/>
        </w:rPr>
        <w:t xml:space="preserve">=</w:t>
      </w:r>
      <w:r>
        <w:rPr>
          <w:rStyle w:val="NormalTok"/>
        </w:rPr>
        <w:t xml:space="preserve"> </w:t>
      </w:r>
      <w:r>
        <w:rPr>
          <w:rStyle w:val="OperatorTok"/>
        </w:rPr>
        <w:t xml:space="preserve">@(</w:t>
      </w:r>
      <w:r>
        <w:rPr>
          <w:rStyle w:val="VariableTok"/>
        </w:rPr>
        <w:t xml:space="preserve">$sites</w:t>
      </w:r>
      <w:r>
        <w:rPr>
          <w:rStyle w:val="OperatorTok"/>
        </w:rPr>
        <w:t xml:space="preserve">)</w:t>
      </w:r>
      <w:r>
        <w:br/>
      </w:r>
      <w:r>
        <w:rPr>
          <w:rStyle w:val="NormalTok"/>
        </w:rPr>
        <w:t xml:space="preserve">        SiteLinks           </w:t>
      </w:r>
      <w:r>
        <w:rPr>
          <w:rStyle w:val="OperatorTok"/>
        </w:rPr>
        <w:t xml:space="preserve">=</w:t>
      </w:r>
      <w:r>
        <w:rPr>
          <w:rStyle w:val="NormalTok"/>
        </w:rPr>
        <w:t xml:space="preserve"> </w:t>
      </w:r>
      <w:r>
        <w:rPr>
          <w:rStyle w:val="OperatorTok"/>
        </w:rPr>
        <w:t xml:space="preserve">@(</w:t>
      </w:r>
      <w:r>
        <w:rPr>
          <w:rStyle w:val="VariableTok"/>
        </w:rPr>
        <w:t xml:space="preserve">$siteLinks</w:t>
      </w:r>
      <w:r>
        <w:rPr>
          <w:rStyle w:val="OperatorTok"/>
        </w:rPr>
        <w:t xml:space="preserve">)</w:t>
      </w:r>
      <w:r>
        <w:br/>
      </w:r>
      <w:r>
        <w:rPr>
          <w:rStyle w:val="NormalTok"/>
        </w:rPr>
        <w:t xml:space="preserve">        Subnets             </w:t>
      </w:r>
      <w:r>
        <w:rPr>
          <w:rStyle w:val="OperatorTok"/>
        </w:rPr>
        <w:t xml:space="preserve">=</w:t>
      </w:r>
      <w:r>
        <w:rPr>
          <w:rStyle w:val="NormalTok"/>
        </w:rPr>
        <w:t xml:space="preserve"> </w:t>
      </w:r>
      <w:r>
        <w:rPr>
          <w:rStyle w:val="OperatorTok"/>
        </w:rPr>
        <w:t xml:space="preserve">@(</w:t>
      </w:r>
      <w:r>
        <w:rPr>
          <w:rStyle w:val="VariableTok"/>
        </w:rPr>
        <w:t xml:space="preserve">$subnets</w:t>
      </w:r>
      <w:r>
        <w:rPr>
          <w:rStyle w:val="OperatorTok"/>
        </w:rPr>
        <w:t xml:space="preserve">)</w:t>
      </w:r>
      <w:r>
        <w:br/>
      </w:r>
      <w:r>
        <w:rPr>
          <w:rStyle w:val="NormalTok"/>
        </w:rPr>
        <w:t xml:space="preserve">        FSMORoles           </w:t>
      </w:r>
      <w:r>
        <w:rPr>
          <w:rStyle w:val="OperatorTok"/>
        </w:rPr>
        <w:t xml:space="preserve">=</w:t>
      </w:r>
      <w:r>
        <w:rPr>
          <w:rStyle w:val="NormalTok"/>
        </w:rPr>
        <w:t xml:space="preserve"> </w:t>
      </w:r>
      <w:r>
        <w:rPr>
          <w:rStyle w:val="VariableTok"/>
        </w:rPr>
        <w:t xml:space="preserve">$fsmo</w:t>
      </w:r>
      <w:r>
        <w:br/>
      </w:r>
      <w:r>
        <w:rPr>
          <w:rStyle w:val="NormalTok"/>
        </w:rPr>
        <w:t xml:space="preserve">    </w:t>
      </w:r>
      <w:r>
        <w:rPr>
          <w:rStyle w:val="OperatorTok"/>
        </w:rPr>
        <w:t xml:space="preserve">}</w:t>
      </w:r>
      <w:r>
        <w:br/>
      </w:r>
      <w:r>
        <w:br/>
      </w:r>
      <w:r>
        <w:rPr>
          <w:rStyle w:val="NormalTok"/>
        </w:rPr>
        <w:t xml:space="preserve">    Write-FMPJson </w:t>
      </w:r>
      <w:r>
        <w:rPr>
          <w:rStyle w:val="OperatorTok"/>
        </w:rPr>
        <w:t xml:space="preserve">-</w:t>
      </w:r>
      <w:r>
        <w:rPr>
          <w:rStyle w:val="NormalTok"/>
        </w:rPr>
        <w:t xml:space="preserve">InputObject </w:t>
      </w:r>
      <w:r>
        <w:rPr>
          <w:rStyle w:val="VariableTok"/>
        </w:rPr>
        <w:t xml:space="preserve">$topology</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$forestPath</w:t>
      </w:r>
      <w:r>
        <w:rPr>
          <w:rStyle w:val="NormalTok"/>
        </w:rPr>
        <w:t xml:space="preserve"> </w:t>
      </w:r>
      <w:r>
        <w:rPr>
          <w:rStyle w:val="StringTok"/>
        </w:rPr>
        <w:t xml:space="preserve">'ForestTopology.json'</w:t>
      </w:r>
      <w:r>
        <w:rPr>
          <w:rStyle w:val="OperatorTok"/>
        </w:rPr>
        <w:t xml:space="preserve">)</w:t>
      </w:r>
      <w:r>
        <w:rPr>
          <w:rStyle w:val="NormalTok"/>
        </w:rPr>
        <w:t xml:space="preserve"> </w:t>
      </w:r>
      <w:r>
        <w:rPr>
          <w:rStyle w:val="OperatorTok"/>
        </w:rPr>
        <w:t xml:space="preserve">-</w:t>
      </w:r>
      <w:r>
        <w:rPr>
          <w:rStyle w:val="NormalTok"/>
        </w:rPr>
        <w:t xml:space="preserve">Depth </w:t>
      </w:r>
      <w:r>
        <w:rPr>
          <w:rStyle w:val="DecValTok"/>
        </w:rPr>
        <w:t xml:space="preserve">10</w:t>
      </w:r>
      <w:r>
        <w:br/>
      </w:r>
      <w:r>
        <w:rPr>
          <w:rStyle w:val="NormalTok"/>
        </w:rPr>
        <w:t xml:space="preserve">    Write-FMPJson </w:t>
      </w:r>
      <w:r>
        <w:rPr>
          <w:rStyle w:val="OperatorTok"/>
        </w:rPr>
        <w:t xml:space="preserve">-</w:t>
      </w:r>
      <w:r>
        <w:rPr>
          <w:rStyle w:val="NormalTok"/>
        </w:rPr>
        <w:t xml:space="preserve">InputObject </w:t>
      </w:r>
      <w:r>
        <w:rPr>
          <w:rStyle w:val="VariableTok"/>
        </w:rPr>
        <w:t xml:space="preserve">$forestInfo</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$forestPath</w:t>
      </w:r>
      <w:r>
        <w:rPr>
          <w:rStyle w:val="NormalTok"/>
        </w:rPr>
        <w:t xml:space="preserve"> </w:t>
      </w:r>
      <w:r>
        <w:rPr>
          <w:rStyle w:val="StringTok"/>
        </w:rPr>
        <w:t xml:space="preserve">'ForestInfo.json'</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$sites</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$forestPath</w:t>
      </w:r>
      <w:r>
        <w:rPr>
          <w:rStyle w:val="NormalTok"/>
        </w:rPr>
        <w:t xml:space="preserve"> </w:t>
      </w:r>
      <w:r>
        <w:rPr>
          <w:rStyle w:val="StringTok"/>
        </w:rPr>
        <w:t xml:space="preserve">'Sites.json'</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$siteLinks</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$forestPath</w:t>
      </w:r>
      <w:r>
        <w:rPr>
          <w:rStyle w:val="NormalTok"/>
        </w:rPr>
        <w:t xml:space="preserve"> </w:t>
      </w:r>
      <w:r>
        <w:rPr>
          <w:rStyle w:val="StringTok"/>
        </w:rPr>
        <w:t xml:space="preserve">'SiteLinks.json'</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$subnets</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$forestPath</w:t>
      </w:r>
      <w:r>
        <w:rPr>
          <w:rStyle w:val="NormalTok"/>
        </w:rPr>
        <w:t xml:space="preserve"> </w:t>
      </w:r>
      <w:r>
        <w:rPr>
          <w:rStyle w:val="StringTok"/>
        </w:rPr>
        <w:t xml:space="preserve">'Subnets.json'</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VariableTok"/>
        </w:rPr>
        <w:t xml:space="preserve">$fsmo</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$forestPath</w:t>
      </w:r>
      <w:r>
        <w:rPr>
          <w:rStyle w:val="NormalTok"/>
        </w:rPr>
        <w:t xml:space="preserve"> </w:t>
      </w:r>
      <w:r>
        <w:rPr>
          <w:rStyle w:val="StringTok"/>
        </w:rPr>
        <w:t xml:space="preserve">'FSMORoles.json'</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$domains</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$domainPath</w:t>
      </w:r>
      <w:r>
        <w:rPr>
          <w:rStyle w:val="NormalTok"/>
        </w:rPr>
        <w:t xml:space="preserve"> </w:t>
      </w:r>
      <w:r>
        <w:rPr>
          <w:rStyle w:val="StringTok"/>
        </w:rPr>
        <w:t xml:space="preserve">'AllDomains.json'</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$dcs</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$domainPath</w:t>
      </w:r>
      <w:r>
        <w:rPr>
          <w:rStyle w:val="NormalTok"/>
        </w:rPr>
        <w:t xml:space="preserve"> </w:t>
      </w:r>
      <w:r>
        <w:rPr>
          <w:rStyle w:val="StringTok"/>
        </w:rPr>
        <w:t xml:space="preserve">'DomainControllers.json'</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$d</w:t>
      </w:r>
      <w:r>
        <w:rPr>
          <w:rStyle w:val="NormalTok"/>
        </w:rPr>
        <w:t xml:space="preserve"> </w:t>
      </w:r>
      <w:r>
        <w:rPr>
          <w:rStyle w:val="KeywordTok"/>
        </w:rPr>
        <w:t xml:space="preserve">in</w:t>
      </w:r>
      <w:r>
        <w:rPr>
          <w:rStyle w:val="NormalTok"/>
        </w:rPr>
        <w:t xml:space="preserve"> </w:t>
      </w:r>
      <w:r>
        <w:rPr>
          <w:rStyle w:val="VariableTok"/>
        </w:rPr>
        <w:t xml:space="preserve">$domains</w:t>
      </w:r>
      <w:r>
        <w:rPr>
          <w:rStyle w:val="OperatorTok"/>
        </w:rPr>
        <w:t xml:space="preserve">)</w:t>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VariableTok"/>
        </w:rPr>
        <w:t xml:space="preserve">$d</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$domainPath</w:t>
      </w:r>
      <w:r>
        <w:rPr>
          <w:rStyle w:val="NormalTok"/>
        </w:rPr>
        <w:t xml:space="preserve"> </w:t>
      </w:r>
      <w:r>
        <w:rPr>
          <w:rStyle w:val="StringTok"/>
        </w:rPr>
        <w:t xml:space="preserve">"</w:t>
      </w:r>
      <w:r>
        <w:rPr>
          <w:rStyle w:val="OperatorTok"/>
        </w:rPr>
        <w:t xml:space="preserve">$(</w:t>
      </w:r>
      <w:r>
        <w:rPr>
          <w:rStyle w:val="VariableTok"/>
        </w:rPr>
        <w:t xml:space="preserve">$d</w:t>
      </w:r>
      <w:r>
        <w:rPr>
          <w:rStyle w:val="OperatorTok"/>
        </w:rPr>
        <w:t xml:space="preserve">.</w:t>
      </w:r>
      <w:r>
        <w:rPr>
          <w:rStyle w:val="FunctionTok"/>
        </w:rPr>
        <w:t xml:space="preserve">DNSRoot</w:t>
      </w:r>
      <w:r>
        <w:rPr>
          <w:rStyle w:val="OperatorTok"/>
        </w:rPr>
        <w:t xml:space="preserve">)</w:t>
      </w:r>
      <w:r>
        <w:rPr>
          <w:rStyle w:val="StringTok"/>
        </w:rPr>
        <w:t xml:space="preserve">.json"</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FunctionTok"/>
        </w:rPr>
        <w:t xml:space="preserve">Write-Verbose</w:t>
      </w:r>
      <w:r>
        <w:rPr>
          <w:rStyle w:val="NormalTok"/>
        </w:rPr>
        <w:t xml:space="preserve"> </w:t>
      </w:r>
      <w:r>
        <w:rPr>
          <w:rStyle w:val="StringTok"/>
        </w:rPr>
        <w:t xml:space="preserve">"ForestTopology.json written to </w:t>
      </w:r>
      <w:r>
        <w:rPr>
          <w:rStyle w:val="VariableTok"/>
        </w:rPr>
        <w:t xml:space="preserve">$forestPath</w:t>
      </w:r>
      <w:r>
        <w:rPr>
          <w:rStyle w:val="StringTok"/>
        </w:rPr>
        <w:t xml:space="preserve">"</w:t>
      </w:r>
      <w:r>
        <w:br/>
      </w:r>
      <w:r>
        <w:rPr>
          <w:rStyle w:val="NormalTok"/>
        </w:rPr>
        <w:t xml:space="preserve">    </w:t>
      </w:r>
      <w:r>
        <w:rPr>
          <w:rStyle w:val="VariableTok"/>
        </w:rPr>
        <w:t xml:space="preserve">$topology</w:t>
      </w:r>
      <w:r>
        <w:br/>
      </w:r>
      <w:r>
        <w:rPr>
          <w:rStyle w:val="OperatorTok"/>
        </w:rPr>
        <w:t xml:space="preserve">}</w:t>
      </w:r>
    </w:p>
    <w:bookmarkEnd w:id="1251"/>
    <w:bookmarkStart w:id="1252" w:name="ou-hierarchy-and-delegation-1"/>
    <w:p>
      <w:pPr>
        <w:pStyle w:val="Heading3"/>
      </w:pPr>
      <w:r>
        <w:t xml:space="preserve">OU hierarchy and delegation</w:t>
      </w:r>
    </w:p>
    <w:p>
      <w:pPr>
        <w:pStyle w:val="SourceCode"/>
      </w:pPr>
      <w:r>
        <w:rPr>
          <w:rStyle w:val="KeywordTok"/>
        </w:rPr>
        <w:t xml:space="preserve">function</w:t>
      </w:r>
      <w:r>
        <w:rPr>
          <w:rStyle w:val="NormalTok"/>
        </w:rPr>
        <w:t xml:space="preserve"> Build-OUTree </w:t>
      </w:r>
      <w:r>
        <w:rPr>
          <w:rStyle w:val="OperatorTok"/>
        </w:rPr>
        <w:t xml:space="preserve">{</w:t>
      </w:r>
      <w:r>
        <w:br/>
      </w:r>
      <w:r>
        <w:rPr>
          <w:rStyle w:val="NormalTok"/>
        </w:rPr>
        <w:t xml:space="preserve">    </w:t>
      </w:r>
      <w:r>
        <w:rPr>
          <w:rStyle w:val="CommentTok"/>
        </w:rPr>
        <w:t xml:space="preserve"># Recursive nested tree from a parent DN, with direct object counts and links.</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$ParentDN</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$Server</w:t>
      </w:r>
      <w:r>
        <w:rPr>
          <w:rStyle w:val="OperatorTok"/>
        </w:rPr>
        <w:t xml:space="preserve">,</w:t>
      </w:r>
      <w:r>
        <w:br/>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$Depth</w:t>
      </w:r>
      <w:r>
        <w:rPr>
          <w:rStyle w:val="NormalTok"/>
        </w:rPr>
        <w:t xml:space="preserve"> </w:t>
      </w:r>
      <w:r>
        <w:rPr>
          <w:rStyle w:val="OperatorTok"/>
        </w:rPr>
        <w:t xml:space="preserve">=</w:t>
      </w:r>
      <w:r>
        <w:rPr>
          <w:rStyle w:val="NormalTok"/>
        </w:rPr>
        <w:t xml:space="preserve"> </w:t>
      </w:r>
      <w:r>
        <w:rPr>
          <w:rStyle w:val="DecValTok"/>
        </w:rPr>
        <w:t xml:space="preserve">0</w:t>
      </w:r>
      <w:r>
        <w:br/>
      </w:r>
      <w:r>
        <w:rPr>
          <w:rStyle w:val="NormalTok"/>
        </w:rPr>
        <w:t xml:space="preserve">    </w:t>
      </w:r>
      <w:r>
        <w:rPr>
          <w:rStyle w:val="OperatorTok"/>
        </w:rPr>
        <w:t xml:space="preserve">)</w:t>
      </w:r>
      <w:r>
        <w:br/>
      </w:r>
      <w:r>
        <w:rPr>
          <w:rStyle w:val="NormalTok"/>
        </w:rPr>
        <w:t xml:space="preserve">    </w:t>
      </w:r>
      <w:r>
        <w:rPr>
          <w:rStyle w:val="VariableTok"/>
        </w:rPr>
        <w:t xml:space="preserve">$children</w:t>
      </w:r>
      <w:r>
        <w:rPr>
          <w:rStyle w:val="NormalTok"/>
        </w:rPr>
        <w:t xml:space="preserve"> </w:t>
      </w:r>
      <w:r>
        <w:rPr>
          <w:rStyle w:val="OperatorTok"/>
        </w:rPr>
        <w:t xml:space="preserve">=</w:t>
      </w:r>
      <w:r>
        <w:rPr>
          <w:rStyle w:val="NormalTok"/>
        </w:rPr>
        <w:t xml:space="preserve"> </w:t>
      </w:r>
      <w:r>
        <w:rPr>
          <w:rStyle w:val="FunctionTok"/>
        </w:rPr>
        <w:t xml:space="preserve">Get-ADOrganizationalUnit</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SearchBase </w:t>
      </w:r>
      <w:r>
        <w:rPr>
          <w:rStyle w:val="VariableTok"/>
        </w:rPr>
        <w:t xml:space="preserve">$ParentDN</w:t>
      </w:r>
      <w:r>
        <w:rPr>
          <w:rStyle w:val="NormalTok"/>
        </w:rPr>
        <w:t xml:space="preserve"> </w:t>
      </w:r>
      <w:r>
        <w:rPr>
          <w:rStyle w:val="OperatorTok"/>
        </w:rPr>
        <w:t xml:space="preserve">-</w:t>
      </w:r>
      <w:r>
        <w:rPr>
          <w:rStyle w:val="NormalTok"/>
        </w:rPr>
        <w:t xml:space="preserve">SearchScope OneLevel `</w:t>
      </w:r>
      <w:r>
        <w:br/>
      </w:r>
      <w:r>
        <w:rPr>
          <w:rStyle w:val="NormalTok"/>
        </w:rPr>
        <w:t xml:space="preserve">        </w:t>
      </w:r>
      <w:r>
        <w:rPr>
          <w:rStyle w:val="OperatorTok"/>
        </w:rPr>
        <w:t xml:space="preserve">-</w:t>
      </w:r>
      <w:r>
        <w:rPr>
          <w:rStyle w:val="NormalTok"/>
        </w:rPr>
        <w:t xml:space="preserve">Server </w:t>
      </w:r>
      <w:r>
        <w:rPr>
          <w:rStyle w:val="VariableTok"/>
        </w:rPr>
        <w:t xml:space="preserve">$Server</w:t>
      </w:r>
      <w:r>
        <w:rPr>
          <w:rStyle w:val="NormalTok"/>
        </w:rPr>
        <w:t xml:space="preserve"> </w:t>
      </w:r>
      <w:r>
        <w:rPr>
          <w:rStyle w:val="OperatorTok"/>
        </w:rPr>
        <w:t xml:space="preserve">-</w:t>
      </w:r>
      <w:r>
        <w:rPr>
          <w:rStyle w:val="NormalTok"/>
        </w:rPr>
        <w:t xml:space="preserve">Properties Description</w:t>
      </w:r>
      <w:r>
        <w:rPr>
          <w:rStyle w:val="OperatorTok"/>
        </w:rPr>
        <w:t xml:space="preserve">,</w:t>
      </w:r>
      <w:r>
        <w:rPr>
          <w:rStyle w:val="NormalTok"/>
        </w:rPr>
        <w:t xml:space="preserve"> ManagedBy</w:t>
      </w:r>
      <w:r>
        <w:rPr>
          <w:rStyle w:val="OperatorTok"/>
        </w:rPr>
        <w:t xml:space="preserve">,</w:t>
      </w:r>
      <w:r>
        <w:rPr>
          <w:rStyle w:val="NormalTok"/>
        </w:rPr>
        <w:t xml:space="preserve"> ProtectedFromAccidentalDeletion</w:t>
      </w:r>
      <w:r>
        <w:rPr>
          <w:rStyle w:val="OperatorTok"/>
        </w:rPr>
        <w:t xml:space="preserve">,</w:t>
      </w:r>
      <w:r>
        <w:rPr>
          <w:rStyle w:val="NormalTok"/>
        </w:rPr>
        <w:t xml:space="preserve"> LinkedGroupPolicyObjects</w:t>
      </w:r>
      <w:r>
        <w:br/>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$ou</w:t>
      </w:r>
      <w:r>
        <w:rPr>
          <w:rStyle w:val="NormalTok"/>
        </w:rPr>
        <w:t xml:space="preserve"> </w:t>
      </w:r>
      <w:r>
        <w:rPr>
          <w:rStyle w:val="KeywordTok"/>
        </w:rPr>
        <w:t xml:space="preserve">in</w:t>
      </w:r>
      <w:r>
        <w:rPr>
          <w:rStyle w:val="NormalTok"/>
        </w:rPr>
        <w:t xml:space="preserve"> </w:t>
      </w:r>
      <w:r>
        <w:rPr>
          <w:rStyle w:val="VariableTok"/>
        </w:rPr>
        <w:t xml:space="preserve">$children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$dn</w:t>
      </w:r>
      <w:r>
        <w:rPr>
          <w:rStyle w:val="NormalTok"/>
        </w:rPr>
        <w:t xml:space="preserve"> </w:t>
      </w:r>
      <w:r>
        <w:rPr>
          <w:rStyle w:val="OperatorTok"/>
        </w:rPr>
        <w:t xml:space="preserve">=</w:t>
      </w:r>
      <w:r>
        <w:rPr>
          <w:rStyle w:val="NormalTok"/>
        </w:rPr>
        <w:t xml:space="preserve"> </w:t>
      </w:r>
      <w:r>
        <w:rPr>
          <w:rStyle w:val="VariableTok"/>
        </w:rPr>
        <w:t xml:space="preserve">$ou</w:t>
      </w:r>
      <w:r>
        <w:rPr>
          <w:rStyle w:val="OperatorTok"/>
        </w:rPr>
        <w:t xml:space="preserve">.</w:t>
      </w:r>
      <w:r>
        <w:rPr>
          <w:rStyle w:val="FunctionTok"/>
        </w:rPr>
        <w:t xml:space="preserve">DistinguishedName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Name                            </w:t>
      </w:r>
      <w:r>
        <w:rPr>
          <w:rStyle w:val="OperatorTok"/>
        </w:rPr>
        <w:t xml:space="preserve">=</w:t>
      </w:r>
      <w:r>
        <w:rPr>
          <w:rStyle w:val="NormalTok"/>
        </w:rPr>
        <w:t xml:space="preserve"> </w:t>
      </w:r>
      <w:r>
        <w:rPr>
          <w:rStyle w:val="VariableTok"/>
        </w:rPr>
        <w:t xml:space="preserve">$ou</w:t>
      </w:r>
      <w:r>
        <w:rPr>
          <w:rStyle w:val="OperatorTok"/>
        </w:rPr>
        <w:t xml:space="preserve">.</w:t>
      </w:r>
      <w:r>
        <w:rPr>
          <w:rStyle w:val="FunctionTok"/>
        </w:rPr>
        <w:t xml:space="preserve">Name</w:t>
      </w:r>
      <w:r>
        <w:br/>
      </w:r>
      <w:r>
        <w:rPr>
          <w:rStyle w:val="NormalTok"/>
        </w:rPr>
        <w:t xml:space="preserve">            DistinguishedName               </w:t>
      </w:r>
      <w:r>
        <w:rPr>
          <w:rStyle w:val="OperatorTok"/>
        </w:rPr>
        <w:t xml:space="preserve">=</w:t>
      </w:r>
      <w:r>
        <w:rPr>
          <w:rStyle w:val="NormalTok"/>
        </w:rPr>
        <w:t xml:space="preserve"> </w:t>
      </w:r>
      <w:r>
        <w:rPr>
          <w:rStyle w:val="VariableTok"/>
        </w:rPr>
        <w:t xml:space="preserve">$dn</w:t>
      </w:r>
      <w:r>
        <w:br/>
      </w:r>
      <w:r>
        <w:rPr>
          <w:rStyle w:val="NormalTok"/>
        </w:rPr>
        <w:t xml:space="preserve">            Description                     </w:t>
      </w:r>
      <w:r>
        <w:rPr>
          <w:rStyle w:val="OperatorTok"/>
        </w:rPr>
        <w:t xml:space="preserve">=</w:t>
      </w:r>
      <w:r>
        <w:rPr>
          <w:rStyle w:val="NormalTok"/>
        </w:rPr>
        <w:t xml:space="preserve"> </w:t>
      </w:r>
      <w:r>
        <w:rPr>
          <w:rStyle w:val="VariableTok"/>
        </w:rPr>
        <w:t xml:space="preserve">$ou</w:t>
      </w:r>
      <w:r>
        <w:rPr>
          <w:rStyle w:val="OperatorTok"/>
        </w:rPr>
        <w:t xml:space="preserve">.</w:t>
      </w:r>
      <w:r>
        <w:rPr>
          <w:rStyle w:val="FunctionTok"/>
        </w:rPr>
        <w:t xml:space="preserve">Description</w:t>
      </w:r>
      <w:r>
        <w:br/>
      </w:r>
      <w:r>
        <w:rPr>
          <w:rStyle w:val="NormalTok"/>
        </w:rPr>
        <w:t xml:space="preserve">            ManagedBy                       </w:t>
      </w:r>
      <w:r>
        <w:rPr>
          <w:rStyle w:val="OperatorTok"/>
        </w:rPr>
        <w:t xml:space="preserve">=</w:t>
      </w:r>
      <w:r>
        <w:rPr>
          <w:rStyle w:val="NormalTok"/>
        </w:rPr>
        <w:t xml:space="preserve"> </w:t>
      </w:r>
      <w:r>
        <w:rPr>
          <w:rStyle w:val="VariableTok"/>
        </w:rPr>
        <w:t xml:space="preserve">$ou</w:t>
      </w:r>
      <w:r>
        <w:rPr>
          <w:rStyle w:val="OperatorTok"/>
        </w:rPr>
        <w:t xml:space="preserve">.</w:t>
      </w:r>
      <w:r>
        <w:rPr>
          <w:rStyle w:val="FunctionTok"/>
        </w:rPr>
        <w:t xml:space="preserve">ManagedBy</w:t>
      </w:r>
      <w:r>
        <w:br/>
      </w:r>
      <w:r>
        <w:rPr>
          <w:rStyle w:val="NormalTok"/>
        </w:rPr>
        <w:t xml:space="preserve">            ProtectedFromAccidentalDeletion </w:t>
      </w:r>
      <w:r>
        <w:rPr>
          <w:rStyle w:val="OperatorTok"/>
        </w:rPr>
        <w:t xml:space="preserve">=</w:t>
      </w:r>
      <w:r>
        <w:rPr>
          <w:rStyle w:val="NormalTok"/>
        </w:rPr>
        <w:t xml:space="preserve"> </w:t>
      </w:r>
      <w:r>
        <w:rPr>
          <w:rStyle w:val="VariableTok"/>
        </w:rPr>
        <w:t xml:space="preserve">$ou</w:t>
      </w:r>
      <w:r>
        <w:rPr>
          <w:rStyle w:val="OperatorTok"/>
        </w:rPr>
        <w:t xml:space="preserve">.</w:t>
      </w:r>
      <w:r>
        <w:rPr>
          <w:rStyle w:val="FunctionTok"/>
        </w:rPr>
        <w:t xml:space="preserve">ProtectedFromAccidentalDeletion</w:t>
      </w:r>
      <w:r>
        <w:br/>
      </w:r>
      <w:r>
        <w:rPr>
          <w:rStyle w:val="NormalTok"/>
        </w:rPr>
        <w:t xml:space="preserve">            LinkedGPOs                      </w:t>
      </w:r>
      <w:r>
        <w:rPr>
          <w:rStyle w:val="OperatorTok"/>
        </w:rPr>
        <w:t xml:space="preserve">=</w:t>
      </w:r>
      <w:r>
        <w:rPr>
          <w:rStyle w:val="NormalTok"/>
        </w:rPr>
        <w:t xml:space="preserve"> </w:t>
      </w:r>
      <w:r>
        <w:rPr>
          <w:rStyle w:val="OperatorTok"/>
        </w:rPr>
        <w:t xml:space="preserve">@(</w:t>
      </w:r>
      <w:r>
        <w:rPr>
          <w:rStyle w:val="VariableTok"/>
        </w:rPr>
        <w:t xml:space="preserve">$ou</w:t>
      </w:r>
      <w:r>
        <w:rPr>
          <w:rStyle w:val="OperatorTok"/>
        </w:rPr>
        <w:t xml:space="preserve">.</w:t>
      </w:r>
      <w:r>
        <w:rPr>
          <w:rStyle w:val="FunctionTok"/>
        </w:rPr>
        <w:t xml:space="preserve">LinkedGroupPolicyObjects</w:t>
      </w:r>
      <w:r>
        <w:rPr>
          <w:rStyle w:val="OperatorTok"/>
        </w:rPr>
        <w:t xml:space="preserve">)</w:t>
      </w:r>
      <w:r>
        <w:br/>
      </w:r>
      <w:r>
        <w:rPr>
          <w:rStyle w:val="NormalTok"/>
        </w:rPr>
        <w:t xml:space="preserve">            Depth                           </w:t>
      </w:r>
      <w:r>
        <w:rPr>
          <w:rStyle w:val="OperatorTok"/>
        </w:rPr>
        <w:t xml:space="preserve">=</w:t>
      </w:r>
      <w:r>
        <w:rPr>
          <w:rStyle w:val="NormalTok"/>
        </w:rPr>
        <w:t xml:space="preserve"> </w:t>
      </w:r>
      <w:r>
        <w:rPr>
          <w:rStyle w:val="VariableTok"/>
        </w:rPr>
        <w:t xml:space="preserve">$Depth</w:t>
      </w:r>
      <w:r>
        <w:br/>
      </w:r>
      <w:r>
        <w:rPr>
          <w:rStyle w:val="NormalTok"/>
        </w:rPr>
        <w:t xml:space="preserve">            ObjectCounts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Users     </w:t>
      </w:r>
      <w:r>
        <w:rPr>
          <w:rStyle w:val="OperatorTok"/>
        </w:rPr>
        <w:t xml:space="preserve">=</w:t>
      </w:r>
      <w:r>
        <w:rPr>
          <w:rStyle w:val="NormalTok"/>
        </w:rPr>
        <w:t xml:space="preserve"> </w:t>
      </w:r>
      <w:r>
        <w:rPr>
          <w:rStyle w:val="OperatorTok"/>
        </w:rPr>
        <w:t xml:space="preserve">@(</w:t>
      </w:r>
      <w:r>
        <w:rPr>
          <w:rStyle w:val="FunctionTok"/>
        </w:rPr>
        <w:t xml:space="preserve">Get-ADUser</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SearchBase </w:t>
      </w:r>
      <w:r>
        <w:rPr>
          <w:rStyle w:val="VariableTok"/>
        </w:rPr>
        <w:t xml:space="preserve">$dn</w:t>
      </w:r>
      <w:r>
        <w:rPr>
          <w:rStyle w:val="NormalTok"/>
        </w:rPr>
        <w:t xml:space="preserve"> </w:t>
      </w:r>
      <w:r>
        <w:rPr>
          <w:rStyle w:val="OperatorTok"/>
        </w:rPr>
        <w:t xml:space="preserve">-</w:t>
      </w:r>
      <w:r>
        <w:rPr>
          <w:rStyle w:val="NormalTok"/>
        </w:rPr>
        <w:t xml:space="preserve">SearchScope OneLevel </w:t>
      </w:r>
      <w:r>
        <w:rPr>
          <w:rStyle w:val="OperatorTok"/>
        </w:rPr>
        <w:t xml:space="preserve">-</w:t>
      </w:r>
      <w:r>
        <w:rPr>
          <w:rStyle w:val="NormalTok"/>
        </w:rPr>
        <w:t xml:space="preserve">Server </w:t>
      </w:r>
      <w:r>
        <w:rPr>
          <w:rStyle w:val="VariableTok"/>
        </w:rPr>
        <w:t xml:space="preserve">$Server</w:t>
      </w:r>
      <w:r>
        <w:rPr>
          <w:rStyle w:val="OperatorTok"/>
        </w:rPr>
        <w:t xml:space="preserve">).</w:t>
      </w:r>
      <w:r>
        <w:rPr>
          <w:rStyle w:val="FunctionTok"/>
        </w:rPr>
        <w:t xml:space="preserve">Count</w:t>
      </w:r>
      <w:r>
        <w:br/>
      </w:r>
      <w:r>
        <w:rPr>
          <w:rStyle w:val="NormalTok"/>
        </w:rPr>
        <w:t xml:space="preserve">                Computers </w:t>
      </w:r>
      <w:r>
        <w:rPr>
          <w:rStyle w:val="OperatorTok"/>
        </w:rPr>
        <w:t xml:space="preserve">=</w:t>
      </w:r>
      <w:r>
        <w:rPr>
          <w:rStyle w:val="NormalTok"/>
        </w:rPr>
        <w:t xml:space="preserve"> </w:t>
      </w:r>
      <w:r>
        <w:rPr>
          <w:rStyle w:val="OperatorTok"/>
        </w:rPr>
        <w:t xml:space="preserve">@(</w:t>
      </w:r>
      <w:r>
        <w:rPr>
          <w:rStyle w:val="FunctionTok"/>
        </w:rPr>
        <w:t xml:space="preserve">Get-ADComputer</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SearchBase </w:t>
      </w:r>
      <w:r>
        <w:rPr>
          <w:rStyle w:val="VariableTok"/>
        </w:rPr>
        <w:t xml:space="preserve">$dn</w:t>
      </w:r>
      <w:r>
        <w:rPr>
          <w:rStyle w:val="NormalTok"/>
        </w:rPr>
        <w:t xml:space="preserve"> </w:t>
      </w:r>
      <w:r>
        <w:rPr>
          <w:rStyle w:val="OperatorTok"/>
        </w:rPr>
        <w:t xml:space="preserve">-</w:t>
      </w:r>
      <w:r>
        <w:rPr>
          <w:rStyle w:val="NormalTok"/>
        </w:rPr>
        <w:t xml:space="preserve">SearchScope OneLevel </w:t>
      </w:r>
      <w:r>
        <w:rPr>
          <w:rStyle w:val="OperatorTok"/>
        </w:rPr>
        <w:t xml:space="preserve">-</w:t>
      </w:r>
      <w:r>
        <w:rPr>
          <w:rStyle w:val="NormalTok"/>
        </w:rPr>
        <w:t xml:space="preserve">Server </w:t>
      </w:r>
      <w:r>
        <w:rPr>
          <w:rStyle w:val="VariableTok"/>
        </w:rPr>
        <w:t xml:space="preserve">$Server</w:t>
      </w:r>
      <w:r>
        <w:rPr>
          <w:rStyle w:val="OperatorTok"/>
        </w:rPr>
        <w:t xml:space="preserve">).</w:t>
      </w:r>
      <w:r>
        <w:rPr>
          <w:rStyle w:val="FunctionTok"/>
        </w:rPr>
        <w:t xml:space="preserve">Count</w:t>
      </w:r>
      <w:r>
        <w:br/>
      </w:r>
      <w:r>
        <w:rPr>
          <w:rStyle w:val="NormalTok"/>
        </w:rPr>
        <w:t xml:space="preserve">                Groups    </w:t>
      </w:r>
      <w:r>
        <w:rPr>
          <w:rStyle w:val="OperatorTok"/>
        </w:rPr>
        <w:t xml:space="preserve">=</w:t>
      </w:r>
      <w:r>
        <w:rPr>
          <w:rStyle w:val="NormalTok"/>
        </w:rPr>
        <w:t xml:space="preserve"> </w:t>
      </w:r>
      <w:r>
        <w:rPr>
          <w:rStyle w:val="OperatorTok"/>
        </w:rPr>
        <w:t xml:space="preserve">@(</w:t>
      </w:r>
      <w:r>
        <w:rPr>
          <w:rStyle w:val="FunctionTok"/>
        </w:rPr>
        <w:t xml:space="preserve">Get-ADGroup</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SearchBase </w:t>
      </w:r>
      <w:r>
        <w:rPr>
          <w:rStyle w:val="VariableTok"/>
        </w:rPr>
        <w:t xml:space="preserve">$dn</w:t>
      </w:r>
      <w:r>
        <w:rPr>
          <w:rStyle w:val="NormalTok"/>
        </w:rPr>
        <w:t xml:space="preserve"> </w:t>
      </w:r>
      <w:r>
        <w:rPr>
          <w:rStyle w:val="OperatorTok"/>
        </w:rPr>
        <w:t xml:space="preserve">-</w:t>
      </w:r>
      <w:r>
        <w:rPr>
          <w:rStyle w:val="NormalTok"/>
        </w:rPr>
        <w:t xml:space="preserve">SearchScope OneLevel </w:t>
      </w:r>
      <w:r>
        <w:rPr>
          <w:rStyle w:val="OperatorTok"/>
        </w:rPr>
        <w:t xml:space="preserve">-</w:t>
      </w:r>
      <w:r>
        <w:rPr>
          <w:rStyle w:val="NormalTok"/>
        </w:rPr>
        <w:t xml:space="preserve">Server </w:t>
      </w:r>
      <w:r>
        <w:rPr>
          <w:rStyle w:val="VariableTok"/>
        </w:rPr>
        <w:t xml:space="preserve">$Server</w:t>
      </w:r>
      <w:r>
        <w:rPr>
          <w:rStyle w:val="OperatorTok"/>
        </w:rPr>
        <w:t xml:space="preserve">).</w:t>
      </w:r>
      <w:r>
        <w:rPr>
          <w:rStyle w:val="FunctionTok"/>
        </w:rPr>
        <w:t xml:space="preserve">Count</w:t>
      </w:r>
      <w:r>
        <w:br/>
      </w:r>
      <w:r>
        <w:rPr>
          <w:rStyle w:val="NormalTok"/>
        </w:rPr>
        <w:t xml:space="preserve">            </w:t>
      </w:r>
      <w:r>
        <w:rPr>
          <w:rStyle w:val="OperatorTok"/>
        </w:rPr>
        <w:t xml:space="preserve">}</w:t>
      </w:r>
      <w:r>
        <w:br/>
      </w:r>
      <w:r>
        <w:rPr>
          <w:rStyle w:val="NormalTok"/>
        </w:rPr>
        <w:t xml:space="preserve">            Children </w:t>
      </w:r>
      <w:r>
        <w:rPr>
          <w:rStyle w:val="OperatorTok"/>
        </w:rPr>
        <w:t xml:space="preserve">=</w:t>
      </w:r>
      <w:r>
        <w:rPr>
          <w:rStyle w:val="NormalTok"/>
        </w:rPr>
        <w:t xml:space="preserve"> </w:t>
      </w:r>
      <w:r>
        <w:rPr>
          <w:rStyle w:val="OperatorTok"/>
        </w:rPr>
        <w:t xml:space="preserve">@(</w:t>
      </w:r>
      <w:r>
        <w:rPr>
          <w:rStyle w:val="NormalTok"/>
        </w:rPr>
        <w:t xml:space="preserve">Build-OUTree </w:t>
      </w:r>
      <w:r>
        <w:rPr>
          <w:rStyle w:val="OperatorTok"/>
        </w:rPr>
        <w:t xml:space="preserve">-</w:t>
      </w:r>
      <w:r>
        <w:rPr>
          <w:rStyle w:val="NormalTok"/>
        </w:rPr>
        <w:t xml:space="preserve">ParentDN </w:t>
      </w:r>
      <w:r>
        <w:rPr>
          <w:rStyle w:val="VariableTok"/>
        </w:rPr>
        <w:t xml:space="preserve">$dn</w:t>
      </w:r>
      <w:r>
        <w:rPr>
          <w:rStyle w:val="NormalTok"/>
        </w:rPr>
        <w:t xml:space="preserve"> </w:t>
      </w:r>
      <w:r>
        <w:rPr>
          <w:rStyle w:val="OperatorTok"/>
        </w:rPr>
        <w:t xml:space="preserve">-</w:t>
      </w:r>
      <w:r>
        <w:rPr>
          <w:rStyle w:val="NormalTok"/>
        </w:rPr>
        <w:t xml:space="preserve">Server </w:t>
      </w:r>
      <w:r>
        <w:rPr>
          <w:rStyle w:val="VariableTok"/>
        </w:rPr>
        <w:t xml:space="preserve">$Server</w:t>
      </w:r>
      <w:r>
        <w:rPr>
          <w:rStyle w:val="NormalTok"/>
        </w:rPr>
        <w:t xml:space="preserve"> </w:t>
      </w:r>
      <w:r>
        <w:rPr>
          <w:rStyle w:val="OperatorTok"/>
        </w:rPr>
        <w:t xml:space="preserve">-</w:t>
      </w:r>
      <w:r>
        <w:rPr>
          <w:rStyle w:val="NormalTok"/>
        </w:rPr>
        <w:t xml:space="preserve">Depth </w:t>
      </w:r>
      <w:r>
        <w:rPr>
          <w:rStyle w:val="OperatorTok"/>
        </w:rPr>
        <w:t xml:space="preserve">(</w:t>
      </w:r>
      <w:r>
        <w:rPr>
          <w:rStyle w:val="VariableTok"/>
        </w:rPr>
        <w:t xml:space="preserve">$Depth</w:t>
      </w:r>
      <w:r>
        <w:rPr>
          <w:rStyle w:val="NormalTok"/>
        </w:rPr>
        <w:t xml:space="preserve">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KeywordTok"/>
        </w:rPr>
        <w:t xml:space="preserve">function</w:t>
      </w:r>
      <w:r>
        <w:rPr>
          <w:rStyle w:val="NormalTok"/>
        </w:rPr>
        <w:t xml:space="preserve"> Show-OUTree </w:t>
      </w:r>
      <w:r>
        <w:rPr>
          <w:rStyle w:val="OperatorTok"/>
        </w:rPr>
        <w:t xml:space="preserve">{</w:t>
      </w:r>
      <w:r>
        <w:br/>
      </w:r>
      <w:r>
        <w:rPr>
          <w:rStyle w:val="NormalTok"/>
        </w:rPr>
        <w:t xml:space="preserve">    </w:t>
      </w:r>
      <w:r>
        <w:rPr>
          <w:rStyle w:val="CommentTok"/>
        </w:rPr>
        <w:t xml:space="preserve"># Indented text rendering for human review.</w:t>
      </w:r>
      <w:r>
        <w:br/>
      </w:r>
      <w:r>
        <w:rPr>
          <w:rStyle w:val="NormalTok"/>
        </w:rPr>
        <w:t xml:space="preserve">    </w:t>
      </w:r>
      <w:r>
        <w:rPr>
          <w:rStyle w:val="KeywordTok"/>
        </w:rPr>
        <w:t xml:space="preserve">param</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VariableTok"/>
        </w:rPr>
        <w:t xml:space="preserve">$TreeNodes</w:t>
      </w:r>
      <w:r>
        <w:rPr>
          <w:rStyle w:val="OperatorTok"/>
        </w:rPr>
        <w:t xml:space="preserve">,</w:t>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$IndentLevel</w:t>
      </w:r>
      <w:r>
        <w:rPr>
          <w:rStyle w:val="NormalTok"/>
        </w:rPr>
        <w:t xml:space="preserve">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VariableTok"/>
        </w:rPr>
        <w:t xml:space="preserve">$indent</w:t>
      </w:r>
      <w:r>
        <w:rPr>
          <w:rStyle w:val="NormalTok"/>
        </w:rPr>
        <w:t xml:space="preserve"> </w:t>
      </w:r>
      <w:r>
        <w:rPr>
          <w:rStyle w:val="OperatorTok"/>
        </w:rPr>
        <w:t xml:space="preserve">=</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w:t>
      </w:r>
      <w:r>
        <w:rPr>
          <w:rStyle w:val="VariableTok"/>
        </w:rPr>
        <w:t xml:space="preserve">$IndentLevel</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$node</w:t>
      </w:r>
      <w:r>
        <w:rPr>
          <w:rStyle w:val="NormalTok"/>
        </w:rPr>
        <w:t xml:space="preserve"> </w:t>
      </w:r>
      <w:r>
        <w:rPr>
          <w:rStyle w:val="KeywordTok"/>
        </w:rPr>
        <w:t xml:space="preserve">in</w:t>
      </w:r>
      <w:r>
        <w:rPr>
          <w:rStyle w:val="NormalTok"/>
        </w:rPr>
        <w:t xml:space="preserve"> </w:t>
      </w:r>
      <w:r>
        <w:rPr>
          <w:rStyle w:val="VariableTok"/>
        </w:rPr>
        <w:t xml:space="preserve">$TreeNodes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$c</w:t>
      </w:r>
      <w:r>
        <w:rPr>
          <w:rStyle w:val="NormalTok"/>
        </w:rPr>
        <w:t xml:space="preserve"> </w:t>
      </w:r>
      <w:r>
        <w:rPr>
          <w:rStyle w:val="OperatorTok"/>
        </w:rPr>
        <w:t xml:space="preserve">=</w:t>
      </w:r>
      <w:r>
        <w:rPr>
          <w:rStyle w:val="NormalTok"/>
        </w:rPr>
        <w:t xml:space="preserve"> </w:t>
      </w:r>
      <w:r>
        <w:rPr>
          <w:rStyle w:val="VariableTok"/>
        </w:rPr>
        <w:t xml:space="preserve">$node</w:t>
      </w:r>
      <w:r>
        <w:rPr>
          <w:rStyle w:val="OperatorTok"/>
        </w:rPr>
        <w:t xml:space="preserve">.</w:t>
      </w:r>
      <w:r>
        <w:rPr>
          <w:rStyle w:val="FunctionTok"/>
        </w:rPr>
        <w:t xml:space="preserve">ObjectCounts</w:t>
      </w:r>
      <w:r>
        <w:br/>
      </w:r>
      <w:r>
        <w:rPr>
          <w:rStyle w:val="NormalTok"/>
        </w:rPr>
        <w:t xml:space="preserve">        </w:t>
      </w:r>
      <w:r>
        <w:rPr>
          <w:rStyle w:val="StringTok"/>
        </w:rPr>
        <w:t xml:space="preserve">"{0}+-- {1} [U:{2} C:{3} G:{4} GPO:{5}]"</w:t>
      </w:r>
      <w:r>
        <w:rPr>
          <w:rStyle w:val="NormalTok"/>
        </w:rPr>
        <w:t xml:space="preserve"> </w:t>
      </w:r>
      <w:r>
        <w:rPr>
          <w:rStyle w:val="OperatorTok"/>
        </w:rPr>
        <w:t xml:space="preserve">-</w:t>
      </w:r>
      <w:r>
        <w:rPr>
          <w:rStyle w:val="NormalTok"/>
        </w:rPr>
        <w:t xml:space="preserve">f </w:t>
      </w:r>
      <w:r>
        <w:rPr>
          <w:rStyle w:val="VariableTok"/>
        </w:rPr>
        <w:t xml:space="preserve">$indent</w:t>
      </w:r>
      <w:r>
        <w:rPr>
          <w:rStyle w:val="OperatorTok"/>
        </w:rPr>
        <w:t xml:space="preserve">,</w:t>
      </w:r>
      <w:r>
        <w:rPr>
          <w:rStyle w:val="NormalTok"/>
        </w:rPr>
        <w:t xml:space="preserve"> </w:t>
      </w:r>
      <w:r>
        <w:rPr>
          <w:rStyle w:val="VariableTok"/>
        </w:rPr>
        <w:t xml:space="preserve">$node</w:t>
      </w:r>
      <w:r>
        <w:rPr>
          <w:rStyle w:val="OperatorTok"/>
        </w:rPr>
        <w:t xml:space="preserve">.</w:t>
      </w:r>
      <w:r>
        <w:rPr>
          <w:rStyle w:val="FunctionTok"/>
        </w:rPr>
        <w:t xml:space="preserve">Name</w:t>
      </w:r>
      <w:r>
        <w:rPr>
          <w:rStyle w:val="OperatorTok"/>
        </w:rPr>
        <w:t xml:space="preserve">,</w:t>
      </w:r>
      <w:r>
        <w:rPr>
          <w:rStyle w:val="NormalTok"/>
        </w:rPr>
        <w:t xml:space="preserve"> </w:t>
      </w:r>
      <w:r>
        <w:rPr>
          <w:rStyle w:val="VariableTok"/>
        </w:rPr>
        <w:t xml:space="preserve">$c</w:t>
      </w:r>
      <w:r>
        <w:rPr>
          <w:rStyle w:val="OperatorTok"/>
        </w:rPr>
        <w:t xml:space="preserve">.</w:t>
      </w:r>
      <w:r>
        <w:rPr>
          <w:rStyle w:val="FunctionTok"/>
        </w:rPr>
        <w:t xml:space="preserve">Users</w:t>
      </w:r>
      <w:r>
        <w:rPr>
          <w:rStyle w:val="OperatorTok"/>
        </w:rPr>
        <w:t xml:space="preserve">,</w:t>
      </w:r>
      <w:r>
        <w:rPr>
          <w:rStyle w:val="NormalTok"/>
        </w:rPr>
        <w:t xml:space="preserve"> </w:t>
      </w:r>
      <w:r>
        <w:rPr>
          <w:rStyle w:val="VariableTok"/>
        </w:rPr>
        <w:t xml:space="preserve">$c</w:t>
      </w:r>
      <w:r>
        <w:rPr>
          <w:rStyle w:val="OperatorTok"/>
        </w:rPr>
        <w:t xml:space="preserve">.</w:t>
      </w:r>
      <w:r>
        <w:rPr>
          <w:rStyle w:val="FunctionTok"/>
        </w:rPr>
        <w:t xml:space="preserve">Computers</w:t>
      </w:r>
      <w:r>
        <w:rPr>
          <w:rStyle w:val="OperatorTok"/>
        </w:rPr>
        <w:t xml:space="preserve">,</w:t>
      </w:r>
      <w:r>
        <w:rPr>
          <w:rStyle w:val="NormalTok"/>
        </w:rPr>
        <w:t xml:space="preserve"> </w:t>
      </w:r>
      <w:r>
        <w:rPr>
          <w:rStyle w:val="VariableTok"/>
        </w:rPr>
        <w:t xml:space="preserve">$c</w:t>
      </w:r>
      <w:r>
        <w:rPr>
          <w:rStyle w:val="OperatorTok"/>
        </w:rPr>
        <w:t xml:space="preserve">.</w:t>
      </w:r>
      <w:r>
        <w:rPr>
          <w:rStyle w:val="FunctionTok"/>
        </w:rPr>
        <w:t xml:space="preserve">Groups</w:t>
      </w:r>
      <w:r>
        <w:rPr>
          <w:rStyle w:val="OperatorTok"/>
        </w:rPr>
        <w:t xml:space="preserve">,</w:t>
      </w:r>
      <w:r>
        <w:rPr>
          <w:rStyle w:val="NormalTok"/>
        </w:rPr>
        <w:t xml:space="preserve"> </w:t>
      </w:r>
      <w:r>
        <w:rPr>
          <w:rStyle w:val="OperatorTok"/>
        </w:rPr>
        <w:t xml:space="preserve">@(</w:t>
      </w:r>
      <w:r>
        <w:rPr>
          <w:rStyle w:val="VariableTok"/>
        </w:rPr>
        <w:t xml:space="preserve">$node</w:t>
      </w:r>
      <w:r>
        <w:rPr>
          <w:rStyle w:val="OperatorTok"/>
        </w:rPr>
        <w:t xml:space="preserve">.</w:t>
      </w:r>
      <w:r>
        <w:rPr>
          <w:rStyle w:val="FunctionTok"/>
        </w:rPr>
        <w:t xml:space="preserve">LinkedGPOs</w:t>
      </w:r>
      <w:r>
        <w:rPr>
          <w:rStyle w:val="OperatorTok"/>
        </w:rPr>
        <w:t xml:space="preserve">).</w:t>
      </w:r>
      <w:r>
        <w:rPr>
          <w:rStyle w:val="FunctionTok"/>
        </w:rPr>
        <w:t xml:space="preserve">Count</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$node</w:t>
      </w:r>
      <w:r>
        <w:rPr>
          <w:rStyle w:val="OperatorTok"/>
        </w:rPr>
        <w:t xml:space="preserve">.</w:t>
      </w:r>
      <w:r>
        <w:rPr>
          <w:rStyle w:val="FunctionTok"/>
        </w:rPr>
        <w:t xml:space="preserve">Children</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rPr>
          <w:rStyle w:val="NormalTok"/>
        </w:rPr>
        <w:t xml:space="preserve">            Show-OUTree </w:t>
      </w:r>
      <w:r>
        <w:rPr>
          <w:rStyle w:val="OperatorTok"/>
        </w:rPr>
        <w:t xml:space="preserve">-</w:t>
      </w:r>
      <w:r>
        <w:rPr>
          <w:rStyle w:val="NormalTok"/>
        </w:rPr>
        <w:t xml:space="preserve">TreeNodes </w:t>
      </w:r>
      <w:r>
        <w:rPr>
          <w:rStyle w:val="VariableTok"/>
        </w:rPr>
        <w:t xml:space="preserve">$node</w:t>
      </w:r>
      <w:r>
        <w:rPr>
          <w:rStyle w:val="OperatorTok"/>
        </w:rPr>
        <w:t xml:space="preserve">.</w:t>
      </w:r>
      <w:r>
        <w:rPr>
          <w:rStyle w:val="FunctionTok"/>
        </w:rPr>
        <w:t xml:space="preserve">Children</w:t>
      </w:r>
      <w:r>
        <w:rPr>
          <w:rStyle w:val="NormalTok"/>
        </w:rPr>
        <w:t xml:space="preserve"> </w:t>
      </w:r>
      <w:r>
        <w:rPr>
          <w:rStyle w:val="OperatorTok"/>
        </w:rPr>
        <w:t xml:space="preserve">-</w:t>
      </w:r>
      <w:r>
        <w:rPr>
          <w:rStyle w:val="NormalTok"/>
        </w:rPr>
        <w:t xml:space="preserve">IndentLevel </w:t>
      </w:r>
      <w:r>
        <w:rPr>
          <w:rStyle w:val="OperatorTok"/>
        </w:rPr>
        <w:t xml:space="preserve">(</w:t>
      </w:r>
      <w:r>
        <w:rPr>
          <w:rStyle w:val="VariableTok"/>
        </w:rPr>
        <w:t xml:space="preserve">$IndentLevel</w:t>
      </w:r>
      <w:r>
        <w:rPr>
          <w:rStyle w:val="NormalTok"/>
        </w:rPr>
        <w:t xml:space="preserve">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KeywordTok"/>
        </w:rPr>
        <w:t xml:space="preserve">function</w:t>
      </w:r>
      <w:r>
        <w:rPr>
          <w:rStyle w:val="NormalTok"/>
        </w:rPr>
        <w:t xml:space="preserve"> Get-OUGPOLinks </w:t>
      </w:r>
      <w:r>
        <w:rPr>
          <w:rStyle w:val="OperatorTok"/>
        </w:rPr>
        <w:t xml:space="preserve">{</w:t>
      </w:r>
      <w:r>
        <w:br/>
      </w:r>
      <w:r>
        <w:rPr>
          <w:rStyle w:val="NormalTok"/>
        </w:rPr>
        <w:t xml:space="preserve">    </w:t>
      </w:r>
      <w:r>
        <w:rPr>
          <w:rStyle w:val="CommentTok"/>
        </w:rPr>
        <w:t xml:space="preserve"># Links and inheritance for one domain or OU, from Get-GPInheritance.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$DistinguishedName</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$Domain</w:t>
      </w:r>
      <w:r>
        <w:br/>
      </w:r>
      <w:r>
        <w:rPr>
          <w:rStyle w:val="NormalTok"/>
        </w:rPr>
        <w:t xml:space="preserve">    </w:t>
      </w:r>
      <w:r>
        <w:rPr>
          <w:rStyle w:val="OperatorTok"/>
        </w:rPr>
        <w:t xml:space="preserve">)</w:t>
      </w:r>
      <w:r>
        <w:br/>
      </w:r>
      <w:r>
        <w:rPr>
          <w:rStyle w:val="NormalTok"/>
        </w:rPr>
        <w:t xml:space="preserve">    </w:t>
      </w:r>
      <w:r>
        <w:rPr>
          <w:rStyle w:val="VariableTok"/>
        </w:rPr>
        <w:t xml:space="preserve">$som</w:t>
      </w:r>
      <w:r>
        <w:rPr>
          <w:rStyle w:val="NormalTok"/>
        </w:rPr>
        <w:t xml:space="preserve"> </w:t>
      </w:r>
      <w:r>
        <w:rPr>
          <w:rStyle w:val="OperatorTok"/>
        </w:rPr>
        <w:t xml:space="preserve">=</w:t>
      </w:r>
      <w:r>
        <w:rPr>
          <w:rStyle w:val="NormalTok"/>
        </w:rPr>
        <w:t xml:space="preserve"> </w:t>
      </w:r>
      <w:r>
        <w:rPr>
          <w:rStyle w:val="FunctionTok"/>
        </w:rPr>
        <w:t xml:space="preserve">Get-GPInheritance</w:t>
      </w:r>
      <w:r>
        <w:rPr>
          <w:rStyle w:val="NormalTok"/>
        </w:rPr>
        <w:t xml:space="preserve"> </w:t>
      </w:r>
      <w:r>
        <w:rPr>
          <w:rStyle w:val="OperatorTok"/>
        </w:rPr>
        <w:t xml:space="preserve">-</w:t>
      </w:r>
      <w:r>
        <w:rPr>
          <w:rStyle w:val="NormalTok"/>
        </w:rPr>
        <w:t xml:space="preserve">Target </w:t>
      </w:r>
      <w:r>
        <w:rPr>
          <w:rStyle w:val="VariableTok"/>
        </w:rPr>
        <w:t xml:space="preserve">$DistinguishedName</w:t>
      </w:r>
      <w:r>
        <w:rPr>
          <w:rStyle w:val="NormalTok"/>
        </w:rPr>
        <w:t xml:space="preserve"> </w:t>
      </w:r>
      <w:r>
        <w:rPr>
          <w:rStyle w:val="OperatorTok"/>
        </w:rPr>
        <w:t xml:space="preserve">-</w:t>
      </w:r>
      <w:r>
        <w:rPr>
          <w:rStyle w:val="NormalTok"/>
        </w:rPr>
        <w:t xml:space="preserve">Domain </w:t>
      </w:r>
      <w:r>
        <w:rPr>
          <w:rStyle w:val="VariableTok"/>
        </w:rPr>
        <w:t xml:space="preserve">$Domain</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Container          </w:t>
      </w:r>
      <w:r>
        <w:rPr>
          <w:rStyle w:val="OperatorTok"/>
        </w:rPr>
        <w:t xml:space="preserve">=</w:t>
      </w:r>
      <w:r>
        <w:rPr>
          <w:rStyle w:val="NormalTok"/>
        </w:rPr>
        <w:t xml:space="preserve"> </w:t>
      </w:r>
      <w:r>
        <w:rPr>
          <w:rStyle w:val="VariableTok"/>
        </w:rPr>
        <w:t xml:space="preserve">$DistinguishedName</w:t>
      </w:r>
      <w:r>
        <w:br/>
      </w:r>
      <w:r>
        <w:rPr>
          <w:rStyle w:val="NormalTok"/>
        </w:rPr>
        <w:t xml:space="preserve">        InheritanceBlocked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$som</w:t>
      </w:r>
      <w:r>
        <w:rPr>
          <w:rStyle w:val="OperatorTok"/>
        </w:rPr>
        <w:t xml:space="preserve">.</w:t>
      </w:r>
      <w:r>
        <w:rPr>
          <w:rStyle w:val="FunctionTok"/>
        </w:rPr>
        <w:t xml:space="preserve">GpoInheritanceBlocked</w:t>
      </w:r>
      <w:r>
        <w:rPr>
          <w:rStyle w:val="OperatorTok"/>
        </w:rPr>
        <w:t xml:space="preserve">)</w:t>
      </w:r>
      <w:r>
        <w:rPr>
          <w:rStyle w:val="StringTok"/>
        </w:rPr>
        <w:t xml:space="preserve">"</w:t>
      </w:r>
      <w:r>
        <w:br/>
      </w:r>
      <w:r>
        <w:rPr>
          <w:rStyle w:val="NormalTok"/>
        </w:rPr>
        <w:t xml:space="preserve">        GPOLinks           </w:t>
      </w:r>
      <w:r>
        <w:rPr>
          <w:rStyle w:val="OperatorTok"/>
        </w:rPr>
        <w:t xml:space="preserve">=</w:t>
      </w:r>
      <w:r>
        <w:rPr>
          <w:rStyle w:val="NormalTok"/>
        </w:rPr>
        <w:t xml:space="preserve"> </w:t>
      </w:r>
      <w:r>
        <w:rPr>
          <w:rStyle w:val="OperatorTok"/>
        </w:rPr>
        <w:t xml:space="preserve">@(</w:t>
      </w:r>
      <w:r>
        <w:rPr>
          <w:rStyle w:val="VariableTok"/>
        </w:rPr>
        <w:t xml:space="preserve">$som</w:t>
      </w:r>
      <w:r>
        <w:rPr>
          <w:rStyle w:val="OperatorTok"/>
        </w:rPr>
        <w:t xml:space="preserve">.</w:t>
      </w:r>
      <w:r>
        <w:rPr>
          <w:rStyle w:val="FunctionTok"/>
        </w:rPr>
        <w:t xml:space="preserve">GpoLinks</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GPOName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DisplayName</w:t>
      </w:r>
      <w:r>
        <w:br/>
      </w:r>
      <w:r>
        <w:rPr>
          <w:rStyle w:val="NormalTok"/>
        </w:rPr>
        <w:t xml:space="preserve">                GPOGUID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GpoId</w:t>
      </w:r>
      <w:r>
        <w:rPr>
          <w:rStyle w:val="OperatorTok"/>
        </w:rPr>
        <w:t xml:space="preserve">)</w:t>
      </w:r>
      <w:r>
        <w:rPr>
          <w:rStyle w:val="StringTok"/>
        </w:rPr>
        <w:t xml:space="preserve">"</w:t>
      </w:r>
      <w:r>
        <w:br/>
      </w:r>
      <w:r>
        <w:rPr>
          <w:rStyle w:val="NormalTok"/>
        </w:rPr>
        <w:t xml:space="preserve">                LinkOrder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Order</w:t>
      </w:r>
      <w:r>
        <w:br/>
      </w:r>
      <w:r>
        <w:rPr>
          <w:rStyle w:val="NormalTok"/>
        </w:rPr>
        <w:t xml:space="preserve">                Enabled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Enabled</w:t>
      </w:r>
      <w:r>
        <w:br/>
      </w:r>
      <w:r>
        <w:rPr>
          <w:rStyle w:val="NormalTok"/>
        </w:rPr>
        <w:t xml:space="preserve">                Enforced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Enforced</w:t>
      </w:r>
      <w:r>
        <w:br/>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KeywordTok"/>
        </w:rPr>
        <w:t xml:space="preserve">function</w:t>
      </w:r>
      <w:r>
        <w:rPr>
          <w:rStyle w:val="NormalTok"/>
        </w:rPr>
        <w:t xml:space="preserve"> Get-FMPOUHierarchy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Extracts the OU tree, flat list, GPO links, delegations and a text rendering.</w:t>
      </w:r>
      <w:r>
        <w:br/>
      </w:r>
      <w:r>
        <w:rPr>
          <w:rStyle w:val="CommentTok"/>
        </w:rPr>
        <w:t xml:space="preserve">    .OUTPUTS</w:t>
      </w:r>
      <w:r>
        <w:br/>
      </w:r>
      <w:r>
        <w:rPr>
          <w:rStyle w:val="CommentTok"/>
        </w:rPr>
        <w:t xml:space="preserve">        OUHierarchy.json, OUFlatList.csv, OUFlatExport.json, OUGPOLinks.json, OUDelegations.json, OUTreeVisual.txt</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DNSRoot</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'D:\FMP\Assessment'</w:t>
      </w:r>
      <w:r>
        <w:br/>
      </w:r>
      <w:r>
        <w:rPr>
          <w:rStyle w:val="NormalTok"/>
        </w:rPr>
        <w:t xml:space="preserve">    </w:t>
      </w:r>
      <w:r>
        <w:rPr>
          <w:rStyle w:val="OperatorTok"/>
        </w:rPr>
        <w:t xml:space="preserve">)</w:t>
      </w:r>
      <w:r>
        <w:br/>
      </w:r>
      <w:r>
        <w:rPr>
          <w:rStyle w:val="NormalTok"/>
        </w:rPr>
        <w:t xml:space="preserve">    </w:t>
      </w:r>
      <w:r>
        <w:rPr>
          <w:rStyle w:val="FunctionTok"/>
        </w:rPr>
        <w:t xml:space="preserve">Import-Module</w:t>
      </w:r>
      <w:r>
        <w:rPr>
          <w:rStyle w:val="NormalTok"/>
        </w:rPr>
        <w:t xml:space="preserve"> ActiveDirectory    </w:t>
      </w:r>
      <w:r>
        <w:rPr>
          <w:rStyle w:val="CommentTok"/>
        </w:rPr>
        <w:t xml:space="preserve"># provides the AD: drive used for ACL reads</w:t>
      </w:r>
      <w:r>
        <w:br/>
      </w:r>
      <w:r>
        <w:rPr>
          <w:rStyle w:val="NormalTok"/>
        </w:rPr>
        <w:t xml:space="preserve">    </w:t>
      </w:r>
      <w:r>
        <w:rPr>
          <w:rStyle w:val="VariableTok"/>
        </w:rPr>
        <w:t xml:space="preserve">$ouPath</w:t>
      </w:r>
      <w:r>
        <w:rPr>
          <w:rStyle w:val="NormalTok"/>
        </w:rPr>
        <w:t xml:space="preserve">   </w:t>
      </w:r>
      <w:r>
        <w:rPr>
          <w:rStyle w:val="OperatorTok"/>
        </w:rPr>
        <w:t xml:space="preserve">=</w:t>
      </w:r>
      <w:r>
        <w:rPr>
          <w:rStyle w:val="NormalTok"/>
        </w:rPr>
        <w:t xml:space="preserve"> Get-FMPDomainPath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Area </w:t>
      </w:r>
      <w:r>
        <w:rPr>
          <w:rStyle w:val="StringTok"/>
        </w:rPr>
        <w:t xml:space="preserve">'OUs'</w:t>
      </w:r>
      <w:r>
        <w:br/>
      </w:r>
      <w:r>
        <w:rPr>
          <w:rStyle w:val="NormalTok"/>
        </w:rPr>
        <w:t xml:space="preserve">    </w:t>
      </w:r>
      <w:r>
        <w:rPr>
          <w:rStyle w:val="VariableTok"/>
        </w:rPr>
        <w:t xml:space="preserve">$domainDN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OperatorTok"/>
        </w:rPr>
        <w:t xml:space="preserve">).</w:t>
      </w:r>
      <w:r>
        <w:rPr>
          <w:rStyle w:val="FunctionTok"/>
        </w:rPr>
        <w:t xml:space="preserve">DistinguishedName</w:t>
      </w:r>
      <w:r>
        <w:br/>
      </w:r>
      <w:r>
        <w:br/>
      </w:r>
      <w:r>
        <w:rPr>
          <w:rStyle w:val="NormalTok"/>
        </w:rPr>
        <w:t xml:space="preserve">    </w:t>
      </w:r>
      <w:r>
        <w:rPr>
          <w:rStyle w:val="VariableTok"/>
        </w:rPr>
        <w:t xml:space="preserve">$tree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Build-OUTree </w:t>
      </w:r>
      <w:r>
        <w:rPr>
          <w:rStyle w:val="OperatorTok"/>
        </w:rPr>
        <w:t xml:space="preserve">-</w:t>
      </w:r>
      <w:r>
        <w:rPr>
          <w:rStyle w:val="NormalTok"/>
        </w:rPr>
        <w:t xml:space="preserve">ParentDN </w:t>
      </w:r>
      <w:r>
        <w:rPr>
          <w:rStyle w:val="VariableTok"/>
        </w:rPr>
        <w:t xml:space="preserve">$domainDN</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Depth </w:t>
      </w:r>
      <w:r>
        <w:rPr>
          <w:rStyle w:val="DecValTok"/>
        </w:rPr>
        <w:t xml:space="preserve">0</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VariableTok"/>
        </w:rPr>
        <w:t xml:space="preserve">$tree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$ouPath</w:t>
      </w:r>
      <w:r>
        <w:rPr>
          <w:rStyle w:val="NormalTok"/>
        </w:rPr>
        <w:t xml:space="preserve"> </w:t>
      </w:r>
      <w:r>
        <w:rPr>
          <w:rStyle w:val="StringTok"/>
        </w:rPr>
        <w:t xml:space="preserve">'OUHierarchy.json'</w:t>
      </w:r>
      <w:r>
        <w:rPr>
          <w:rStyle w:val="OperatorTok"/>
        </w:rPr>
        <w:t xml:space="preserve">)</w:t>
      </w:r>
      <w:r>
        <w:rPr>
          <w:rStyle w:val="NormalTok"/>
        </w:rPr>
        <w:t xml:space="preserve"> </w:t>
      </w:r>
      <w:r>
        <w:rPr>
          <w:rStyle w:val="OperatorTok"/>
        </w:rPr>
        <w:t xml:space="preserve">-</w:t>
      </w:r>
      <w:r>
        <w:rPr>
          <w:rStyle w:val="NormalTok"/>
        </w:rPr>
        <w:t xml:space="preserve">Depth </w:t>
      </w:r>
      <w:r>
        <w:rPr>
          <w:rStyle w:val="DecValTok"/>
        </w:rPr>
        <w:t xml:space="preserve">30</w:t>
      </w:r>
      <w:r>
        <w:br/>
      </w:r>
      <w:r>
        <w:br/>
      </w:r>
      <w:r>
        <w:rPr>
          <w:rStyle w:val="NormalTok"/>
        </w:rPr>
        <w:t xml:space="preserve">    </w:t>
      </w:r>
      <w:r>
        <w:rPr>
          <w:rStyle w:val="VariableTok"/>
        </w:rPr>
        <w:t xml:space="preserve">$all</w:t>
      </w:r>
      <w:r>
        <w:rPr>
          <w:rStyle w:val="NormalTok"/>
        </w:rPr>
        <w:t xml:space="preserve"> </w:t>
      </w:r>
      <w:r>
        <w:rPr>
          <w:rStyle w:val="OperatorTok"/>
        </w:rPr>
        <w:t xml:space="preserve">=</w:t>
      </w:r>
      <w:r>
        <w:rPr>
          <w:rStyle w:val="NormalTok"/>
        </w:rPr>
        <w:t xml:space="preserve"> </w:t>
      </w:r>
      <w:r>
        <w:rPr>
          <w:rStyle w:val="FunctionTok"/>
        </w:rPr>
        <w:t xml:space="preserve">Get-ADOrganizationalUnit</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Properties CanonicalName</w:t>
      </w:r>
      <w:r>
        <w:rPr>
          <w:rStyle w:val="OperatorTok"/>
        </w:rPr>
        <w:t xml:space="preserve">,</w:t>
      </w:r>
      <w:r>
        <w:rPr>
          <w:rStyle w:val="NormalTok"/>
        </w:rPr>
        <w:t xml:space="preserve"> Description</w:t>
      </w:r>
      <w:r>
        <w:rPr>
          <w:rStyle w:val="OperatorTok"/>
        </w:rPr>
        <w:t xml:space="preserve">,</w:t>
      </w:r>
      <w:r>
        <w:rPr>
          <w:rStyle w:val="NormalTok"/>
        </w:rPr>
        <w:t xml:space="preserve"> ManagedBy</w:t>
      </w:r>
      <w:r>
        <w:rPr>
          <w:rStyle w:val="OperatorTok"/>
        </w:rPr>
        <w:t xml:space="preserve">,</w:t>
      </w:r>
      <w:r>
        <w:br/>
      </w:r>
      <w:r>
        <w:rPr>
          <w:rStyle w:val="NormalTok"/>
        </w:rPr>
        <w:t xml:space="preserve">        Created</w:t>
      </w:r>
      <w:r>
        <w:rPr>
          <w:rStyle w:val="OperatorTok"/>
        </w:rPr>
        <w:t xml:space="preserve">,</w:t>
      </w:r>
      <w:r>
        <w:rPr>
          <w:rStyle w:val="NormalTok"/>
        </w:rPr>
        <w:t xml:space="preserve"> Modified</w:t>
      </w:r>
      <w:r>
        <w:rPr>
          <w:rStyle w:val="OperatorTok"/>
        </w:rPr>
        <w:t xml:space="preserve">,</w:t>
      </w:r>
      <w:r>
        <w:rPr>
          <w:rStyle w:val="NormalTok"/>
        </w:rPr>
        <w:t xml:space="preserve"> ProtectedFromAccidentalDeletion</w:t>
      </w:r>
      <w:r>
        <w:rPr>
          <w:rStyle w:val="OperatorTok"/>
        </w:rPr>
        <w:t xml:space="preserve">,</w:t>
      </w:r>
      <w:r>
        <w:rPr>
          <w:rStyle w:val="NormalTok"/>
        </w:rPr>
        <w:t xml:space="preserve"> LinkedGroupPolicyObjects</w:t>
      </w:r>
      <w:r>
        <w:rPr>
          <w:rStyle w:val="OperatorTok"/>
        </w:rPr>
        <w:t xml:space="preserve">,</w:t>
      </w:r>
      <w:r>
        <w:rPr>
          <w:rStyle w:val="NormalTok"/>
        </w:rPr>
        <w:t xml:space="preserve"> gPOptions</w:t>
      </w:r>
      <w:r>
        <w:br/>
      </w:r>
      <w:r>
        <w:rPr>
          <w:rStyle w:val="NormalTok"/>
        </w:rPr>
        <w:t xml:space="preserve">    </w:t>
      </w:r>
      <w:r>
        <w:rPr>
          <w:rStyle w:val="VariableTok"/>
        </w:rPr>
        <w:t xml:space="preserve">$flat</w:t>
      </w:r>
      <w:r>
        <w:rPr>
          <w:rStyle w:val="NormalTok"/>
        </w:rPr>
        <w:t xml:space="preserve"> </w:t>
      </w:r>
      <w:r>
        <w:rPr>
          <w:rStyle w:val="OperatorTok"/>
        </w:rPr>
        <w:t xml:space="preserve">=</w:t>
      </w:r>
      <w:r>
        <w:rPr>
          <w:rStyle w:val="NormalTok"/>
        </w:rPr>
        <w:t xml:space="preserve"> </w:t>
      </w:r>
      <w:r>
        <w:rPr>
          <w:rStyle w:val="VariableTok"/>
        </w:rPr>
        <w:t xml:space="preserve">$all</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DistinguishedName</w:t>
      </w:r>
      <w:r>
        <w:rPr>
          <w:rStyle w:val="OperatorTok"/>
        </w:rPr>
        <w:t xml:space="preserve">,</w:t>
      </w:r>
      <w:r>
        <w:rPr>
          <w:rStyle w:val="NormalTok"/>
        </w:rPr>
        <w:t xml:space="preserve"> CanonicalName</w:t>
      </w:r>
      <w:r>
        <w:rPr>
          <w:rStyle w:val="OperatorTok"/>
        </w:rPr>
        <w:t xml:space="preserve">,</w:t>
      </w:r>
      <w:r>
        <w:rPr>
          <w:rStyle w:val="NormalTok"/>
        </w:rPr>
        <w:t xml:space="preserve"> Description</w:t>
      </w:r>
      <w:r>
        <w:rPr>
          <w:rStyle w:val="OperatorTok"/>
        </w:rPr>
        <w:t xml:space="preserve">,</w:t>
      </w:r>
      <w:r>
        <w:rPr>
          <w:rStyle w:val="NormalTok"/>
        </w:rPr>
        <w:t xml:space="preserve"> ManagedBy</w:t>
      </w:r>
      <w:r>
        <w:rPr>
          <w:rStyle w:val="OperatorTok"/>
        </w:rPr>
        <w:t xml:space="preserve">,</w:t>
      </w:r>
      <w:r>
        <w:br/>
      </w:r>
      <w:r>
        <w:rPr>
          <w:rStyle w:val="NormalTok"/>
        </w:rPr>
        <w:t xml:space="preserve">        Created</w:t>
      </w:r>
      <w:r>
        <w:rPr>
          <w:rStyle w:val="OperatorTok"/>
        </w:rPr>
        <w:t xml:space="preserve">,</w:t>
      </w:r>
      <w:r>
        <w:rPr>
          <w:rStyle w:val="NormalTok"/>
        </w:rPr>
        <w:t xml:space="preserve"> Modified</w:t>
      </w:r>
      <w:r>
        <w:rPr>
          <w:rStyle w:val="OperatorTok"/>
        </w:rPr>
        <w:t xml:space="preserve">,</w:t>
      </w:r>
      <w:r>
        <w:rPr>
          <w:rStyle w:val="NormalTok"/>
        </w:rPr>
        <w:t xml:space="preserve"> ProtectedFromAccidentalDeletion</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'LinkedGPOs'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LinkedGroupPolicyObjects</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'InheritanceBlocked'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gPOptions</w:t>
      </w:r>
      <w:r>
        <w:rPr>
          <w:rStyle w:val="NormalTok"/>
        </w:rPr>
        <w:t xml:space="preserve"> </w:t>
      </w:r>
      <w:r>
        <w:rPr>
          <w:rStyle w:val="OperatorTok"/>
        </w:rPr>
        <w:t xml:space="preserve">-eq</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'Depth'</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regex</w:t>
      </w:r>
      <w:r>
        <w:rPr>
          <w:rStyle w:val="OperatorTok"/>
        </w:rPr>
        <w:t xml:space="preserve">]::</w:t>
      </w:r>
      <w:r>
        <w:rPr>
          <w:rStyle w:val="NormalTok"/>
        </w:rPr>
        <w:t xml:space="preserve">Matches</w:t>
      </w:r>
      <w:r>
        <w:rPr>
          <w:rStyle w:val="OperatorTok"/>
        </w:rPr>
        <w:t xml:space="preserve">(</w:t>
      </w:r>
      <w:r>
        <w:rPr>
          <w:rStyle w:val="VariableTok"/>
        </w:rPr>
        <w:t xml:space="preserve">$_</w:t>
      </w:r>
      <w:r>
        <w:rPr>
          <w:rStyle w:val="OperatorTok"/>
        </w:rPr>
        <w:t xml:space="preserve">.</w:t>
      </w:r>
      <w:r>
        <w:rPr>
          <w:rStyle w:val="FunctionTok"/>
        </w:rPr>
        <w:t xml:space="preserve">DistinguishedName</w:t>
      </w:r>
      <w:r>
        <w:rPr>
          <w:rStyle w:val="OperatorTok"/>
        </w:rPr>
        <w:t xml:space="preserve">,</w:t>
      </w:r>
      <w:r>
        <w:rPr>
          <w:rStyle w:val="NormalTok"/>
        </w:rPr>
        <w:t xml:space="preserve"> </w:t>
      </w:r>
      <w:r>
        <w:rPr>
          <w:rStyle w:val="StringTok"/>
        </w:rPr>
        <w:t xml:space="preserve">'(?i)OU='</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$flat</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$ouPath</w:t>
      </w:r>
      <w:r>
        <w:rPr>
          <w:rStyle w:val="NormalTok"/>
        </w:rPr>
        <w:t xml:space="preserve"> </w:t>
      </w:r>
      <w:r>
        <w:rPr>
          <w:rStyle w:val="StringTok"/>
        </w:rPr>
        <w:t xml:space="preserve">'OUFlatExport.json'</w:t>
      </w:r>
      <w:r>
        <w:rPr>
          <w:rStyle w:val="OperatorTok"/>
        </w:rPr>
        <w:t xml:space="preserve">)</w:t>
      </w:r>
      <w:r>
        <w:br/>
      </w:r>
      <w:r>
        <w:rPr>
          <w:rStyle w:val="NormalTok"/>
        </w:rPr>
        <w:t xml:space="preserve">    </w:t>
      </w:r>
      <w:r>
        <w:rPr>
          <w:rStyle w:val="VariableTok"/>
        </w:rPr>
        <w:t xml:space="preserve">$flat</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CanonicalName</w:t>
      </w:r>
      <w:r>
        <w:rPr>
          <w:rStyle w:val="OperatorTok"/>
        </w:rPr>
        <w:t xml:space="preserve">,</w:t>
      </w:r>
      <w:r>
        <w:rPr>
          <w:rStyle w:val="NormalTok"/>
        </w:rPr>
        <w:t xml:space="preserve"> Description</w:t>
      </w:r>
      <w:r>
        <w:rPr>
          <w:rStyle w:val="OperatorTok"/>
        </w:rPr>
        <w:t xml:space="preserve">,</w:t>
      </w:r>
      <w:r>
        <w:rPr>
          <w:rStyle w:val="NormalTok"/>
        </w:rPr>
        <w:t xml:space="preserve"> ManagedBy</w:t>
      </w:r>
      <w:r>
        <w:rPr>
          <w:rStyle w:val="OperatorTok"/>
        </w:rPr>
        <w:t xml:space="preserve">,</w:t>
      </w:r>
      <w:r>
        <w:rPr>
          <w:rStyle w:val="NormalTok"/>
        </w:rPr>
        <w:t xml:space="preserve"> ProtectedFromAccidentalDeletion</w:t>
      </w:r>
      <w:r>
        <w:rPr>
          <w:rStyle w:val="OperatorTok"/>
        </w:rPr>
        <w:t xml:space="preserve">,</w:t>
      </w:r>
      <w:r>
        <w:rPr>
          <w:rStyle w:val="NormalTok"/>
        </w:rPr>
        <w:t xml:space="preserve"> InheritanceBlocked</w:t>
      </w:r>
      <w:r>
        <w:rPr>
          <w:rStyle w:val="OperatorTok"/>
        </w:rPr>
        <w:t xml:space="preserve">,</w:t>
      </w:r>
      <w:r>
        <w:rPr>
          <w:rStyle w:val="NormalTok"/>
        </w:rPr>
        <w:t xml:space="preserve"> Depth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$ouPath</w:t>
      </w:r>
      <w:r>
        <w:rPr>
          <w:rStyle w:val="NormalTok"/>
        </w:rPr>
        <w:t xml:space="preserve"> </w:t>
      </w:r>
      <w:r>
        <w:rPr>
          <w:rStyle w:val="StringTok"/>
        </w:rPr>
        <w:t xml:space="preserve">'OUFlatList.csv'</w:t>
      </w:r>
      <w:r>
        <w:rPr>
          <w:rStyle w:val="OperatorTok"/>
        </w:rPr>
        <w:t xml:space="preserve">)</w:t>
      </w:r>
      <w:r>
        <w:rPr>
          <w:rStyle w:val="NormalTok"/>
        </w:rPr>
        <w:t xml:space="preserve"> </w:t>
      </w:r>
      <w:r>
        <w:rPr>
          <w:rStyle w:val="OperatorTok"/>
        </w:rPr>
        <w:t xml:space="preserve">-</w:t>
      </w:r>
      <w:r>
        <w:rPr>
          <w:rStyle w:val="NormalTok"/>
        </w:rPr>
        <w:t xml:space="preserve">NoTypeInformation </w:t>
      </w:r>
      <w:r>
        <w:rPr>
          <w:rStyle w:val="OperatorTok"/>
        </w:rPr>
        <w:t xml:space="preserve">-</w:t>
      </w:r>
      <w:r>
        <w:rPr>
          <w:rStyle w:val="NormalTok"/>
        </w:rPr>
        <w:t xml:space="preserve">Encoding UTF8</w:t>
      </w:r>
      <w:r>
        <w:br/>
      </w:r>
      <w:r>
        <w:br/>
      </w:r>
      <w:r>
        <w:rPr>
          <w:rStyle w:val="NormalTok"/>
        </w:rPr>
        <w:t xml:space="preserve">    </w:t>
      </w:r>
      <w:r>
        <w:rPr>
          <w:rStyle w:val="VariableTok"/>
        </w:rPr>
        <w:t xml:space="preserve">$links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Get-OUGPOLinks </w:t>
      </w:r>
      <w:r>
        <w:rPr>
          <w:rStyle w:val="OperatorTok"/>
        </w:rPr>
        <w:t xml:space="preserve">-</w:t>
      </w:r>
      <w:r>
        <w:rPr>
          <w:rStyle w:val="NormalTok"/>
        </w:rPr>
        <w:t xml:space="preserve">DistinguishedName </w:t>
      </w:r>
      <w:r>
        <w:rPr>
          <w:rStyle w:val="VariableTok"/>
        </w:rPr>
        <w:t xml:space="preserve">$domainDN</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OperatorTok"/>
        </w:rPr>
        <w:t xml:space="preserve">)</w:t>
      </w:r>
      <w:r>
        <w:br/>
      </w:r>
      <w:r>
        <w:rPr>
          <w:rStyle w:val="NormalTok"/>
        </w:rPr>
        <w:t xml:space="preserve">    </w:t>
      </w:r>
      <w:r>
        <w:rPr>
          <w:rStyle w:val="VariableTok"/>
        </w:rPr>
        <w:t xml:space="preserve">$links</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$ou</w:t>
      </w:r>
      <w:r>
        <w:rPr>
          <w:rStyle w:val="NormalTok"/>
        </w:rPr>
        <w:t xml:space="preserve"> </w:t>
      </w:r>
      <w:r>
        <w:rPr>
          <w:rStyle w:val="KeywordTok"/>
        </w:rPr>
        <w:t xml:space="preserve">in</w:t>
      </w:r>
      <w:r>
        <w:rPr>
          <w:rStyle w:val="NormalTok"/>
        </w:rPr>
        <w:t xml:space="preserve"> </w:t>
      </w:r>
      <w:r>
        <w:rPr>
          <w:rStyle w:val="VariableTok"/>
        </w:rPr>
        <w:t xml:space="preserve">$all</w:t>
      </w:r>
      <w:r>
        <w:rPr>
          <w:rStyle w:val="OperatorTok"/>
        </w:rPr>
        <w:t xml:space="preserve">)</w:t>
      </w:r>
      <w:r>
        <w:rPr>
          <w:rStyle w:val="NormalTok"/>
        </w:rPr>
        <w:t xml:space="preserve"> </w:t>
      </w:r>
      <w:r>
        <w:rPr>
          <w:rStyle w:val="OperatorTok"/>
        </w:rPr>
        <w:t xml:space="preserve">{</w:t>
      </w:r>
      <w:r>
        <w:rPr>
          <w:rStyle w:val="NormalTok"/>
        </w:rPr>
        <w:t xml:space="preserve"> Get-OUGPOLinks </w:t>
      </w:r>
      <w:r>
        <w:rPr>
          <w:rStyle w:val="OperatorTok"/>
        </w:rPr>
        <w:t xml:space="preserve">-</w:t>
      </w:r>
      <w:r>
        <w:rPr>
          <w:rStyle w:val="NormalTok"/>
        </w:rPr>
        <w:t xml:space="preserve">DistinguishedName </w:t>
      </w:r>
      <w:r>
        <w:rPr>
          <w:rStyle w:val="VariableTok"/>
        </w:rPr>
        <w:t xml:space="preserve">$ou</w:t>
      </w:r>
      <w:r>
        <w:rPr>
          <w:rStyle w:val="OperatorTok"/>
        </w:rPr>
        <w:t xml:space="preserve">.</w:t>
      </w:r>
      <w:r>
        <w:rPr>
          <w:rStyle w:val="FunctionTok"/>
        </w:rPr>
        <w:t xml:space="preserve">DistinguishedName</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VariableTok"/>
        </w:rPr>
        <w:t xml:space="preserve">$links</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$ouPath</w:t>
      </w:r>
      <w:r>
        <w:rPr>
          <w:rStyle w:val="NormalTok"/>
        </w:rPr>
        <w:t xml:space="preserve"> </w:t>
      </w:r>
      <w:r>
        <w:rPr>
          <w:rStyle w:val="StringTok"/>
        </w:rPr>
        <w:t xml:space="preserve">'OUGPOLinks.json'</w:t>
      </w:r>
      <w:r>
        <w:rPr>
          <w:rStyle w:val="OperatorTok"/>
        </w:rPr>
        <w:t xml:space="preserve">)</w:t>
      </w:r>
      <w:r>
        <w:br/>
      </w:r>
      <w:r>
        <w:br/>
      </w:r>
      <w:r>
        <w:rPr>
          <w:rStyle w:val="NormalTok"/>
        </w:rPr>
        <w:t xml:space="preserve">    </w:t>
      </w:r>
      <w:r>
        <w:rPr>
          <w:rStyle w:val="CommentTok"/>
        </w:rPr>
        <w:t xml:space="preserve"># Non-inherited ACEs only, excluding built-in and well-known principals.</w:t>
      </w:r>
      <w:r>
        <w:br/>
      </w:r>
      <w:r>
        <w:rPr>
          <w:rStyle w:val="NormalTok"/>
        </w:rPr>
        <w:t xml:space="preserve">    </w:t>
      </w:r>
      <w:r>
        <w:rPr>
          <w:rStyle w:val="VariableTok"/>
        </w:rPr>
        <w:t xml:space="preserve">$delegations</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$ou</w:t>
      </w:r>
      <w:r>
        <w:rPr>
          <w:rStyle w:val="NormalTok"/>
        </w:rPr>
        <w:t xml:space="preserve"> </w:t>
      </w:r>
      <w:r>
        <w:rPr>
          <w:rStyle w:val="KeywordTok"/>
        </w:rPr>
        <w:t xml:space="preserve">in</w:t>
      </w:r>
      <w:r>
        <w:rPr>
          <w:rStyle w:val="NormalTok"/>
        </w:rPr>
        <w:t xml:space="preserve"> </w:t>
      </w:r>
      <w:r>
        <w:rPr>
          <w:rStyle w:val="VariableTok"/>
        </w:rPr>
        <w:t xml:space="preserve">$all</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$acl</w:t>
      </w:r>
      <w:r>
        <w:rPr>
          <w:rStyle w:val="NormalTok"/>
        </w:rPr>
        <w:t xml:space="preserve"> </w:t>
      </w:r>
      <w:r>
        <w:rPr>
          <w:rStyle w:val="OperatorTok"/>
        </w:rPr>
        <w:t xml:space="preserve">=</w:t>
      </w:r>
      <w:r>
        <w:rPr>
          <w:rStyle w:val="NormalTok"/>
        </w:rPr>
        <w:t xml:space="preserve"> </w:t>
      </w:r>
      <w:r>
        <w:rPr>
          <w:rStyle w:val="FunctionTok"/>
        </w:rPr>
        <w:t xml:space="preserve">Get-Acl</w:t>
      </w:r>
      <w:r>
        <w:rPr>
          <w:rStyle w:val="NormalTok"/>
        </w:rPr>
        <w:t xml:space="preserve"> </w:t>
      </w:r>
      <w:r>
        <w:rPr>
          <w:rStyle w:val="OperatorTok"/>
        </w:rPr>
        <w:t xml:space="preserve">-</w:t>
      </w:r>
      <w:r>
        <w:rPr>
          <w:rStyle w:val="NormalTok"/>
        </w:rPr>
        <w:t xml:space="preserve">Path </w:t>
      </w:r>
      <w:r>
        <w:rPr>
          <w:rStyle w:val="StringTok"/>
        </w:rPr>
        <w:t xml:space="preserve">"AD:\</w:t>
      </w:r>
      <w:r>
        <w:rPr>
          <w:rStyle w:val="OperatorTok"/>
        </w:rPr>
        <w:t xml:space="preserve">$(</w:t>
      </w:r>
      <w:r>
        <w:rPr>
          <w:rStyle w:val="VariableTok"/>
        </w:rPr>
        <w:t xml:space="preserve">$ou</w:t>
      </w:r>
      <w:r>
        <w:rPr>
          <w:rStyle w:val="OperatorTok"/>
        </w:rPr>
        <w:t xml:space="preserve">.</w:t>
      </w:r>
      <w:r>
        <w:rPr>
          <w:rStyle w:val="FunctionTok"/>
        </w:rPr>
        <w:t xml:space="preserve">DistinguishedName</w:t>
      </w:r>
      <w:r>
        <w:rPr>
          <w:rStyle w:val="OperatorTok"/>
        </w:rPr>
        <w:t xml:space="preserve">)</w:t>
      </w:r>
      <w:r>
        <w:rPr>
          <w:rStyle w:val="String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OU          </w:t>
      </w:r>
      <w:r>
        <w:rPr>
          <w:rStyle w:val="OperatorTok"/>
        </w:rPr>
        <w:t xml:space="preserve">=</w:t>
      </w:r>
      <w:r>
        <w:rPr>
          <w:rStyle w:val="NormalTok"/>
        </w:rPr>
        <w:t xml:space="preserve"> </w:t>
      </w:r>
      <w:r>
        <w:rPr>
          <w:rStyle w:val="VariableTok"/>
        </w:rPr>
        <w:t xml:space="preserve">$ou</w:t>
      </w:r>
      <w:r>
        <w:rPr>
          <w:rStyle w:val="OperatorTok"/>
        </w:rPr>
        <w:t xml:space="preserve">.</w:t>
      </w:r>
      <w:r>
        <w:rPr>
          <w:rStyle w:val="FunctionTok"/>
        </w:rPr>
        <w:t xml:space="preserve">Name</w:t>
      </w:r>
      <w:r>
        <w:br/>
      </w:r>
      <w:r>
        <w:rPr>
          <w:rStyle w:val="NormalTok"/>
        </w:rPr>
        <w:t xml:space="preserve">            DN          </w:t>
      </w:r>
      <w:r>
        <w:rPr>
          <w:rStyle w:val="OperatorTok"/>
        </w:rPr>
        <w:t xml:space="preserve">=</w:t>
      </w:r>
      <w:r>
        <w:rPr>
          <w:rStyle w:val="NormalTok"/>
        </w:rPr>
        <w:t xml:space="preserve"> </w:t>
      </w:r>
      <w:r>
        <w:rPr>
          <w:rStyle w:val="VariableTok"/>
        </w:rPr>
        <w:t xml:space="preserve">$ou</w:t>
      </w:r>
      <w:r>
        <w:rPr>
          <w:rStyle w:val="OperatorTok"/>
        </w:rPr>
        <w:t xml:space="preserve">.</w:t>
      </w:r>
      <w:r>
        <w:rPr>
          <w:rStyle w:val="FunctionTok"/>
        </w:rPr>
        <w:t xml:space="preserve">DistinguishedName</w:t>
      </w:r>
      <w:r>
        <w:br/>
      </w:r>
      <w:r>
        <w:rPr>
          <w:rStyle w:val="NormalTok"/>
        </w:rPr>
        <w:t xml:space="preserve">            Delegations </w:t>
      </w:r>
      <w:r>
        <w:rPr>
          <w:rStyle w:val="OperatorTok"/>
        </w:rPr>
        <w:t xml:space="preserve">=</w:t>
      </w:r>
      <w:r>
        <w:rPr>
          <w:rStyle w:val="NormalTok"/>
        </w:rPr>
        <w:t xml:space="preserve"> </w:t>
      </w:r>
      <w:r>
        <w:rPr>
          <w:rStyle w:val="OperatorTok"/>
        </w:rPr>
        <w:t xml:space="preserve">@(</w:t>
      </w:r>
      <w:r>
        <w:rPr>
          <w:rStyle w:val="VariableTok"/>
        </w:rPr>
        <w:t xml:space="preserve">$acl</w:t>
      </w:r>
      <w:r>
        <w:rPr>
          <w:rStyle w:val="OperatorTok"/>
        </w:rPr>
        <w:t xml:space="preserve">.</w:t>
      </w:r>
      <w:r>
        <w:rPr>
          <w:rStyle w:val="FunctionTok"/>
        </w:rPr>
        <w:t xml:space="preserve">Access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OperatorTok"/>
        </w:rPr>
        <w:t xml:space="preserve">-not</w:t>
      </w:r>
      <w:r>
        <w:rPr>
          <w:rStyle w:val="NormalTok"/>
        </w:rPr>
        <w:t xml:space="preserve"> </w:t>
      </w:r>
      <w:r>
        <w:rPr>
          <w:rStyle w:val="VariableTok"/>
        </w:rPr>
        <w:t xml:space="preserve">$_</w:t>
      </w:r>
      <w:r>
        <w:rPr>
          <w:rStyle w:val="OperatorTok"/>
        </w:rPr>
        <w:t xml:space="preserve">.</w:t>
      </w:r>
      <w:r>
        <w:rPr>
          <w:rStyle w:val="FunctionTok"/>
        </w:rPr>
        <w:t xml:space="preserve">IsInherited</w:t>
      </w:r>
      <w:r>
        <w:rPr>
          <w:rStyle w:val="NormalTok"/>
        </w:rPr>
        <w:t xml:space="preserve"> </w:t>
      </w:r>
      <w:r>
        <w:rPr>
          <w:rStyle w:val="OperatorTok"/>
        </w:rPr>
        <w:t xml:space="preserve">-and</w:t>
      </w:r>
      <w:r>
        <w:br/>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IdentityReference</w:t>
      </w:r>
      <w:r>
        <w:rPr>
          <w:rStyle w:val="OperatorTok"/>
        </w:rPr>
        <w:t xml:space="preserve">)</w:t>
      </w:r>
      <w:r>
        <w:rPr>
          <w:rStyle w:val="StringTok"/>
        </w:rPr>
        <w:t xml:space="preserve">"</w:t>
      </w:r>
      <w:r>
        <w:rPr>
          <w:rStyle w:val="NormalTok"/>
        </w:rPr>
        <w:t xml:space="preserve"> </w:t>
      </w:r>
      <w:r>
        <w:rPr>
          <w:rStyle w:val="OperatorTok"/>
        </w:rPr>
        <w:t xml:space="preserve">-notmatch</w:t>
      </w:r>
      <w:r>
        <w:rPr>
          <w:rStyle w:val="NormalTok"/>
        </w:rPr>
        <w:t xml:space="preserve"> </w:t>
      </w:r>
      <w:r>
        <w:rPr>
          <w:rStyle w:val="StringTok"/>
        </w:rPr>
        <w:t xml:space="preserve">'^(NT AUTHORITY|BUILTIN)\\|^S-1-5-'</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IdentityReference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IdentityReference</w:t>
      </w:r>
      <w:r>
        <w:rPr>
          <w:rStyle w:val="OperatorTok"/>
        </w:rPr>
        <w:t xml:space="preserve">)</w:t>
      </w:r>
      <w:r>
        <w:rPr>
          <w:rStyle w:val="StringTok"/>
        </w:rPr>
        <w:t xml:space="preserve">"</w:t>
      </w:r>
      <w:r>
        <w:br/>
      </w:r>
      <w:r>
        <w:rPr>
          <w:rStyle w:val="NormalTok"/>
        </w:rPr>
        <w:t xml:space="preserve">                        ActiveDirectoryRights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ActiveDirectoryRights</w:t>
      </w:r>
      <w:r>
        <w:rPr>
          <w:rStyle w:val="OperatorTok"/>
        </w:rPr>
        <w:t xml:space="preserve">)</w:t>
      </w:r>
      <w:r>
        <w:rPr>
          <w:rStyle w:val="StringTok"/>
        </w:rPr>
        <w:t xml:space="preserve">"</w:t>
      </w:r>
      <w:r>
        <w:br/>
      </w:r>
      <w:r>
        <w:rPr>
          <w:rStyle w:val="NormalTok"/>
        </w:rPr>
        <w:t xml:space="preserve">                        AccessControlType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AccessControlType</w:t>
      </w:r>
      <w:r>
        <w:rPr>
          <w:rStyle w:val="OperatorTok"/>
        </w:rPr>
        <w:t xml:space="preserve">)</w:t>
      </w:r>
      <w:r>
        <w:rPr>
          <w:rStyle w:val="StringTok"/>
        </w:rPr>
        <w:t xml:space="preserve">"</w:t>
      </w:r>
      <w:r>
        <w:br/>
      </w:r>
      <w:r>
        <w:rPr>
          <w:rStyle w:val="NormalTok"/>
        </w:rPr>
        <w:t xml:space="preserve">                        ObjectType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ObjectType</w:t>
      </w:r>
      <w:r>
        <w:rPr>
          <w:rStyle w:val="OperatorTok"/>
        </w:rPr>
        <w:t xml:space="preserve">)</w:t>
      </w:r>
      <w:r>
        <w:rPr>
          <w:rStyle w:val="StringTok"/>
        </w:rPr>
        <w:t xml:space="preserve">"</w:t>
      </w:r>
      <w:r>
        <w:br/>
      </w:r>
      <w:r>
        <w:rPr>
          <w:rStyle w:val="NormalTok"/>
        </w:rPr>
        <w:t xml:space="preserve">                        InheritedObjectType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InheritedObjectType</w:t>
      </w:r>
      <w:r>
        <w:rPr>
          <w:rStyle w:val="OperatorTok"/>
        </w:rPr>
        <w:t xml:space="preserve">)</w:t>
      </w:r>
      <w:r>
        <w:rPr>
          <w:rStyle w:val="StringTok"/>
        </w:rPr>
        <w:t xml:space="preserve">"</w:t>
      </w:r>
      <w:r>
        <w:br/>
      </w:r>
      <w:r>
        <w:rPr>
          <w:rStyle w:val="NormalTok"/>
        </w:rPr>
        <w:t xml:space="preserve">                        InheritanceType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InheritanceType</w:t>
      </w:r>
      <w:r>
        <w:rPr>
          <w:rStyle w:val="OperatorTok"/>
        </w:rPr>
        <w:t xml:space="preserve">)</w:t>
      </w:r>
      <w:r>
        <w:rPr>
          <w:rStyle w:val="StringTok"/>
        </w:rPr>
        <w:t xml:space="preserve">"</w:t>
      </w:r>
      <w:r>
        <w:br/>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$delegations</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$ouPath</w:t>
      </w:r>
      <w:r>
        <w:rPr>
          <w:rStyle w:val="NormalTok"/>
        </w:rPr>
        <w:t xml:space="preserve"> </w:t>
      </w:r>
      <w:r>
        <w:rPr>
          <w:rStyle w:val="StringTok"/>
        </w:rPr>
        <w:t xml:space="preserve">'OUDelegations.json'</w:t>
      </w:r>
      <w:r>
        <w:rPr>
          <w:rStyle w:val="OperatorTok"/>
        </w:rPr>
        <w:t xml:space="preserve">)</w:t>
      </w:r>
      <w:r>
        <w:br/>
      </w:r>
      <w:r>
        <w:br/>
      </w:r>
      <w:r>
        <w:rPr>
          <w:rStyle w:val="NormalTok"/>
        </w:rPr>
        <w:t xml:space="preserve">    Show-OUTree </w:t>
      </w:r>
      <w:r>
        <w:rPr>
          <w:rStyle w:val="OperatorTok"/>
        </w:rPr>
        <w:t xml:space="preserve">-</w:t>
      </w:r>
      <w:r>
        <w:rPr>
          <w:rStyle w:val="NormalTok"/>
        </w:rPr>
        <w:t xml:space="preserve">TreeNodes </w:t>
      </w:r>
      <w:r>
        <w:rPr>
          <w:rStyle w:val="VariableTok"/>
        </w:rPr>
        <w:t xml:space="preserve">$tree</w:t>
      </w:r>
      <w:r>
        <w:rPr>
          <w:rStyle w:val="NormalTok"/>
        </w:rPr>
        <w:t xml:space="preserve"> </w:t>
      </w:r>
      <w:r>
        <w:rPr>
          <w:rStyle w:val="OperatorTok"/>
        </w:rPr>
        <w:t xml:space="preserve">|</w:t>
      </w:r>
      <w:r>
        <w:rPr>
          <w:rStyle w:val="NormalTok"/>
        </w:rPr>
        <w:t xml:space="preserve"> </w:t>
      </w:r>
      <w:r>
        <w:rPr>
          <w:rStyle w:val="FunctionTok"/>
        </w:rPr>
        <w:t xml:space="preserve">Out-File</w:t>
      </w:r>
      <w:r>
        <w:rPr>
          <w:rStyle w:val="NormalTok"/>
        </w:rPr>
        <w:t xml:space="preserve"> </w:t>
      </w:r>
      <w:r>
        <w:rPr>
          <w:rStyle w:val="OperatorTok"/>
        </w:rPr>
        <w:t xml:space="preserve">-</w:t>
      </w:r>
      <w:r>
        <w:rPr>
          <w:rStyle w:val="NormalTok"/>
        </w:rPr>
        <w:t xml:space="preserve">FilePath </w:t>
      </w:r>
      <w:r>
        <w:rPr>
          <w:rStyle w:val="OperatorTok"/>
        </w:rPr>
        <w:t xml:space="preserve">(</w:t>
      </w:r>
      <w:r>
        <w:rPr>
          <w:rStyle w:val="FunctionTok"/>
        </w:rPr>
        <w:t xml:space="preserve">Join-Path</w:t>
      </w:r>
      <w:r>
        <w:rPr>
          <w:rStyle w:val="NormalTok"/>
        </w:rPr>
        <w:t xml:space="preserve"> </w:t>
      </w:r>
      <w:r>
        <w:rPr>
          <w:rStyle w:val="VariableTok"/>
        </w:rPr>
        <w:t xml:space="preserve">$ouPath</w:t>
      </w:r>
      <w:r>
        <w:rPr>
          <w:rStyle w:val="NormalTok"/>
        </w:rPr>
        <w:t xml:space="preserve"> </w:t>
      </w:r>
      <w:r>
        <w:rPr>
          <w:rStyle w:val="StringTok"/>
        </w:rPr>
        <w:t xml:space="preserve">'OUTreeVisual.txt'</w:t>
      </w:r>
      <w:r>
        <w:rPr>
          <w:rStyle w:val="OperatorTok"/>
        </w:rPr>
        <w:t xml:space="preserve">)</w:t>
      </w:r>
      <w:r>
        <w:rPr>
          <w:rStyle w:val="NormalTok"/>
        </w:rPr>
        <w:t xml:space="preserve"> </w:t>
      </w:r>
      <w:r>
        <w:rPr>
          <w:rStyle w:val="OperatorTok"/>
        </w:rPr>
        <w:t xml:space="preserve">-</w:t>
      </w:r>
      <w:r>
        <w:rPr>
          <w:rStyle w:val="NormalTok"/>
        </w:rPr>
        <w:t xml:space="preserve">Encoding UTF8</w:t>
      </w:r>
      <w:r>
        <w:br/>
      </w:r>
      <w:r>
        <w:rPr>
          <w:rStyle w:val="NormalTok"/>
        </w:rPr>
        <w:t xml:space="preserve">    </w:t>
      </w:r>
      <w:r>
        <w:rPr>
          <w:rStyle w:val="FunctionTok"/>
        </w:rPr>
        <w:t xml:space="preserve">Write-Verbose</w:t>
      </w:r>
      <w:r>
        <w:rPr>
          <w:rStyle w:val="NormalTok"/>
        </w:rPr>
        <w:t xml:space="preserve"> </w:t>
      </w:r>
      <w:r>
        <w:rPr>
          <w:rStyle w:val="StringTok"/>
        </w:rPr>
        <w:t xml:space="preserve">"OU hierarchy written to </w:t>
      </w:r>
      <w:r>
        <w:rPr>
          <w:rStyle w:val="VariableTok"/>
        </w:rPr>
        <w:t xml:space="preserve">$ouPath</w:t>
      </w:r>
      <w:r>
        <w:rPr>
          <w:rStyle w:val="StringTok"/>
        </w:rPr>
        <w:t xml:space="preserve">"</w:t>
      </w:r>
      <w:r>
        <w:br/>
      </w:r>
      <w:r>
        <w:rPr>
          <w:rStyle w:val="OperatorTok"/>
        </w:rPr>
        <w:t xml:space="preserve">}</w:t>
      </w:r>
    </w:p>
    <w:bookmarkEnd w:id="1252"/>
    <w:bookmarkStart w:id="1254" w:name="group-policy"/>
    <w:p>
      <w:pPr>
        <w:pStyle w:val="Heading3"/>
      </w:pPr>
      <w:r>
        <w:t xml:space="preserve">Group Policy</w:t>
      </w:r>
    </w:p>
    <w:p>
      <w:pPr>
        <w:pStyle w:val="SourceCode"/>
      </w:pPr>
      <w:r>
        <w:rPr>
          <w:rStyle w:val="KeywordTok"/>
        </w:rPr>
        <w:t xml:space="preserve">function</w:t>
      </w:r>
      <w:r>
        <w:rPr>
          <w:rStyle w:val="NormalTok"/>
        </w:rPr>
        <w:t xml:space="preserve"> Export-FMPGPOSettings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Decomposes GPO XML reports into settings grouped by configuration area.</w:t>
      </w:r>
      <w:r>
        <w:br/>
      </w:r>
      <w:r>
        <w:rPr>
          <w:rStyle w:val="CommentTok"/>
        </w:rPr>
        <w:t xml:space="preserve">    .OUTPUTS</w:t>
      </w:r>
      <w:r>
        <w:br/>
      </w:r>
      <w:r>
        <w:rPr>
          <w:rStyle w:val="CommentTok"/>
        </w:rPr>
        <w:t xml:space="preserve">        GPOSettingsDecomposed.json</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$GPOSettingsPath</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$OutputPath</w:t>
      </w:r>
      <w:r>
        <w:br/>
      </w:r>
      <w:r>
        <w:rPr>
          <w:rStyle w:val="NormalTok"/>
        </w:rPr>
        <w:t xml:space="preserve">    </w:t>
      </w:r>
      <w:r>
        <w:rPr>
          <w:rStyle w:val="OperatorTok"/>
        </w:rPr>
        <w:t xml:space="preserve">)</w:t>
      </w:r>
      <w:r>
        <w:br/>
      </w:r>
      <w:r>
        <w:rPr>
          <w:rStyle w:val="NormalTok"/>
        </w:rPr>
        <w:t xml:space="preserve">    </w:t>
      </w:r>
      <w:r>
        <w:rPr>
          <w:rStyle w:val="VariableTok"/>
        </w:rPr>
        <w:t xml:space="preserve">$areas</w:t>
      </w:r>
      <w:r>
        <w:rPr>
          <w:rStyle w:val="NormalTok"/>
        </w:rPr>
        <w:t xml:space="preserve"> </w:t>
      </w:r>
      <w:r>
        <w:rPr>
          <w:rStyle w:val="OperatorTok"/>
        </w:rPr>
        <w:t xml:space="preserve">=</w:t>
      </w:r>
      <w:r>
        <w:rPr>
          <w:rStyle w:val="NormalTok"/>
        </w:rPr>
        <w:t xml:space="preserve"> </w:t>
      </w:r>
      <w:r>
        <w:rPr>
          <w:rStyle w:val="StringTok"/>
        </w:rPr>
        <w:t xml:space="preserve">'Security'</w:t>
      </w:r>
      <w:r>
        <w:rPr>
          <w:rStyle w:val="OperatorTok"/>
        </w:rPr>
        <w:t xml:space="preserve">,</w:t>
      </w:r>
      <w:r>
        <w:rPr>
          <w:rStyle w:val="NormalTok"/>
        </w:rPr>
        <w:t xml:space="preserve"> </w:t>
      </w:r>
      <w:r>
        <w:rPr>
          <w:rStyle w:val="StringTok"/>
        </w:rPr>
        <w:t xml:space="preserve">'Administrative Templates'</w:t>
      </w:r>
      <w:r>
        <w:rPr>
          <w:rStyle w:val="OperatorTok"/>
        </w:rPr>
        <w:t xml:space="preserve">,</w:t>
      </w:r>
      <w:r>
        <w:rPr>
          <w:rStyle w:val="NormalTok"/>
        </w:rPr>
        <w:t xml:space="preserve"> </w:t>
      </w:r>
      <w:r>
        <w:rPr>
          <w:rStyle w:val="StringTok"/>
        </w:rPr>
        <w:t xml:space="preserve">'Preferences'</w:t>
      </w:r>
      <w:r>
        <w:rPr>
          <w:rStyle w:val="OperatorTok"/>
        </w:rPr>
        <w:t xml:space="preserve">,</w:t>
      </w:r>
      <w:r>
        <w:rPr>
          <w:rStyle w:val="NormalTok"/>
        </w:rPr>
        <w:t xml:space="preserve"> </w:t>
      </w:r>
      <w:r>
        <w:rPr>
          <w:rStyle w:val="StringTok"/>
        </w:rPr>
        <w:t xml:space="preserve">'Scripts'</w:t>
      </w:r>
      <w:r>
        <w:rPr>
          <w:rStyle w:val="OperatorTok"/>
        </w:rPr>
        <w:t xml:space="preserve">,</w:t>
      </w:r>
      <w:r>
        <w:br/>
      </w:r>
      <w:r>
        <w:rPr>
          <w:rStyle w:val="NormalTok"/>
        </w:rPr>
        <w:t xml:space="preserve">             </w:t>
      </w:r>
      <w:r>
        <w:rPr>
          <w:rStyle w:val="StringTok"/>
        </w:rPr>
        <w:t xml:space="preserve">'Software Installation'</w:t>
      </w:r>
      <w:r>
        <w:rPr>
          <w:rStyle w:val="OperatorTok"/>
        </w:rPr>
        <w:t xml:space="preserve">,</w:t>
      </w:r>
      <w:r>
        <w:rPr>
          <w:rStyle w:val="NormalTok"/>
        </w:rPr>
        <w:t xml:space="preserve"> </w:t>
      </w:r>
      <w:r>
        <w:rPr>
          <w:rStyle w:val="StringTok"/>
        </w:rPr>
        <w:t xml:space="preserve">'Folder Redirection'</w:t>
      </w:r>
      <w:r>
        <w:rPr>
          <w:rStyle w:val="OperatorTok"/>
        </w:rPr>
        <w:t xml:space="preserve">,</w:t>
      </w:r>
      <w:r>
        <w:rPr>
          <w:rStyle w:val="NormalTok"/>
        </w:rPr>
        <w:t xml:space="preserve"> </w:t>
      </w:r>
      <w:r>
        <w:rPr>
          <w:rStyle w:val="StringTok"/>
        </w:rPr>
        <w:t xml:space="preserve">'Registry'</w:t>
      </w:r>
      <w:r>
        <w:br/>
      </w:r>
      <w:r>
        <w:br/>
      </w:r>
      <w:r>
        <w:rPr>
          <w:rStyle w:val="NormalTok"/>
        </w:rPr>
        <w:t xml:space="preserve">    </w:t>
      </w:r>
      <w:r>
        <w:rPr>
          <w:rStyle w:val="VariableTok"/>
        </w:rPr>
        <w:t xml:space="preserve">$decomposed</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$file</w:t>
      </w:r>
      <w:r>
        <w:rPr>
          <w:rStyle w:val="NormalTok"/>
        </w:rPr>
        <w:t xml:space="preserve"> </w:t>
      </w:r>
      <w:r>
        <w:rPr>
          <w:rStyle w:val="KeywordTok"/>
        </w:rPr>
        <w:t xml:space="preserve">in</w:t>
      </w:r>
      <w:r>
        <w:rPr>
          <w:rStyle w:val="NormalTok"/>
        </w:rPr>
        <w:t xml:space="preserve"> </w:t>
      </w:r>
      <w:r>
        <w:rPr>
          <w:rStyle w:val="FunctionTok"/>
        </w:rPr>
        <w:t xml:space="preserve">Get-ChildItem</w:t>
      </w:r>
      <w:r>
        <w:rPr>
          <w:rStyle w:val="NormalTok"/>
        </w:rPr>
        <w:t xml:space="preserve"> </w:t>
      </w:r>
      <w:r>
        <w:rPr>
          <w:rStyle w:val="OperatorTok"/>
        </w:rPr>
        <w:t xml:space="preserve">-</w:t>
      </w:r>
      <w:r>
        <w:rPr>
          <w:rStyle w:val="NormalTok"/>
        </w:rPr>
        <w:t xml:space="preserve">Path </w:t>
      </w:r>
      <w:r>
        <w:rPr>
          <w:rStyle w:val="VariableTok"/>
        </w:rPr>
        <w:t xml:space="preserve">$GPOSettingsPath</w:t>
      </w:r>
      <w:r>
        <w:rPr>
          <w:rStyle w:val="NormalTok"/>
        </w:rPr>
        <w:t xml:space="preserve"> </w:t>
      </w:r>
      <w:r>
        <w:rPr>
          <w:rStyle w:val="OperatorTok"/>
        </w:rPr>
        <w:t xml:space="preserve">-</w:t>
      </w:r>
      <w:r>
        <w:rPr>
          <w:rStyle w:val="NormalTok"/>
        </w:rPr>
        <w:t xml:space="preserve">Filter </w:t>
      </w:r>
      <w:r>
        <w:rPr>
          <w:rStyle w:val="StringTok"/>
        </w:rPr>
        <w:t xml:space="preserve">'*.xml'</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xml</w:t>
      </w:r>
      <w:r>
        <w:rPr>
          <w:rStyle w:val="OperatorTok"/>
        </w:rPr>
        <w:t xml:space="preserve">]</w:t>
      </w:r>
      <w:r>
        <w:rPr>
          <w:rStyle w:val="VariableTok"/>
        </w:rPr>
        <w:t xml:space="preserve">$x</w:t>
      </w:r>
      <w:r>
        <w:rPr>
          <w:rStyle w:val="NormalTok"/>
        </w:rPr>
        <w:t xml:space="preserve"> </w:t>
      </w:r>
      <w:r>
        <w:rPr>
          <w:rStyle w:val="OperatorTok"/>
        </w:rPr>
        <w:t xml:space="preserve">=</w:t>
      </w:r>
      <w:r>
        <w:rPr>
          <w:rStyle w:val="NormalTok"/>
        </w:rPr>
        <w:t xml:space="preserve"> </w:t>
      </w:r>
      <w:r>
        <w:rPr>
          <w:rStyle w:val="FunctionTok"/>
        </w:rPr>
        <w:t xml:space="preserve">Get-Content</w:t>
      </w:r>
      <w:r>
        <w:rPr>
          <w:rStyle w:val="NormalTok"/>
        </w:rPr>
        <w:t xml:space="preserve"> </w:t>
      </w:r>
      <w:r>
        <w:rPr>
          <w:rStyle w:val="OperatorTok"/>
        </w:rPr>
        <w:t xml:space="preserve">-</w:t>
      </w:r>
      <w:r>
        <w:rPr>
          <w:rStyle w:val="NormalTok"/>
        </w:rPr>
        <w:t xml:space="preserve">Path </w:t>
      </w:r>
      <w:r>
        <w:rPr>
          <w:rStyle w:val="VariableTok"/>
        </w:rPr>
        <w:t xml:space="preserve">$file</w:t>
      </w:r>
      <w:r>
        <w:rPr>
          <w:rStyle w:val="OperatorTok"/>
        </w:rPr>
        <w:t xml:space="preserve">.</w:t>
      </w:r>
      <w:r>
        <w:rPr>
          <w:rStyle w:val="FunctionTok"/>
        </w:rPr>
        <w:t xml:space="preserve">FullName</w:t>
      </w:r>
      <w:r>
        <w:rPr>
          <w:rStyle w:val="NormalTok"/>
        </w:rPr>
        <w:t xml:space="preserve"> </w:t>
      </w:r>
      <w:r>
        <w:rPr>
          <w:rStyle w:val="OperatorTok"/>
        </w:rPr>
        <w:t xml:space="preserve">-</w:t>
      </w:r>
      <w:r>
        <w:rPr>
          <w:rStyle w:val="NormalTok"/>
        </w:rPr>
        <w:t xml:space="preserve">Raw</w:t>
      </w:r>
      <w:r>
        <w:br/>
      </w:r>
      <w:r>
        <w:rPr>
          <w:rStyle w:val="NormalTok"/>
        </w:rPr>
        <w:t xml:space="preserve">        </w:t>
      </w:r>
      <w:r>
        <w:rPr>
          <w:rStyle w:val="VariableTok"/>
        </w:rPr>
        <w:t xml:space="preserve">$entry</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ordered</w:t>
      </w:r>
      <w:r>
        <w:rPr>
          <w:rStyle w:val="OperatorTok"/>
        </w:rPr>
        <w:t xml:space="preserve">]</w:t>
      </w:r>
      <w:r>
        <w:rPr>
          <w:rStyle w:val="NormalTok"/>
        </w:rPr>
        <w:t xml:space="preserve">@</w:t>
      </w:r>
      <w:r>
        <w:rPr>
          <w:rStyle w:val="OperatorTok"/>
        </w:rPr>
        <w:t xml:space="preserve">{</w:t>
      </w:r>
      <w:r>
        <w:br/>
      </w:r>
      <w:r>
        <w:rPr>
          <w:rStyle w:val="NormalTok"/>
        </w:rPr>
        <w:t xml:space="preserve">            GPOName  </w:t>
      </w:r>
      <w:r>
        <w:rPr>
          <w:rStyle w:val="OperatorTok"/>
        </w:rPr>
        <w:t xml:space="preserve">=</w:t>
      </w:r>
      <w:r>
        <w:rPr>
          <w:rStyle w:val="NormalTok"/>
        </w:rPr>
        <w:t xml:space="preserve"> </w:t>
      </w:r>
      <w:r>
        <w:rPr>
          <w:rStyle w:val="VariableTok"/>
        </w:rPr>
        <w:t xml:space="preserve">$x</w:t>
      </w:r>
      <w:r>
        <w:rPr>
          <w:rStyle w:val="OperatorTok"/>
        </w:rPr>
        <w:t xml:space="preserve">.</w:t>
      </w:r>
      <w:r>
        <w:rPr>
          <w:rStyle w:val="FunctionTok"/>
        </w:rPr>
        <w:t xml:space="preserve">GPO</w:t>
      </w:r>
      <w:r>
        <w:rPr>
          <w:rStyle w:val="OperatorTok"/>
        </w:rPr>
        <w:t xml:space="preserve">.</w:t>
      </w:r>
      <w:r>
        <w:rPr>
          <w:rStyle w:val="FunctionTok"/>
        </w:rPr>
        <w:t xml:space="preserve">Name</w:t>
      </w:r>
      <w:r>
        <w:br/>
      </w:r>
      <w:r>
        <w:rPr>
          <w:rStyle w:val="NormalTok"/>
        </w:rPr>
        <w:t xml:space="preserve">            GPOGUID  </w:t>
      </w:r>
      <w:r>
        <w:rPr>
          <w:rStyle w:val="OperatorTok"/>
        </w:rPr>
        <w:t xml:space="preserve">=</w:t>
      </w:r>
      <w:r>
        <w:rPr>
          <w:rStyle w:val="NormalTok"/>
        </w:rPr>
        <w:t xml:space="preserve"> </w:t>
      </w:r>
      <w:r>
        <w:rPr>
          <w:rStyle w:val="VariableTok"/>
        </w:rPr>
        <w:t xml:space="preserve">$x</w:t>
      </w:r>
      <w:r>
        <w:rPr>
          <w:rStyle w:val="OperatorTok"/>
        </w:rPr>
        <w:t xml:space="preserve">.</w:t>
      </w:r>
      <w:r>
        <w:rPr>
          <w:rStyle w:val="FunctionTok"/>
        </w:rPr>
        <w:t xml:space="preserve">GPO</w:t>
      </w:r>
      <w:r>
        <w:rPr>
          <w:rStyle w:val="OperatorTok"/>
        </w:rPr>
        <w:t xml:space="preserve">.</w:t>
      </w:r>
      <w:r>
        <w:rPr>
          <w:rStyle w:val="FunctionTok"/>
        </w:rPr>
        <w:t xml:space="preserve">Identifier</w:t>
      </w:r>
      <w:r>
        <w:rPr>
          <w:rStyle w:val="OperatorTok"/>
        </w:rPr>
        <w:t xml:space="preserve">.</w:t>
      </w:r>
      <w:r>
        <w:rPr>
          <w:rStyle w:val="FunctionTok"/>
        </w:rPr>
        <w:t xml:space="preserve">Identifier</w:t>
      </w:r>
      <w:r>
        <w:rPr>
          <w:rStyle w:val="OperatorTok"/>
        </w:rPr>
        <w:t xml:space="preserve">.</w:t>
      </w:r>
      <w:r>
        <w:rPr>
          <w:rStyle w:val="StringTok"/>
        </w:rPr>
        <w:t xml:space="preserve">'#text'</w:t>
      </w:r>
      <w:r>
        <w:br/>
      </w:r>
      <w:r>
        <w:rPr>
          <w:rStyle w:val="NormalTok"/>
        </w:rPr>
        <w:t xml:space="preserve">            Computer </w:t>
      </w:r>
      <w:r>
        <w:rPr>
          <w:rStyle w:val="OperatorTok"/>
        </w:rPr>
        <w:t xml:space="preserve">=</w:t>
      </w:r>
      <w:r>
        <w:rPr>
          <w:rStyle w:val="NormalTok"/>
        </w:rPr>
        <w:t xml:space="preserve"> </w:t>
      </w:r>
      <w:r>
        <w:rPr>
          <w:rStyle w:val="OperatorTok"/>
        </w:rPr>
        <w:t xml:space="preserve">[</w:t>
      </w:r>
      <w:r>
        <w:rPr>
          <w:rStyle w:val="NormalTok"/>
        </w:rPr>
        <w:t xml:space="preserve">ordered</w:t>
      </w:r>
      <w:r>
        <w:rPr>
          <w:rStyle w:val="OperatorTok"/>
        </w:rPr>
        <w:t xml:space="preserve">]</w:t>
      </w:r>
      <w:r>
        <w:rPr>
          <w:rStyle w:val="NormalTok"/>
        </w:rPr>
        <w:t xml:space="preserve">@</w:t>
      </w:r>
      <w:r>
        <w:rPr>
          <w:rStyle w:val="OperatorTok"/>
        </w:rPr>
        <w:t xml:space="preserve">{}</w:t>
      </w:r>
      <w:r>
        <w:br/>
      </w:r>
      <w:r>
        <w:rPr>
          <w:rStyle w:val="NormalTok"/>
        </w:rPr>
        <w:t xml:space="preserve">            User     </w:t>
      </w:r>
      <w:r>
        <w:rPr>
          <w:rStyle w:val="OperatorTok"/>
        </w:rPr>
        <w:t xml:space="preserve">=</w:t>
      </w:r>
      <w:r>
        <w:rPr>
          <w:rStyle w:val="NormalTok"/>
        </w:rPr>
        <w:t xml:space="preserve"> </w:t>
      </w:r>
      <w:r>
        <w:rPr>
          <w:rStyle w:val="OperatorTok"/>
        </w:rPr>
        <w:t xml:space="preserve">[</w:t>
      </w:r>
      <w:r>
        <w:rPr>
          <w:rStyle w:val="NormalTok"/>
        </w:rPr>
        <w:t xml:space="preserve">ordered</w:t>
      </w:r>
      <w:r>
        <w:rPr>
          <w:rStyle w:val="OperatorTok"/>
        </w:rPr>
        <w:t xml:space="preserve">]</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$half</w:t>
      </w:r>
      <w:r>
        <w:rPr>
          <w:rStyle w:val="NormalTok"/>
        </w:rPr>
        <w:t xml:space="preserve"> </w:t>
      </w:r>
      <w:r>
        <w:rPr>
          <w:rStyle w:val="KeywordTok"/>
        </w:rPr>
        <w:t xml:space="preserve">in</w:t>
      </w:r>
      <w:r>
        <w:rPr>
          <w:rStyle w:val="NormalTok"/>
        </w:rPr>
        <w:t xml:space="preserve"> </w:t>
      </w:r>
      <w:r>
        <w:rPr>
          <w:rStyle w:val="StringTok"/>
        </w:rPr>
        <w:t xml:space="preserve">'Computer'</w:t>
      </w:r>
      <w:r>
        <w:rPr>
          <w:rStyle w:val="OperatorTok"/>
        </w:rPr>
        <w:t xml:space="preserve">,</w:t>
      </w:r>
      <w:r>
        <w:rPr>
          <w:rStyle w:val="NormalTok"/>
        </w:rPr>
        <w:t xml:space="preserve"> </w:t>
      </w:r>
      <w:r>
        <w:rPr>
          <w:rStyle w:val="StringTok"/>
        </w:rPr>
        <w:t xml:space="preserve">'User'</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$ext</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$x</w:t>
      </w:r>
      <w:r>
        <w:rPr>
          <w:rStyle w:val="OperatorTok"/>
        </w:rPr>
        <w:t xml:space="preserve">.</w:t>
      </w:r>
      <w:r>
        <w:rPr>
          <w:rStyle w:val="FunctionTok"/>
        </w:rPr>
        <w:t xml:space="preserve">GPO</w:t>
      </w:r>
      <w:r>
        <w:rPr>
          <w:rStyle w:val="OperatorTok"/>
        </w:rPr>
        <w:t xml:space="preserve">.</w:t>
      </w:r>
      <w:r>
        <w:rPr>
          <w:rStyle w:val="VariableTok"/>
        </w:rPr>
        <w:t xml:space="preserve">$half</w:t>
      </w:r>
      <w:r>
        <w:rPr>
          <w:rStyle w:val="OperatorTok"/>
        </w:rPr>
        <w:t xml:space="preserve">.</w:t>
      </w:r>
      <w:r>
        <w:rPr>
          <w:rStyle w:val="FunctionTok"/>
        </w:rPr>
        <w:t xml:space="preserve">ExtensionData</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$area</w:t>
      </w:r>
      <w:r>
        <w:rPr>
          <w:rStyle w:val="NormalTok"/>
        </w:rPr>
        <w:t xml:space="preserve"> </w:t>
      </w:r>
      <w:r>
        <w:rPr>
          <w:rStyle w:val="KeywordTok"/>
        </w:rPr>
        <w:t xml:space="preserve">in</w:t>
      </w:r>
      <w:r>
        <w:rPr>
          <w:rStyle w:val="NormalTok"/>
        </w:rPr>
        <w:t xml:space="preserve"> </w:t>
      </w:r>
      <w:r>
        <w:rPr>
          <w:rStyle w:val="VariableTok"/>
        </w:rPr>
        <w:t xml:space="preserve">$areas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$entry</w:t>
      </w:r>
      <w:r>
        <w:rPr>
          <w:rStyle w:val="OperatorTok"/>
        </w:rPr>
        <w:t xml:space="preserve">[</w:t>
      </w:r>
      <w:r>
        <w:rPr>
          <w:rStyle w:val="VariableTok"/>
        </w:rPr>
        <w:t xml:space="preserve">$half</w:t>
      </w:r>
      <w:r>
        <w:rPr>
          <w:rStyle w:val="OperatorTok"/>
        </w:rPr>
        <w:t xml:space="preserve">][</w:t>
      </w:r>
      <w:r>
        <w:rPr>
          <w:rStyle w:val="VariableTok"/>
        </w:rPr>
        <w:t xml:space="preserve">$area</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$ext</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-match</w:t>
      </w:r>
      <w:r>
        <w:rPr>
          <w:rStyle w:val="NormalTok"/>
        </w:rPr>
        <w:t xml:space="preserve"> </w:t>
      </w:r>
      <w:r>
        <w:rPr>
          <w:rStyle w:val="OperatorTok"/>
        </w:rPr>
        <w:t xml:space="preserve">[</w:t>
      </w:r>
      <w:r>
        <w:rPr>
          <w:rStyle w:val="NormalTok"/>
        </w:rPr>
        <w:t xml:space="preserve">regex</w:t>
      </w:r>
      <w:r>
        <w:rPr>
          <w:rStyle w:val="OperatorTok"/>
        </w:rPr>
        <w:t xml:space="preserve">]::</w:t>
      </w:r>
      <w:r>
        <w:rPr>
          <w:rStyle w:val="NormalTok"/>
        </w:rPr>
        <w:t xml:space="preserve">Escape</w:t>
      </w:r>
      <w:r>
        <w:rPr>
          <w:rStyle w:val="OperatorTok"/>
        </w:rPr>
        <w:t xml:space="preserve">(</w:t>
      </w:r>
      <w:r>
        <w:rPr>
          <w:rStyle w:val="VariableTok"/>
        </w:rPr>
        <w:t xml:space="preserve">$area</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ExpandProperty Name</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VariableTok"/>
        </w:rPr>
        <w:t xml:space="preserve">$entry</w:t>
      </w:r>
      <w:r>
        <w:br/>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$decomposed</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$OutputPath</w:t>
      </w:r>
      <w:r>
        <w:rPr>
          <w:rStyle w:val="NormalTok"/>
        </w:rPr>
        <w:t xml:space="preserve"> </w:t>
      </w:r>
      <w:r>
        <w:rPr>
          <w:rStyle w:val="StringTok"/>
        </w:rPr>
        <w:t xml:space="preserve">'GPOSettingsDecomposed.json'</w:t>
      </w:r>
      <w:r>
        <w:rPr>
          <w:rStyle w:val="OperatorTok"/>
        </w:rPr>
        <w:t xml:space="preserve">)</w:t>
      </w:r>
      <w:r>
        <w:rPr>
          <w:rStyle w:val="NormalTok"/>
        </w:rPr>
        <w:t xml:space="preserve"> </w:t>
      </w:r>
      <w:r>
        <w:rPr>
          <w:rStyle w:val="OperatorTok"/>
        </w:rPr>
        <w:t xml:space="preserve">-</w:t>
      </w:r>
      <w:r>
        <w:rPr>
          <w:rStyle w:val="NormalTok"/>
        </w:rPr>
        <w:t xml:space="preserve">Depth </w:t>
      </w:r>
      <w:r>
        <w:rPr>
          <w:rStyle w:val="DecValTok"/>
        </w:rPr>
        <w:t xml:space="preserve">15</w:t>
      </w:r>
      <w:r>
        <w:br/>
      </w:r>
      <w:r>
        <w:rPr>
          <w:rStyle w:val="NormalTok"/>
        </w:rPr>
        <w:t xml:space="preserve">    </w:t>
      </w:r>
      <w:r>
        <w:rPr>
          <w:rStyle w:val="FunctionTok"/>
        </w:rPr>
        <w:t xml:space="preserve">Write-Verbose</w:t>
      </w:r>
      <w:r>
        <w:rPr>
          <w:rStyle w:val="NormalTok"/>
        </w:rPr>
        <w:t xml:space="preserve"> </w:t>
      </w:r>
      <w:r>
        <w:rPr>
          <w:rStyle w:val="StringTok"/>
        </w:rPr>
        <w:t xml:space="preserve">"Decomposed </w:t>
      </w:r>
      <w:r>
        <w:rPr>
          <w:rStyle w:val="OperatorTok"/>
        </w:rPr>
        <w:t xml:space="preserve">$(@(</w:t>
      </w:r>
      <w:r>
        <w:rPr>
          <w:rStyle w:val="VariableTok"/>
        </w:rPr>
        <w:t xml:space="preserve">$decomposed</w:t>
      </w:r>
      <w:r>
        <w:rPr>
          <w:rStyle w:val="OperatorTok"/>
        </w:rPr>
        <w:t xml:space="preserve">)</w:t>
      </w:r>
      <w:r>
        <w:rPr>
          <w:rStyle w:val="StringTok"/>
        </w:rPr>
        <w:t xml:space="preserve">.Count) GPO reports."</w:t>
      </w:r>
      <w:r>
        <w:br/>
      </w:r>
      <w:r>
        <w:rPr>
          <w:rStyle w:val="OperatorTok"/>
        </w:rPr>
        <w:t xml:space="preserve">}</w:t>
      </w:r>
      <w:r>
        <w:br/>
      </w:r>
      <w:r>
        <w:br/>
      </w:r>
      <w:r>
        <w:rPr>
          <w:rStyle w:val="KeywordTok"/>
        </w:rPr>
        <w:t xml:space="preserve">function</w:t>
      </w:r>
      <w:r>
        <w:rPr>
          <w:rStyle w:val="NormalTok"/>
        </w:rPr>
        <w:t xml:space="preserve"> Find-GPOConflicts </w:t>
      </w:r>
      <w:r>
        <w:rPr>
          <w:rStyle w:val="OperatorTok"/>
        </w:rPr>
        <w:t xml:space="preserve">{</w:t>
      </w:r>
      <w:r>
        <w:br/>
      </w:r>
      <w:r>
        <w:rPr>
          <w:rStyle w:val="NormalTok"/>
        </w:rPr>
        <w:t xml:space="preserve">    </w:t>
      </w:r>
      <w:r>
        <w:rPr>
          <w:rStyle w:val="CommentTok"/>
        </w:rPr>
        <w:t xml:space="preserve"># Settings that appear in more than one GPO, keyed by extension element and name.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$GPOSettingsPath</w:t>
      </w:r>
      <w:r>
        <w:br/>
      </w:r>
      <w:r>
        <w:rPr>
          <w:rStyle w:val="NormalTok"/>
        </w:rPr>
        <w:t xml:space="preserve">    </w:t>
      </w:r>
      <w:r>
        <w:rPr>
          <w:rStyle w:val="OperatorTok"/>
        </w:rPr>
        <w:t xml:space="preserve">)</w:t>
      </w:r>
      <w:r>
        <w:br/>
      </w:r>
      <w:r>
        <w:rPr>
          <w:rStyle w:val="NormalTok"/>
        </w:rPr>
        <w:t xml:space="preserve">    </w:t>
      </w:r>
      <w:r>
        <w:rPr>
          <w:rStyle w:val="VariableTok"/>
        </w:rPr>
        <w:t xml:space="preserve">$map</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$file</w:t>
      </w:r>
      <w:r>
        <w:rPr>
          <w:rStyle w:val="NormalTok"/>
        </w:rPr>
        <w:t xml:space="preserve"> </w:t>
      </w:r>
      <w:r>
        <w:rPr>
          <w:rStyle w:val="KeywordTok"/>
        </w:rPr>
        <w:t xml:space="preserve">in</w:t>
      </w:r>
      <w:r>
        <w:rPr>
          <w:rStyle w:val="NormalTok"/>
        </w:rPr>
        <w:t xml:space="preserve"> </w:t>
      </w:r>
      <w:r>
        <w:rPr>
          <w:rStyle w:val="FunctionTok"/>
        </w:rPr>
        <w:t xml:space="preserve">Get-ChildItem</w:t>
      </w:r>
      <w:r>
        <w:rPr>
          <w:rStyle w:val="NormalTok"/>
        </w:rPr>
        <w:t xml:space="preserve"> </w:t>
      </w:r>
      <w:r>
        <w:rPr>
          <w:rStyle w:val="OperatorTok"/>
        </w:rPr>
        <w:t xml:space="preserve">-</w:t>
      </w:r>
      <w:r>
        <w:rPr>
          <w:rStyle w:val="NormalTok"/>
        </w:rPr>
        <w:t xml:space="preserve">Path </w:t>
      </w:r>
      <w:r>
        <w:rPr>
          <w:rStyle w:val="VariableTok"/>
        </w:rPr>
        <w:t xml:space="preserve">$GPOSettingsPath</w:t>
      </w:r>
      <w:r>
        <w:rPr>
          <w:rStyle w:val="NormalTok"/>
        </w:rPr>
        <w:t xml:space="preserve"> </w:t>
      </w:r>
      <w:r>
        <w:rPr>
          <w:rStyle w:val="OperatorTok"/>
        </w:rPr>
        <w:t xml:space="preserve">-</w:t>
      </w:r>
      <w:r>
        <w:rPr>
          <w:rStyle w:val="NormalTok"/>
        </w:rPr>
        <w:t xml:space="preserve">Filter </w:t>
      </w:r>
      <w:r>
        <w:rPr>
          <w:rStyle w:val="StringTok"/>
        </w:rPr>
        <w:t xml:space="preserve">'*.xml'</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xml</w:t>
      </w:r>
      <w:r>
        <w:rPr>
          <w:rStyle w:val="OperatorTok"/>
        </w:rPr>
        <w:t xml:space="preserve">]</w:t>
      </w:r>
      <w:r>
        <w:rPr>
          <w:rStyle w:val="VariableTok"/>
        </w:rPr>
        <w:t xml:space="preserve">$x</w:t>
      </w:r>
      <w:r>
        <w:rPr>
          <w:rStyle w:val="NormalTok"/>
        </w:rPr>
        <w:t xml:space="preserve"> </w:t>
      </w:r>
      <w:r>
        <w:rPr>
          <w:rStyle w:val="OperatorTok"/>
        </w:rPr>
        <w:t xml:space="preserve">=</w:t>
      </w:r>
      <w:r>
        <w:rPr>
          <w:rStyle w:val="NormalTok"/>
        </w:rPr>
        <w:t xml:space="preserve"> </w:t>
      </w:r>
      <w:r>
        <w:rPr>
          <w:rStyle w:val="FunctionTok"/>
        </w:rPr>
        <w:t xml:space="preserve">Get-Content</w:t>
      </w:r>
      <w:r>
        <w:rPr>
          <w:rStyle w:val="NormalTok"/>
        </w:rPr>
        <w:t xml:space="preserve"> </w:t>
      </w:r>
      <w:r>
        <w:rPr>
          <w:rStyle w:val="OperatorTok"/>
        </w:rPr>
        <w:t xml:space="preserve">-</w:t>
      </w:r>
      <w:r>
        <w:rPr>
          <w:rStyle w:val="NormalTok"/>
        </w:rPr>
        <w:t xml:space="preserve">Path </w:t>
      </w:r>
      <w:r>
        <w:rPr>
          <w:rStyle w:val="VariableTok"/>
        </w:rPr>
        <w:t xml:space="preserve">$file</w:t>
      </w:r>
      <w:r>
        <w:rPr>
          <w:rStyle w:val="OperatorTok"/>
        </w:rPr>
        <w:t xml:space="preserve">.</w:t>
      </w:r>
      <w:r>
        <w:rPr>
          <w:rStyle w:val="FunctionTok"/>
        </w:rPr>
        <w:t xml:space="preserve">FullName</w:t>
      </w:r>
      <w:r>
        <w:rPr>
          <w:rStyle w:val="NormalTok"/>
        </w:rPr>
        <w:t xml:space="preserve"> </w:t>
      </w:r>
      <w:r>
        <w:rPr>
          <w:rStyle w:val="OperatorTok"/>
        </w:rPr>
        <w:t xml:space="preserve">-</w:t>
      </w:r>
      <w:r>
        <w:rPr>
          <w:rStyle w:val="NormalTok"/>
        </w:rPr>
        <w:t xml:space="preserve">Raw</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$half</w:t>
      </w:r>
      <w:r>
        <w:rPr>
          <w:rStyle w:val="NormalTok"/>
        </w:rPr>
        <w:t xml:space="preserve"> </w:t>
      </w:r>
      <w:r>
        <w:rPr>
          <w:rStyle w:val="KeywordTok"/>
        </w:rPr>
        <w:t xml:space="preserve">in</w:t>
      </w:r>
      <w:r>
        <w:rPr>
          <w:rStyle w:val="NormalTok"/>
        </w:rPr>
        <w:t xml:space="preserve"> </w:t>
      </w:r>
      <w:r>
        <w:rPr>
          <w:rStyle w:val="StringTok"/>
        </w:rPr>
        <w:t xml:space="preserve">'Computer'</w:t>
      </w:r>
      <w:r>
        <w:rPr>
          <w:rStyle w:val="OperatorTok"/>
        </w:rPr>
        <w:t xml:space="preserve">,</w:t>
      </w:r>
      <w:r>
        <w:rPr>
          <w:rStyle w:val="NormalTok"/>
        </w:rPr>
        <w:t xml:space="preserve"> </w:t>
      </w:r>
      <w:r>
        <w:rPr>
          <w:rStyle w:val="StringTok"/>
        </w:rPr>
        <w:t xml:space="preserve">'User'</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$ext</w:t>
      </w:r>
      <w:r>
        <w:rPr>
          <w:rStyle w:val="NormalTok"/>
        </w:rPr>
        <w:t xml:space="preserve"> </w:t>
      </w:r>
      <w:r>
        <w:rPr>
          <w:rStyle w:val="KeywordTok"/>
        </w:rPr>
        <w:t xml:space="preserve">in</w:t>
      </w:r>
      <w:r>
        <w:rPr>
          <w:rStyle w:val="NormalTok"/>
        </w:rPr>
        <w:t xml:space="preserve"> </w:t>
      </w:r>
      <w:r>
        <w:rPr>
          <w:rStyle w:val="OperatorTok"/>
        </w:rPr>
        <w:t xml:space="preserve">@(</w:t>
      </w:r>
      <w:r>
        <w:rPr>
          <w:rStyle w:val="VariableTok"/>
        </w:rPr>
        <w:t xml:space="preserve">$x</w:t>
      </w:r>
      <w:r>
        <w:rPr>
          <w:rStyle w:val="OperatorTok"/>
        </w:rPr>
        <w:t xml:space="preserve">.</w:t>
      </w:r>
      <w:r>
        <w:rPr>
          <w:rStyle w:val="FunctionTok"/>
        </w:rPr>
        <w:t xml:space="preserve">GPO</w:t>
      </w:r>
      <w:r>
        <w:rPr>
          <w:rStyle w:val="OperatorTok"/>
        </w:rPr>
        <w:t xml:space="preserve">.</w:t>
      </w:r>
      <w:r>
        <w:rPr>
          <w:rStyle w:val="VariableTok"/>
        </w:rPr>
        <w:t xml:space="preserve">$half</w:t>
      </w:r>
      <w:r>
        <w:rPr>
          <w:rStyle w:val="OperatorTok"/>
        </w:rPr>
        <w:t xml:space="preserve">.</w:t>
      </w:r>
      <w:r>
        <w:rPr>
          <w:rStyle w:val="FunctionTok"/>
        </w:rPr>
        <w:t xml:space="preserve">ExtensionData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$ext</w:t>
      </w:r>
      <w:r>
        <w:rPr>
          <w:rStyle w:val="OperatorTok"/>
        </w:rPr>
        <w:t xml:space="preserve">.</w:t>
      </w:r>
      <w:r>
        <w:rPr>
          <w:rStyle w:val="FunctionTok"/>
        </w:rPr>
        <w:t xml:space="preserve">Extension</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continue</w:t>
      </w:r>
      <w:r>
        <w:rPr>
          <w:rStyle w:val="NormalTok"/>
        </w:rPr>
        <w:t xml:space="preserve"> </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$node</w:t>
      </w:r>
      <w:r>
        <w:rPr>
          <w:rStyle w:val="NormalTok"/>
        </w:rPr>
        <w:t xml:space="preserve"> </w:t>
      </w:r>
      <w:r>
        <w:rPr>
          <w:rStyle w:val="KeywordTok"/>
        </w:rPr>
        <w:t xml:space="preserve">in</w:t>
      </w:r>
      <w:r>
        <w:rPr>
          <w:rStyle w:val="NormalTok"/>
        </w:rPr>
        <w:t xml:space="preserve"> </w:t>
      </w:r>
      <w:r>
        <w:rPr>
          <w:rStyle w:val="VariableTok"/>
        </w:rPr>
        <w:t xml:space="preserve">$ext</w:t>
      </w:r>
      <w:r>
        <w:rPr>
          <w:rStyle w:val="OperatorTok"/>
        </w:rPr>
        <w:t xml:space="preserve">.</w:t>
      </w:r>
      <w:r>
        <w:rPr>
          <w:rStyle w:val="FunctionTok"/>
        </w:rPr>
        <w:t xml:space="preserve">Extension</w:t>
      </w:r>
      <w:r>
        <w:rPr>
          <w:rStyle w:val="OperatorTok"/>
        </w:rPr>
        <w:t xml:space="preserve">.</w:t>
      </w:r>
      <w:r>
        <w:rPr>
          <w:rStyle w:val="FunctionTok"/>
        </w:rPr>
        <w:t xml:space="preserve">ChildNodes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$node</w:t>
      </w:r>
      <w:r>
        <w:rPr>
          <w:rStyle w:val="OperatorTok"/>
        </w:rPr>
        <w:t xml:space="preserve">.</w:t>
      </w:r>
      <w:r>
        <w:rPr>
          <w:rStyle w:val="FunctionTok"/>
        </w:rPr>
        <w:t xml:space="preserve">Name</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continue</w:t>
      </w:r>
      <w:r>
        <w:rPr>
          <w:rStyle w:val="NormalTok"/>
        </w:rPr>
        <w:t xml:space="preserve"> </w:t>
      </w:r>
      <w:r>
        <w:rPr>
          <w:rStyle w:val="OperatorTok"/>
        </w:rPr>
        <w:t xml:space="preserve">}</w:t>
      </w:r>
      <w:r>
        <w:br/>
      </w:r>
      <w:r>
        <w:rPr>
          <w:rStyle w:val="NormalTok"/>
        </w:rPr>
        <w:t xml:space="preserve">                    </w:t>
      </w:r>
      <w:r>
        <w:rPr>
          <w:rStyle w:val="VariableTok"/>
        </w:rPr>
        <w:t xml:space="preserve">$key</w:t>
      </w:r>
      <w:r>
        <w:rPr>
          <w:rStyle w:val="NormalTok"/>
        </w:rPr>
        <w:t xml:space="preserve"> </w:t>
      </w:r>
      <w:r>
        <w:rPr>
          <w:rStyle w:val="OperatorTok"/>
        </w:rPr>
        <w:t xml:space="preserve">=</w:t>
      </w:r>
      <w:r>
        <w:rPr>
          <w:rStyle w:val="NormalTok"/>
        </w:rPr>
        <w:t xml:space="preserve"> </w:t>
      </w:r>
      <w:r>
        <w:rPr>
          <w:rStyle w:val="StringTok"/>
        </w:rPr>
        <w:t xml:space="preserve">'{0}|{1}|{2}'</w:t>
      </w:r>
      <w:r>
        <w:rPr>
          <w:rStyle w:val="NormalTok"/>
        </w:rPr>
        <w:t xml:space="preserve"> </w:t>
      </w:r>
      <w:r>
        <w:rPr>
          <w:rStyle w:val="OperatorTok"/>
        </w:rPr>
        <w:t xml:space="preserve">-</w:t>
      </w:r>
      <w:r>
        <w:rPr>
          <w:rStyle w:val="NormalTok"/>
        </w:rPr>
        <w:t xml:space="preserve">f </w:t>
      </w:r>
      <w:r>
        <w:rPr>
          <w:rStyle w:val="VariableTok"/>
        </w:rPr>
        <w:t xml:space="preserve">$half</w:t>
      </w:r>
      <w:r>
        <w:rPr>
          <w:rStyle w:val="OperatorTok"/>
        </w:rPr>
        <w:t xml:space="preserve">,</w:t>
      </w:r>
      <w:r>
        <w:rPr>
          <w:rStyle w:val="NormalTok"/>
        </w:rPr>
        <w:t xml:space="preserve"> </w:t>
      </w:r>
      <w:r>
        <w:rPr>
          <w:rStyle w:val="VariableTok"/>
        </w:rPr>
        <w:t xml:space="preserve">$node</w:t>
      </w:r>
      <w:r>
        <w:rPr>
          <w:rStyle w:val="OperatorTok"/>
        </w:rPr>
        <w:t xml:space="preserve">.</w:t>
      </w:r>
      <w:r>
        <w:rPr>
          <w:rStyle w:val="FunctionTok"/>
        </w:rPr>
        <w:t xml:space="preserve">LocalName</w:t>
      </w:r>
      <w:r>
        <w:rPr>
          <w:rStyle w:val="OperatorTok"/>
        </w:rPr>
        <w:t xml:space="preserve">,</w:t>
      </w:r>
      <w:r>
        <w:rPr>
          <w:rStyle w:val="NormalTok"/>
        </w:rPr>
        <w:t xml:space="preserve"> </w:t>
      </w:r>
      <w:r>
        <w:rPr>
          <w:rStyle w:val="VariableTok"/>
        </w:rPr>
        <w:t xml:space="preserve">$node</w:t>
      </w:r>
      <w:r>
        <w:rPr>
          <w:rStyle w:val="OperatorTok"/>
        </w:rPr>
        <w:t xml:space="preserve">.</w:t>
      </w:r>
      <w:r>
        <w:rPr>
          <w:rStyle w:val="FunctionTok"/>
        </w:rPr>
        <w:t xml:space="preserve">Name</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$map</w:t>
      </w:r>
      <w:r>
        <w:rPr>
          <w:rStyle w:val="OperatorTok"/>
        </w:rPr>
        <w:t xml:space="preserve">.</w:t>
      </w:r>
      <w:r>
        <w:rPr>
          <w:rStyle w:val="FunctionTok"/>
        </w:rPr>
        <w:t xml:space="preserve">ContainsKey</w:t>
      </w:r>
      <w:r>
        <w:rPr>
          <w:rStyle w:val="OperatorTok"/>
        </w:rPr>
        <w:t xml:space="preserve">(</w:t>
      </w:r>
      <w:r>
        <w:rPr>
          <w:rStyle w:val="VariableTok"/>
        </w:rPr>
        <w:t xml:space="preserve">$key</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$map</w:t>
      </w:r>
      <w:r>
        <w:rPr>
          <w:rStyle w:val="OperatorTok"/>
        </w:rPr>
        <w:t xml:space="preserve">[</w:t>
      </w:r>
      <w:r>
        <w:rPr>
          <w:rStyle w:val="VariableTok"/>
        </w:rPr>
        <w:t xml:space="preserve">$key</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$map</w:t>
      </w:r>
      <w:r>
        <w:rPr>
          <w:rStyle w:val="OperatorTok"/>
        </w:rPr>
        <w:t xml:space="preserve">[</w:t>
      </w:r>
      <w:r>
        <w:rPr>
          <w:rStyle w:val="VariableTok"/>
        </w:rPr>
        <w:t xml:space="preserve">$key</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GPOName </w:t>
      </w:r>
      <w:r>
        <w:rPr>
          <w:rStyle w:val="OperatorTok"/>
        </w:rPr>
        <w:t xml:space="preserve">=</w:t>
      </w:r>
      <w:r>
        <w:rPr>
          <w:rStyle w:val="NormalTok"/>
        </w:rPr>
        <w:t xml:space="preserve"> </w:t>
      </w:r>
      <w:r>
        <w:rPr>
          <w:rStyle w:val="VariableTok"/>
        </w:rPr>
        <w:t xml:space="preserve">$x</w:t>
      </w:r>
      <w:r>
        <w:rPr>
          <w:rStyle w:val="OperatorTok"/>
        </w:rPr>
        <w:t xml:space="preserve">.</w:t>
      </w:r>
      <w:r>
        <w:rPr>
          <w:rStyle w:val="FunctionTok"/>
        </w:rPr>
        <w:t xml:space="preserve">GPO</w:t>
      </w:r>
      <w:r>
        <w:rPr>
          <w:rStyle w:val="OperatorTok"/>
        </w:rPr>
        <w:t xml:space="preserve">.</w:t>
      </w:r>
      <w:r>
        <w:rPr>
          <w:rStyle w:val="FunctionTok"/>
        </w:rPr>
        <w:t xml:space="preserve">Name</w:t>
      </w:r>
      <w:r>
        <w:br/>
      </w:r>
      <w:r>
        <w:rPr>
          <w:rStyle w:val="NormalTok"/>
        </w:rPr>
        <w:t xml:space="preserve">                        State   </w:t>
      </w:r>
      <w:r>
        <w:rPr>
          <w:rStyle w:val="OperatorTok"/>
        </w:rPr>
        <w:t xml:space="preserve">=</w:t>
      </w:r>
      <w:r>
        <w:rPr>
          <w:rStyle w:val="NormalTok"/>
        </w:rPr>
        <w:t xml:space="preserve"> </w:t>
      </w:r>
      <w:r>
        <w:rPr>
          <w:rStyle w:val="VariableTok"/>
        </w:rPr>
        <w:t xml:space="preserve">$node</w:t>
      </w:r>
      <w:r>
        <w:rPr>
          <w:rStyle w:val="OperatorTok"/>
        </w:rPr>
        <w:t xml:space="preserve">.</w:t>
      </w:r>
      <w:r>
        <w:rPr>
          <w:rStyle w:val="FunctionTok"/>
        </w:rPr>
        <w:t xml:space="preserve">State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$map</w:t>
      </w:r>
      <w:r>
        <w:rPr>
          <w:rStyle w:val="OperatorTok"/>
        </w:rPr>
        <w:t xml:space="preserve">.</w:t>
      </w:r>
      <w:r>
        <w:rPr>
          <w:rStyle w:val="FunctionTok"/>
        </w:rPr>
        <w:t xml:space="preserve">GetEnumerator</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Value</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SettingKey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Key</w:t>
      </w:r>
      <w:r>
        <w:br/>
      </w:r>
      <w:r>
        <w:rPr>
          <w:rStyle w:val="NormalTok"/>
        </w:rPr>
        <w:t xml:space="preserve">            GPOCount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Value</w:t>
      </w:r>
      <w:r>
        <w:rPr>
          <w:rStyle w:val="OperatorTok"/>
        </w:rPr>
        <w:t xml:space="preserve">).</w:t>
      </w:r>
      <w:r>
        <w:rPr>
          <w:rStyle w:val="FunctionTok"/>
        </w:rPr>
        <w:t xml:space="preserve">Count</w:t>
      </w:r>
      <w:r>
        <w:br/>
      </w:r>
      <w:r>
        <w:rPr>
          <w:rStyle w:val="NormalTok"/>
        </w:rPr>
        <w:t xml:space="preserve">            DifferentState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Value</w:t>
      </w:r>
      <w:r>
        <w:rPr>
          <w:rStyle w:val="OperatorTok"/>
        </w:rPr>
        <w:t xml:space="preserve">.</w:t>
      </w:r>
      <w:r>
        <w:rPr>
          <w:rStyle w:val="FunctionTok"/>
        </w:rPr>
        <w:t xml:space="preserve">State</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Unique</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1</w:t>
      </w:r>
      <w:r>
        <w:br/>
      </w:r>
      <w:r>
        <w:rPr>
          <w:rStyle w:val="NormalTok"/>
        </w:rPr>
        <w:t xml:space="preserve">            GPOs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Value</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KeywordTok"/>
        </w:rPr>
        <w:t xml:space="preserve">function</w:t>
      </w:r>
      <w:r>
        <w:rPr>
          <w:rStyle w:val="NormalTok"/>
        </w:rPr>
        <w:t xml:space="preserve"> Get-FMPGPOInventory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GPO inventory, XML and HTML reports, links (domain, OU and site), permissions,</w:t>
      </w:r>
      <w:r>
        <w:br/>
      </w:r>
      <w:r>
        <w:rPr>
          <w:rStyle w:val="CommentTok"/>
        </w:rPr>
        <w:t xml:space="preserve">        unlinked, empty and overlapping GPOs, and a native backup.</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DNSRoot</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'D:\FMP\Assessment'</w:t>
      </w:r>
      <w:r>
        <w:rPr>
          <w:rStyle w:val="OperatorTok"/>
        </w:rPr>
        <w:t xml:space="preserve">,</w:t>
      </w:r>
      <w:r>
        <w:br/>
      </w:r>
      <w:r>
        <w:rPr>
          <w:rStyle w:val="NormalTok"/>
        </w:rPr>
        <w:t xml:space="preserve">        </w:t>
      </w:r>
      <w:r>
        <w:rPr>
          <w:rStyle w:val="OperatorTok"/>
        </w:rPr>
        <w:t xml:space="preserve">[</w:t>
      </w:r>
      <w:r>
        <w:rPr>
          <w:rStyle w:val="DataTypeTok"/>
        </w:rPr>
        <w:t xml:space="preserve">switch</w:t>
      </w:r>
      <w:r>
        <w:rPr>
          <w:rStyle w:val="OperatorTok"/>
        </w:rPr>
        <w:t xml:space="preserve">]</w:t>
      </w:r>
      <w:r>
        <w:rPr>
          <w:rStyle w:val="VariableTok"/>
        </w:rPr>
        <w:t xml:space="preserve">$SkipBackup</w:t>
      </w:r>
      <w:r>
        <w:br/>
      </w:r>
      <w:r>
        <w:rPr>
          <w:rStyle w:val="NormalTok"/>
        </w:rPr>
        <w:t xml:space="preserve">    </w:t>
      </w:r>
      <w:r>
        <w:rPr>
          <w:rStyle w:val="OperatorTok"/>
        </w:rPr>
        <w:t xml:space="preserve">)</w:t>
      </w:r>
      <w:r>
        <w:br/>
      </w:r>
      <w:r>
        <w:rPr>
          <w:rStyle w:val="NormalTok"/>
        </w:rPr>
        <w:t xml:space="preserve">    </w:t>
      </w:r>
      <w:r>
        <w:rPr>
          <w:rStyle w:val="VariableTok"/>
        </w:rPr>
        <w:t xml:space="preserve">$gpoPath</w:t>
      </w:r>
      <w:r>
        <w:rPr>
          <w:rStyle w:val="NormalTok"/>
        </w:rPr>
        <w:t xml:space="preserve"> </w:t>
      </w:r>
      <w:r>
        <w:rPr>
          <w:rStyle w:val="OperatorTok"/>
        </w:rPr>
        <w:t xml:space="preserve">=</w:t>
      </w:r>
      <w:r>
        <w:rPr>
          <w:rStyle w:val="NormalTok"/>
        </w:rPr>
        <w:t xml:space="preserve"> Get-FMPDomainPath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Area </w:t>
      </w:r>
      <w:r>
        <w:rPr>
          <w:rStyle w:val="StringTok"/>
        </w:rPr>
        <w:t xml:space="preserve">'GPOs'</w:t>
      </w:r>
      <w:r>
        <w:br/>
      </w:r>
      <w:r>
        <w:rPr>
          <w:rStyle w:val="NormalTok"/>
        </w:rPr>
        <w:t xml:space="preserve">    </w:t>
      </w:r>
      <w:r>
        <w:rPr>
          <w:rStyle w:val="VariableTok"/>
        </w:rPr>
        <w:t xml:space="preserve">$setPath</w:t>
      </w:r>
      <w:r>
        <w:rPr>
          <w:rStyle w:val="NormalTok"/>
        </w:rPr>
        <w:t xml:space="preserve"> </w:t>
      </w:r>
      <w:r>
        <w:rPr>
          <w:rStyle w:val="OperatorTok"/>
        </w:rPr>
        <w:t xml:space="preserve">=</w:t>
      </w:r>
      <w:r>
        <w:rPr>
          <w:rStyle w:val="NormalTok"/>
        </w:rPr>
        <w:t xml:space="preserve"> Initialize-FMPPath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$gpoPath</w:t>
      </w:r>
      <w:r>
        <w:rPr>
          <w:rStyle w:val="NormalTok"/>
        </w:rPr>
        <w:t xml:space="preserve"> </w:t>
      </w:r>
      <w:r>
        <w:rPr>
          <w:rStyle w:val="StringTok"/>
        </w:rPr>
        <w:t xml:space="preserve">'GPOSettings'</w:t>
      </w:r>
      <w:r>
        <w:rPr>
          <w:rStyle w:val="OperatorTok"/>
        </w:rPr>
        <w:t xml:space="preserve">)</w:t>
      </w:r>
      <w:r>
        <w:br/>
      </w:r>
      <w:r>
        <w:rPr>
          <w:rStyle w:val="NormalTok"/>
        </w:rPr>
        <w:t xml:space="preserve">    </w:t>
      </w:r>
      <w:r>
        <w:rPr>
          <w:rStyle w:val="VariableTok"/>
        </w:rPr>
        <w:t xml:space="preserve">$bakPath</w:t>
      </w:r>
      <w:r>
        <w:rPr>
          <w:rStyle w:val="NormalTok"/>
        </w:rPr>
        <w:t xml:space="preserve"> </w:t>
      </w:r>
      <w:r>
        <w:rPr>
          <w:rStyle w:val="OperatorTok"/>
        </w:rPr>
        <w:t xml:space="preserve">=</w:t>
      </w:r>
      <w:r>
        <w:rPr>
          <w:rStyle w:val="NormalTok"/>
        </w:rPr>
        <w:t xml:space="preserve"> Initialize-FMPPath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$gpoPath</w:t>
      </w:r>
      <w:r>
        <w:rPr>
          <w:rStyle w:val="NormalTok"/>
        </w:rPr>
        <w:t xml:space="preserve"> </w:t>
      </w:r>
      <w:r>
        <w:rPr>
          <w:rStyle w:val="StringTok"/>
        </w:rPr>
        <w:t xml:space="preserve">'GPOBackups'</w:t>
      </w:r>
      <w:r>
        <w:rPr>
          <w:rStyle w:val="OperatorTok"/>
        </w:rPr>
        <w:t xml:space="preserve">)</w:t>
      </w:r>
      <w:r>
        <w:br/>
      </w:r>
      <w:r>
        <w:br/>
      </w:r>
      <w:r>
        <w:rPr>
          <w:rStyle w:val="NormalTok"/>
        </w:rPr>
        <w:t xml:space="preserve">    </w:t>
      </w:r>
      <w:r>
        <w:rPr>
          <w:rStyle w:val="VariableTok"/>
        </w:rPr>
        <w:t xml:space="preserve">$gpos</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Get-GPO</w:t>
      </w:r>
      <w:r>
        <w:rPr>
          <w:rStyle w:val="NormalTok"/>
        </w:rPr>
        <w:t xml:space="preserve"> </w:t>
      </w:r>
      <w:r>
        <w:rPr>
          <w:rStyle w:val="OperatorTok"/>
        </w:rPr>
        <w:t xml:space="preserve">-</w:t>
      </w:r>
      <w:r>
        <w:rPr>
          <w:rStyle w:val="NormalTok"/>
        </w:rPr>
        <w:t xml:space="preserve">All </w:t>
      </w:r>
      <w:r>
        <w:rPr>
          <w:rStyle w:val="OperatorTok"/>
        </w:rPr>
        <w:t xml:space="preserve">-</w:t>
      </w:r>
      <w:r>
        <w:rPr>
          <w:rStyle w:val="NormalTok"/>
        </w:rPr>
        <w:t xml:space="preserve">Domain </w:t>
      </w:r>
      <w:r>
        <w:rPr>
          <w:rStyle w:val="VariableTok"/>
        </w:rPr>
        <w:t xml:space="preserve">$Domain</w:t>
      </w:r>
      <w:r>
        <w:rPr>
          <w:rStyle w:val="OperatorTok"/>
        </w:rPr>
        <w:t xml:space="preserve">)</w:t>
      </w:r>
      <w:r>
        <w:br/>
      </w:r>
      <w:r>
        <w:br/>
      </w:r>
      <w:r>
        <w:rPr>
          <w:rStyle w:val="NormalTok"/>
        </w:rPr>
        <w:t xml:space="preserve">    </w:t>
      </w:r>
      <w:r>
        <w:rPr>
          <w:rStyle w:val="VariableTok"/>
        </w:rPr>
        <w:t xml:space="preserve">$inventory</w:t>
      </w:r>
      <w:r>
        <w:rPr>
          <w:rStyle w:val="NormalTok"/>
        </w:rPr>
        <w:t xml:space="preserve"> </w:t>
      </w:r>
      <w:r>
        <w:rPr>
          <w:rStyle w:val="OperatorTok"/>
        </w:rPr>
        <w:t xml:space="preserve">=</w:t>
      </w:r>
      <w:r>
        <w:rPr>
          <w:rStyle w:val="NormalTok"/>
        </w:rPr>
        <w:t xml:space="preserve"> </w:t>
      </w:r>
      <w:r>
        <w:rPr>
          <w:rStyle w:val="VariableTok"/>
        </w:rPr>
        <w:t xml:space="preserve">$gpos</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DisplayName</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'Id'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'GpoStatus'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GpoStatus</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CreationTime</w:t>
      </w:r>
      <w:r>
        <w:rPr>
          <w:rStyle w:val="OperatorTok"/>
        </w:rPr>
        <w:t xml:space="preserve">,</w:t>
      </w:r>
      <w:r>
        <w:rPr>
          <w:rStyle w:val="NormalTok"/>
        </w:rPr>
        <w:t xml:space="preserve"> ModificationTime</w:t>
      </w:r>
      <w:r>
        <w:rPr>
          <w:rStyle w:val="OperatorTok"/>
        </w:rPr>
        <w:t xml:space="preserve">,</w:t>
      </w:r>
      <w:r>
        <w:rPr>
          <w:rStyle w:val="NormalTok"/>
        </w:rPr>
        <w:t xml:space="preserve"> Owner</w:t>
      </w:r>
      <w:r>
        <w:rPr>
          <w:rStyle w:val="OperatorTok"/>
        </w:rPr>
        <w:t xml:space="preserve">,</w:t>
      </w:r>
      <w:r>
        <w:rPr>
          <w:rStyle w:val="NormalTok"/>
        </w:rPr>
        <w:t xml:space="preserve"> Description</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'WmiFilterName'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WmiFilter</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WmiFilter</w:t>
      </w:r>
      <w:r>
        <w:rPr>
          <w:rStyle w:val="OperatorTok"/>
        </w:rPr>
        <w:t xml:space="preserve">.</w:t>
      </w:r>
      <w:r>
        <w:rPr>
          <w:rStyle w:val="FunctionTok"/>
        </w:rPr>
        <w:t xml:space="preserve">Name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'ComputerEnabled'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GpoStatus</w:t>
      </w:r>
      <w:r>
        <w:rPr>
          <w:rStyle w:val="OperatorTok"/>
        </w:rPr>
        <w:t xml:space="preserve">)</w:t>
      </w:r>
      <w:r>
        <w:rPr>
          <w:rStyle w:val="StringTok"/>
        </w:rPr>
        <w:t xml:space="preserve">"</w:t>
      </w:r>
      <w:r>
        <w:rPr>
          <w:rStyle w:val="NormalTok"/>
        </w:rPr>
        <w:t xml:space="preserve"> </w:t>
      </w:r>
      <w:r>
        <w:rPr>
          <w:rStyle w:val="OperatorTok"/>
        </w:rPr>
        <w:t xml:space="preserve">-notmatch</w:t>
      </w:r>
      <w:r>
        <w:rPr>
          <w:rStyle w:val="NormalTok"/>
        </w:rPr>
        <w:t xml:space="preserve"> </w:t>
      </w:r>
      <w:r>
        <w:rPr>
          <w:rStyle w:val="StringTok"/>
        </w:rPr>
        <w:t xml:space="preserve">'ComputerSettingsDisabled|AllSettingsDisabled'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'UserEnabled'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GpoStatus</w:t>
      </w:r>
      <w:r>
        <w:rPr>
          <w:rStyle w:val="OperatorTok"/>
        </w:rPr>
        <w:t xml:space="preserve">)</w:t>
      </w:r>
      <w:r>
        <w:rPr>
          <w:rStyle w:val="StringTok"/>
        </w:rPr>
        <w:t xml:space="preserve">"</w:t>
      </w:r>
      <w:r>
        <w:rPr>
          <w:rStyle w:val="NormalTok"/>
        </w:rPr>
        <w:t xml:space="preserve"> </w:t>
      </w:r>
      <w:r>
        <w:rPr>
          <w:rStyle w:val="OperatorTok"/>
        </w:rPr>
        <w:t xml:space="preserve">-notmatch</w:t>
      </w:r>
      <w:r>
        <w:rPr>
          <w:rStyle w:val="NormalTok"/>
        </w:rPr>
        <w:t xml:space="preserve"> </w:t>
      </w:r>
      <w:r>
        <w:rPr>
          <w:rStyle w:val="StringTok"/>
        </w:rPr>
        <w:t xml:space="preserve">'UserSettingsDisabled|AllSettingsDisabled'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$inventory</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$gpoPath</w:t>
      </w:r>
      <w:r>
        <w:rPr>
          <w:rStyle w:val="NormalTok"/>
        </w:rPr>
        <w:t xml:space="preserve"> </w:t>
      </w:r>
      <w:r>
        <w:rPr>
          <w:rStyle w:val="StringTok"/>
        </w:rPr>
        <w:t xml:space="preserve">'GPOInventory.json'</w:t>
      </w:r>
      <w:r>
        <w:rPr>
          <w:rStyle w:val="OperatorTok"/>
        </w:rPr>
        <w:t xml:space="preserve">)</w:t>
      </w:r>
      <w:r>
        <w:br/>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$g</w:t>
      </w:r>
      <w:r>
        <w:rPr>
          <w:rStyle w:val="NormalTok"/>
        </w:rPr>
        <w:t xml:space="preserve"> </w:t>
      </w:r>
      <w:r>
        <w:rPr>
          <w:rStyle w:val="KeywordTok"/>
        </w:rPr>
        <w:t xml:space="preserve">in</w:t>
      </w:r>
      <w:r>
        <w:rPr>
          <w:rStyle w:val="NormalTok"/>
        </w:rPr>
        <w:t xml:space="preserve"> </w:t>
      </w:r>
      <w:r>
        <w:rPr>
          <w:rStyle w:val="VariableTok"/>
        </w:rPr>
        <w:t xml:space="preserve">$gpos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$id</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$g</w:t>
      </w:r>
      <w:r>
        <w:rPr>
          <w:rStyle w:val="OperatorTok"/>
        </w:rPr>
        <w:t xml:space="preserve">.</w:t>
      </w:r>
      <w:r>
        <w:rPr>
          <w:rStyle w:val="FunctionTok"/>
        </w:rPr>
        <w:t xml:space="preserve">Id</w:t>
      </w:r>
      <w:r>
        <w:rPr>
          <w:rStyle w:val="OperatorTok"/>
        </w:rPr>
        <w:t xml:space="preserve">)</w:t>
      </w:r>
      <w:r>
        <w:rPr>
          <w:rStyle w:val="StringTok"/>
        </w:rPr>
        <w:t xml:space="preserve">"</w:t>
      </w:r>
      <w:r>
        <w:br/>
      </w:r>
      <w:r>
        <w:rPr>
          <w:rStyle w:val="NormalTok"/>
        </w:rPr>
        <w:t xml:space="preserve">        </w:t>
      </w:r>
      <w:r>
        <w:rPr>
          <w:rStyle w:val="FunctionTok"/>
        </w:rPr>
        <w:t xml:space="preserve">Get-GPOReport</w:t>
      </w:r>
      <w:r>
        <w:rPr>
          <w:rStyle w:val="NormalTok"/>
        </w:rPr>
        <w:t xml:space="preserve"> </w:t>
      </w:r>
      <w:r>
        <w:rPr>
          <w:rStyle w:val="OperatorTok"/>
        </w:rPr>
        <w:t xml:space="preserve">-</w:t>
      </w:r>
      <w:r>
        <w:rPr>
          <w:rStyle w:val="NormalTok"/>
        </w:rPr>
        <w:t xml:space="preserve">Guid </w:t>
      </w:r>
      <w:r>
        <w:rPr>
          <w:rStyle w:val="VariableTok"/>
        </w:rPr>
        <w:t xml:space="preserve">$g</w:t>
      </w:r>
      <w:r>
        <w:rPr>
          <w:rStyle w:val="OperatorTok"/>
        </w:rPr>
        <w:t xml:space="preserve">.</w:t>
      </w:r>
      <w:r>
        <w:rPr>
          <w:rStyle w:val="FunctionTok"/>
        </w:rPr>
        <w:t xml:space="preserve">Id</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ReportType Xml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$setPath</w:t>
      </w:r>
      <w:r>
        <w:rPr>
          <w:rStyle w:val="NormalTok"/>
        </w:rPr>
        <w:t xml:space="preserve"> </w:t>
      </w:r>
      <w:r>
        <w:rPr>
          <w:rStyle w:val="StringTok"/>
        </w:rPr>
        <w:t xml:space="preserve">"</w:t>
      </w:r>
      <w:r>
        <w:rPr>
          <w:rStyle w:val="VariableTok"/>
        </w:rPr>
        <w:t xml:space="preserve">$id</w:t>
      </w:r>
      <w:r>
        <w:rPr>
          <w:rStyle w:val="StringTok"/>
        </w:rPr>
        <w:t xml:space="preserve">.xml"</w:t>
      </w:r>
      <w:r>
        <w:rPr>
          <w:rStyle w:val="OperatorTok"/>
        </w:rPr>
        <w:t xml:space="preserve">)</w:t>
      </w:r>
      <w:r>
        <w:br/>
      </w:r>
      <w:r>
        <w:rPr>
          <w:rStyle w:val="NormalTok"/>
        </w:rPr>
        <w:t xml:space="preserve">        </w:t>
      </w:r>
      <w:r>
        <w:rPr>
          <w:rStyle w:val="FunctionTok"/>
        </w:rPr>
        <w:t xml:space="preserve">Get-GPOReport</w:t>
      </w:r>
      <w:r>
        <w:rPr>
          <w:rStyle w:val="NormalTok"/>
        </w:rPr>
        <w:t xml:space="preserve"> </w:t>
      </w:r>
      <w:r>
        <w:rPr>
          <w:rStyle w:val="OperatorTok"/>
        </w:rPr>
        <w:t xml:space="preserve">-</w:t>
      </w:r>
      <w:r>
        <w:rPr>
          <w:rStyle w:val="NormalTok"/>
        </w:rPr>
        <w:t xml:space="preserve">Guid </w:t>
      </w:r>
      <w:r>
        <w:rPr>
          <w:rStyle w:val="VariableTok"/>
        </w:rPr>
        <w:t xml:space="preserve">$g</w:t>
      </w:r>
      <w:r>
        <w:rPr>
          <w:rStyle w:val="OperatorTok"/>
        </w:rPr>
        <w:t xml:space="preserve">.</w:t>
      </w:r>
      <w:r>
        <w:rPr>
          <w:rStyle w:val="FunctionTok"/>
        </w:rPr>
        <w:t xml:space="preserve">Id</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ReportType Html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$setPath</w:t>
      </w:r>
      <w:r>
        <w:rPr>
          <w:rStyle w:val="NormalTok"/>
        </w:rPr>
        <w:t xml:space="preserve"> </w:t>
      </w:r>
      <w:r>
        <w:rPr>
          <w:rStyle w:val="StringTok"/>
        </w:rPr>
        <w:t xml:space="preserve">"</w:t>
      </w:r>
      <w:r>
        <w:rPr>
          <w:rStyle w:val="VariableTok"/>
        </w:rPr>
        <w:t xml:space="preserve">$id</w:t>
      </w:r>
      <w:r>
        <w:rPr>
          <w:rStyle w:val="StringTok"/>
        </w:rPr>
        <w:t xml:space="preserve">.html"</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CommentTok"/>
        </w:rPr>
        <w:t xml:space="preserve"># Every container with a gPLink: domain, OUs and sites (sites live in the configuration partition).</w:t>
      </w:r>
      <w:r>
        <w:br/>
      </w:r>
      <w:r>
        <w:rPr>
          <w:rStyle w:val="NormalTok"/>
        </w:rPr>
        <w:t xml:space="preserve">    </w:t>
      </w:r>
      <w:r>
        <w:rPr>
          <w:rStyle w:val="VariableTok"/>
        </w:rPr>
        <w:t xml:space="preserve">$config</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Get-ADRootDSE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OperatorTok"/>
        </w:rPr>
        <w:t xml:space="preserve">).</w:t>
      </w:r>
      <w:r>
        <w:rPr>
          <w:rStyle w:val="FunctionTok"/>
        </w:rPr>
        <w:t xml:space="preserve">configurationNamingContext</w:t>
      </w:r>
      <w:r>
        <w:br/>
      </w:r>
      <w:r>
        <w:rPr>
          <w:rStyle w:val="NormalTok"/>
        </w:rPr>
        <w:t xml:space="preserve">    </w:t>
      </w:r>
      <w:r>
        <w:rPr>
          <w:rStyle w:val="VariableTok"/>
        </w:rPr>
        <w:t xml:space="preserve">$domainDN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OperatorTok"/>
        </w:rPr>
        <w:t xml:space="preserve">).</w:t>
      </w:r>
      <w:r>
        <w:rPr>
          <w:rStyle w:val="FunctionTok"/>
        </w:rPr>
        <w:t xml:space="preserve">DistinguishedName</w:t>
      </w:r>
      <w:r>
        <w:br/>
      </w:r>
      <w:r>
        <w:rPr>
          <w:rStyle w:val="NormalTok"/>
        </w:rPr>
        <w:t xml:space="preserve">    </w:t>
      </w:r>
      <w:r>
        <w:rPr>
          <w:rStyle w:val="VariableTok"/>
        </w:rPr>
        <w:t xml:space="preserve">$containers</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Get-ADObject</w:t>
      </w:r>
      <w:r>
        <w:rPr>
          <w:rStyle w:val="NormalTok"/>
        </w:rPr>
        <w:t xml:space="preserve"> </w:t>
      </w:r>
      <w:r>
        <w:rPr>
          <w:rStyle w:val="OperatorTok"/>
        </w:rPr>
        <w:t xml:space="preserve">-</w:t>
      </w:r>
      <w:r>
        <w:rPr>
          <w:rStyle w:val="NormalTok"/>
        </w:rPr>
        <w:t xml:space="preserve">Identity </w:t>
      </w:r>
      <w:r>
        <w:rPr>
          <w:rStyle w:val="VariableTok"/>
        </w:rPr>
        <w:t xml:space="preserve">$domainDN</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Properties gPLink</w:t>
      </w:r>
      <w:r>
        <w:rPr>
          <w:rStyle w:val="OperatorTok"/>
        </w:rPr>
        <w:t xml:space="preserve">)</w:t>
      </w:r>
      <w:r>
        <w:br/>
      </w:r>
      <w:r>
        <w:rPr>
          <w:rStyle w:val="NormalTok"/>
        </w:rPr>
        <w:t xml:space="preserve">    </w:t>
      </w:r>
      <w:r>
        <w:rPr>
          <w:rStyle w:val="VariableTok"/>
        </w:rPr>
        <w:t xml:space="preserve">$containers</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Get-ADOrganizationalUnit</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Properties gPLink</w:t>
      </w:r>
      <w:r>
        <w:rPr>
          <w:rStyle w:val="OperatorTok"/>
        </w:rPr>
        <w:t xml:space="preserve">)</w:t>
      </w:r>
      <w:r>
        <w:br/>
      </w:r>
      <w:r>
        <w:rPr>
          <w:rStyle w:val="NormalTok"/>
        </w:rPr>
        <w:t xml:space="preserve">    </w:t>
      </w:r>
      <w:r>
        <w:rPr>
          <w:rStyle w:val="VariableTok"/>
        </w:rPr>
        <w:t xml:space="preserve">$containers</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Get-ADObject</w:t>
      </w:r>
      <w:r>
        <w:rPr>
          <w:rStyle w:val="NormalTok"/>
        </w:rPr>
        <w:t xml:space="preserve"> </w:t>
      </w:r>
      <w:r>
        <w:rPr>
          <w:rStyle w:val="OperatorTok"/>
        </w:rPr>
        <w:t xml:space="preserve">-</w:t>
      </w:r>
      <w:r>
        <w:rPr>
          <w:rStyle w:val="NormalTok"/>
        </w:rPr>
        <w:t xml:space="preserve">SearchBase </w:t>
      </w:r>
      <w:r>
        <w:rPr>
          <w:rStyle w:val="StringTok"/>
        </w:rPr>
        <w:t xml:space="preserve">"CN=Sites,</w:t>
      </w:r>
      <w:r>
        <w:rPr>
          <w:rStyle w:val="VariableTok"/>
        </w:rPr>
        <w:t xml:space="preserve">$config</w:t>
      </w:r>
      <w:r>
        <w:rPr>
          <w:rStyle w:val="String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br/>
      </w:r>
      <w:r>
        <w:rPr>
          <w:rStyle w:val="NormalTok"/>
        </w:rPr>
        <w:t xml:space="preserve">        </w:t>
      </w:r>
      <w:r>
        <w:rPr>
          <w:rStyle w:val="OperatorTok"/>
        </w:rPr>
        <w:t xml:space="preserve">-</w:t>
      </w:r>
      <w:r>
        <w:rPr>
          <w:rStyle w:val="NormalTok"/>
        </w:rPr>
        <w:t xml:space="preserve">LDAPFilter </w:t>
      </w:r>
      <w:r>
        <w:rPr>
          <w:rStyle w:val="StringTok"/>
        </w:rPr>
        <w:t xml:space="preserve">'(&amp;(objectClass=site)(gPLink=*))'</w:t>
      </w:r>
      <w:r>
        <w:rPr>
          <w:rStyle w:val="NormalTok"/>
        </w:rPr>
        <w:t xml:space="preserve"> </w:t>
      </w:r>
      <w:r>
        <w:rPr>
          <w:rStyle w:val="OperatorTok"/>
        </w:rPr>
        <w:t xml:space="preserve">-</w:t>
      </w:r>
      <w:r>
        <w:rPr>
          <w:rStyle w:val="NormalTok"/>
        </w:rPr>
        <w:t xml:space="preserve">Properties gPLink</w:t>
      </w:r>
      <w:r>
        <w:rPr>
          <w:rStyle w:val="OperatorTok"/>
        </w:rPr>
        <w:t xml:space="preserve">)</w:t>
      </w:r>
      <w:r>
        <w:br/>
      </w:r>
      <w:r>
        <w:br/>
      </w:r>
      <w:r>
        <w:rPr>
          <w:rStyle w:val="NormalTok"/>
        </w:rPr>
        <w:t xml:space="preserve">    </w:t>
      </w:r>
      <w:r>
        <w:rPr>
          <w:rStyle w:val="VariableTok"/>
        </w:rPr>
        <w:t xml:space="preserve">$links</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$g</w:t>
      </w:r>
      <w:r>
        <w:rPr>
          <w:rStyle w:val="NormalTok"/>
        </w:rPr>
        <w:t xml:space="preserve"> </w:t>
      </w:r>
      <w:r>
        <w:rPr>
          <w:rStyle w:val="KeywordTok"/>
        </w:rPr>
        <w:t xml:space="preserve">in</w:t>
      </w:r>
      <w:r>
        <w:rPr>
          <w:rStyle w:val="NormalTok"/>
        </w:rPr>
        <w:t xml:space="preserve"> </w:t>
      </w:r>
      <w:r>
        <w:rPr>
          <w:rStyle w:val="VariableTok"/>
        </w:rPr>
        <w:t xml:space="preserve">$gpos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$guid</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regex</w:t>
      </w:r>
      <w:r>
        <w:rPr>
          <w:rStyle w:val="OperatorTok"/>
        </w:rPr>
        <w:t xml:space="preserve">]::</w:t>
      </w:r>
      <w:r>
        <w:rPr>
          <w:rStyle w:val="NormalTok"/>
        </w:rPr>
        <w:t xml:space="preserve">Escape</w:t>
      </w:r>
      <w:r>
        <w:rPr>
          <w:rStyle w:val="OperatorTok"/>
        </w:rPr>
        <w:t xml:space="preserve">(</w:t>
      </w:r>
      <w:r>
        <w:rPr>
          <w:rStyle w:val="StringTok"/>
        </w:rPr>
        <w:t xml:space="preserve">"</w:t>
      </w:r>
      <w:r>
        <w:rPr>
          <w:rStyle w:val="OperatorTok"/>
        </w:rPr>
        <w:t xml:space="preserve">$(</w:t>
      </w:r>
      <w:r>
        <w:rPr>
          <w:rStyle w:val="VariableTok"/>
        </w:rPr>
        <w:t xml:space="preserve">$g</w:t>
      </w:r>
      <w:r>
        <w:rPr>
          <w:rStyle w:val="OperatorTok"/>
        </w:rPr>
        <w:t xml:space="preserve">.</w:t>
      </w:r>
      <w:r>
        <w:rPr>
          <w:rStyle w:val="FunctionTok"/>
        </w:rPr>
        <w:t xml:space="preserve">Id</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VariableTok"/>
        </w:rPr>
        <w:t xml:space="preserve">$where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$containers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gPLink</w:t>
      </w:r>
      <w:r>
        <w:rPr>
          <w:rStyle w:val="NormalTok"/>
        </w:rPr>
        <w:t xml:space="preserve"> </w:t>
      </w:r>
      <w:r>
        <w:rPr>
          <w:rStyle w:val="OperatorTok"/>
        </w:rPr>
        <w:t xml:space="preserve">-match</w:t>
      </w:r>
      <w:r>
        <w:rPr>
          <w:rStyle w:val="NormalTok"/>
        </w:rPr>
        <w:t xml:space="preserve"> </w:t>
      </w:r>
      <w:r>
        <w:rPr>
          <w:rStyle w:val="StringTok"/>
        </w:rPr>
        <w:t xml:space="preserve">"(?i)\{</w:t>
      </w:r>
      <w:r>
        <w:rPr>
          <w:rStyle w:val="VariableTok"/>
        </w:rPr>
        <w:t xml:space="preserve">$guid</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ExpandProperty DistinguishedName</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GPOName     </w:t>
      </w:r>
      <w:r>
        <w:rPr>
          <w:rStyle w:val="OperatorTok"/>
        </w:rPr>
        <w:t xml:space="preserve">=</w:t>
      </w:r>
      <w:r>
        <w:rPr>
          <w:rStyle w:val="NormalTok"/>
        </w:rPr>
        <w:t xml:space="preserve"> </w:t>
      </w:r>
      <w:r>
        <w:rPr>
          <w:rStyle w:val="VariableTok"/>
        </w:rPr>
        <w:t xml:space="preserve">$g</w:t>
      </w:r>
      <w:r>
        <w:rPr>
          <w:rStyle w:val="OperatorTok"/>
        </w:rPr>
        <w:t xml:space="preserve">.</w:t>
      </w:r>
      <w:r>
        <w:rPr>
          <w:rStyle w:val="FunctionTok"/>
        </w:rPr>
        <w:t xml:space="preserve">DisplayName</w:t>
      </w:r>
      <w:r>
        <w:br/>
      </w:r>
      <w:r>
        <w:rPr>
          <w:rStyle w:val="NormalTok"/>
        </w:rPr>
        <w:t xml:space="preserve">            GPOGUID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$g</w:t>
      </w:r>
      <w:r>
        <w:rPr>
          <w:rStyle w:val="OperatorTok"/>
        </w:rPr>
        <w:t xml:space="preserve">.</w:t>
      </w:r>
      <w:r>
        <w:rPr>
          <w:rStyle w:val="FunctionTok"/>
        </w:rPr>
        <w:t xml:space="preserve">Id</w:t>
      </w:r>
      <w:r>
        <w:rPr>
          <w:rStyle w:val="OperatorTok"/>
        </w:rPr>
        <w:t xml:space="preserve">)</w:t>
      </w:r>
      <w:r>
        <w:rPr>
          <w:rStyle w:val="StringTok"/>
        </w:rPr>
        <w:t xml:space="preserve">"</w:t>
      </w:r>
      <w:r>
        <w:br/>
      </w:r>
      <w:r>
        <w:rPr>
          <w:rStyle w:val="NormalTok"/>
        </w:rPr>
        <w:t xml:space="preserve">            LinkedTo    </w:t>
      </w:r>
      <w:r>
        <w:rPr>
          <w:rStyle w:val="OperatorTok"/>
        </w:rPr>
        <w:t xml:space="preserve">=</w:t>
      </w:r>
      <w:r>
        <w:rPr>
          <w:rStyle w:val="NormalTok"/>
        </w:rPr>
        <w:t xml:space="preserve"> </w:t>
      </w:r>
      <w:r>
        <w:rPr>
          <w:rStyle w:val="VariableTok"/>
        </w:rPr>
        <w:t xml:space="preserve">$where</w:t>
      </w:r>
      <w:r>
        <w:br/>
      </w:r>
      <w:r>
        <w:rPr>
          <w:rStyle w:val="NormalTok"/>
        </w:rPr>
        <w:t xml:space="preserve">            SiteLinked  </w:t>
      </w:r>
      <w:r>
        <w:rPr>
          <w:rStyle w:val="OperatorTok"/>
        </w:rPr>
        <w:t xml:space="preserve">=</w:t>
      </w:r>
      <w:r>
        <w:rPr>
          <w:rStyle w:val="NormalTok"/>
        </w:rPr>
        <w:t xml:space="preserve"> </w:t>
      </w:r>
      <w:r>
        <w:rPr>
          <w:rStyle w:val="OperatorTok"/>
        </w:rPr>
        <w:t xml:space="preserve">@(</w:t>
      </w:r>
      <w:r>
        <w:rPr>
          <w:rStyle w:val="VariableTok"/>
        </w:rPr>
        <w:t xml:space="preserve">$where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NormalTok"/>
        </w:rPr>
        <w:t xml:space="preserve"> </w:t>
      </w:r>
      <w:r>
        <w:rPr>
          <w:rStyle w:val="OperatorTok"/>
        </w:rPr>
        <w:t xml:space="preserve">-match</w:t>
      </w:r>
      <w:r>
        <w:rPr>
          <w:rStyle w:val="NormalTok"/>
        </w:rPr>
        <w:t xml:space="preserve"> </w:t>
      </w:r>
      <w:r>
        <w:rPr>
          <w:rStyle w:val="StringTok"/>
        </w:rPr>
        <w:t xml:space="preserve">'(?i),CN=Sites,'</w:t>
      </w:r>
      <w:r>
        <w:rPr>
          <w:rStyle w:val="NormalTok"/>
        </w:rPr>
        <w:t xml:space="preserve"> </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br/>
      </w:r>
      <w:r>
        <w:rPr>
          <w:rStyle w:val="NormalTok"/>
        </w:rPr>
        <w:t xml:space="preserve">            TotalLinks  </w:t>
      </w:r>
      <w:r>
        <w:rPr>
          <w:rStyle w:val="OperatorTok"/>
        </w:rPr>
        <w:t xml:space="preserve">=</w:t>
      </w:r>
      <w:r>
        <w:rPr>
          <w:rStyle w:val="NormalTok"/>
        </w:rPr>
        <w:t xml:space="preserve"> </w:t>
      </w:r>
      <w:r>
        <w:rPr>
          <w:rStyle w:val="VariableTok"/>
        </w:rPr>
        <w:t xml:space="preserve">$where</w:t>
      </w:r>
      <w:r>
        <w:rPr>
          <w:rStyle w:val="OperatorTok"/>
        </w:rPr>
        <w:t xml:space="preserve">.</w:t>
      </w:r>
      <w:r>
        <w:rPr>
          <w:rStyle w:val="FunctionTok"/>
        </w:rPr>
        <w:t xml:space="preserve">Count</w:t>
      </w:r>
      <w:r>
        <w:br/>
      </w:r>
      <w:r>
        <w:rPr>
          <w:rStyle w:val="NormalTok"/>
        </w:rPr>
        <w:t xml:space="preserve">            IsUnlinked  </w:t>
      </w:r>
      <w:r>
        <w:rPr>
          <w:rStyle w:val="OperatorTok"/>
        </w:rPr>
        <w:t xml:space="preserve">=</w:t>
      </w:r>
      <w:r>
        <w:rPr>
          <w:rStyle w:val="NormalTok"/>
        </w:rPr>
        <w:t xml:space="preserve"> </w:t>
      </w:r>
      <w:r>
        <w:rPr>
          <w:rStyle w:val="VariableTok"/>
        </w:rPr>
        <w:t xml:space="preserve">$where</w:t>
      </w:r>
      <w:r>
        <w:rPr>
          <w:rStyle w:val="OperatorTok"/>
        </w:rPr>
        <w:t xml:space="preserve">.</w:t>
      </w:r>
      <w:r>
        <w:rPr>
          <w:rStyle w:val="FunctionTok"/>
        </w:rPr>
        <w:t xml:space="preserve">Count</w:t>
      </w:r>
      <w:r>
        <w:rPr>
          <w:rStyle w:val="NormalTok"/>
        </w:rPr>
        <w:t xml:space="preserve"> </w:t>
      </w:r>
      <w:r>
        <w:rPr>
          <w:rStyle w:val="OperatorTok"/>
        </w:rPr>
        <w:t xml:space="preserve">-eq</w:t>
      </w:r>
      <w:r>
        <w:rPr>
          <w:rStyle w:val="NormalTok"/>
        </w:rPr>
        <w:t xml:space="preserve"> </w:t>
      </w:r>
      <w:r>
        <w:rPr>
          <w:rStyle w:val="DecValTok"/>
        </w:rPr>
        <w:t xml:space="preserve">0</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$links</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$gpoPath</w:t>
      </w:r>
      <w:r>
        <w:rPr>
          <w:rStyle w:val="NormalTok"/>
        </w:rPr>
        <w:t xml:space="preserve"> </w:t>
      </w:r>
      <w:r>
        <w:rPr>
          <w:rStyle w:val="StringTok"/>
        </w:rPr>
        <w:t xml:space="preserve">'GPOLinks.json'</w:t>
      </w:r>
      <w:r>
        <w:rPr>
          <w:rStyle w:val="OperatorTok"/>
        </w:rPr>
        <w:t xml:space="preserve">)</w:t>
      </w:r>
      <w:r>
        <w:br/>
      </w:r>
      <w:r>
        <w:br/>
      </w:r>
      <w:r>
        <w:rPr>
          <w:rStyle w:val="NormalTok"/>
        </w:rPr>
        <w:t xml:space="preserve">    </w:t>
      </w:r>
      <w:r>
        <w:rPr>
          <w:rStyle w:val="VariableTok"/>
        </w:rPr>
        <w:t xml:space="preserve">$empty</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$g</w:t>
      </w:r>
      <w:r>
        <w:rPr>
          <w:rStyle w:val="NormalTok"/>
        </w:rPr>
        <w:t xml:space="preserve"> </w:t>
      </w:r>
      <w:r>
        <w:rPr>
          <w:rStyle w:val="KeywordTok"/>
        </w:rPr>
        <w:t xml:space="preserve">in</w:t>
      </w:r>
      <w:r>
        <w:rPr>
          <w:rStyle w:val="NormalTok"/>
        </w:rPr>
        <w:t xml:space="preserve"> </w:t>
      </w:r>
      <w:r>
        <w:rPr>
          <w:rStyle w:val="VariableTok"/>
        </w:rPr>
        <w:t xml:space="preserve">$gpos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xml</w:t>
      </w:r>
      <w:r>
        <w:rPr>
          <w:rStyle w:val="OperatorTok"/>
        </w:rPr>
        <w:t xml:space="preserve">]</w:t>
      </w:r>
      <w:r>
        <w:rPr>
          <w:rStyle w:val="VariableTok"/>
        </w:rPr>
        <w:t xml:space="preserve">$r</w:t>
      </w:r>
      <w:r>
        <w:rPr>
          <w:rStyle w:val="NormalTok"/>
        </w:rPr>
        <w:t xml:space="preserve"> </w:t>
      </w:r>
      <w:r>
        <w:rPr>
          <w:rStyle w:val="OperatorTok"/>
        </w:rPr>
        <w:t xml:space="preserve">=</w:t>
      </w:r>
      <w:r>
        <w:rPr>
          <w:rStyle w:val="NormalTok"/>
        </w:rPr>
        <w:t xml:space="preserve"> </w:t>
      </w:r>
      <w:r>
        <w:rPr>
          <w:rStyle w:val="FunctionTok"/>
        </w:rPr>
        <w:t xml:space="preserve">Get-Content</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$setPath</w:t>
      </w:r>
      <w:r>
        <w:rPr>
          <w:rStyle w:val="NormalTok"/>
        </w:rPr>
        <w:t xml:space="preserve"> </w:t>
      </w:r>
      <w:r>
        <w:rPr>
          <w:rStyle w:val="StringTok"/>
        </w:rPr>
        <w:t xml:space="preserve">"</w:t>
      </w:r>
      <w:r>
        <w:rPr>
          <w:rStyle w:val="OperatorTok"/>
        </w:rPr>
        <w:t xml:space="preserve">$(</w:t>
      </w:r>
      <w:r>
        <w:rPr>
          <w:rStyle w:val="VariableTok"/>
        </w:rPr>
        <w:t xml:space="preserve">$g</w:t>
      </w:r>
      <w:r>
        <w:rPr>
          <w:rStyle w:val="OperatorTok"/>
        </w:rPr>
        <w:t xml:space="preserve">.</w:t>
      </w:r>
      <w:r>
        <w:rPr>
          <w:rStyle w:val="FunctionTok"/>
        </w:rPr>
        <w:t xml:space="preserve">Id</w:t>
      </w:r>
      <w:r>
        <w:rPr>
          <w:rStyle w:val="OperatorTok"/>
        </w:rPr>
        <w:t xml:space="preserve">)</w:t>
      </w:r>
      <w:r>
        <w:rPr>
          <w:rStyle w:val="StringTok"/>
        </w:rPr>
        <w:t xml:space="preserve">.xml"</w:t>
      </w:r>
      <w:r>
        <w:rPr>
          <w:rStyle w:val="OperatorTok"/>
        </w:rPr>
        <w:t xml:space="preserve">)</w:t>
      </w:r>
      <w:r>
        <w:rPr>
          <w:rStyle w:val="NormalTok"/>
        </w:rPr>
        <w:t xml:space="preserve"> </w:t>
      </w:r>
      <w:r>
        <w:rPr>
          <w:rStyle w:val="OperatorTok"/>
        </w:rPr>
        <w:t xml:space="preserve">-</w:t>
      </w:r>
      <w:r>
        <w:rPr>
          <w:rStyle w:val="NormalTok"/>
        </w:rPr>
        <w:t xml:space="preserve">Raw</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$r</w:t>
      </w:r>
      <w:r>
        <w:rPr>
          <w:rStyle w:val="OperatorTok"/>
        </w:rPr>
        <w:t xml:space="preserve">.</w:t>
      </w:r>
      <w:r>
        <w:rPr>
          <w:rStyle w:val="FunctionTok"/>
        </w:rPr>
        <w:t xml:space="preserve">GPO</w:t>
      </w:r>
      <w:r>
        <w:rPr>
          <w:rStyle w:val="OperatorTok"/>
        </w:rPr>
        <w:t xml:space="preserve">.</w:t>
      </w:r>
      <w:r>
        <w:rPr>
          <w:rStyle w:val="FunctionTok"/>
        </w:rPr>
        <w:t xml:space="preserve">Computer</w:t>
      </w:r>
      <w:r>
        <w:rPr>
          <w:rStyle w:val="OperatorTok"/>
        </w:rPr>
        <w:t xml:space="preserve">.</w:t>
      </w:r>
      <w:r>
        <w:rPr>
          <w:rStyle w:val="FunctionTok"/>
        </w:rPr>
        <w:t xml:space="preserve">ExtensionData</w:t>
      </w:r>
      <w:r>
        <w:rPr>
          <w:rStyle w:val="NormalTok"/>
        </w:rPr>
        <w:t xml:space="preserve"> </w:t>
      </w:r>
      <w:r>
        <w:rPr>
          <w:rStyle w:val="OperatorTok"/>
        </w:rPr>
        <w:t xml:space="preserve">-and</w:t>
      </w:r>
      <w:r>
        <w:rPr>
          <w:rStyle w:val="NormalTok"/>
        </w:rPr>
        <w:t xml:space="preserve"> </w:t>
      </w:r>
      <w:r>
        <w:rPr>
          <w:rStyle w:val="OperatorTok"/>
        </w:rPr>
        <w:t xml:space="preserve">-not</w:t>
      </w:r>
      <w:r>
        <w:rPr>
          <w:rStyle w:val="NormalTok"/>
        </w:rPr>
        <w:t xml:space="preserve"> </w:t>
      </w:r>
      <w:r>
        <w:rPr>
          <w:rStyle w:val="VariableTok"/>
        </w:rPr>
        <w:t xml:space="preserve">$r</w:t>
      </w:r>
      <w:r>
        <w:rPr>
          <w:rStyle w:val="OperatorTok"/>
        </w:rPr>
        <w:t xml:space="preserve">.</w:t>
      </w:r>
      <w:r>
        <w:rPr>
          <w:rStyle w:val="FunctionTok"/>
        </w:rPr>
        <w:t xml:space="preserve">GPO</w:t>
      </w:r>
      <w:r>
        <w:rPr>
          <w:rStyle w:val="OperatorTok"/>
        </w:rPr>
        <w:t xml:space="preserve">.</w:t>
      </w:r>
      <w:r>
        <w:rPr>
          <w:rStyle w:val="FunctionTok"/>
        </w:rPr>
        <w:t xml:space="preserve">User</w:t>
      </w:r>
      <w:r>
        <w:rPr>
          <w:rStyle w:val="OperatorTok"/>
        </w:rPr>
        <w:t xml:space="preserve">.</w:t>
      </w:r>
      <w:r>
        <w:rPr>
          <w:rStyle w:val="FunctionTok"/>
        </w:rPr>
        <w:t xml:space="preserve">ExtensionData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GPOName </w:t>
      </w:r>
      <w:r>
        <w:rPr>
          <w:rStyle w:val="OperatorTok"/>
        </w:rPr>
        <w:t xml:space="preserve">=</w:t>
      </w:r>
      <w:r>
        <w:rPr>
          <w:rStyle w:val="NormalTok"/>
        </w:rPr>
        <w:t xml:space="preserve"> </w:t>
      </w:r>
      <w:r>
        <w:rPr>
          <w:rStyle w:val="VariableTok"/>
        </w:rPr>
        <w:t xml:space="preserve">$g</w:t>
      </w:r>
      <w:r>
        <w:rPr>
          <w:rStyle w:val="OperatorTok"/>
        </w:rPr>
        <w:t xml:space="preserve">.</w:t>
      </w:r>
      <w:r>
        <w:rPr>
          <w:rStyle w:val="FunctionTok"/>
        </w:rPr>
        <w:t xml:space="preserve">DisplayName</w:t>
      </w:r>
      <w:r>
        <w:rPr>
          <w:rStyle w:val="OperatorTok"/>
        </w:rPr>
        <w:t xml:space="preserve">;</w:t>
      </w:r>
      <w:r>
        <w:rPr>
          <w:rStyle w:val="NormalTok"/>
        </w:rPr>
        <w:t xml:space="preserve"> GPOGUID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$g</w:t>
      </w:r>
      <w:r>
        <w:rPr>
          <w:rStyle w:val="OperatorTok"/>
        </w:rPr>
        <w:t xml:space="preserve">.</w:t>
      </w:r>
      <w:r>
        <w:rPr>
          <w:rStyle w:val="FunctionTok"/>
        </w:rPr>
        <w:t xml:space="preserve">Id</w:t>
      </w:r>
      <w:r>
        <w:rPr>
          <w:rStyle w:val="OperatorTok"/>
        </w:rPr>
        <w:t xml:space="preserve">)</w:t>
      </w:r>
      <w:r>
        <w:rPr>
          <w:rStyle w:val="StringTok"/>
        </w:rPr>
        <w:t xml:space="preserve">"</w:t>
      </w:r>
      <w:r>
        <w:rPr>
          <w:rStyle w:val="OperatorTok"/>
        </w:rPr>
        <w:t xml:space="preserve">;</w:t>
      </w:r>
      <w:r>
        <w:rPr>
          <w:rStyle w:val="NormalTok"/>
        </w:rPr>
        <w:t xml:space="preserve"> CreationTime </w:t>
      </w:r>
      <w:r>
        <w:rPr>
          <w:rStyle w:val="OperatorTok"/>
        </w:rPr>
        <w:t xml:space="preserve">=</w:t>
      </w:r>
      <w:r>
        <w:rPr>
          <w:rStyle w:val="NormalTok"/>
        </w:rPr>
        <w:t xml:space="preserve"> </w:t>
      </w:r>
      <w:r>
        <w:rPr>
          <w:rStyle w:val="VariableTok"/>
        </w:rPr>
        <w:t xml:space="preserve">$g</w:t>
      </w:r>
      <w:r>
        <w:rPr>
          <w:rStyle w:val="OperatorTok"/>
        </w:rPr>
        <w:t xml:space="preserve">.</w:t>
      </w:r>
      <w:r>
        <w:rPr>
          <w:rStyle w:val="FunctionTok"/>
        </w:rPr>
        <w:t xml:space="preserve">CreationTime</w:t>
      </w:r>
      <w:r>
        <w:rPr>
          <w:rStyle w:val="OperatorTok"/>
        </w:rPr>
        <w:t xml:space="preserve">;</w:t>
      </w:r>
      <w:r>
        <w:rPr>
          <w:rStyle w:val="NormalTok"/>
        </w:rPr>
        <w:t xml:space="preserve"> Owner </w:t>
      </w:r>
      <w:r>
        <w:rPr>
          <w:rStyle w:val="OperatorTok"/>
        </w:rPr>
        <w:t xml:space="preserve">=</w:t>
      </w:r>
      <w:r>
        <w:rPr>
          <w:rStyle w:val="NormalTok"/>
        </w:rPr>
        <w:t xml:space="preserve"> </w:t>
      </w:r>
      <w:r>
        <w:rPr>
          <w:rStyle w:val="VariableTok"/>
        </w:rPr>
        <w:t xml:space="preserve">$g</w:t>
      </w:r>
      <w:r>
        <w:rPr>
          <w:rStyle w:val="OperatorTok"/>
        </w:rPr>
        <w:t xml:space="preserve">.</w:t>
      </w:r>
      <w:r>
        <w:rPr>
          <w:rStyle w:val="FunctionTok"/>
        </w:rPr>
        <w:t xml:space="preserve">Owner</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$empty</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$gpoPath</w:t>
      </w:r>
      <w:r>
        <w:rPr>
          <w:rStyle w:val="NormalTok"/>
        </w:rPr>
        <w:t xml:space="preserve"> </w:t>
      </w:r>
      <w:r>
        <w:rPr>
          <w:rStyle w:val="StringTok"/>
        </w:rPr>
        <w:t xml:space="preserve">'GPOEmpty.json'</w:t>
      </w:r>
      <w:r>
        <w:rPr>
          <w:rStyle w:val="OperatorTok"/>
        </w:rPr>
        <w:t xml:space="preserve">)</w:t>
      </w:r>
      <w:r>
        <w:br/>
      </w:r>
      <w:r>
        <w:br/>
      </w:r>
      <w:r>
        <w:rPr>
          <w:rStyle w:val="NormalTok"/>
        </w:rPr>
        <w:t xml:space="preserve">    </w:t>
      </w:r>
      <w:r>
        <w:rPr>
          <w:rStyle w:val="VariableTok"/>
        </w:rPr>
        <w:t xml:space="preserve">$perms</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$g</w:t>
      </w:r>
      <w:r>
        <w:rPr>
          <w:rStyle w:val="NormalTok"/>
        </w:rPr>
        <w:t xml:space="preserve"> </w:t>
      </w:r>
      <w:r>
        <w:rPr>
          <w:rStyle w:val="KeywordTok"/>
        </w:rPr>
        <w:t xml:space="preserve">in</w:t>
      </w:r>
      <w:r>
        <w:rPr>
          <w:rStyle w:val="NormalTok"/>
        </w:rPr>
        <w:t xml:space="preserve"> </w:t>
      </w:r>
      <w:r>
        <w:rPr>
          <w:rStyle w:val="VariableTok"/>
        </w:rPr>
        <w:t xml:space="preserve">$gpos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GPOName     </w:t>
      </w:r>
      <w:r>
        <w:rPr>
          <w:rStyle w:val="OperatorTok"/>
        </w:rPr>
        <w:t xml:space="preserve">=</w:t>
      </w:r>
      <w:r>
        <w:rPr>
          <w:rStyle w:val="NormalTok"/>
        </w:rPr>
        <w:t xml:space="preserve"> </w:t>
      </w:r>
      <w:r>
        <w:rPr>
          <w:rStyle w:val="VariableTok"/>
        </w:rPr>
        <w:t xml:space="preserve">$g</w:t>
      </w:r>
      <w:r>
        <w:rPr>
          <w:rStyle w:val="OperatorTok"/>
        </w:rPr>
        <w:t xml:space="preserve">.</w:t>
      </w:r>
      <w:r>
        <w:rPr>
          <w:rStyle w:val="FunctionTok"/>
        </w:rPr>
        <w:t xml:space="preserve">DisplayName</w:t>
      </w:r>
      <w:r>
        <w:br/>
      </w:r>
      <w:r>
        <w:rPr>
          <w:rStyle w:val="NormalTok"/>
        </w:rPr>
        <w:t xml:space="preserve">            GPOGUID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$g</w:t>
      </w:r>
      <w:r>
        <w:rPr>
          <w:rStyle w:val="OperatorTok"/>
        </w:rPr>
        <w:t xml:space="preserve">.</w:t>
      </w:r>
      <w:r>
        <w:rPr>
          <w:rStyle w:val="FunctionTok"/>
        </w:rPr>
        <w:t xml:space="preserve">Id</w:t>
      </w:r>
      <w:r>
        <w:rPr>
          <w:rStyle w:val="OperatorTok"/>
        </w:rPr>
        <w:t xml:space="preserve">)</w:t>
      </w:r>
      <w:r>
        <w:rPr>
          <w:rStyle w:val="StringTok"/>
        </w:rPr>
        <w:t xml:space="preserve">"</w:t>
      </w:r>
      <w:r>
        <w:br/>
      </w:r>
      <w:r>
        <w:rPr>
          <w:rStyle w:val="NormalTok"/>
        </w:rPr>
        <w:t xml:space="preserve">            Permissions </w:t>
      </w:r>
      <w:r>
        <w:rPr>
          <w:rStyle w:val="OperatorTok"/>
        </w:rPr>
        <w:t xml:space="preserve">=</w:t>
      </w:r>
      <w:r>
        <w:rPr>
          <w:rStyle w:val="NormalTok"/>
        </w:rPr>
        <w:t xml:space="preserve"> </w:t>
      </w:r>
      <w:r>
        <w:rPr>
          <w:rStyle w:val="OperatorTok"/>
        </w:rPr>
        <w:t xml:space="preserve">@(</w:t>
      </w:r>
      <w:r>
        <w:rPr>
          <w:rStyle w:val="NormalTok"/>
        </w:rPr>
        <w:t xml:space="preserve">Get-GPPermission </w:t>
      </w:r>
      <w:r>
        <w:rPr>
          <w:rStyle w:val="OperatorTok"/>
        </w:rPr>
        <w:t xml:space="preserve">-</w:t>
      </w:r>
      <w:r>
        <w:rPr>
          <w:rStyle w:val="NormalTok"/>
        </w:rPr>
        <w:t xml:space="preserve">Guid </w:t>
      </w:r>
      <w:r>
        <w:rPr>
          <w:rStyle w:val="VariableTok"/>
        </w:rPr>
        <w:t xml:space="preserve">$g</w:t>
      </w:r>
      <w:r>
        <w:rPr>
          <w:rStyle w:val="OperatorTok"/>
        </w:rPr>
        <w:t xml:space="preserve">.</w:t>
      </w:r>
      <w:r>
        <w:rPr>
          <w:rStyle w:val="FunctionTok"/>
        </w:rPr>
        <w:t xml:space="preserve">Id</w:t>
      </w:r>
      <w:r>
        <w:rPr>
          <w:rStyle w:val="NormalTok"/>
        </w:rPr>
        <w:t xml:space="preserve"> </w:t>
      </w:r>
      <w:r>
        <w:rPr>
          <w:rStyle w:val="OperatorTok"/>
        </w:rPr>
        <w:t xml:space="preserve">-</w:t>
      </w:r>
      <w:r>
        <w:rPr>
          <w:rStyle w:val="NormalTok"/>
        </w:rPr>
        <w:t xml:space="preserve">DomainName </w:t>
      </w:r>
      <w:r>
        <w:rPr>
          <w:rStyle w:val="VariableTok"/>
        </w:rPr>
        <w:t xml:space="preserve">$Domain</w:t>
      </w:r>
      <w:r>
        <w:rPr>
          <w:rStyle w:val="NormalTok"/>
        </w:rPr>
        <w:t xml:space="preserve"> </w:t>
      </w:r>
      <w:r>
        <w:rPr>
          <w:rStyle w:val="OperatorTok"/>
        </w:rPr>
        <w:t xml:space="preserve">-</w:t>
      </w:r>
      <w:r>
        <w:rPr>
          <w:rStyle w:val="NormalTok"/>
        </w:rPr>
        <w:t xml:space="preserve">All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Trustee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Trustee</w:t>
      </w:r>
      <w:r>
        <w:rPr>
          <w:rStyle w:val="OperatorTok"/>
        </w:rPr>
        <w:t xml:space="preserve">.</w:t>
      </w:r>
      <w:r>
        <w:rPr>
          <w:rStyle w:val="FunctionTok"/>
        </w:rPr>
        <w:t xml:space="preserve">Name</w:t>
      </w:r>
      <w:r>
        <w:br/>
      </w:r>
      <w:r>
        <w:rPr>
          <w:rStyle w:val="NormalTok"/>
        </w:rPr>
        <w:t xml:space="preserve">                    TrusteeType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Trustee</w:t>
      </w:r>
      <w:r>
        <w:rPr>
          <w:rStyle w:val="OperatorTok"/>
        </w:rPr>
        <w:t xml:space="preserve">.</w:t>
      </w:r>
      <w:r>
        <w:rPr>
          <w:rStyle w:val="FunctionTok"/>
        </w:rPr>
        <w:t xml:space="preserve">SidType</w:t>
      </w:r>
      <w:r>
        <w:rPr>
          <w:rStyle w:val="OperatorTok"/>
        </w:rPr>
        <w:t xml:space="preserve">)</w:t>
      </w:r>
      <w:r>
        <w:rPr>
          <w:rStyle w:val="StringTok"/>
        </w:rPr>
        <w:t xml:space="preserve">"</w:t>
      </w:r>
      <w:r>
        <w:br/>
      </w:r>
      <w:r>
        <w:rPr>
          <w:rStyle w:val="NormalTok"/>
        </w:rPr>
        <w:t xml:space="preserve">                    Permission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Permission</w:t>
      </w:r>
      <w:r>
        <w:rPr>
          <w:rStyle w:val="OperatorTok"/>
        </w:rPr>
        <w:t xml:space="preserve">)</w:t>
      </w:r>
      <w:r>
        <w:rPr>
          <w:rStyle w:val="StringTok"/>
        </w:rPr>
        <w:t xml:space="preserve">"</w:t>
      </w:r>
      <w:r>
        <w:br/>
      </w:r>
      <w:r>
        <w:rPr>
          <w:rStyle w:val="NormalTok"/>
        </w:rPr>
        <w:t xml:space="preserve">                    Inherited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Inherited</w:t>
      </w:r>
      <w:r>
        <w:br/>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$perms</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$gpoPath</w:t>
      </w:r>
      <w:r>
        <w:rPr>
          <w:rStyle w:val="NormalTok"/>
        </w:rPr>
        <w:t xml:space="preserve"> </w:t>
      </w:r>
      <w:r>
        <w:rPr>
          <w:rStyle w:val="StringTok"/>
        </w:rPr>
        <w:t xml:space="preserve">'GPOPermissions.json'</w:t>
      </w:r>
      <w:r>
        <w:rPr>
          <w:rStyle w:val="OperatorTok"/>
        </w:rPr>
        <w:t xml:space="preserve">)</w:t>
      </w:r>
      <w:r>
        <w:br/>
      </w:r>
      <w:r>
        <w:br/>
      </w:r>
      <w:r>
        <w:rPr>
          <w:rStyle w:val="NormalTok"/>
        </w:rPr>
        <w:t xml:space="preserve">    Export-FMPGPOSettings </w:t>
      </w:r>
      <w:r>
        <w:rPr>
          <w:rStyle w:val="OperatorTok"/>
        </w:rPr>
        <w:t xml:space="preserve">-</w:t>
      </w:r>
      <w:r>
        <w:rPr>
          <w:rStyle w:val="NormalTok"/>
        </w:rPr>
        <w:t xml:space="preserve">GPOSettingsPath </w:t>
      </w:r>
      <w:r>
        <w:rPr>
          <w:rStyle w:val="VariableTok"/>
        </w:rPr>
        <w:t xml:space="preserve">$setPath</w:t>
      </w:r>
      <w:r>
        <w:rPr>
          <w:rStyle w:val="NormalTok"/>
        </w:rPr>
        <w:t xml:space="preserve"> </w:t>
      </w:r>
      <w:r>
        <w:rPr>
          <w:rStyle w:val="OperatorTok"/>
        </w:rPr>
        <w:t xml:space="preserve">-</w:t>
      </w:r>
      <w:r>
        <w:rPr>
          <w:rStyle w:val="NormalTok"/>
        </w:rPr>
        <w:t xml:space="preserve">OutputPath </w:t>
      </w:r>
      <w:r>
        <w:rPr>
          <w:rStyle w:val="VariableTok"/>
        </w:rPr>
        <w:t xml:space="preserve">$gpoPath</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NormalTok"/>
        </w:rPr>
        <w:t xml:space="preserve">Find-GPOConflicts </w:t>
      </w:r>
      <w:r>
        <w:rPr>
          <w:rStyle w:val="OperatorTok"/>
        </w:rPr>
        <w:t xml:space="preserve">-</w:t>
      </w:r>
      <w:r>
        <w:rPr>
          <w:rStyle w:val="NormalTok"/>
        </w:rPr>
        <w:t xml:space="preserve">GPOSettingsPath </w:t>
      </w:r>
      <w:r>
        <w:rPr>
          <w:rStyle w:val="VariableTok"/>
        </w:rPr>
        <w:t xml:space="preserve">$setPath</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$gpoPath</w:t>
      </w:r>
      <w:r>
        <w:rPr>
          <w:rStyle w:val="NormalTok"/>
        </w:rPr>
        <w:t xml:space="preserve"> </w:t>
      </w:r>
      <w:r>
        <w:rPr>
          <w:rStyle w:val="StringTok"/>
        </w:rPr>
        <w:t xml:space="preserve">'GPOConflicts.json'</w:t>
      </w:r>
      <w:r>
        <w:rPr>
          <w:rStyle w:val="OperatorTok"/>
        </w:rPr>
        <w:t xml:space="preserve">)</w:t>
      </w:r>
      <w:r>
        <w:rPr>
          <w:rStyle w:val="NormalTok"/>
        </w:rPr>
        <w:t xml:space="preserve"> </w:t>
      </w:r>
      <w:r>
        <w:rPr>
          <w:rStyle w:val="OperatorTok"/>
        </w:rPr>
        <w:t xml:space="preserve">-</w:t>
      </w:r>
      <w:r>
        <w:rPr>
          <w:rStyle w:val="NormalTok"/>
        </w:rPr>
        <w:t xml:space="preserve">Depth </w:t>
      </w:r>
      <w:r>
        <w:rPr>
          <w:rStyle w:val="DecValTok"/>
        </w:rPr>
        <w:t xml:space="preserve">6</w:t>
      </w:r>
      <w:r>
        <w:br/>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$SkipBackup</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Backup-GPO</w:t>
      </w:r>
      <w:r>
        <w:rPr>
          <w:rStyle w:val="NormalTok"/>
        </w:rPr>
        <w:t xml:space="preserve"> </w:t>
      </w:r>
      <w:r>
        <w:rPr>
          <w:rStyle w:val="OperatorTok"/>
        </w:rPr>
        <w:t xml:space="preserve">-</w:t>
      </w:r>
      <w:r>
        <w:rPr>
          <w:rStyle w:val="NormalTok"/>
        </w:rPr>
        <w:t xml:space="preserve">All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Path </w:t>
      </w:r>
      <w:r>
        <w:rPr>
          <w:rStyle w:val="VariableTok"/>
        </w:rPr>
        <w:t xml:space="preserve">$bakPath</w:t>
      </w:r>
      <w:r>
        <w:rPr>
          <w:rStyle w:val="NormalTok"/>
        </w:rPr>
        <w:t xml:space="preserve"> </w:t>
      </w:r>
      <w:r>
        <w:rPr>
          <w:rStyle w:val="OperatorTok"/>
        </w:rPr>
        <w:t xml:space="preserve">|</w:t>
      </w:r>
      <w:r>
        <w:rPr>
          <w:rStyle w:val="NormalTok"/>
        </w:rPr>
        <w:t xml:space="preserve"> </w:t>
      </w:r>
      <w:r>
        <w:rPr>
          <w:rStyle w:val="FunctionTok"/>
        </w:rPr>
        <w:t xml:space="preserve">Out-Null</w:t>
      </w:r>
      <w:r>
        <w:rPr>
          <w:rStyle w:val="NormalTok"/>
        </w:rPr>
        <w:t xml:space="preserve"> </w:t>
      </w:r>
      <w:r>
        <w:rPr>
          <w:rStyle w:val="OperatorTok"/>
        </w:rPr>
        <w:t xml:space="preserve">}</w:t>
      </w:r>
      <w:r>
        <w:br/>
      </w:r>
      <w:r>
        <w:rPr>
          <w:rStyle w:val="NormalTok"/>
        </w:rPr>
        <w:t xml:space="preserve">    </w:t>
      </w:r>
      <w:r>
        <w:rPr>
          <w:rStyle w:val="FunctionTok"/>
        </w:rPr>
        <w:t xml:space="preserve">Write-Verbose</w:t>
      </w:r>
      <w:r>
        <w:rPr>
          <w:rStyle w:val="NormalTok"/>
        </w:rPr>
        <w:t xml:space="preserve"> </w:t>
      </w:r>
      <w:r>
        <w:rPr>
          <w:rStyle w:val="StringTok"/>
        </w:rPr>
        <w:t xml:space="preserve">"GPO inventory written to </w:t>
      </w:r>
      <w:r>
        <w:rPr>
          <w:rStyle w:val="VariableTok"/>
        </w:rPr>
        <w:t xml:space="preserve">$gpoPath</w:t>
      </w:r>
      <w:r>
        <w:rPr>
          <w:rStyle w:val="StringTok"/>
        </w:rPr>
        <w:t xml:space="preserve">"</w:t>
      </w:r>
      <w:r>
        <w:br/>
      </w:r>
      <w:r>
        <w:rPr>
          <w:rStyle w:val="OperatorTok"/>
        </w:rPr>
        <w:t xml:space="preserve">}</w:t>
      </w:r>
    </w:p>
    <w:p>
      <w:pPr>
        <w:pStyle w:val="FirstParagraph"/>
      </w:pPr>
      <w:r>
        <w:rPr>
          <w:rStyle w:val="VerbatimChar"/>
        </w:rPr>
        <w:t xml:space="preserve">Get-GPPermission</w:t>
      </w:r>
      <w:r>
        <w:t xml:space="preserve"> </w:t>
      </w:r>
      <w:r>
        <w:t xml:space="preserve">returns</w:t>
      </w:r>
      <w:r>
        <w:t xml:space="preserve"> </w:t>
      </w:r>
      <w:r>
        <w:rPr>
          <w:rStyle w:val="VerbatimChar"/>
        </w:rPr>
        <w:t xml:space="preserve">GPPermission</w:t>
      </w:r>
      <w:r>
        <w:t xml:space="preserve"> </w:t>
      </w:r>
      <w:r>
        <w:t xml:space="preserve">objects whose</w:t>
      </w:r>
      <w:r>
        <w:t xml:space="preserve"> </w:t>
      </w:r>
      <w:r>
        <w:rPr>
          <w:rStyle w:val="VerbatimChar"/>
        </w:rPr>
        <w:t xml:space="preserve">Trustee</w:t>
      </w:r>
      <w:r>
        <w:t xml:space="preserve"> </w:t>
      </w:r>
      <w:r>
        <w:t xml:space="preserve">property identifies the principal; check the property names against</w:t>
      </w:r>
      <w:r>
        <w:t xml:space="preserve"> </w:t>
      </w:r>
      <w:r>
        <w:rPr>
          <w:rStyle w:val="VerbatimChar"/>
        </w:rPr>
        <w:t xml:space="preserve">Get-GPPermission ... | Get-Member</w:t>
      </w:r>
      <w:r>
        <w:t xml:space="preserve"> </w:t>
      </w:r>
      <w:r>
        <w:t xml:space="preserve">on your GroupPolicy module version before relying on the</w:t>
      </w:r>
      <w:r>
        <w:t xml:space="preserve"> </w:t>
      </w:r>
      <w:r>
        <w:rPr>
          <w:rStyle w:val="VerbatimChar"/>
        </w:rPr>
        <w:t xml:space="preserve">TrusteeType</w:t>
      </w:r>
      <w:r>
        <w:t xml:space="preserve"> </w:t>
      </w:r>
      <w:r>
        <w:t xml:space="preserve">column.</w:t>
      </w:r>
      <w:r>
        <w:rPr>
          <w:rStyle w:val="FootnoteReference"/>
        </w:rPr>
        <w:footnoteReference w:id="1253"/>
      </w:r>
    </w:p>
    <w:bookmarkEnd w:id="1254"/>
    <w:bookmarkStart w:id="1258" w:name="dns"/>
    <w:p>
      <w:pPr>
        <w:pStyle w:val="Heading3"/>
      </w:pPr>
      <w:r>
        <w:t xml:space="preserve">DNS</w:t>
      </w:r>
    </w:p>
    <w:p>
      <w:pPr>
        <w:pStyle w:val="SourceCode"/>
      </w:pPr>
      <w:r>
        <w:rPr>
          <w:rStyle w:val="KeywordTok"/>
        </w:rPr>
        <w:t xml:space="preserve">function</w:t>
      </w:r>
      <w:r>
        <w:rPr>
          <w:rStyle w:val="NormalTok"/>
        </w:rPr>
        <w:t xml:space="preserve"> Get-FMPDnsRecordData </w:t>
      </w:r>
      <w:r>
        <w:rPr>
          <w:rStyle w:val="OperatorTok"/>
        </w:rPr>
        <w:t xml:space="preserve">{</w:t>
      </w:r>
      <w:r>
        <w:br/>
      </w:r>
      <w:r>
        <w:rPr>
          <w:rStyle w:val="NormalTok"/>
        </w:rPr>
        <w:t xml:space="preserve">    </w:t>
      </w:r>
      <w:r>
        <w:rPr>
          <w:rStyle w:val="CommentTok"/>
        </w:rPr>
        <w:t xml:space="preserve"># PowerShell 5.1-compatible replacement for the source's ?? chain.</w:t>
      </w:r>
      <w:r>
        <w:br/>
      </w:r>
      <w:r>
        <w:rPr>
          <w:rStyle w:val="NormalTok"/>
        </w:rPr>
        <w:t xml:space="preserve">    </w:t>
      </w:r>
      <w:r>
        <w:rPr>
          <w:rStyle w:val="KeywordTok"/>
        </w:rPr>
        <w:t xml:space="preserve">param</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VariableTok"/>
        </w:rPr>
        <w:t xml:space="preserve">$Record</w:t>
      </w:r>
      <w:r>
        <w:rPr>
          <w:rStyle w:val="OperatorTok"/>
        </w:rPr>
        <w:t xml:space="preserve">)</w:t>
      </w:r>
      <w:r>
        <w:br/>
      </w:r>
      <w:r>
        <w:rPr>
          <w:rStyle w:val="NormalTok"/>
        </w:rPr>
        <w:t xml:space="preserve">    </w:t>
      </w:r>
      <w:r>
        <w:rPr>
          <w:rStyle w:val="VariableTok"/>
        </w:rPr>
        <w:t xml:space="preserve">$d</w:t>
      </w:r>
      <w:r>
        <w:rPr>
          <w:rStyle w:val="NormalTok"/>
        </w:rPr>
        <w:t xml:space="preserve"> </w:t>
      </w:r>
      <w:r>
        <w:rPr>
          <w:rStyle w:val="OperatorTok"/>
        </w:rPr>
        <w:t xml:space="preserve">=</w:t>
      </w:r>
      <w:r>
        <w:rPr>
          <w:rStyle w:val="NormalTok"/>
        </w:rPr>
        <w:t xml:space="preserve"> </w:t>
      </w:r>
      <w:r>
        <w:rPr>
          <w:rStyle w:val="VariableTok"/>
        </w:rPr>
        <w:t xml:space="preserve">$Record</w:t>
      </w:r>
      <w:r>
        <w:rPr>
          <w:rStyle w:val="OperatorTok"/>
        </w:rPr>
        <w:t xml:space="preserve">.</w:t>
      </w:r>
      <w:r>
        <w:rPr>
          <w:rStyle w:val="FunctionTok"/>
        </w:rPr>
        <w:t xml:space="preserve">RecordData</w:t>
      </w:r>
      <w:r>
        <w:br/>
      </w:r>
      <w:r>
        <w:rPr>
          <w:rStyle w:val="NormalTok"/>
        </w:rPr>
        <w:t xml:space="preserve">    </w:t>
      </w:r>
      <w:r>
        <w:rPr>
          <w:rStyle w:val="ControlFlowTok"/>
        </w:rPr>
        <w:t xml:space="preserve">switch</w:t>
      </w:r>
      <w:r>
        <w:rPr>
          <w:rStyle w:val="NormalTok"/>
        </w:rPr>
        <w:t xml:space="preserve"> </w:t>
      </w:r>
      <w:r>
        <w:rPr>
          <w:rStyle w:val="OperatorTok"/>
        </w:rPr>
        <w:t xml:space="preserve">(</w:t>
      </w:r>
      <w:r>
        <w:rPr>
          <w:rStyle w:val="VariableTok"/>
        </w:rPr>
        <w:t xml:space="preserve">$Record</w:t>
      </w:r>
      <w:r>
        <w:rPr>
          <w:rStyle w:val="OperatorTok"/>
        </w:rPr>
        <w:t xml:space="preserve">.</w:t>
      </w:r>
      <w:r>
        <w:rPr>
          <w:rStyle w:val="FunctionTok"/>
        </w:rPr>
        <w:t xml:space="preserve">RecordType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'A'</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$d</w:t>
      </w:r>
      <w:r>
        <w:rPr>
          <w:rStyle w:val="OperatorTok"/>
        </w:rPr>
        <w:t xml:space="preserve">.</w:t>
      </w:r>
      <w:r>
        <w:rPr>
          <w:rStyle w:val="FunctionTok"/>
        </w:rPr>
        <w:t xml:space="preserve">IPv4Address</w:t>
      </w:r>
      <w:r>
        <w:rPr>
          <w:rStyle w:val="OperatorTok"/>
        </w:rPr>
        <w:t xml:space="preserve">)</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'AAAA'</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$d</w:t>
      </w:r>
      <w:r>
        <w:rPr>
          <w:rStyle w:val="OperatorTok"/>
        </w:rPr>
        <w:t xml:space="preserve">.</w:t>
      </w:r>
      <w:r>
        <w:rPr>
          <w:rStyle w:val="FunctionTok"/>
        </w:rPr>
        <w:t xml:space="preserve">IPv6Address</w:t>
      </w:r>
      <w:r>
        <w:rPr>
          <w:rStyle w:val="OperatorTok"/>
        </w:rPr>
        <w:t xml:space="preserve">)</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'CNAME'</w:t>
      </w:r>
      <w:r>
        <w:rPr>
          <w:rStyle w:val="NormalTok"/>
        </w:rPr>
        <w:t xml:space="preserve"> </w:t>
      </w:r>
      <w:r>
        <w:rPr>
          <w:rStyle w:val="OperatorTok"/>
        </w:rPr>
        <w:t xml:space="preserve">{</w:t>
      </w:r>
      <w:r>
        <w:rPr>
          <w:rStyle w:val="NormalTok"/>
        </w:rPr>
        <w:t xml:space="preserve"> </w:t>
      </w:r>
      <w:r>
        <w:rPr>
          <w:rStyle w:val="VariableTok"/>
        </w:rPr>
        <w:t xml:space="preserve">$d</w:t>
      </w:r>
      <w:r>
        <w:rPr>
          <w:rStyle w:val="OperatorTok"/>
        </w:rPr>
        <w:t xml:space="preserve">.</w:t>
      </w:r>
      <w:r>
        <w:rPr>
          <w:rStyle w:val="FunctionTok"/>
        </w:rPr>
        <w:t xml:space="preserve">HostNameAlias</w:t>
      </w:r>
      <w:r>
        <w:rPr>
          <w:rStyle w:val="NormalTok"/>
        </w:rPr>
        <w:t xml:space="preserve"> </w:t>
      </w:r>
      <w:r>
        <w:rPr>
          <w:rStyle w:val="OperatorTok"/>
        </w:rPr>
        <w:t xml:space="preserve">}</w:t>
      </w:r>
      <w:r>
        <w:br/>
      </w:r>
      <w:r>
        <w:rPr>
          <w:rStyle w:val="NormalTok"/>
        </w:rPr>
        <w:t xml:space="preserve">        </w:t>
      </w:r>
      <w:r>
        <w:rPr>
          <w:rStyle w:val="StringTok"/>
        </w:rPr>
        <w:t xml:space="preserve">'NS'</w:t>
      </w:r>
      <w:r>
        <w:rPr>
          <w:rStyle w:val="NormalTok"/>
        </w:rPr>
        <w:t xml:space="preserve">    </w:t>
      </w:r>
      <w:r>
        <w:rPr>
          <w:rStyle w:val="OperatorTok"/>
        </w:rPr>
        <w:t xml:space="preserve">{</w:t>
      </w:r>
      <w:r>
        <w:rPr>
          <w:rStyle w:val="NormalTok"/>
        </w:rPr>
        <w:t xml:space="preserve"> </w:t>
      </w:r>
      <w:r>
        <w:rPr>
          <w:rStyle w:val="VariableTok"/>
        </w:rPr>
        <w:t xml:space="preserve">$d</w:t>
      </w:r>
      <w:r>
        <w:rPr>
          <w:rStyle w:val="OperatorTok"/>
        </w:rPr>
        <w:t xml:space="preserve">.</w:t>
      </w:r>
      <w:r>
        <w:rPr>
          <w:rStyle w:val="FunctionTok"/>
        </w:rPr>
        <w:t xml:space="preserve">NameServer</w:t>
      </w:r>
      <w:r>
        <w:rPr>
          <w:rStyle w:val="NormalTok"/>
        </w:rPr>
        <w:t xml:space="preserve"> </w:t>
      </w:r>
      <w:r>
        <w:rPr>
          <w:rStyle w:val="OperatorTok"/>
        </w:rPr>
        <w:t xml:space="preserve">}</w:t>
      </w:r>
      <w:r>
        <w:br/>
      </w:r>
      <w:r>
        <w:rPr>
          <w:rStyle w:val="NormalTok"/>
        </w:rPr>
        <w:t xml:space="preserve">        </w:t>
      </w:r>
      <w:r>
        <w:rPr>
          <w:rStyle w:val="StringTok"/>
        </w:rPr>
        <w:t xml:space="preserve">'PTR'</w:t>
      </w:r>
      <w:r>
        <w:rPr>
          <w:rStyle w:val="NormalTok"/>
        </w:rPr>
        <w:t xml:space="preserve">   </w:t>
      </w:r>
      <w:r>
        <w:rPr>
          <w:rStyle w:val="OperatorTok"/>
        </w:rPr>
        <w:t xml:space="preserve">{</w:t>
      </w:r>
      <w:r>
        <w:rPr>
          <w:rStyle w:val="NormalTok"/>
        </w:rPr>
        <w:t xml:space="preserve"> </w:t>
      </w:r>
      <w:r>
        <w:rPr>
          <w:rStyle w:val="VariableTok"/>
        </w:rPr>
        <w:t xml:space="preserve">$d</w:t>
      </w:r>
      <w:r>
        <w:rPr>
          <w:rStyle w:val="OperatorTok"/>
        </w:rPr>
        <w:t xml:space="preserve">.</w:t>
      </w:r>
      <w:r>
        <w:rPr>
          <w:rStyle w:val="FunctionTok"/>
        </w:rPr>
        <w:t xml:space="preserve">PtrDomainName</w:t>
      </w:r>
      <w:r>
        <w:rPr>
          <w:rStyle w:val="NormalTok"/>
        </w:rPr>
        <w:t xml:space="preserve"> </w:t>
      </w:r>
      <w:r>
        <w:rPr>
          <w:rStyle w:val="OperatorTok"/>
        </w:rPr>
        <w:t xml:space="preserve">}</w:t>
      </w:r>
      <w:r>
        <w:br/>
      </w:r>
      <w:r>
        <w:rPr>
          <w:rStyle w:val="NormalTok"/>
        </w:rPr>
        <w:t xml:space="preserve">        </w:t>
      </w:r>
      <w:r>
        <w:rPr>
          <w:rStyle w:val="StringTok"/>
        </w:rPr>
        <w:t xml:space="preserve">'MX'</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$d</w:t>
      </w:r>
      <w:r>
        <w:rPr>
          <w:rStyle w:val="OperatorTok"/>
        </w:rPr>
        <w:t xml:space="preserve">.</w:t>
      </w:r>
      <w:r>
        <w:rPr>
          <w:rStyle w:val="FunctionTok"/>
        </w:rPr>
        <w:t xml:space="preserve">Preference</w:t>
      </w:r>
      <w:r>
        <w:rPr>
          <w:rStyle w:val="OperatorTok"/>
        </w:rPr>
        <w:t xml:space="preserve">)</w:t>
      </w:r>
      <w:r>
        <w:rPr>
          <w:rStyle w:val="StringTok"/>
        </w:rPr>
        <w:t xml:space="preserve"> </w:t>
      </w:r>
      <w:r>
        <w:rPr>
          <w:rStyle w:val="OperatorTok"/>
        </w:rPr>
        <w:t xml:space="preserve">$(</w:t>
      </w:r>
      <w:r>
        <w:rPr>
          <w:rStyle w:val="VariableTok"/>
        </w:rPr>
        <w:t xml:space="preserve">$d</w:t>
      </w:r>
      <w:r>
        <w:rPr>
          <w:rStyle w:val="OperatorTok"/>
        </w:rPr>
        <w:t xml:space="preserve">.</w:t>
      </w:r>
      <w:r>
        <w:rPr>
          <w:rStyle w:val="FunctionTok"/>
        </w:rPr>
        <w:t xml:space="preserve">MailExchange</w:t>
      </w:r>
      <w:r>
        <w:rPr>
          <w:rStyle w:val="OperatorTok"/>
        </w:rPr>
        <w:t xml:space="preserve">)</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'SRV'</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$d</w:t>
      </w:r>
      <w:r>
        <w:rPr>
          <w:rStyle w:val="OperatorTok"/>
        </w:rPr>
        <w:t xml:space="preserve">.</w:t>
      </w:r>
      <w:r>
        <w:rPr>
          <w:rStyle w:val="FunctionTok"/>
        </w:rPr>
        <w:t xml:space="preserve">Priority</w:t>
      </w:r>
      <w:r>
        <w:rPr>
          <w:rStyle w:val="OperatorTok"/>
        </w:rPr>
        <w:t xml:space="preserve">)</w:t>
      </w:r>
      <w:r>
        <w:rPr>
          <w:rStyle w:val="StringTok"/>
        </w:rPr>
        <w:t xml:space="preserve"> </w:t>
      </w:r>
      <w:r>
        <w:rPr>
          <w:rStyle w:val="OperatorTok"/>
        </w:rPr>
        <w:t xml:space="preserve">$(</w:t>
      </w:r>
      <w:r>
        <w:rPr>
          <w:rStyle w:val="VariableTok"/>
        </w:rPr>
        <w:t xml:space="preserve">$d</w:t>
      </w:r>
      <w:r>
        <w:rPr>
          <w:rStyle w:val="OperatorTok"/>
        </w:rPr>
        <w:t xml:space="preserve">.</w:t>
      </w:r>
      <w:r>
        <w:rPr>
          <w:rStyle w:val="FunctionTok"/>
        </w:rPr>
        <w:t xml:space="preserve">Weight</w:t>
      </w:r>
      <w:r>
        <w:rPr>
          <w:rStyle w:val="OperatorTok"/>
        </w:rPr>
        <w:t xml:space="preserve">)</w:t>
      </w:r>
      <w:r>
        <w:rPr>
          <w:rStyle w:val="StringTok"/>
        </w:rPr>
        <w:t xml:space="preserve"> </w:t>
      </w:r>
      <w:r>
        <w:rPr>
          <w:rStyle w:val="OperatorTok"/>
        </w:rPr>
        <w:t xml:space="preserve">$(</w:t>
      </w:r>
      <w:r>
        <w:rPr>
          <w:rStyle w:val="VariableTok"/>
        </w:rPr>
        <w:t xml:space="preserve">$d</w:t>
      </w:r>
      <w:r>
        <w:rPr>
          <w:rStyle w:val="OperatorTok"/>
        </w:rPr>
        <w:t xml:space="preserve">.</w:t>
      </w:r>
      <w:r>
        <w:rPr>
          <w:rStyle w:val="FunctionTok"/>
        </w:rPr>
        <w:t xml:space="preserve">Port</w:t>
      </w:r>
      <w:r>
        <w:rPr>
          <w:rStyle w:val="OperatorTok"/>
        </w:rPr>
        <w:t xml:space="preserve">)</w:t>
      </w:r>
      <w:r>
        <w:rPr>
          <w:rStyle w:val="StringTok"/>
        </w:rPr>
        <w:t xml:space="preserve"> </w:t>
      </w:r>
      <w:r>
        <w:rPr>
          <w:rStyle w:val="OperatorTok"/>
        </w:rPr>
        <w:t xml:space="preserve">$(</w:t>
      </w:r>
      <w:r>
        <w:rPr>
          <w:rStyle w:val="VariableTok"/>
        </w:rPr>
        <w:t xml:space="preserve">$d</w:t>
      </w:r>
      <w:r>
        <w:rPr>
          <w:rStyle w:val="OperatorTok"/>
        </w:rPr>
        <w:t xml:space="preserve">.</w:t>
      </w:r>
      <w:r>
        <w:rPr>
          <w:rStyle w:val="FunctionTok"/>
        </w:rPr>
        <w:t xml:space="preserve">DomainName</w:t>
      </w:r>
      <w:r>
        <w:rPr>
          <w:rStyle w:val="OperatorTok"/>
        </w:rPr>
        <w:t xml:space="preserve">)</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'TXT'</w:t>
      </w:r>
      <w:r>
        <w:rPr>
          <w:rStyle w:val="NormalTok"/>
        </w:rPr>
        <w:t xml:space="preserve">   </w:t>
      </w:r>
      <w:r>
        <w:rPr>
          <w:rStyle w:val="OperatorTok"/>
        </w:rPr>
        <w:t xml:space="preserve">{</w:t>
      </w:r>
      <w:r>
        <w:rPr>
          <w:rStyle w:val="NormalTok"/>
        </w:rPr>
        <w:t xml:space="preserve"> </w:t>
      </w:r>
      <w:r>
        <w:rPr>
          <w:rStyle w:val="VariableTok"/>
        </w:rPr>
        <w:t xml:space="preserve">$d</w:t>
      </w:r>
      <w:r>
        <w:rPr>
          <w:rStyle w:val="OperatorTok"/>
        </w:rPr>
        <w:t xml:space="preserve">.</w:t>
      </w:r>
      <w:r>
        <w:rPr>
          <w:rStyle w:val="FunctionTok"/>
        </w:rPr>
        <w:t xml:space="preserve">DescriptiveText</w:t>
      </w:r>
      <w:r>
        <w:rPr>
          <w:rStyle w:val="NormalTok"/>
        </w:rPr>
        <w:t xml:space="preserve"> </w:t>
      </w:r>
      <w:r>
        <w:rPr>
          <w:rStyle w:val="OperatorTok"/>
        </w:rPr>
        <w:t xml:space="preserve">}</w:t>
      </w:r>
      <w:r>
        <w:br/>
      </w:r>
      <w:r>
        <w:rPr>
          <w:rStyle w:val="NormalTok"/>
        </w:rPr>
        <w:t xml:space="preserve">        </w:t>
      </w:r>
      <w:r>
        <w:rPr>
          <w:rStyle w:val="StringTok"/>
        </w:rPr>
        <w:t xml:space="preserve">'SOA'</w:t>
      </w:r>
      <w:r>
        <w:rPr>
          <w:rStyle w:val="NormalTok"/>
        </w:rPr>
        <w:t xml:space="preserve">   </w:t>
      </w:r>
      <w:r>
        <w:rPr>
          <w:rStyle w:val="OperatorTok"/>
        </w:rPr>
        <w:t xml:space="preserve">{</w:t>
      </w:r>
      <w:r>
        <w:rPr>
          <w:rStyle w:val="NormalTok"/>
        </w:rPr>
        <w:t xml:space="preserve"> </w:t>
      </w:r>
      <w:r>
        <w:rPr>
          <w:rStyle w:val="VariableTok"/>
        </w:rPr>
        <w:t xml:space="preserve">$d</w:t>
      </w:r>
      <w:r>
        <w:rPr>
          <w:rStyle w:val="OperatorTok"/>
        </w:rPr>
        <w:t xml:space="preserve">.</w:t>
      </w:r>
      <w:r>
        <w:rPr>
          <w:rStyle w:val="FunctionTok"/>
        </w:rPr>
        <w:t xml:space="preserve">PrimaryServer</w:t>
      </w:r>
      <w:r>
        <w:rPr>
          <w:rStyle w:val="NormalTok"/>
        </w:rPr>
        <w:t xml:space="preserve"> </w:t>
      </w:r>
      <w:r>
        <w:rPr>
          <w:rStyle w:val="OperatorTok"/>
        </w:rPr>
        <w:t xml:space="preserve">}</w:t>
      </w:r>
      <w:r>
        <w:br/>
      </w:r>
      <w:r>
        <w:rPr>
          <w:rStyle w:val="NormalTok"/>
        </w:rPr>
        <w:t xml:space="preserve">        default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KeywordTok"/>
        </w:rPr>
        <w:t xml:space="preserve">function</w:t>
      </w:r>
      <w:r>
        <w:rPr>
          <w:rStyle w:val="NormalTok"/>
        </w:rPr>
        <w:t xml:space="preserve"> Get-FMPDNSAssessment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Zones, records, forwarders, stub zones, DNSSEC, scavenging, stale records and DC locator SRV checks.</w:t>
      </w:r>
      <w:r>
        <w:br/>
      </w:r>
      <w:r>
        <w:rPr>
          <w:rStyle w:val="CommentTok"/>
        </w:rPr>
        <w:t xml:space="preserve">    .OUTPUTS</w:t>
      </w:r>
      <w:r>
        <w:br/>
      </w:r>
      <w:r>
        <w:rPr>
          <w:rStyle w:val="CommentTok"/>
        </w:rPr>
        <w:t xml:space="preserve">        DNSInventory.json, DNSHealthReport.json, DNSRecordInventory.json</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DNSRoot</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'D:\FMP\Assessment'</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$DnsServer</w:t>
      </w:r>
      <w:r>
        <w:rPr>
          <w:rStyle w:val="OperatorTok"/>
        </w:rPr>
        <w:t xml:space="preserve">,</w:t>
      </w:r>
      <w:r>
        <w:br/>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$StaleThresholdDays</w:t>
      </w:r>
      <w:r>
        <w:rPr>
          <w:rStyle w:val="NormalTok"/>
        </w:rPr>
        <w:t xml:space="preserve"> </w:t>
      </w:r>
      <w:r>
        <w:rPr>
          <w:rStyle w:val="OperatorTok"/>
        </w:rPr>
        <w:t xml:space="preserve">=</w:t>
      </w:r>
      <w:r>
        <w:rPr>
          <w:rStyle w:val="NormalTok"/>
        </w:rPr>
        <w:t xml:space="preserve"> </w:t>
      </w:r>
      <w:r>
        <w:rPr>
          <w:rStyle w:val="DecValTok"/>
        </w:rPr>
        <w:t xml:space="preserve">90</w:t>
      </w:r>
      <w:r>
        <w:br/>
      </w:r>
      <w:r>
        <w:rPr>
          <w:rStyle w:val="NormalTok"/>
        </w:rPr>
        <w:t xml:space="preserve">    </w:t>
      </w:r>
      <w:r>
        <w:rPr>
          <w:rStyle w:val="OperatorTok"/>
        </w:rPr>
        <w:t xml:space="preserve">)</w:t>
      </w:r>
      <w:r>
        <w:br/>
      </w:r>
      <w:r>
        <w:rPr>
          <w:rStyle w:val="NormalTok"/>
        </w:rPr>
        <w:t xml:space="preserve">    </w:t>
      </w:r>
      <w:r>
        <w:rPr>
          <w:rStyle w:val="VariableTok"/>
        </w:rPr>
        <w:t xml:space="preserve">$dnsPath</w:t>
      </w:r>
      <w:r>
        <w:rPr>
          <w:rStyle w:val="NormalTok"/>
        </w:rPr>
        <w:t xml:space="preserve"> </w:t>
      </w:r>
      <w:r>
        <w:rPr>
          <w:rStyle w:val="OperatorTok"/>
        </w:rPr>
        <w:t xml:space="preserve">=</w:t>
      </w:r>
      <w:r>
        <w:rPr>
          <w:rStyle w:val="NormalTok"/>
        </w:rPr>
        <w:t xml:space="preserve"> Get-FMPDomainPath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Area </w:t>
      </w:r>
      <w:r>
        <w:rPr>
          <w:rStyle w:val="StringTok"/>
        </w:rPr>
        <w:t xml:space="preserve">'DNS'</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$DnsServer</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mmentTok"/>
        </w:rPr>
        <w:t xml:space="preserve"># Every DC in the domain, not only global catalogs; unreachable servers are reported, not fatal.</w:t>
      </w:r>
      <w:r>
        <w:br/>
      </w:r>
      <w:r>
        <w:rPr>
          <w:rStyle w:val="NormalTok"/>
        </w:rPr>
        <w:t xml:space="preserve">        </w:t>
      </w:r>
      <w:r>
        <w:rPr>
          <w:rStyle w:val="VariableTok"/>
        </w:rPr>
        <w:t xml:space="preserve">$DnsServer</w:t>
      </w:r>
      <w:r>
        <w:rPr>
          <w:rStyle w:val="NormalTok"/>
        </w:rPr>
        <w:t xml:space="preserve"> </w:t>
      </w:r>
      <w:r>
        <w:rPr>
          <w:rStyle w:val="OperatorTok"/>
        </w:rPr>
        <w:t xml:space="preserve">=</w:t>
      </w:r>
      <w:r>
        <w:rPr>
          <w:rStyle w:val="NormalTok"/>
        </w:rPr>
        <w:t xml:space="preserve"> </w:t>
      </w:r>
      <w:r>
        <w:rPr>
          <w:rStyle w:val="FunctionTok"/>
        </w:rPr>
        <w:t xml:space="preserve">Get-ADDomainController</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ExpandProperty HostName</w:t>
      </w:r>
      <w:r>
        <w:br/>
      </w:r>
      <w:r>
        <w:rPr>
          <w:rStyle w:val="NormalTok"/>
        </w:rPr>
        <w:t xml:space="preserve">    </w:t>
      </w:r>
      <w:r>
        <w:rPr>
          <w:rStyle w:val="OperatorTok"/>
        </w:rPr>
        <w:t xml:space="preserve">}</w:t>
      </w:r>
      <w:r>
        <w:br/>
      </w:r>
      <w:r>
        <w:rPr>
          <w:rStyle w:val="NormalTok"/>
        </w:rPr>
        <w:t xml:space="preserve">    </w:t>
      </w:r>
      <w:r>
        <w:rPr>
          <w:rStyle w:val="VariableTok"/>
        </w:rPr>
        <w:t xml:space="preserve">$primary</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OperatorTok"/>
        </w:rPr>
        <w:t xml:space="preserve">).</w:t>
      </w:r>
      <w:r>
        <w:rPr>
          <w:rStyle w:val="FunctionTok"/>
        </w:rPr>
        <w:t xml:space="preserve">PDCEmulator</w:t>
      </w:r>
      <w:r>
        <w:br/>
      </w:r>
      <w:r>
        <w:rPr>
          <w:rStyle w:val="NormalTok"/>
        </w:rPr>
        <w:t xml:space="preserve">    </w:t>
      </w:r>
      <w:r>
        <w:rPr>
          <w:rStyle w:val="VariableTok"/>
        </w:rPr>
        <w:t xml:space="preserve">$stale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AddDays</w:t>
      </w:r>
      <w:r>
        <w:rPr>
          <w:rStyle w:val="OperatorTok"/>
        </w:rPr>
        <w:t xml:space="preserve">(-</w:t>
      </w:r>
      <w:r>
        <w:rPr>
          <w:rStyle w:val="VariableTok"/>
        </w:rPr>
        <w:t xml:space="preserve">$StaleThresholdDays</w:t>
      </w:r>
      <w:r>
        <w:rPr>
          <w:rStyle w:val="OperatorTok"/>
        </w:rPr>
        <w:t xml:space="preserve">)</w:t>
      </w:r>
      <w:r>
        <w:br/>
      </w:r>
      <w:r>
        <w:br/>
      </w:r>
      <w:r>
        <w:rPr>
          <w:rStyle w:val="NormalTok"/>
        </w:rPr>
        <w:t xml:space="preserve">    </w:t>
      </w:r>
      <w:r>
        <w:rPr>
          <w:rStyle w:val="VariableTok"/>
        </w:rPr>
        <w:t xml:space="preserve">$zonesByServer</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$s</w:t>
      </w:r>
      <w:r>
        <w:rPr>
          <w:rStyle w:val="NormalTok"/>
        </w:rPr>
        <w:t xml:space="preserve"> </w:t>
      </w:r>
      <w:r>
        <w:rPr>
          <w:rStyle w:val="KeywordTok"/>
        </w:rPr>
        <w:t xml:space="preserve">in</w:t>
      </w:r>
      <w:r>
        <w:rPr>
          <w:rStyle w:val="NormalTok"/>
        </w:rPr>
        <w:t xml:space="preserve"> </w:t>
      </w:r>
      <w:r>
        <w:rPr>
          <w:rStyle w:val="VariableTok"/>
        </w:rPr>
        <w:t xml:space="preserve">$DnsServer</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try</w:t>
      </w:r>
      <w:r>
        <w:rPr>
          <w:rStyle w:val="NormalTok"/>
        </w:rPr>
        <w:t xml:space="preserve"> </w:t>
      </w:r>
      <w:r>
        <w:rPr>
          <w:rStyle w:val="OperatorTok"/>
        </w:rPr>
        <w:t xml:space="preserve">{</w:t>
      </w:r>
      <w:r>
        <w:br/>
      </w:r>
      <w:r>
        <w:rPr>
          <w:rStyle w:val="NormalTok"/>
        </w:rPr>
        <w:t xml:space="preserve">            Get-DnsServerZone </w:t>
      </w:r>
      <w:r>
        <w:rPr>
          <w:rStyle w:val="OperatorTok"/>
        </w:rPr>
        <w:t xml:space="preserve">-</w:t>
      </w:r>
      <w:r>
        <w:rPr>
          <w:rStyle w:val="NormalTok"/>
        </w:rPr>
        <w:t xml:space="preserve">ComputerName </w:t>
      </w:r>
      <w:r>
        <w:rPr>
          <w:rStyle w:val="VariableTok"/>
        </w:rPr>
        <w:t xml:space="preserve">$s</w:t>
      </w:r>
      <w:r>
        <w:rPr>
          <w:rStyle w:val="NormalTok"/>
        </w:rPr>
        <w:t xml:space="preserve"> </w:t>
      </w:r>
      <w:r>
        <w:rPr>
          <w:rStyle w:val="OperatorTok"/>
        </w:rPr>
        <w:t xml:space="preserve">-</w:t>
      </w:r>
      <w:r>
        <w:rPr>
          <w:rStyle w:val="NormalTok"/>
        </w:rPr>
        <w:t xml:space="preserve">ErrorAction Stop </w:t>
      </w:r>
      <w:r>
        <w:rPr>
          <w:rStyle w:val="OperatorTok"/>
        </w:rPr>
        <w:t xml:space="preserve">|</w:t>
      </w:r>
      <w:r>
        <w:rPr>
          <w:rStyle w:val="NormalTok"/>
        </w:rPr>
        <w:t xml:space="preserve"> </w:t>
      </w:r>
      <w:r>
        <w:rPr>
          <w:rStyle w:val="FunctionTok"/>
        </w:rPr>
        <w:t xml:space="preserve">Select-Object</w:t>
      </w:r>
      <w:r>
        <w:rPr>
          <w:rStyle w:val="NormalTok"/>
        </w:rPr>
        <w:t xml:space="preserve"> ZoneName</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'ZoneType'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ZoneType</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IsAutoCreated</w:t>
      </w:r>
      <w:r>
        <w:rPr>
          <w:rStyle w:val="OperatorTok"/>
        </w:rPr>
        <w:t xml:space="preserve">,</w:t>
      </w:r>
      <w:r>
        <w:rPr>
          <w:rStyle w:val="NormalTok"/>
        </w:rPr>
        <w:t xml:space="preserve"> IsDsIntegrated</w:t>
      </w:r>
      <w:r>
        <w:rPr>
          <w:rStyle w:val="OperatorTok"/>
        </w:rPr>
        <w:t xml:space="preserve">,</w:t>
      </w:r>
      <w:r>
        <w:rPr>
          <w:rStyle w:val="NormalTok"/>
        </w:rPr>
        <w:t xml:space="preserve"> IsReverseLookupZone</w:t>
      </w:r>
      <w:r>
        <w:rPr>
          <w:rStyle w:val="OperatorTok"/>
        </w:rPr>
        <w:t xml:space="preserve">,</w:t>
      </w:r>
      <w:r>
        <w:rPr>
          <w:rStyle w:val="NormalTok"/>
        </w:rPr>
        <w:t xml:space="preserve"> IsSigned</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'DynamicUpdate'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DynamicUpdate</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'DnsServer'</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'Partition'</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$_</w:t>
      </w:r>
      <w:r>
        <w:rPr>
          <w:rStyle w:val="OperatorTok"/>
        </w:rPr>
        <w:t xml:space="preserve">.</w:t>
      </w:r>
      <w:r>
        <w:rPr>
          <w:rStyle w:val="FunctionTok"/>
        </w:rPr>
        <w:t xml:space="preserve">IsDsIntegrated</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'File-backed'</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DirectoryPartitionName</w:t>
      </w:r>
      <w:r>
        <w:rPr>
          <w:rStyle w:val="NormalTok"/>
        </w:rPr>
        <w:t xml:space="preserve"> </w:t>
      </w:r>
      <w:r>
        <w:rPr>
          <w:rStyle w:val="OperatorTok"/>
        </w:rPr>
        <w:t xml:space="preserve">-match</w:t>
      </w:r>
      <w:r>
        <w:rPr>
          <w:rStyle w:val="NormalTok"/>
        </w:rPr>
        <w:t xml:space="preserve"> </w:t>
      </w:r>
      <w:r>
        <w:rPr>
          <w:rStyle w:val="StringTok"/>
        </w:rPr>
        <w:t xml:space="preserve">'(?i)ForestDnsZones'</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'ForestDnsZones'</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DirectoryPartitionName</w:t>
      </w:r>
      <w:r>
        <w:rPr>
          <w:rStyle w:val="NormalTok"/>
        </w:rPr>
        <w:t xml:space="preserve"> </w:t>
      </w:r>
      <w:r>
        <w:rPr>
          <w:rStyle w:val="OperatorTok"/>
        </w:rPr>
        <w:t xml:space="preserve">-match</w:t>
      </w:r>
      <w:r>
        <w:rPr>
          <w:rStyle w:val="NormalTok"/>
        </w:rPr>
        <w:t xml:space="preserve"> </w:t>
      </w:r>
      <w:r>
        <w:rPr>
          <w:rStyle w:val="StringTok"/>
        </w:rPr>
        <w:t xml:space="preserve">'(?i)DomainDnsZones'</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'DomainDnsZones'</w:t>
      </w:r>
      <w:r>
        <w:rPr>
          <w:rStyle w:val="NormalTok"/>
        </w:rPr>
        <w:t xml:space="preserve"> </w:t>
      </w:r>
      <w:r>
        <w:rPr>
          <w:rStyle w:val="OperatorTok"/>
        </w:rPr>
        <w:t xml:space="preserve">}</w:t>
      </w:r>
      <w:r>
        <w:br/>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'Domain'</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ControlFlowTok"/>
        </w:rPr>
        <w:t xml:space="preserve">catch</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ZoneName </w:t>
      </w:r>
      <w:r>
        <w:rPr>
          <w:rStyle w:val="OperatorTok"/>
        </w:rPr>
        <w:t xml:space="preserve">=</w:t>
      </w:r>
      <w:r>
        <w:rPr>
          <w:rStyle w:val="NormalTok"/>
        </w:rPr>
        <w:t xml:space="preserve"> </w:t>
      </w:r>
      <w:r>
        <w:rPr>
          <w:rStyle w:val="VariableTok"/>
        </w:rPr>
        <w:t xml:space="preserve">$null</w:t>
      </w:r>
      <w:r>
        <w:rPr>
          <w:rStyle w:val="OperatorTok"/>
        </w:rPr>
        <w:t xml:space="preserve">;</w:t>
      </w:r>
      <w:r>
        <w:rPr>
          <w:rStyle w:val="NormalTok"/>
        </w:rPr>
        <w:t xml:space="preserve"> DnsServer </w:t>
      </w:r>
      <w:r>
        <w:rPr>
          <w:rStyle w:val="OperatorTok"/>
        </w:rPr>
        <w:t xml:space="preserve">=</w:t>
      </w:r>
      <w:r>
        <w:rPr>
          <w:rStyle w:val="NormalTok"/>
        </w:rPr>
        <w:t xml:space="preserve"> </w:t>
      </w:r>
      <w:r>
        <w:rPr>
          <w:rStyle w:val="VariableTok"/>
        </w:rPr>
        <w:t xml:space="preserve">$s</w:t>
      </w:r>
      <w:r>
        <w:rPr>
          <w:rStyle w:val="OperatorTok"/>
        </w:rPr>
        <w:t xml:space="preserve">;</w:t>
      </w:r>
      <w:r>
        <w:rPr>
          <w:rStyle w:val="NormalTok"/>
        </w:rPr>
        <w:t xml:space="preserve"> Error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Exception</w:t>
      </w:r>
      <w:r>
        <w:rPr>
          <w:rStyle w:val="OperatorTok"/>
        </w:rPr>
        <w:t xml:space="preserve">.</w:t>
      </w:r>
      <w:r>
        <w:rPr>
          <w:rStyle w:val="FunctionTok"/>
        </w:rPr>
        <w:t xml:space="preserve">Message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$zones</w:t>
      </w:r>
      <w:r>
        <w:rPr>
          <w:rStyle w:val="NormalTok"/>
        </w:rPr>
        <w:t xml:space="preserve"> </w:t>
      </w:r>
      <w:r>
        <w:rPr>
          <w:rStyle w:val="OperatorTok"/>
        </w:rPr>
        <w:t xml:space="preserve">=</w:t>
      </w:r>
      <w:r>
        <w:rPr>
          <w:rStyle w:val="NormalTok"/>
        </w:rPr>
        <w:t xml:space="preserve"> Get-DnsServerZone </w:t>
      </w:r>
      <w:r>
        <w:rPr>
          <w:rStyle w:val="OperatorTok"/>
        </w:rPr>
        <w:t xml:space="preserve">-</w:t>
      </w:r>
      <w:r>
        <w:rPr>
          <w:rStyle w:val="NormalTok"/>
        </w:rPr>
        <w:t xml:space="preserve">ComputerName </w:t>
      </w:r>
      <w:r>
        <w:rPr>
          <w:rStyle w:val="VariableTok"/>
        </w:rPr>
        <w:t xml:space="preserve">$primary</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OperatorTok"/>
        </w:rPr>
        <w:t xml:space="preserve">-not</w:t>
      </w:r>
      <w:r>
        <w:rPr>
          <w:rStyle w:val="NormalTok"/>
        </w:rPr>
        <w:t xml:space="preserve"> </w:t>
      </w:r>
      <w:r>
        <w:rPr>
          <w:rStyle w:val="VariableTok"/>
        </w:rPr>
        <w:t xml:space="preserve">$_</w:t>
      </w:r>
      <w:r>
        <w:rPr>
          <w:rStyle w:val="OperatorTok"/>
        </w:rPr>
        <w:t xml:space="preserve">.</w:t>
      </w:r>
      <w:r>
        <w:rPr>
          <w:rStyle w:val="FunctionTok"/>
        </w:rPr>
        <w:t xml:space="preserve">IsAutoCreated</w:t>
      </w:r>
      <w:r>
        <w:rPr>
          <w:rStyle w:val="NormalTok"/>
        </w:rPr>
        <w:t xml:space="preserve"> </w:t>
      </w:r>
      <w:r>
        <w:rPr>
          <w:rStyle w:val="OperatorTok"/>
        </w:rPr>
        <w:t xml:space="preserve">-and</w:t>
      </w:r>
      <w:r>
        <w:rPr>
          <w:rStyle w:val="NormalTok"/>
        </w:rPr>
        <w:t xml:space="preserve"> </w:t>
      </w:r>
      <w:r>
        <w:rPr>
          <w:rStyle w:val="VariableTok"/>
        </w:rPr>
        <w:t xml:space="preserve">$_</w:t>
      </w:r>
      <w:r>
        <w:rPr>
          <w:rStyle w:val="OperatorTok"/>
        </w:rPr>
        <w:t xml:space="preserve">.</w:t>
      </w:r>
      <w:r>
        <w:rPr>
          <w:rStyle w:val="FunctionTok"/>
        </w:rPr>
        <w:t xml:space="preserve">ZoneName</w:t>
      </w:r>
      <w:r>
        <w:rPr>
          <w:rStyle w:val="NormalTok"/>
        </w:rPr>
        <w:t xml:space="preserve"> </w:t>
      </w:r>
      <w:r>
        <w:rPr>
          <w:rStyle w:val="OperatorTok"/>
        </w:rPr>
        <w:t xml:space="preserve">-ne</w:t>
      </w:r>
      <w:r>
        <w:rPr>
          <w:rStyle w:val="NormalTok"/>
        </w:rPr>
        <w:t xml:space="preserve"> </w:t>
      </w:r>
      <w:r>
        <w:rPr>
          <w:rStyle w:val="StringTok"/>
        </w:rPr>
        <w:t xml:space="preserve">'TrustAnchors'</w:t>
      </w:r>
      <w:r>
        <w:rPr>
          <w:rStyle w:val="NormalTok"/>
        </w:rPr>
        <w:t xml:space="preserve"> </w:t>
      </w:r>
      <w:r>
        <w:rPr>
          <w:rStyle w:val="OperatorTok"/>
        </w:rPr>
        <w:t xml:space="preserve">}</w:t>
      </w:r>
      <w:r>
        <w:br/>
      </w:r>
      <w:r>
        <w:br/>
      </w:r>
      <w:r>
        <w:rPr>
          <w:rStyle w:val="NormalTok"/>
        </w:rPr>
        <w:t xml:space="preserve">    </w:t>
      </w:r>
      <w:r>
        <w:rPr>
          <w:rStyle w:val="VariableTok"/>
        </w:rPr>
        <w:t xml:space="preserve">$records</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$z</w:t>
      </w:r>
      <w:r>
        <w:rPr>
          <w:rStyle w:val="NormalTok"/>
        </w:rPr>
        <w:t xml:space="preserve"> </w:t>
      </w:r>
      <w:r>
        <w:rPr>
          <w:rStyle w:val="KeywordTok"/>
        </w:rPr>
        <w:t xml:space="preserve">in</w:t>
      </w:r>
      <w:r>
        <w:rPr>
          <w:rStyle w:val="NormalTok"/>
        </w:rPr>
        <w:t xml:space="preserve"> </w:t>
      </w:r>
      <w:r>
        <w:rPr>
          <w:rStyle w:val="VariableTok"/>
        </w:rPr>
        <w:t xml:space="preserve">$zones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$rr</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Get-DnsServerResourceRecord </w:t>
      </w:r>
      <w:r>
        <w:rPr>
          <w:rStyle w:val="OperatorTok"/>
        </w:rPr>
        <w:t xml:space="preserve">-</w:t>
      </w:r>
      <w:r>
        <w:rPr>
          <w:rStyle w:val="NormalTok"/>
        </w:rPr>
        <w:t xml:space="preserve">ZoneName </w:t>
      </w:r>
      <w:r>
        <w:rPr>
          <w:rStyle w:val="VariableTok"/>
        </w:rPr>
        <w:t xml:space="preserve">$z</w:t>
      </w:r>
      <w:r>
        <w:rPr>
          <w:rStyle w:val="OperatorTok"/>
        </w:rPr>
        <w:t xml:space="preserve">.</w:t>
      </w:r>
      <w:r>
        <w:rPr>
          <w:rStyle w:val="FunctionTok"/>
        </w:rPr>
        <w:t xml:space="preserve">ZoneName</w:t>
      </w:r>
      <w:r>
        <w:rPr>
          <w:rStyle w:val="NormalTok"/>
        </w:rPr>
        <w:t xml:space="preserve"> </w:t>
      </w:r>
      <w:r>
        <w:rPr>
          <w:rStyle w:val="OperatorTok"/>
        </w:rPr>
        <w:t xml:space="preserve">-</w:t>
      </w:r>
      <w:r>
        <w:rPr>
          <w:rStyle w:val="NormalTok"/>
        </w:rPr>
        <w:t xml:space="preserve">ComputerName </w:t>
      </w:r>
      <w:r>
        <w:rPr>
          <w:rStyle w:val="VariableTok"/>
        </w:rPr>
        <w:t xml:space="preserve">$primary</w:t>
      </w:r>
      <w:r>
        <w:rPr>
          <w:rStyle w:val="NormalTok"/>
        </w:rPr>
        <w:t xml:space="preserve"> </w:t>
      </w:r>
      <w:r>
        <w:rPr>
          <w:rStyle w:val="OperatorTok"/>
        </w:rPr>
        <w:t xml:space="preserve">-</w:t>
      </w:r>
      <w:r>
        <w:rPr>
          <w:rStyle w:val="NormalTok"/>
        </w:rPr>
        <w:t xml:space="preserve">ErrorAction SilentlyContinue</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ZoneName      </w:t>
      </w:r>
      <w:r>
        <w:rPr>
          <w:rStyle w:val="OperatorTok"/>
        </w:rPr>
        <w:t xml:space="preserve">=</w:t>
      </w:r>
      <w:r>
        <w:rPr>
          <w:rStyle w:val="NormalTok"/>
        </w:rPr>
        <w:t xml:space="preserve"> </w:t>
      </w:r>
      <w:r>
        <w:rPr>
          <w:rStyle w:val="VariableTok"/>
        </w:rPr>
        <w:t xml:space="preserve">$z</w:t>
      </w:r>
      <w:r>
        <w:rPr>
          <w:rStyle w:val="OperatorTok"/>
        </w:rPr>
        <w:t xml:space="preserve">.</w:t>
      </w:r>
      <w:r>
        <w:rPr>
          <w:rStyle w:val="FunctionTok"/>
        </w:rPr>
        <w:t xml:space="preserve">ZoneName</w:t>
      </w:r>
      <w:r>
        <w:br/>
      </w:r>
      <w:r>
        <w:rPr>
          <w:rStyle w:val="NormalTok"/>
        </w:rPr>
        <w:t xml:space="preserve">            RecordCount   </w:t>
      </w:r>
      <w:r>
        <w:rPr>
          <w:rStyle w:val="OperatorTok"/>
        </w:rPr>
        <w:t xml:space="preserve">=</w:t>
      </w:r>
      <w:r>
        <w:rPr>
          <w:rStyle w:val="NormalTok"/>
        </w:rPr>
        <w:t xml:space="preserve"> </w:t>
      </w:r>
      <w:r>
        <w:rPr>
          <w:rStyle w:val="VariableTok"/>
        </w:rPr>
        <w:t xml:space="preserve">$rr</w:t>
      </w:r>
      <w:r>
        <w:rPr>
          <w:rStyle w:val="OperatorTok"/>
        </w:rPr>
        <w:t xml:space="preserve">.</w:t>
      </w:r>
      <w:r>
        <w:rPr>
          <w:rStyle w:val="FunctionTok"/>
        </w:rPr>
        <w:t xml:space="preserve">Count</w:t>
      </w:r>
      <w:r>
        <w:br/>
      </w:r>
      <w:r>
        <w:rPr>
          <w:rStyle w:val="NormalTok"/>
        </w:rPr>
        <w:t xml:space="preserve">            RecordsByType </w:t>
      </w:r>
      <w:r>
        <w:rPr>
          <w:rStyle w:val="OperatorTok"/>
        </w:rPr>
        <w:t xml:space="preserve">=</w:t>
      </w:r>
      <w:r>
        <w:rPr>
          <w:rStyle w:val="NormalTok"/>
        </w:rPr>
        <w:t xml:space="preserve"> </w:t>
      </w:r>
      <w:r>
        <w:rPr>
          <w:rStyle w:val="OperatorTok"/>
        </w:rPr>
        <w:t xml:space="preserve">@(</w:t>
      </w:r>
      <w:r>
        <w:rPr>
          <w:rStyle w:val="VariableTok"/>
        </w:rPr>
        <w:t xml:space="preserve">$rr</w:t>
      </w:r>
      <w:r>
        <w:rPr>
          <w:rStyle w:val="NormalTok"/>
        </w:rPr>
        <w:t xml:space="preserve"> </w:t>
      </w:r>
      <w:r>
        <w:rPr>
          <w:rStyle w:val="OperatorTok"/>
        </w:rPr>
        <w:t xml:space="preserve">|</w:t>
      </w:r>
      <w:r>
        <w:rPr>
          <w:rStyle w:val="NormalTok"/>
        </w:rPr>
        <w:t xml:space="preserve"> </w:t>
      </w:r>
      <w:r>
        <w:rPr>
          <w:rStyle w:val="FunctionTok"/>
        </w:rPr>
        <w:t xml:space="preserve">Group-Object</w:t>
      </w:r>
      <w:r>
        <w:rPr>
          <w:rStyle w:val="NormalTok"/>
        </w:rPr>
        <w:t xml:space="preserve"> RecordType </w:t>
      </w:r>
      <w:r>
        <w:rPr>
          <w:rStyle w:val="OperatorTok"/>
        </w:rPr>
        <w:t xml:space="preserve">|</w:t>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Count</w:t>
      </w:r>
      <w:r>
        <w:rPr>
          <w:rStyle w:val="OperatorTok"/>
        </w:rPr>
        <w:t xml:space="preserve">)</w:t>
      </w:r>
      <w:r>
        <w:br/>
      </w:r>
      <w:r>
        <w:rPr>
          <w:rStyle w:val="NormalTok"/>
        </w:rPr>
        <w:t xml:space="preserve">            StaleRecords  </w:t>
      </w:r>
      <w:r>
        <w:rPr>
          <w:rStyle w:val="OperatorTok"/>
        </w:rPr>
        <w:t xml:space="preserve">=</w:t>
      </w:r>
      <w:r>
        <w:rPr>
          <w:rStyle w:val="NormalTok"/>
        </w:rPr>
        <w:t xml:space="preserve"> </w:t>
      </w:r>
      <w:r>
        <w:rPr>
          <w:rStyle w:val="OperatorTok"/>
        </w:rPr>
        <w:t xml:space="preserve">@(</w:t>
      </w:r>
      <w:r>
        <w:rPr>
          <w:rStyle w:val="VariableTok"/>
        </w:rPr>
        <w:t xml:space="preserve">$rr</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Timestamp</w:t>
      </w:r>
      <w:r>
        <w:rPr>
          <w:rStyle w:val="NormalTok"/>
        </w:rPr>
        <w:t xml:space="preserve"> </w:t>
      </w:r>
      <w:r>
        <w:rPr>
          <w:rStyle w:val="OperatorTok"/>
        </w:rPr>
        <w:t xml:space="preserve">-and</w:t>
      </w:r>
      <w:r>
        <w:rPr>
          <w:rStyle w:val="NormalTok"/>
        </w:rPr>
        <w:t xml:space="preserve"> </w:t>
      </w:r>
      <w:r>
        <w:rPr>
          <w:rStyle w:val="VariableTok"/>
        </w:rPr>
        <w:t xml:space="preserve">$_</w:t>
      </w:r>
      <w:r>
        <w:rPr>
          <w:rStyle w:val="OperatorTok"/>
        </w:rPr>
        <w:t xml:space="preserve">.</w:t>
      </w:r>
      <w:r>
        <w:rPr>
          <w:rStyle w:val="FunctionTok"/>
        </w:rPr>
        <w:t xml:space="preserve">Timestamp</w:t>
      </w:r>
      <w:r>
        <w:rPr>
          <w:rStyle w:val="NormalTok"/>
        </w:rPr>
        <w:t xml:space="preserve"> </w:t>
      </w:r>
      <w:r>
        <w:rPr>
          <w:rStyle w:val="OperatorTok"/>
        </w:rPr>
        <w:t xml:space="preserve">-lt</w:t>
      </w:r>
      <w:r>
        <w:rPr>
          <w:rStyle w:val="NormalTok"/>
        </w:rPr>
        <w:t xml:space="preserve"> </w:t>
      </w:r>
      <w:r>
        <w:rPr>
          <w:rStyle w:val="VariableTok"/>
        </w:rPr>
        <w:t xml:space="preserve">$stale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HostName</w:t>
      </w:r>
      <w:r>
        <w:rPr>
          <w:rStyle w:val="OperatorTok"/>
        </w:rPr>
        <w:t xml:space="preserve">,</w:t>
      </w:r>
      <w:r>
        <w:rPr>
          <w:rStyle w:val="NormalTok"/>
        </w:rPr>
        <w:t xml:space="preserve"> RecordType</w:t>
      </w:r>
      <w:r>
        <w:rPr>
          <w:rStyle w:val="OperatorTok"/>
        </w:rPr>
        <w:t xml:space="preserve">,</w:t>
      </w:r>
      <w:r>
        <w:rPr>
          <w:rStyle w:val="NormalTok"/>
        </w:rPr>
        <w:t xml:space="preserve"> Timestamp</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'Data'</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Get-FMPDnsRecordData </w:t>
      </w:r>
      <w:r>
        <w:rPr>
          <w:rStyle w:val="OperatorTok"/>
        </w:rPr>
        <w:t xml:space="preserve">-</w:t>
      </w:r>
      <w:r>
        <w:rPr>
          <w:rStyle w:val="NormalTok"/>
        </w:rPr>
        <w:t xml:space="preserve">Record </w:t>
      </w:r>
      <w:r>
        <w:rPr>
          <w:rStyle w:val="VariableTok"/>
        </w:rPr>
        <w:t xml:space="preserve">$_</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'AgeDays'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Timestamp</w:t>
      </w:r>
      <w:r>
        <w:rPr>
          <w:rStyle w:val="OperatorTok"/>
        </w:rPr>
        <w:t xml:space="preserve">).</w:t>
      </w:r>
      <w:r>
        <w:rPr>
          <w:rStyle w:val="FunctionTok"/>
        </w:rPr>
        <w:t xml:space="preserve">Days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$dnssec</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$z</w:t>
      </w:r>
      <w:r>
        <w:rPr>
          <w:rStyle w:val="NormalTok"/>
        </w:rPr>
        <w:t xml:space="preserve"> </w:t>
      </w:r>
      <w:r>
        <w:rPr>
          <w:rStyle w:val="KeywordTok"/>
        </w:rPr>
        <w:t xml:space="preserve">in</w:t>
      </w:r>
      <w:r>
        <w:rPr>
          <w:rStyle w:val="NormalTok"/>
        </w:rPr>
        <w:t xml:space="preserve"> </w:t>
      </w:r>
      <w:r>
        <w:rPr>
          <w:rStyle w:val="OperatorTok"/>
        </w:rPr>
        <w:t xml:space="preserve">(</w:t>
      </w:r>
      <w:r>
        <w:rPr>
          <w:rStyle w:val="VariableTok"/>
        </w:rPr>
        <w:t xml:space="preserve">$zones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IsSigned</w:t>
      </w:r>
      <w:r>
        <w:rPr>
          <w:rStyle w:val="OperatorTok"/>
        </w:rPr>
        <w:t xml:space="preserve">))</w:t>
      </w:r>
      <w:r>
        <w:rPr>
          <w:rStyle w:val="NormalTok"/>
        </w:rPr>
        <w:t xml:space="preserve"> </w:t>
      </w:r>
      <w:r>
        <w:rPr>
          <w:rStyle w:val="OperatorTok"/>
        </w:rPr>
        <w:t xml:space="preserve">{</w:t>
      </w:r>
      <w:r>
        <w:br/>
      </w:r>
      <w:r>
        <w:rPr>
          <w:rStyle w:val="NormalTok"/>
        </w:rPr>
        <w:t xml:space="preserve">        Get-DnsServerDnsSecZoneSetting </w:t>
      </w:r>
      <w:r>
        <w:rPr>
          <w:rStyle w:val="OperatorTok"/>
        </w:rPr>
        <w:t xml:space="preserve">-</w:t>
      </w:r>
      <w:r>
        <w:rPr>
          <w:rStyle w:val="NormalTok"/>
        </w:rPr>
        <w:t xml:space="preserve">ZoneName </w:t>
      </w:r>
      <w:r>
        <w:rPr>
          <w:rStyle w:val="VariableTok"/>
        </w:rPr>
        <w:t xml:space="preserve">$z</w:t>
      </w:r>
      <w:r>
        <w:rPr>
          <w:rStyle w:val="OperatorTok"/>
        </w:rPr>
        <w:t xml:space="preserve">.</w:t>
      </w:r>
      <w:r>
        <w:rPr>
          <w:rStyle w:val="FunctionTok"/>
        </w:rPr>
        <w:t xml:space="preserve">ZoneName</w:t>
      </w:r>
      <w:r>
        <w:rPr>
          <w:rStyle w:val="NormalTok"/>
        </w:rPr>
        <w:t xml:space="preserve"> </w:t>
      </w:r>
      <w:r>
        <w:rPr>
          <w:rStyle w:val="OperatorTok"/>
        </w:rPr>
        <w:t xml:space="preserve">-</w:t>
      </w:r>
      <w:r>
        <w:rPr>
          <w:rStyle w:val="NormalTok"/>
        </w:rPr>
        <w:t xml:space="preserve">ComputerName </w:t>
      </w:r>
      <w:r>
        <w:rPr>
          <w:rStyle w:val="VariableTok"/>
        </w:rPr>
        <w:t xml:space="preserve">$primary</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ZoneName</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'DenialOfExistence'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DenialOfExistence</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IsKeyMasterServer</w:t>
      </w:r>
      <w:r>
        <w:rPr>
          <w:rStyle w:val="OperatorTok"/>
        </w:rPr>
        <w:t xml:space="preserve">,</w:t>
      </w:r>
      <w:r>
        <w:rPr>
          <w:rStyle w:val="NormalTok"/>
        </w:rPr>
        <w:t xml:space="preserve"> KeyMasterServer</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'DSRecordGenerationAlgorithm'</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DSRecordGenerationAlgorithm</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$_</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$srv</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$prefix</w:t>
      </w:r>
      <w:r>
        <w:rPr>
          <w:rStyle w:val="NormalTok"/>
        </w:rPr>
        <w:t xml:space="preserve"> </w:t>
      </w:r>
      <w:r>
        <w:rPr>
          <w:rStyle w:val="KeywordTok"/>
        </w:rPr>
        <w:t xml:space="preserve">in</w:t>
      </w:r>
      <w:r>
        <w:rPr>
          <w:rStyle w:val="NormalTok"/>
        </w:rPr>
        <w:t xml:space="preserve"> </w:t>
      </w:r>
      <w:r>
        <w:rPr>
          <w:rStyle w:val="StringTok"/>
        </w:rPr>
        <w:t xml:space="preserve">'_ldap._tcp'</w:t>
      </w:r>
      <w:r>
        <w:rPr>
          <w:rStyle w:val="OperatorTok"/>
        </w:rPr>
        <w:t xml:space="preserve">,</w:t>
      </w:r>
      <w:r>
        <w:rPr>
          <w:rStyle w:val="NormalTok"/>
        </w:rPr>
        <w:t xml:space="preserve"> </w:t>
      </w:r>
      <w:r>
        <w:rPr>
          <w:rStyle w:val="StringTok"/>
        </w:rPr>
        <w:t xml:space="preserve">'_kerberos._tcp'</w:t>
      </w:r>
      <w:r>
        <w:rPr>
          <w:rStyle w:val="OperatorTok"/>
        </w:rPr>
        <w:t xml:space="preserve">,</w:t>
      </w:r>
      <w:r>
        <w:rPr>
          <w:rStyle w:val="NormalTok"/>
        </w:rPr>
        <w:t xml:space="preserve"> </w:t>
      </w:r>
      <w:r>
        <w:rPr>
          <w:rStyle w:val="StringTok"/>
        </w:rPr>
        <w:t xml:space="preserve">'_gc._tcp'</w:t>
      </w:r>
      <w:r>
        <w:rPr>
          <w:rStyle w:val="OperatorTok"/>
        </w:rPr>
        <w:t xml:space="preserve">,</w:t>
      </w:r>
      <w:r>
        <w:rPr>
          <w:rStyle w:val="NormalTok"/>
        </w:rPr>
        <w:t xml:space="preserve"> </w:t>
      </w:r>
      <w:r>
        <w:rPr>
          <w:rStyle w:val="StringTok"/>
        </w:rPr>
        <w:t xml:space="preserve">'_kpasswd._tcp'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$name</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$prefix</w:t>
      </w:r>
      <w:r>
        <w:rPr>
          <w:rStyle w:val="StringTok"/>
        </w:rPr>
        <w:t xml:space="preserve">.</w:t>
      </w:r>
      <w:r>
        <w:rPr>
          <w:rStyle w:val="VariableTok"/>
        </w:rPr>
        <w:t xml:space="preserve">$Domain</w:t>
      </w:r>
      <w:r>
        <w:rPr>
          <w:rStyle w:val="StringTok"/>
        </w:rPr>
        <w:t xml:space="preserve">"</w:t>
      </w:r>
      <w:r>
        <w:br/>
      </w:r>
      <w:r>
        <w:rPr>
          <w:rStyle w:val="NormalTok"/>
        </w:rPr>
        <w:t xml:space="preserve">        </w:t>
      </w:r>
      <w:r>
        <w:rPr>
          <w:rStyle w:val="VariableTok"/>
        </w:rPr>
        <w:t xml:space="preserve">$r</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Resolve-DnsName </w:t>
      </w:r>
      <w:r>
        <w:rPr>
          <w:rStyle w:val="OperatorTok"/>
        </w:rPr>
        <w:t xml:space="preserve">-</w:t>
      </w:r>
      <w:r>
        <w:rPr>
          <w:rStyle w:val="NormalTok"/>
        </w:rPr>
        <w:t xml:space="preserve">Name </w:t>
      </w:r>
      <w:r>
        <w:rPr>
          <w:rStyle w:val="VariableTok"/>
        </w:rPr>
        <w:t xml:space="preserve">$name</w:t>
      </w:r>
      <w:r>
        <w:rPr>
          <w:rStyle w:val="NormalTok"/>
        </w:rPr>
        <w:t xml:space="preserve"> </w:t>
      </w:r>
      <w:r>
        <w:rPr>
          <w:rStyle w:val="OperatorTok"/>
        </w:rPr>
        <w:t xml:space="preserve">-</w:t>
      </w:r>
      <w:r>
        <w:rPr>
          <w:rStyle w:val="NormalTok"/>
        </w:rPr>
        <w:t xml:space="preserve">Type SRV </w:t>
      </w:r>
      <w:r>
        <w:rPr>
          <w:rStyle w:val="OperatorTok"/>
        </w:rPr>
        <w:t xml:space="preserve">-</w:t>
      </w:r>
      <w:r>
        <w:rPr>
          <w:rStyle w:val="NormalTok"/>
        </w:rPr>
        <w:t xml:space="preserve">Server </w:t>
      </w:r>
      <w:r>
        <w:rPr>
          <w:rStyle w:val="VariableTok"/>
        </w:rPr>
        <w:t xml:space="preserve">$primary</w:t>
      </w:r>
      <w:r>
        <w:rPr>
          <w:rStyle w:val="NormalTok"/>
        </w:rPr>
        <w:t xml:space="preserve"> </w:t>
      </w:r>
      <w:r>
        <w:rPr>
          <w:rStyle w:val="OperatorTok"/>
        </w:rPr>
        <w:t xml:space="preserve">-</w:t>
      </w:r>
      <w:r>
        <w:rPr>
          <w:rStyle w:val="NormalTok"/>
        </w:rPr>
        <w:t xml:space="preserve">ErrorAction SilentlyContinue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Type</w:t>
      </w:r>
      <w:r>
        <w:rPr>
          <w:rStyle w:val="NormalTok"/>
        </w:rPr>
        <w:t xml:space="preserve"> </w:t>
      </w:r>
      <w:r>
        <w:rPr>
          <w:rStyle w:val="OperatorTok"/>
        </w:rPr>
        <w:t xml:space="preserve">-eq</w:t>
      </w:r>
      <w:r>
        <w:rPr>
          <w:rStyle w:val="NormalTok"/>
        </w:rPr>
        <w:t xml:space="preserve"> </w:t>
      </w:r>
      <w:r>
        <w:rPr>
          <w:rStyle w:val="StringTok"/>
        </w:rPr>
        <w:t xml:space="preserve">'SRV'</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SRVRecord   </w:t>
      </w:r>
      <w:r>
        <w:rPr>
          <w:rStyle w:val="OperatorTok"/>
        </w:rPr>
        <w:t xml:space="preserve">=</w:t>
      </w:r>
      <w:r>
        <w:rPr>
          <w:rStyle w:val="NormalTok"/>
        </w:rPr>
        <w:t xml:space="preserve"> </w:t>
      </w:r>
      <w:r>
        <w:rPr>
          <w:rStyle w:val="VariableTok"/>
        </w:rPr>
        <w:t xml:space="preserve">$name</w:t>
      </w:r>
      <w:r>
        <w:br/>
      </w:r>
      <w:r>
        <w:rPr>
          <w:rStyle w:val="NormalTok"/>
        </w:rPr>
        <w:t xml:space="preserve">            RecordCount </w:t>
      </w:r>
      <w:r>
        <w:rPr>
          <w:rStyle w:val="OperatorTok"/>
        </w:rPr>
        <w:t xml:space="preserve">=</w:t>
      </w:r>
      <w:r>
        <w:rPr>
          <w:rStyle w:val="NormalTok"/>
        </w:rPr>
        <w:t xml:space="preserve"> </w:t>
      </w:r>
      <w:r>
        <w:rPr>
          <w:rStyle w:val="VariableTok"/>
        </w:rPr>
        <w:t xml:space="preserve">$r</w:t>
      </w:r>
      <w:r>
        <w:rPr>
          <w:rStyle w:val="OperatorTok"/>
        </w:rPr>
        <w:t xml:space="preserve">.</w:t>
      </w:r>
      <w:r>
        <w:rPr>
          <w:rStyle w:val="FunctionTok"/>
        </w:rPr>
        <w:t xml:space="preserve">Count</w:t>
      </w:r>
      <w:r>
        <w:br/>
      </w:r>
      <w:r>
        <w:rPr>
          <w:rStyle w:val="NormalTok"/>
        </w:rPr>
        <w:t xml:space="preserve">            Status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$r</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'PASS'</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'FAIL'</w:t>
      </w:r>
      <w:r>
        <w:rPr>
          <w:rStyle w:val="NormalTok"/>
        </w:rPr>
        <w:t xml:space="preserve"> </w:t>
      </w:r>
      <w:r>
        <w:rPr>
          <w:rStyle w:val="OperatorTok"/>
        </w:rPr>
        <w:t xml:space="preserve">}</w:t>
      </w:r>
      <w:r>
        <w:br/>
      </w:r>
      <w:r>
        <w:rPr>
          <w:rStyle w:val="NormalTok"/>
        </w:rPr>
        <w:t xml:space="preserve">            Targets     </w:t>
      </w:r>
      <w:r>
        <w:rPr>
          <w:rStyle w:val="OperatorTok"/>
        </w:rPr>
        <w:t xml:space="preserve">=</w:t>
      </w:r>
      <w:r>
        <w:rPr>
          <w:rStyle w:val="NormalTok"/>
        </w:rPr>
        <w:t xml:space="preserve"> </w:t>
      </w:r>
      <w:r>
        <w:rPr>
          <w:rStyle w:val="OperatorTok"/>
        </w:rPr>
        <w:t xml:space="preserve">(</w:t>
      </w:r>
      <w:r>
        <w:rPr>
          <w:rStyle w:val="VariableTok"/>
        </w:rPr>
        <w:t xml:space="preserve">$r</w:t>
      </w:r>
      <w:r>
        <w:rPr>
          <w:rStyle w:val="OperatorTok"/>
        </w:rPr>
        <w:t xml:space="preserve">.</w:t>
      </w:r>
      <w:r>
        <w:rPr>
          <w:rStyle w:val="FunctionTok"/>
        </w:rPr>
        <w:t xml:space="preserve">NameTarget</w:t>
      </w:r>
      <w:r>
        <w:rPr>
          <w:rStyle w:val="NormalTok"/>
        </w:rPr>
        <w:t xml:space="preserve"> </w:t>
      </w:r>
      <w:r>
        <w:rPr>
          <w:rStyle w:val="OperatorTok"/>
        </w:rPr>
        <w:t xml:space="preserve">-join</w:t>
      </w:r>
      <w:r>
        <w:rPr>
          <w:rStyle w:val="NormalTok"/>
        </w:rPr>
        <w:t xml:space="preserve"> </w:t>
      </w:r>
      <w:r>
        <w:rPr>
          <w:rStyle w:val="String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$scav</w:t>
      </w:r>
      <w:r>
        <w:rPr>
          <w:rStyle w:val="NormalTok"/>
        </w:rPr>
        <w:t xml:space="preserve"> </w:t>
      </w:r>
      <w:r>
        <w:rPr>
          <w:rStyle w:val="OperatorTok"/>
        </w:rPr>
        <w:t xml:space="preserve">=</w:t>
      </w:r>
      <w:r>
        <w:rPr>
          <w:rStyle w:val="NormalTok"/>
        </w:rPr>
        <w:t xml:space="preserve"> Get-DnsServerScavenging </w:t>
      </w:r>
      <w:r>
        <w:rPr>
          <w:rStyle w:val="OperatorTok"/>
        </w:rPr>
        <w:t xml:space="preserve">-</w:t>
      </w:r>
      <w:r>
        <w:rPr>
          <w:rStyle w:val="NormalTok"/>
        </w:rPr>
        <w:t xml:space="preserve">ComputerName </w:t>
      </w:r>
      <w:r>
        <w:rPr>
          <w:rStyle w:val="VariableTok"/>
        </w:rPr>
        <w:t xml:space="preserve">$primary</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ScavengingState</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'ScavengingInterval'</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ScavengingInterval</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'RefreshInterval'</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RefreshInterval</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'NoRefreshInterval'</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NoRefreshInterval</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LastScavengeTime</w:t>
      </w:r>
      <w:r>
        <w:br/>
      </w:r>
      <w:r>
        <w:br/>
      </w:r>
      <w:r>
        <w:rPr>
          <w:rStyle w:val="NormalTok"/>
        </w:rPr>
        <w:t xml:space="preserve">    </w:t>
      </w:r>
      <w:r>
        <w:rPr>
          <w:rStyle w:val="VariableTok"/>
        </w:rPr>
        <w:t xml:space="preserve">$fwd</w:t>
      </w:r>
      <w:r>
        <w:rPr>
          <w:rStyle w:val="NormalTok"/>
        </w:rPr>
        <w:t xml:space="preserve"> </w:t>
      </w:r>
      <w:r>
        <w:rPr>
          <w:rStyle w:val="OperatorTok"/>
        </w:rPr>
        <w:t xml:space="preserve">=</w:t>
      </w:r>
      <w:r>
        <w:rPr>
          <w:rStyle w:val="NormalTok"/>
        </w:rPr>
        <w:t xml:space="preserve"> Get-DnsServerForwarder </w:t>
      </w:r>
      <w:r>
        <w:rPr>
          <w:rStyle w:val="OperatorTok"/>
        </w:rPr>
        <w:t xml:space="preserve">-</w:t>
      </w:r>
      <w:r>
        <w:rPr>
          <w:rStyle w:val="NormalTok"/>
        </w:rPr>
        <w:t xml:space="preserve">ComputerName </w:t>
      </w:r>
      <w:r>
        <w:rPr>
          <w:rStyle w:val="VariableTok"/>
        </w:rPr>
        <w:t xml:space="preserve">$primary</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'IPAddress'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IPAddress</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$_</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UseRootHint</w:t>
      </w:r>
      <w:r>
        <w:br/>
      </w:r>
      <w:r>
        <w:br/>
      </w:r>
      <w:r>
        <w:rPr>
          <w:rStyle w:val="NormalTok"/>
        </w:rPr>
        <w:t xml:space="preserve">    </w:t>
      </w:r>
      <w:r>
        <w:rPr>
          <w:rStyle w:val="VariableTok"/>
        </w:rPr>
        <w:t xml:space="preserve">$inventory</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AssessmentTimestamp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'o'</w:t>
      </w:r>
      <w:r>
        <w:rPr>
          <w:rStyle w:val="OperatorTok"/>
        </w:rPr>
        <w:t xml:space="preserve">)</w:t>
      </w:r>
      <w:r>
        <w:br/>
      </w:r>
      <w:r>
        <w:rPr>
          <w:rStyle w:val="NormalTok"/>
        </w:rPr>
        <w:t xml:space="preserve">        DnsServer             </w:t>
      </w:r>
      <w:r>
        <w:rPr>
          <w:rStyle w:val="OperatorTok"/>
        </w:rPr>
        <w:t xml:space="preserve">=</w:t>
      </w:r>
      <w:r>
        <w:rPr>
          <w:rStyle w:val="NormalTok"/>
        </w:rPr>
        <w:t xml:space="preserve"> </w:t>
      </w:r>
      <w:r>
        <w:rPr>
          <w:rStyle w:val="VariableTok"/>
        </w:rPr>
        <w:t xml:space="preserve">$primary</w:t>
      </w:r>
      <w:r>
        <w:br/>
      </w:r>
      <w:r>
        <w:rPr>
          <w:rStyle w:val="NormalTok"/>
        </w:rPr>
        <w:t xml:space="preserve">        Zones                 </w:t>
      </w:r>
      <w:r>
        <w:rPr>
          <w:rStyle w:val="OperatorTok"/>
        </w:rPr>
        <w:t xml:space="preserve">=</w:t>
      </w:r>
      <w:r>
        <w:rPr>
          <w:rStyle w:val="NormalTok"/>
        </w:rPr>
        <w:t xml:space="preserve"> </w:t>
      </w:r>
      <w:r>
        <w:rPr>
          <w:rStyle w:val="OperatorTok"/>
        </w:rPr>
        <w:t xml:space="preserve">@(</w:t>
      </w:r>
      <w:r>
        <w:rPr>
          <w:rStyle w:val="VariableTok"/>
        </w:rPr>
        <w:t xml:space="preserve">$zones</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ZoneName</w:t>
      </w:r>
      <w:r>
        <w:rPr>
          <w:rStyle w:val="OperatorTok"/>
        </w:rPr>
        <w:t xml:space="preserve">,</w:t>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'ZoneType'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ZoneType</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IsDsIntegrated</w:t>
      </w:r>
      <w:r>
        <w:rPr>
          <w:rStyle w:val="OperatorTok"/>
        </w:rPr>
        <w:t xml:space="preserve">,</w:t>
      </w:r>
      <w:r>
        <w:rPr>
          <w:rStyle w:val="NormalTok"/>
        </w:rPr>
        <w:t xml:space="preserve"> IsReverseLookupZone</w:t>
      </w:r>
      <w:r>
        <w:rPr>
          <w:rStyle w:val="OperatorTok"/>
        </w:rPr>
        <w:t xml:space="preserve">,</w:t>
      </w:r>
      <w:r>
        <w:rPr>
          <w:rStyle w:val="NormalTok"/>
        </w:rPr>
        <w:t xml:space="preserve"> IsSigned</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'MasterServers'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MasterServers</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$_</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ConditionalForwarders </w:t>
      </w:r>
      <w:r>
        <w:rPr>
          <w:rStyle w:val="OperatorTok"/>
        </w:rPr>
        <w:t xml:space="preserve">=</w:t>
      </w:r>
      <w:r>
        <w:rPr>
          <w:rStyle w:val="NormalTok"/>
        </w:rPr>
        <w:t xml:space="preserve"> </w:t>
      </w:r>
      <w:r>
        <w:rPr>
          <w:rStyle w:val="OperatorTok"/>
        </w:rPr>
        <w:t xml:space="preserve">@(</w:t>
      </w:r>
      <w:r>
        <w:rPr>
          <w:rStyle w:val="VariableTok"/>
        </w:rPr>
        <w:t xml:space="preserve">$zones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ZoneType</w:t>
      </w:r>
      <w:r>
        <w:rPr>
          <w:rStyle w:val="OperatorTok"/>
        </w:rPr>
        <w:t xml:space="preserve">)</w:t>
      </w:r>
      <w:r>
        <w:rPr>
          <w:rStyle w:val="StringTok"/>
        </w:rPr>
        <w:t xml:space="preserve">"</w:t>
      </w:r>
      <w:r>
        <w:rPr>
          <w:rStyle w:val="NormalTok"/>
        </w:rPr>
        <w:t xml:space="preserve"> </w:t>
      </w:r>
      <w:r>
        <w:rPr>
          <w:rStyle w:val="OperatorTok"/>
        </w:rPr>
        <w:t xml:space="preserve">-eq</w:t>
      </w:r>
      <w:r>
        <w:rPr>
          <w:rStyle w:val="NormalTok"/>
        </w:rPr>
        <w:t xml:space="preserve"> </w:t>
      </w:r>
      <w:r>
        <w:rPr>
          <w:rStyle w:val="StringTok"/>
        </w:rPr>
        <w:t xml:space="preserve">'Forwarder'</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ExpandProperty ZoneName</w:t>
      </w:r>
      <w:r>
        <w:rPr>
          <w:rStyle w:val="OperatorTok"/>
        </w:rPr>
        <w:t xml:space="preserve">)</w:t>
      </w:r>
      <w:r>
        <w:br/>
      </w:r>
      <w:r>
        <w:rPr>
          <w:rStyle w:val="NormalTok"/>
        </w:rPr>
        <w:t xml:space="preserve">        StubZones             </w:t>
      </w:r>
      <w:r>
        <w:rPr>
          <w:rStyle w:val="OperatorTok"/>
        </w:rPr>
        <w:t xml:space="preserve">=</w:t>
      </w:r>
      <w:r>
        <w:rPr>
          <w:rStyle w:val="NormalTok"/>
        </w:rPr>
        <w:t xml:space="preserve"> </w:t>
      </w:r>
      <w:r>
        <w:rPr>
          <w:rStyle w:val="OperatorTok"/>
        </w:rPr>
        <w:t xml:space="preserve">@(</w:t>
      </w:r>
      <w:r>
        <w:rPr>
          <w:rStyle w:val="VariableTok"/>
        </w:rPr>
        <w:t xml:space="preserve">$zones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ZoneType</w:t>
      </w:r>
      <w:r>
        <w:rPr>
          <w:rStyle w:val="OperatorTok"/>
        </w:rPr>
        <w:t xml:space="preserve">)</w:t>
      </w:r>
      <w:r>
        <w:rPr>
          <w:rStyle w:val="StringTok"/>
        </w:rPr>
        <w:t xml:space="preserve">"</w:t>
      </w:r>
      <w:r>
        <w:rPr>
          <w:rStyle w:val="NormalTok"/>
        </w:rPr>
        <w:t xml:space="preserve"> </w:t>
      </w:r>
      <w:r>
        <w:rPr>
          <w:rStyle w:val="OperatorTok"/>
        </w:rPr>
        <w:t xml:space="preserve">-eq</w:t>
      </w:r>
      <w:r>
        <w:rPr>
          <w:rStyle w:val="NormalTok"/>
        </w:rPr>
        <w:t xml:space="preserve"> </w:t>
      </w:r>
      <w:r>
        <w:rPr>
          <w:rStyle w:val="StringTok"/>
        </w:rPr>
        <w:t xml:space="preserve">'Stub'</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ExpandProperty ZoneName</w:t>
      </w:r>
      <w:r>
        <w:rPr>
          <w:rStyle w:val="OperatorTok"/>
        </w:rPr>
        <w:t xml:space="preserve">)</w:t>
      </w:r>
      <w:r>
        <w:br/>
      </w:r>
      <w:r>
        <w:rPr>
          <w:rStyle w:val="NormalTok"/>
        </w:rPr>
        <w:t xml:space="preserve">        Forwarders            </w:t>
      </w:r>
      <w:r>
        <w:rPr>
          <w:rStyle w:val="OperatorTok"/>
        </w:rPr>
        <w:t xml:space="preserve">=</w:t>
      </w:r>
      <w:r>
        <w:rPr>
          <w:rStyle w:val="NormalTok"/>
        </w:rPr>
        <w:t xml:space="preserve"> </w:t>
      </w:r>
      <w:r>
        <w:rPr>
          <w:rStyle w:val="VariableTok"/>
        </w:rPr>
        <w:t xml:space="preserve">$fwd</w:t>
      </w:r>
      <w:r>
        <w:br/>
      </w:r>
      <w:r>
        <w:rPr>
          <w:rStyle w:val="NormalTok"/>
        </w:rPr>
        <w:t xml:space="preserve">        Scavenging            </w:t>
      </w:r>
      <w:r>
        <w:rPr>
          <w:rStyle w:val="OperatorTok"/>
        </w:rPr>
        <w:t xml:space="preserve">=</w:t>
      </w:r>
      <w:r>
        <w:rPr>
          <w:rStyle w:val="NormalTok"/>
        </w:rPr>
        <w:t xml:space="preserve"> </w:t>
      </w:r>
      <w:r>
        <w:rPr>
          <w:rStyle w:val="VariableTok"/>
        </w:rPr>
        <w:t xml:space="preserve">$scav</w:t>
      </w:r>
      <w:r>
        <w:br/>
      </w:r>
      <w:r>
        <w:rPr>
          <w:rStyle w:val="NormalTok"/>
        </w:rPr>
        <w:t xml:space="preserve">        DNSSEC                </w:t>
      </w:r>
      <w:r>
        <w:rPr>
          <w:rStyle w:val="OperatorTok"/>
        </w:rPr>
        <w:t xml:space="preserve">=</w:t>
      </w:r>
      <w:r>
        <w:rPr>
          <w:rStyle w:val="NormalTok"/>
        </w:rPr>
        <w:t xml:space="preserve"> </w:t>
      </w:r>
      <w:r>
        <w:rPr>
          <w:rStyle w:val="OperatorTok"/>
        </w:rPr>
        <w:t xml:space="preserve">@(</w:t>
      </w:r>
      <w:r>
        <w:rPr>
          <w:rStyle w:val="VariableTok"/>
        </w:rPr>
        <w:t xml:space="preserve">$dnssec</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$health</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AssessmentTimestamp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'o'</w:t>
      </w:r>
      <w:r>
        <w:rPr>
          <w:rStyle w:val="OperatorTok"/>
        </w:rPr>
        <w:t xml:space="preserve">)</w:t>
      </w:r>
      <w:r>
        <w:br/>
      </w:r>
      <w:r>
        <w:rPr>
          <w:rStyle w:val="NormalTok"/>
        </w:rPr>
        <w:t xml:space="preserve">        ZonesByServer       </w:t>
      </w:r>
      <w:r>
        <w:rPr>
          <w:rStyle w:val="OperatorTok"/>
        </w:rPr>
        <w:t xml:space="preserve">=</w:t>
      </w:r>
      <w:r>
        <w:rPr>
          <w:rStyle w:val="NormalTok"/>
        </w:rPr>
        <w:t xml:space="preserve"> </w:t>
      </w:r>
      <w:r>
        <w:rPr>
          <w:rStyle w:val="OperatorTok"/>
        </w:rPr>
        <w:t xml:space="preserve">@(</w:t>
      </w:r>
      <w:r>
        <w:rPr>
          <w:rStyle w:val="VariableTok"/>
        </w:rPr>
        <w:t xml:space="preserve">$zonesByServer</w:t>
      </w:r>
      <w:r>
        <w:rPr>
          <w:rStyle w:val="OperatorTok"/>
        </w:rPr>
        <w:t xml:space="preserve">)</w:t>
      </w:r>
      <w:r>
        <w:br/>
      </w:r>
      <w:r>
        <w:rPr>
          <w:rStyle w:val="NormalTok"/>
        </w:rPr>
        <w:t xml:space="preserve">        SRVChecks           </w:t>
      </w:r>
      <w:r>
        <w:rPr>
          <w:rStyle w:val="OperatorTok"/>
        </w:rPr>
        <w:t xml:space="preserve">=</w:t>
      </w:r>
      <w:r>
        <w:rPr>
          <w:rStyle w:val="NormalTok"/>
        </w:rPr>
        <w:t xml:space="preserve"> </w:t>
      </w:r>
      <w:r>
        <w:rPr>
          <w:rStyle w:val="OperatorTok"/>
        </w:rPr>
        <w:t xml:space="preserve">@(</w:t>
      </w:r>
      <w:r>
        <w:rPr>
          <w:rStyle w:val="VariableTok"/>
        </w:rPr>
        <w:t xml:space="preserve">$srv</w:t>
      </w:r>
      <w:r>
        <w:rPr>
          <w:rStyle w:val="OperatorTok"/>
        </w:rPr>
        <w:t xml:space="preserve">)</w:t>
      </w:r>
      <w:r>
        <w:br/>
      </w:r>
      <w:r>
        <w:rPr>
          <w:rStyle w:val="NormalTok"/>
        </w:rPr>
        <w:t xml:space="preserve">        StaleThresholdDays  </w:t>
      </w:r>
      <w:r>
        <w:rPr>
          <w:rStyle w:val="OperatorTok"/>
        </w:rPr>
        <w:t xml:space="preserve">=</w:t>
      </w:r>
      <w:r>
        <w:rPr>
          <w:rStyle w:val="NormalTok"/>
        </w:rPr>
        <w:t xml:space="preserve"> </w:t>
      </w:r>
      <w:r>
        <w:rPr>
          <w:rStyle w:val="VariableTok"/>
        </w:rPr>
        <w:t xml:space="preserve">$StaleThresholdDays</w:t>
      </w:r>
      <w:r>
        <w:br/>
      </w:r>
      <w:r>
        <w:rPr>
          <w:rStyle w:val="NormalTok"/>
        </w:rPr>
        <w:t xml:space="preserve">    </w:t>
      </w:r>
      <w:r>
        <w:rPr>
          <w:rStyle w:val="OperatorTok"/>
        </w:rPr>
        <w:t xml:space="preserve">}</w:t>
      </w:r>
      <w:r>
        <w:br/>
      </w:r>
      <w:r>
        <w:br/>
      </w:r>
      <w:r>
        <w:rPr>
          <w:rStyle w:val="NormalTok"/>
        </w:rPr>
        <w:t xml:space="preserve">    Write-FMPJson </w:t>
      </w:r>
      <w:r>
        <w:rPr>
          <w:rStyle w:val="OperatorTok"/>
        </w:rPr>
        <w:t xml:space="preserve">-</w:t>
      </w:r>
      <w:r>
        <w:rPr>
          <w:rStyle w:val="NormalTok"/>
        </w:rPr>
        <w:t xml:space="preserve">InputObject </w:t>
      </w:r>
      <w:r>
        <w:rPr>
          <w:rStyle w:val="VariableTok"/>
        </w:rPr>
        <w:t xml:space="preserve">$inventory</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$dnsPath</w:t>
      </w:r>
      <w:r>
        <w:rPr>
          <w:rStyle w:val="NormalTok"/>
        </w:rPr>
        <w:t xml:space="preserve"> </w:t>
      </w:r>
      <w:r>
        <w:rPr>
          <w:rStyle w:val="StringTok"/>
        </w:rPr>
        <w:t xml:space="preserve">'DNSInventory.json'</w:t>
      </w:r>
      <w:r>
        <w:rPr>
          <w:rStyle w:val="OperatorTok"/>
        </w:rPr>
        <w:t xml:space="preserve">)</w:t>
      </w:r>
      <w:r>
        <w:rPr>
          <w:rStyle w:val="NormalTok"/>
        </w:rPr>
        <w:t xml:space="preserve"> </w:t>
      </w:r>
      <w:r>
        <w:rPr>
          <w:rStyle w:val="OperatorTok"/>
        </w:rPr>
        <w:t xml:space="preserve">-</w:t>
      </w:r>
      <w:r>
        <w:rPr>
          <w:rStyle w:val="NormalTok"/>
        </w:rPr>
        <w:t xml:space="preserve">Depth </w:t>
      </w:r>
      <w:r>
        <w:rPr>
          <w:rStyle w:val="DecValTok"/>
        </w:rPr>
        <w:t xml:space="preserve">10</w:t>
      </w:r>
      <w:r>
        <w:br/>
      </w:r>
      <w:r>
        <w:rPr>
          <w:rStyle w:val="NormalTok"/>
        </w:rPr>
        <w:t xml:space="preserve">    Write-FMPJson </w:t>
      </w:r>
      <w:r>
        <w:rPr>
          <w:rStyle w:val="OperatorTok"/>
        </w:rPr>
        <w:t xml:space="preserve">-</w:t>
      </w:r>
      <w:r>
        <w:rPr>
          <w:rStyle w:val="NormalTok"/>
        </w:rPr>
        <w:t xml:space="preserve">InputObject </w:t>
      </w:r>
      <w:r>
        <w:rPr>
          <w:rStyle w:val="VariableTok"/>
        </w:rPr>
        <w:t xml:space="preserve">$health</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$dnsPath</w:t>
      </w:r>
      <w:r>
        <w:rPr>
          <w:rStyle w:val="NormalTok"/>
        </w:rPr>
        <w:t xml:space="preserve"> </w:t>
      </w:r>
      <w:r>
        <w:rPr>
          <w:rStyle w:val="StringTok"/>
        </w:rPr>
        <w:t xml:space="preserve">'DNSHealthReport.json'</w:t>
      </w:r>
      <w:r>
        <w:rPr>
          <w:rStyle w:val="OperatorTok"/>
        </w:rPr>
        <w:t xml:space="preserve">)</w:t>
      </w:r>
      <w:r>
        <w:rPr>
          <w:rStyle w:val="NormalTok"/>
        </w:rPr>
        <w:t xml:space="preserve"> </w:t>
      </w:r>
      <w:r>
        <w:rPr>
          <w:rStyle w:val="OperatorTok"/>
        </w:rPr>
        <w:t xml:space="preserve">-</w:t>
      </w:r>
      <w:r>
        <w:rPr>
          <w:rStyle w:val="NormalTok"/>
        </w:rPr>
        <w:t xml:space="preserve">Depth </w:t>
      </w:r>
      <w:r>
        <w:rPr>
          <w:rStyle w:val="DecValTok"/>
        </w:rPr>
        <w:t xml:space="preserve">10</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$records</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$dnsPath</w:t>
      </w:r>
      <w:r>
        <w:rPr>
          <w:rStyle w:val="NormalTok"/>
        </w:rPr>
        <w:t xml:space="preserve"> </w:t>
      </w:r>
      <w:r>
        <w:rPr>
          <w:rStyle w:val="StringTok"/>
        </w:rPr>
        <w:t xml:space="preserve">'DNSRecordInventory.json'</w:t>
      </w:r>
      <w:r>
        <w:rPr>
          <w:rStyle w:val="OperatorTok"/>
        </w:rPr>
        <w:t xml:space="preserve">)</w:t>
      </w:r>
      <w:r>
        <w:rPr>
          <w:rStyle w:val="NormalTok"/>
        </w:rPr>
        <w:t xml:space="preserve"> </w:t>
      </w:r>
      <w:r>
        <w:rPr>
          <w:rStyle w:val="OperatorTok"/>
        </w:rPr>
        <w:t xml:space="preserve">-</w:t>
      </w:r>
      <w:r>
        <w:rPr>
          <w:rStyle w:val="NormalTok"/>
        </w:rPr>
        <w:t xml:space="preserve">Depth </w:t>
      </w:r>
      <w:r>
        <w:rPr>
          <w:rStyle w:val="DecValTok"/>
        </w:rPr>
        <w:t xml:space="preserve">6</w:t>
      </w:r>
      <w:r>
        <w:br/>
      </w:r>
      <w:r>
        <w:rPr>
          <w:rStyle w:val="NormalTok"/>
        </w:rPr>
        <w:t xml:space="preserve">    </w:t>
      </w:r>
      <w:r>
        <w:rPr>
          <w:rStyle w:val="FunctionTok"/>
        </w:rPr>
        <w:t xml:space="preserve">Write-Verbose</w:t>
      </w:r>
      <w:r>
        <w:rPr>
          <w:rStyle w:val="NormalTok"/>
        </w:rPr>
        <w:t xml:space="preserve"> </w:t>
      </w:r>
      <w:r>
        <w:rPr>
          <w:rStyle w:val="StringTok"/>
        </w:rPr>
        <w:t xml:space="preserve">"DNS assessment written to </w:t>
      </w:r>
      <w:r>
        <w:rPr>
          <w:rStyle w:val="VariableTok"/>
        </w:rPr>
        <w:t xml:space="preserve">$dnsPath</w:t>
      </w:r>
      <w:r>
        <w:rPr>
          <w:rStyle w:val="StringTok"/>
        </w:rPr>
        <w:t xml:space="preserve">"</w:t>
      </w:r>
      <w:r>
        <w:br/>
      </w:r>
      <w:r>
        <w:rPr>
          <w:rStyle w:val="OperatorTok"/>
        </w:rPr>
        <w:t xml:space="preserve">}</w:t>
      </w:r>
    </w:p>
    <w:p>
      <w:pPr>
        <w:pStyle w:val="FirstParagraph"/>
      </w:pPr>
      <w:r>
        <w:t xml:space="preserve">The DnsServer cmdlets used here are documented with these output fields:</w:t>
      </w:r>
      <w:r>
        <w:t xml:space="preserve"> </w:t>
      </w:r>
      <w:r>
        <w:rPr>
          <w:rStyle w:val="VerbatimChar"/>
        </w:rPr>
        <w:t xml:space="preserve">Get-DnsServerDnsSecZoneSetting</w:t>
      </w:r>
      <w:r>
        <w:t xml:space="preserve"> </w:t>
      </w:r>
      <w:r>
        <w:t xml:space="preserve">for the DNSSEC fields and</w:t>
      </w:r>
      <w:r>
        <w:t xml:space="preserve"> </w:t>
      </w:r>
      <w:r>
        <w:rPr>
          <w:rStyle w:val="VerbatimChar"/>
        </w:rPr>
        <w:t xml:space="preserve">Get-DnsServerScavenging</w:t>
      </w:r>
      <w:r>
        <w:t xml:space="preserve"> </w:t>
      </w:r>
      <w:r>
        <w:t xml:space="preserve">for the aging settings.</w:t>
      </w:r>
      <w:r>
        <w:rPr>
          <w:rStyle w:val="FootnoteReference"/>
        </w:rPr>
        <w:footnoteReference w:id="1255"/>
      </w:r>
      <w:r>
        <w:rPr>
          <w:rStyle w:val="FootnoteReference"/>
        </w:rPr>
        <w:footnoteReference w:id="1256"/>
      </w:r>
      <w:r>
        <w:t xml:space="preserve"> </w:t>
      </w:r>
      <w:r>
        <w:t xml:space="preserve">A record whose timestamp is empty is static and never scavenged, which is why the stale filter skips it.</w:t>
      </w:r>
      <w:r>
        <w:rPr>
          <w:rStyle w:val="FootnoteReference"/>
        </w:rPr>
        <w:footnoteReference w:id="1257"/>
      </w:r>
    </w:p>
    <w:bookmarkEnd w:id="1258"/>
    <w:bookmarkStart w:id="1271" w:name="ad-cs"/>
    <w:p>
      <w:pPr>
        <w:pStyle w:val="Heading3"/>
      </w:pPr>
      <w:r>
        <w:t xml:space="preserve">AD CS</w:t>
      </w:r>
    </w:p>
    <w:p>
      <w:pPr>
        <w:pStyle w:val="FirstParagraph"/>
      </w:pPr>
      <w:r>
        <w:t xml:space="preserve">The collector reads CA and template configuration from the directory, reads each CA certificate and policy flags with</w:t>
      </w:r>
      <w:r>
        <w:t xml:space="preserve"> </w:t>
      </w:r>
      <w:r>
        <w:rPr>
          <w:rStyle w:val="VerbatimChar"/>
        </w:rPr>
        <w:t xml:space="preserve">certutil</w:t>
      </w:r>
      <w:r>
        <w:t xml:space="preserve">, and evaluates the ESC patterns that Defender for Identity assesses.</w:t>
      </w:r>
      <w:r>
        <w:rPr>
          <w:rStyle w:val="FootnoteReference"/>
        </w:rPr>
        <w:footnoteReference w:id="1259"/>
      </w:r>
      <w:r>
        <w:t xml:space="preserve"> </w:t>
      </w:r>
      <w:r>
        <w:t xml:space="preserve">Constants come from Microsoft’s published flag and right definitions: enrollee supplies subject is</w:t>
      </w:r>
      <w:r>
        <w:t xml:space="preserve"> </w:t>
      </w:r>
      <w:r>
        <w:rPr>
          <w:rStyle w:val="VerbatimChar"/>
        </w:rPr>
        <w:t xml:space="preserve">0x1</w:t>
      </w:r>
      <w:r>
        <w:t xml:space="preserve"> </w:t>
      </w:r>
      <w:r>
        <w:t xml:space="preserve">in</w:t>
      </w:r>
      <w:r>
        <w:t xml:space="preserve"> </w:t>
      </w:r>
      <w:r>
        <w:rPr>
          <w:rStyle w:val="VerbatimChar"/>
        </w:rPr>
        <w:t xml:space="preserve">msPKI-Certificate-Name-Flag</w:t>
      </w:r>
      <w:r>
        <w:t xml:space="preserve">, pend all requests (manager approval) is</w:t>
      </w:r>
      <w:r>
        <w:t xml:space="preserve"> </w:t>
      </w:r>
      <w:r>
        <w:rPr>
          <w:rStyle w:val="VerbatimChar"/>
        </w:rPr>
        <w:t xml:space="preserve">0x2</w:t>
      </w:r>
      <w:r>
        <w:t xml:space="preserve"> </w:t>
      </w:r>
      <w:r>
        <w:t xml:space="preserve">in</w:t>
      </w:r>
      <w:r>
        <w:t xml:space="preserve"> </w:t>
      </w:r>
      <w:r>
        <w:rPr>
          <w:rStyle w:val="VerbatimChar"/>
        </w:rPr>
        <w:t xml:space="preserve">msPKI-Enrollment-Flag</w:t>
      </w:r>
      <w:r>
        <w:t xml:space="preserve">, and the Enroll extended right is</w:t>
      </w:r>
      <w:r>
        <w:t xml:space="preserve"> </w:t>
      </w:r>
      <w:r>
        <w:rPr>
          <w:rStyle w:val="VerbatimChar"/>
        </w:rPr>
        <w:t xml:space="preserve">0e10c968-78fb-11d2-90d4-00c04f79dc55</w:t>
      </w:r>
      <w:r>
        <w:t xml:space="preserve">.</w:t>
      </w:r>
      <w:r>
        <w:rPr>
          <w:rStyle w:val="FootnoteReference"/>
        </w:rPr>
        <w:footnoteReference w:id="1260"/>
      </w:r>
      <w:r>
        <w:rPr>
          <w:rStyle w:val="FootnoteReference"/>
        </w:rPr>
        <w:footnoteReference w:id="1261"/>
      </w:r>
      <w:r>
        <w:rPr>
          <w:rStyle w:val="FootnoteReference"/>
        </w:rPr>
        <w:footnoteReference w:id="1262"/>
      </w:r>
      <w:r>
        <w:t xml:space="preserve"> </w:t>
      </w:r>
      <w:r>
        <w:t xml:space="preserve">The authentication EKUs are Client Authentication and Smart Card Logon, PKINIT client authentication, and Any Purpose.</w:t>
      </w:r>
      <w:r>
        <w:rPr>
          <w:rStyle w:val="FootnoteReference"/>
        </w:rPr>
        <w:footnoteReference w:id="1264"/>
      </w:r>
      <w:r>
        <w:rPr>
          <w:rStyle w:val="FootnoteReference"/>
        </w:rPr>
        <w:footnoteReference w:id="1265"/>
      </w:r>
      <w:r>
        <w:rPr>
          <w:rStyle w:val="FootnoteReference"/>
        </w:rPr>
        <w:footnoteReference w:id="1266"/>
      </w:r>
    </w:p>
    <w:p>
      <w:pPr>
        <w:pStyle w:val="SourceCode"/>
      </w:pPr>
      <w:r>
        <w:rPr>
          <w:rStyle w:val="VariableTok"/>
        </w:rPr>
        <w:t xml:space="preserve">$script</w:t>
      </w:r>
      <w:r>
        <w:rPr>
          <w:rStyle w:val="OperatorTok"/>
        </w:rPr>
        <w:t xml:space="preserve">:</w:t>
      </w:r>
      <w:r>
        <w:rPr>
          <w:rStyle w:val="VariableTok"/>
        </w:rPr>
        <w:t xml:space="preserve">FMPAuthEku</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'1.3.6.1.5.5.7.3.2'</w:t>
      </w:r>
      <w:r>
        <w:rPr>
          <w:rStyle w:val="NormalTok"/>
        </w:rPr>
        <w:t xml:space="preserve">       </w:t>
      </w:r>
      <w:r>
        <w:rPr>
          <w:rStyle w:val="CommentTok"/>
        </w:rPr>
        <w:t xml:space="preserve"># Client Authentication</w:t>
      </w:r>
      <w:r>
        <w:br/>
      </w:r>
      <w:r>
        <w:rPr>
          <w:rStyle w:val="NormalTok"/>
        </w:rPr>
        <w:t xml:space="preserve">    </w:t>
      </w:r>
      <w:r>
        <w:rPr>
          <w:rStyle w:val="StringTok"/>
        </w:rPr>
        <w:t xml:space="preserve">'1.3.6.1.4.1.311.20.2.2'</w:t>
      </w:r>
      <w:r>
        <w:rPr>
          <w:rStyle w:val="NormalTok"/>
        </w:rPr>
        <w:t xml:space="preserve">  </w:t>
      </w:r>
      <w:r>
        <w:rPr>
          <w:rStyle w:val="CommentTok"/>
        </w:rPr>
        <w:t xml:space="preserve"># Smart Card Logon</w:t>
      </w:r>
      <w:r>
        <w:br/>
      </w:r>
      <w:r>
        <w:rPr>
          <w:rStyle w:val="NormalTok"/>
        </w:rPr>
        <w:t xml:space="preserve">    </w:t>
      </w:r>
      <w:r>
        <w:rPr>
          <w:rStyle w:val="StringTok"/>
        </w:rPr>
        <w:t xml:space="preserve">'1.3.6.1.5.2.3.4'</w:t>
      </w:r>
      <w:r>
        <w:rPr>
          <w:rStyle w:val="NormalTok"/>
        </w:rPr>
        <w:t xml:space="preserve">         </w:t>
      </w:r>
      <w:r>
        <w:rPr>
          <w:rStyle w:val="CommentTok"/>
        </w:rPr>
        <w:t xml:space="preserve"># PKINIT client authentication</w:t>
      </w:r>
      <w:r>
        <w:br/>
      </w:r>
      <w:r>
        <w:rPr>
          <w:rStyle w:val="NormalTok"/>
        </w:rPr>
        <w:t xml:space="preserve">    </w:t>
      </w:r>
      <w:r>
        <w:rPr>
          <w:rStyle w:val="StringTok"/>
        </w:rPr>
        <w:t xml:space="preserve">'2.5.29.37.0'</w:t>
      </w:r>
      <w:r>
        <w:rPr>
          <w:rStyle w:val="NormalTok"/>
        </w:rPr>
        <w:t xml:space="preserve">             </w:t>
      </w:r>
      <w:r>
        <w:rPr>
          <w:rStyle w:val="CommentTok"/>
        </w:rPr>
        <w:t xml:space="preserve"># Any Purpose</w:t>
      </w:r>
      <w:r>
        <w:br/>
      </w:r>
      <w:r>
        <w:rPr>
          <w:rStyle w:val="OperatorTok"/>
        </w:rPr>
        <w:t xml:space="preserve">)</w:t>
      </w:r>
      <w:r>
        <w:br/>
      </w:r>
      <w:r>
        <w:rPr>
          <w:rStyle w:val="VariableTok"/>
        </w:rPr>
        <w:t xml:space="preserve">$script</w:t>
      </w:r>
      <w:r>
        <w:rPr>
          <w:rStyle w:val="OperatorTok"/>
        </w:rPr>
        <w:t xml:space="preserve">:</w:t>
      </w:r>
      <w:r>
        <w:rPr>
          <w:rStyle w:val="VariableTok"/>
        </w:rPr>
        <w:t xml:space="preserve">FMPEnrollRight</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guid</w:t>
      </w:r>
      <w:r>
        <w:rPr>
          <w:rStyle w:val="OperatorTok"/>
        </w:rPr>
        <w:t xml:space="preserve">]</w:t>
      </w:r>
      <w:r>
        <w:rPr>
          <w:rStyle w:val="StringTok"/>
        </w:rPr>
        <w:t xml:space="preserve">'0e10c968-78fb-11d2-90d4-00c04f79dc55'</w:t>
      </w:r>
      <w:r>
        <w:br/>
      </w:r>
      <w:r>
        <w:rPr>
          <w:rStyle w:val="VariableTok"/>
        </w:rPr>
        <w:t xml:space="preserve">$script</w:t>
      </w:r>
      <w:r>
        <w:rPr>
          <w:rStyle w:val="OperatorTok"/>
        </w:rPr>
        <w:t xml:space="preserve">:</w:t>
      </w:r>
      <w:r>
        <w:rPr>
          <w:rStyle w:val="VariableTok"/>
        </w:rPr>
        <w:t xml:space="preserve">FMPBroadPrincipal</w:t>
      </w:r>
      <w:r>
        <w:rPr>
          <w:rStyle w:val="NormalTok"/>
        </w:rPr>
        <w:t xml:space="preserve"> </w:t>
      </w:r>
      <w:r>
        <w:rPr>
          <w:rStyle w:val="OperatorTok"/>
        </w:rPr>
        <w:t xml:space="preserve">=</w:t>
      </w:r>
      <w:r>
        <w:rPr>
          <w:rStyle w:val="NormalTok"/>
        </w:rPr>
        <w:t xml:space="preserve"> </w:t>
      </w:r>
      <w:r>
        <w:rPr>
          <w:rStyle w:val="StringTok"/>
        </w:rPr>
        <w:t xml:space="preserve">'(?i)\\(Authenticated Users|Domain Users|Domain Computers|Everyone)$|^Everyone$'</w:t>
      </w:r>
      <w:r>
        <w:br/>
      </w:r>
      <w:r>
        <w:br/>
      </w:r>
      <w:r>
        <w:rPr>
          <w:rStyle w:val="KeywordTok"/>
        </w:rPr>
        <w:t xml:space="preserve">function</w:t>
      </w:r>
      <w:r>
        <w:rPr>
          <w:rStyle w:val="NormalTok"/>
        </w:rPr>
        <w:t xml:space="preserve"> Get-FMPPkiData </w:t>
      </w:r>
      <w:r>
        <w:rPr>
          <w:rStyle w:val="OperatorTok"/>
        </w:rPr>
        <w:t xml:space="preserve">{</w:t>
      </w:r>
      <w:r>
        <w:br/>
      </w:r>
      <w:r>
        <w:rPr>
          <w:rStyle w:val="NormalTok"/>
        </w:rPr>
        <w:t xml:space="preserve">    </w:t>
      </w:r>
      <w:r>
        <w:rPr>
          <w:rStyle w:val="CommentTok"/>
        </w:rPr>
        <w:t xml:space="preserve"># Enterprise CAs and templates straight from the configuration partition.</w:t>
      </w:r>
      <w:r>
        <w:br/>
      </w:r>
      <w:r>
        <w:rPr>
          <w:rStyle w:val="NormalTok"/>
        </w:rPr>
        <w:t xml:space="preserve">    </w:t>
      </w:r>
      <w:r>
        <w:rPr>
          <w:rStyle w:val="KeywordTok"/>
        </w:rPr>
        <w:t xml:space="preserve">param</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$Server</w:t>
      </w:r>
      <w:r>
        <w:rPr>
          <w:rStyle w:val="OperatorTok"/>
        </w:rPr>
        <w:t xml:space="preserve">)</w:t>
      </w:r>
      <w:r>
        <w:br/>
      </w:r>
      <w:r>
        <w:rPr>
          <w:rStyle w:val="NormalTok"/>
        </w:rPr>
        <w:t xml:space="preserve">    </w:t>
      </w:r>
      <w:r>
        <w:rPr>
          <w:rStyle w:val="VariableTok"/>
        </w:rPr>
        <w:t xml:space="preserve">$config</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Get-ADRootDSE</w:t>
      </w:r>
      <w:r>
        <w:rPr>
          <w:rStyle w:val="NormalTok"/>
        </w:rPr>
        <w:t xml:space="preserve"> </w:t>
      </w:r>
      <w:r>
        <w:rPr>
          <w:rStyle w:val="OperatorTok"/>
        </w:rPr>
        <w:t xml:space="preserve">-</w:t>
      </w:r>
      <w:r>
        <w:rPr>
          <w:rStyle w:val="NormalTok"/>
        </w:rPr>
        <w:t xml:space="preserve">Server </w:t>
      </w:r>
      <w:r>
        <w:rPr>
          <w:rStyle w:val="VariableTok"/>
        </w:rPr>
        <w:t xml:space="preserve">$Server</w:t>
      </w:r>
      <w:r>
        <w:rPr>
          <w:rStyle w:val="OperatorTok"/>
        </w:rPr>
        <w:t xml:space="preserve">).</w:t>
      </w:r>
      <w:r>
        <w:rPr>
          <w:rStyle w:val="FunctionTok"/>
        </w:rPr>
        <w:t xml:space="preserve">configurationNamingContext</w:t>
      </w:r>
      <w:r>
        <w:br/>
      </w:r>
      <w:r>
        <w:rPr>
          <w:rStyle w:val="NormalTok"/>
        </w:rPr>
        <w:t xml:space="preserve">    </w:t>
      </w:r>
      <w:r>
        <w:rPr>
          <w:rStyle w:val="VariableTok"/>
        </w:rPr>
        <w:t xml:space="preserve">$pks</w:t>
      </w:r>
      <w:r>
        <w:rPr>
          <w:rStyle w:val="NormalTok"/>
        </w:rPr>
        <w:t xml:space="preserve">    </w:t>
      </w:r>
      <w:r>
        <w:rPr>
          <w:rStyle w:val="OperatorTok"/>
        </w:rPr>
        <w:t xml:space="preserve">=</w:t>
      </w:r>
      <w:r>
        <w:rPr>
          <w:rStyle w:val="NormalTok"/>
        </w:rPr>
        <w:t xml:space="preserve"> </w:t>
      </w:r>
      <w:r>
        <w:rPr>
          <w:rStyle w:val="StringTok"/>
        </w:rPr>
        <w:t xml:space="preserve">"CN=Public Key Services,CN=Services,</w:t>
      </w:r>
      <w:r>
        <w:rPr>
          <w:rStyle w:val="VariableTok"/>
        </w:rPr>
        <w:t xml:space="preserve">$config</w:t>
      </w:r>
      <w:r>
        <w:rPr>
          <w:rStyle w:val="StringTok"/>
        </w:rPr>
        <w:t xml:space="preserve">"</w:t>
      </w:r>
      <w:r>
        <w:br/>
      </w:r>
      <w:r>
        <w:br/>
      </w:r>
      <w:r>
        <w:rPr>
          <w:rStyle w:val="NormalTok"/>
        </w:rPr>
        <w:t xml:space="preserve">    </w:t>
      </w:r>
      <w:r>
        <w:rPr>
          <w:rStyle w:val="VariableTok"/>
        </w:rPr>
        <w:t xml:space="preserve">$cas</w:t>
      </w:r>
      <w:r>
        <w:rPr>
          <w:rStyle w:val="NormalTok"/>
        </w:rPr>
        <w:t xml:space="preserve"> </w:t>
      </w:r>
      <w:r>
        <w:rPr>
          <w:rStyle w:val="OperatorTok"/>
        </w:rPr>
        <w:t xml:space="preserve">=</w:t>
      </w:r>
      <w:r>
        <w:rPr>
          <w:rStyle w:val="NormalTok"/>
        </w:rPr>
        <w:t xml:space="preserve"> </w:t>
      </w:r>
      <w:r>
        <w:rPr>
          <w:rStyle w:val="FunctionTok"/>
        </w:rPr>
        <w:t xml:space="preserve">Get-ADObject</w:t>
      </w:r>
      <w:r>
        <w:rPr>
          <w:rStyle w:val="NormalTok"/>
        </w:rPr>
        <w:t xml:space="preserve"> </w:t>
      </w:r>
      <w:r>
        <w:rPr>
          <w:rStyle w:val="OperatorTok"/>
        </w:rPr>
        <w:t xml:space="preserve">-</w:t>
      </w:r>
      <w:r>
        <w:rPr>
          <w:rStyle w:val="NormalTok"/>
        </w:rPr>
        <w:t xml:space="preserve">SearchBase </w:t>
      </w:r>
      <w:r>
        <w:rPr>
          <w:rStyle w:val="StringTok"/>
        </w:rPr>
        <w:t xml:space="preserve">"CN=Enrollment Services,</w:t>
      </w:r>
      <w:r>
        <w:rPr>
          <w:rStyle w:val="VariableTok"/>
        </w:rPr>
        <w:t xml:space="preserve">$pks</w:t>
      </w:r>
      <w:r>
        <w:rPr>
          <w:rStyle w:val="String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$Server</w:t>
      </w:r>
      <w:r>
        <w:rPr>
          <w:rStyle w:val="NormalTok"/>
        </w:rPr>
        <w:t xml:space="preserve"> `</w:t>
      </w:r>
      <w:r>
        <w:br/>
      </w:r>
      <w:r>
        <w:rPr>
          <w:rStyle w:val="NormalTok"/>
        </w:rPr>
        <w:t xml:space="preserve">        </w:t>
      </w:r>
      <w:r>
        <w:rPr>
          <w:rStyle w:val="OperatorTok"/>
        </w:rPr>
        <w:t xml:space="preserve">-</w:t>
      </w:r>
      <w:r>
        <w:rPr>
          <w:rStyle w:val="NormalTok"/>
        </w:rPr>
        <w:t xml:space="preserve">LDAPFilter </w:t>
      </w:r>
      <w:r>
        <w:rPr>
          <w:rStyle w:val="StringTok"/>
        </w:rPr>
        <w:t xml:space="preserve">'(objectClass=pKIEnrollmentService)'</w:t>
      </w:r>
      <w:r>
        <w:rPr>
          <w:rStyle w:val="NormalTok"/>
        </w:rPr>
        <w:t xml:space="preserve"> </w:t>
      </w:r>
      <w:r>
        <w:rPr>
          <w:rStyle w:val="OperatorTok"/>
        </w:rPr>
        <w:t xml:space="preserve">-</w:t>
      </w:r>
      <w:r>
        <w:rPr>
          <w:rStyle w:val="NormalTok"/>
        </w:rPr>
        <w:t xml:space="preserve">Properties cn</w:t>
      </w:r>
      <w:r>
        <w:rPr>
          <w:rStyle w:val="OperatorTok"/>
        </w:rPr>
        <w:t xml:space="preserve">,</w:t>
      </w:r>
      <w:r>
        <w:rPr>
          <w:rStyle w:val="NormalTok"/>
        </w:rPr>
        <w:t xml:space="preserve"> displayName</w:t>
      </w:r>
      <w:r>
        <w:rPr>
          <w:rStyle w:val="OperatorTok"/>
        </w:rPr>
        <w:t xml:space="preserve">,</w:t>
      </w:r>
      <w:r>
        <w:rPr>
          <w:rStyle w:val="NormalTok"/>
        </w:rPr>
        <w:t xml:space="preserve"> dNSHostName</w:t>
      </w:r>
      <w:r>
        <w:rPr>
          <w:rStyle w:val="OperatorTok"/>
        </w:rPr>
        <w:t xml:space="preserve">,</w:t>
      </w:r>
      <w:r>
        <w:rPr>
          <w:rStyle w:val="NormalTok"/>
        </w:rPr>
        <w:t xml:space="preserve"> certificateTemplates</w:t>
      </w:r>
      <w:r>
        <w:rPr>
          <w:rStyle w:val="OperatorTok"/>
        </w:rPr>
        <w:t xml:space="preserve">,</w:t>
      </w:r>
      <w:r>
        <w:rPr>
          <w:rStyle w:val="NormalTok"/>
        </w:rPr>
        <w:t xml:space="preserve"> nTSecurityDescriptor</w:t>
      </w:r>
      <w:r>
        <w:br/>
      </w:r>
      <w:r>
        <w:br/>
      </w:r>
      <w:r>
        <w:rPr>
          <w:rStyle w:val="NormalTok"/>
        </w:rPr>
        <w:t xml:space="preserve">    </w:t>
      </w:r>
      <w:r>
        <w:rPr>
          <w:rStyle w:val="VariableTok"/>
        </w:rPr>
        <w:t xml:space="preserve">$templates</w:t>
      </w:r>
      <w:r>
        <w:rPr>
          <w:rStyle w:val="NormalTok"/>
        </w:rPr>
        <w:t xml:space="preserve"> </w:t>
      </w:r>
      <w:r>
        <w:rPr>
          <w:rStyle w:val="OperatorTok"/>
        </w:rPr>
        <w:t xml:space="preserve">=</w:t>
      </w:r>
      <w:r>
        <w:rPr>
          <w:rStyle w:val="NormalTok"/>
        </w:rPr>
        <w:t xml:space="preserve"> </w:t>
      </w:r>
      <w:r>
        <w:rPr>
          <w:rStyle w:val="FunctionTok"/>
        </w:rPr>
        <w:t xml:space="preserve">Get-ADObject</w:t>
      </w:r>
      <w:r>
        <w:rPr>
          <w:rStyle w:val="NormalTok"/>
        </w:rPr>
        <w:t xml:space="preserve"> </w:t>
      </w:r>
      <w:r>
        <w:rPr>
          <w:rStyle w:val="OperatorTok"/>
        </w:rPr>
        <w:t xml:space="preserve">-</w:t>
      </w:r>
      <w:r>
        <w:rPr>
          <w:rStyle w:val="NormalTok"/>
        </w:rPr>
        <w:t xml:space="preserve">SearchBase </w:t>
      </w:r>
      <w:r>
        <w:rPr>
          <w:rStyle w:val="StringTok"/>
        </w:rPr>
        <w:t xml:space="preserve">"CN=Certificate Templates,</w:t>
      </w:r>
      <w:r>
        <w:rPr>
          <w:rStyle w:val="VariableTok"/>
        </w:rPr>
        <w:t xml:space="preserve">$pks</w:t>
      </w:r>
      <w:r>
        <w:rPr>
          <w:rStyle w:val="String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$Server</w:t>
      </w:r>
      <w:r>
        <w:rPr>
          <w:rStyle w:val="NormalTok"/>
        </w:rPr>
        <w:t xml:space="preserve"> `</w:t>
      </w:r>
      <w:r>
        <w:br/>
      </w:r>
      <w:r>
        <w:rPr>
          <w:rStyle w:val="NormalTok"/>
        </w:rPr>
        <w:t xml:space="preserve">        </w:t>
      </w:r>
      <w:r>
        <w:rPr>
          <w:rStyle w:val="OperatorTok"/>
        </w:rPr>
        <w:t xml:space="preserve">-</w:t>
      </w:r>
      <w:r>
        <w:rPr>
          <w:rStyle w:val="NormalTok"/>
        </w:rPr>
        <w:t xml:space="preserve">LDAPFilter </w:t>
      </w:r>
      <w:r>
        <w:rPr>
          <w:rStyle w:val="StringTok"/>
        </w:rPr>
        <w:t xml:space="preserve">'(objectClass=pKICertificateTemplate)'</w:t>
      </w:r>
      <w:r>
        <w:rPr>
          <w:rStyle w:val="NormalTok"/>
        </w:rPr>
        <w:t xml:space="preserve"> `</w:t>
      </w:r>
      <w:r>
        <w:br/>
      </w:r>
      <w:r>
        <w:rPr>
          <w:rStyle w:val="NormalTok"/>
        </w:rPr>
        <w:t xml:space="preserve">        </w:t>
      </w:r>
      <w:r>
        <w:rPr>
          <w:rStyle w:val="OperatorTok"/>
        </w:rPr>
        <w:t xml:space="preserve">-</w:t>
      </w:r>
      <w:r>
        <w:rPr>
          <w:rStyle w:val="NormalTok"/>
        </w:rPr>
        <w:t xml:space="preserve">Properties cn</w:t>
      </w:r>
      <w:r>
        <w:rPr>
          <w:rStyle w:val="OperatorTok"/>
        </w:rPr>
        <w:t xml:space="preserve">,</w:t>
      </w:r>
      <w:r>
        <w:rPr>
          <w:rStyle w:val="NormalTok"/>
        </w:rPr>
        <w:t xml:space="preserve"> displayName</w:t>
      </w:r>
      <w:r>
        <w:rPr>
          <w:rStyle w:val="OperatorTok"/>
        </w:rPr>
        <w:t xml:space="preserve">,</w:t>
      </w:r>
      <w:r>
        <w:rPr>
          <w:rStyle w:val="NormalTok"/>
        </w:rPr>
        <w:t xml:space="preserve"> msPKI-Cert-Template-OID</w:t>
      </w:r>
      <w:r>
        <w:rPr>
          <w:rStyle w:val="OperatorTok"/>
        </w:rPr>
        <w:t xml:space="preserve">,</w:t>
      </w:r>
      <w:r>
        <w:rPr>
          <w:rStyle w:val="NormalTok"/>
        </w:rPr>
        <w:t xml:space="preserve"> msPKI-Template-Schema-Version</w:t>
      </w:r>
      <w:r>
        <w:rPr>
          <w:rStyle w:val="OperatorTok"/>
        </w:rPr>
        <w:t xml:space="preserve">,</w:t>
      </w:r>
      <w:r>
        <w:br/>
      </w:r>
      <w:r>
        <w:rPr>
          <w:rStyle w:val="NormalTok"/>
        </w:rPr>
        <w:t xml:space="preserve">                    msPKI-Certificate-Name-Flag</w:t>
      </w:r>
      <w:r>
        <w:rPr>
          <w:rStyle w:val="OperatorTok"/>
        </w:rPr>
        <w:t xml:space="preserve">,</w:t>
      </w:r>
      <w:r>
        <w:rPr>
          <w:rStyle w:val="NormalTok"/>
        </w:rPr>
        <w:t xml:space="preserve"> msPKI-Enrollment-Flag</w:t>
      </w:r>
      <w:r>
        <w:rPr>
          <w:rStyle w:val="OperatorTok"/>
        </w:rPr>
        <w:t xml:space="preserve">,</w:t>
      </w:r>
      <w:r>
        <w:rPr>
          <w:rStyle w:val="NormalTok"/>
        </w:rPr>
        <w:t xml:space="preserve"> msPKI-RA-Signature</w:t>
      </w:r>
      <w:r>
        <w:rPr>
          <w:rStyle w:val="OperatorTok"/>
        </w:rPr>
        <w:t xml:space="preserve">,</w:t>
      </w:r>
      <w:r>
        <w:br/>
      </w:r>
      <w:r>
        <w:rPr>
          <w:rStyle w:val="NormalTok"/>
        </w:rPr>
        <w:t xml:space="preserve">                    pKIExtendedKeyUsage</w:t>
      </w:r>
      <w:r>
        <w:rPr>
          <w:rStyle w:val="OperatorTok"/>
        </w:rPr>
        <w:t xml:space="preserve">,</w:t>
      </w:r>
      <w:r>
        <w:rPr>
          <w:rStyle w:val="NormalTok"/>
        </w:rPr>
        <w:t xml:space="preserve"> msPKI-Certificate-Application-Policy</w:t>
      </w:r>
      <w:r>
        <w:rPr>
          <w:rStyle w:val="OperatorTok"/>
        </w:rPr>
        <w:t xml:space="preserve">,</w:t>
      </w:r>
      <w:r>
        <w:rPr>
          <w:rStyle w:val="NormalTok"/>
        </w:rPr>
        <w:t xml:space="preserve"> nTSecurityDescriptor</w:t>
      </w:r>
      <w:r>
        <w:br/>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CAs </w:t>
      </w:r>
      <w:r>
        <w:rPr>
          <w:rStyle w:val="OperatorTok"/>
        </w:rPr>
        <w:t xml:space="preserve">=</w:t>
      </w:r>
      <w:r>
        <w:rPr>
          <w:rStyle w:val="NormalTok"/>
        </w:rPr>
        <w:t xml:space="preserve"> </w:t>
      </w:r>
      <w:r>
        <w:rPr>
          <w:rStyle w:val="OperatorTok"/>
        </w:rPr>
        <w:t xml:space="preserve">@(</w:t>
      </w:r>
      <w:r>
        <w:rPr>
          <w:rStyle w:val="VariableTok"/>
        </w:rPr>
        <w:t xml:space="preserve">$cas</w:t>
      </w:r>
      <w:r>
        <w:rPr>
          <w:rStyle w:val="OperatorTok"/>
        </w:rPr>
        <w:t xml:space="preserve">);</w:t>
      </w:r>
      <w:r>
        <w:rPr>
          <w:rStyle w:val="NormalTok"/>
        </w:rPr>
        <w:t xml:space="preserve"> Templates </w:t>
      </w:r>
      <w:r>
        <w:rPr>
          <w:rStyle w:val="OperatorTok"/>
        </w:rPr>
        <w:t xml:space="preserve">=</w:t>
      </w:r>
      <w:r>
        <w:rPr>
          <w:rStyle w:val="NormalTok"/>
        </w:rPr>
        <w:t xml:space="preserve"> </w:t>
      </w:r>
      <w:r>
        <w:rPr>
          <w:rStyle w:val="OperatorTok"/>
        </w:rPr>
        <w:t xml:space="preserve">@(</w:t>
      </w:r>
      <w:r>
        <w:rPr>
          <w:rStyle w:val="VariableTok"/>
        </w:rPr>
        <w:t xml:space="preserve">$templates</w:t>
      </w:r>
      <w:r>
        <w:rPr>
          <w:rStyle w:val="OperatorTok"/>
        </w:rPr>
        <w:t xml:space="preserve">);</w:t>
      </w:r>
      <w:r>
        <w:rPr>
          <w:rStyle w:val="NormalTok"/>
        </w:rPr>
        <w:t xml:space="preserve"> PksDN </w:t>
      </w:r>
      <w:r>
        <w:rPr>
          <w:rStyle w:val="OperatorTok"/>
        </w:rPr>
        <w:t xml:space="preserve">=</w:t>
      </w:r>
      <w:r>
        <w:rPr>
          <w:rStyle w:val="NormalTok"/>
        </w:rPr>
        <w:t xml:space="preserve"> </w:t>
      </w:r>
      <w:r>
        <w:rPr>
          <w:rStyle w:val="VariableTok"/>
        </w:rPr>
        <w:t xml:space="preserve">$pks</w:t>
      </w:r>
      <w:r>
        <w:rPr>
          <w:rStyle w:val="NormalTok"/>
        </w:rPr>
        <w:t xml:space="preserve"> </w:t>
      </w:r>
      <w:r>
        <w:rPr>
          <w:rStyle w:val="OperatorTok"/>
        </w:rPr>
        <w:t xml:space="preserve">}</w:t>
      </w:r>
      <w:r>
        <w:br/>
      </w:r>
      <w:r>
        <w:rPr>
          <w:rStyle w:val="OperatorTok"/>
        </w:rPr>
        <w:t xml:space="preserve">}</w:t>
      </w:r>
      <w:r>
        <w:br/>
      </w:r>
      <w:r>
        <w:br/>
      </w:r>
      <w:r>
        <w:rPr>
          <w:rStyle w:val="KeywordTok"/>
        </w:rPr>
        <w:t xml:space="preserve">function</w:t>
      </w:r>
      <w:r>
        <w:rPr>
          <w:rStyle w:val="NormalTok"/>
        </w:rPr>
        <w:t xml:space="preserve"> Get-PKISecurityFindings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Flags ESC1, ESC2, ESC4 template patterns and the ESC6 CA flag. Report only.</w:t>
      </w:r>
      <w:r>
        <w:br/>
      </w:r>
      <w:r>
        <w:rPr>
          <w:rStyle w:val="CommentTok"/>
        </w:rPr>
        <w:t xml:space="preserve">    #&gt;</w:t>
      </w:r>
      <w:r>
        <w:br/>
      </w:r>
      <w:r>
        <w:rPr>
          <w:rStyle w:val="NormalTok"/>
        </w:rPr>
        <w:t xml:space="preserve">    </w:t>
      </w:r>
      <w:r>
        <w:rPr>
          <w:rStyle w:val="KeywordTok"/>
        </w:rPr>
        <w:t xml:space="preserve">param</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VariableTok"/>
        </w:rPr>
        <w:t xml:space="preserve">$PkiData</w:t>
      </w:r>
      <w:r>
        <w:rPr>
          <w:rStyle w:val="OperatorTok"/>
        </w:rPr>
        <w:t xml:space="preserve">)</w:t>
      </w:r>
      <w:r>
        <w:br/>
      </w:r>
      <w:r>
        <w:br/>
      </w:r>
      <w:r>
        <w:rPr>
          <w:rStyle w:val="NormalTok"/>
        </w:rPr>
        <w:t xml:space="preserve">    </w:t>
      </w:r>
      <w:r>
        <w:rPr>
          <w:rStyle w:val="VariableTok"/>
        </w:rPr>
        <w:t xml:space="preserve">$published</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$PkiData</w:t>
      </w:r>
      <w:r>
        <w:rPr>
          <w:rStyle w:val="OperatorTok"/>
        </w:rPr>
        <w:t xml:space="preserve">.</w:t>
      </w:r>
      <w:r>
        <w:rPr>
          <w:rStyle w:val="FunctionTok"/>
        </w:rPr>
        <w:t xml:space="preserve">CAs</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certificateTemplates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Unique</w:t>
      </w:r>
      <w:r>
        <w:br/>
      </w:r>
      <w:r>
        <w:rPr>
          <w:rStyle w:val="NormalTok"/>
        </w:rPr>
        <w:t xml:space="preserve">    </w:t>
      </w:r>
      <w:r>
        <w:rPr>
          <w:rStyle w:val="VariableTok"/>
        </w:rPr>
        <w:t xml:space="preserve">$findings</w:t>
      </w:r>
      <w:r>
        <w:rPr>
          <w:rStyle w:val="NormalTok"/>
        </w:rPr>
        <w:t xml:space="preserve"> </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$t</w:t>
      </w:r>
      <w:r>
        <w:rPr>
          <w:rStyle w:val="NormalTok"/>
        </w:rPr>
        <w:t xml:space="preserve"> </w:t>
      </w:r>
      <w:r>
        <w:rPr>
          <w:rStyle w:val="KeywordTok"/>
        </w:rPr>
        <w:t xml:space="preserve">in</w:t>
      </w:r>
      <w:r>
        <w:rPr>
          <w:rStyle w:val="NormalTok"/>
        </w:rPr>
        <w:t xml:space="preserve"> </w:t>
      </w:r>
      <w:r>
        <w:rPr>
          <w:rStyle w:val="VariableTok"/>
        </w:rPr>
        <w:t xml:space="preserve">$PkiData</w:t>
      </w:r>
      <w:r>
        <w:rPr>
          <w:rStyle w:val="OperatorTok"/>
        </w:rPr>
        <w:t xml:space="preserve">.</w:t>
      </w:r>
      <w:r>
        <w:rPr>
          <w:rStyle w:val="FunctionTok"/>
        </w:rPr>
        <w:t xml:space="preserve">Templates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$name</w:t>
      </w:r>
      <w:r>
        <w:rPr>
          <w:rStyle w:val="NormalTok"/>
        </w:rPr>
        <w:t xml:space="preserve">    </w:t>
      </w:r>
      <w:r>
        <w:rPr>
          <w:rStyle w:val="OperatorTok"/>
        </w:rPr>
        <w:t xml:space="preserve">=</w:t>
      </w:r>
      <w:r>
        <w:rPr>
          <w:rStyle w:val="NormalTok"/>
        </w:rPr>
        <w:t xml:space="preserve"> </w:t>
      </w:r>
      <w:r>
        <w:rPr>
          <w:rStyle w:val="VariableTok"/>
        </w:rPr>
        <w:t xml:space="preserve">$t</w:t>
      </w:r>
      <w:r>
        <w:rPr>
          <w:rStyle w:val="OperatorTok"/>
        </w:rPr>
        <w:t xml:space="preserve">.</w:t>
      </w:r>
      <w:r>
        <w:rPr>
          <w:rStyle w:val="FunctionTok"/>
        </w:rPr>
        <w:t xml:space="preserve">displayName</w:t>
      </w:r>
      <w:r>
        <w:br/>
      </w:r>
      <w:r>
        <w:rPr>
          <w:rStyle w:val="NormalTok"/>
        </w:rPr>
        <w:t xml:space="preserve">        </w:t>
      </w:r>
      <w:r>
        <w:rPr>
          <w:rStyle w:val="VariableTok"/>
        </w:rPr>
        <w:t xml:space="preserve">$isPub</w:t>
      </w:r>
      <w:r>
        <w:rPr>
          <w:rStyle w:val="NormalTok"/>
        </w:rPr>
        <w:t xml:space="preserve">   </w:t>
      </w:r>
      <w:r>
        <w:rPr>
          <w:rStyle w:val="OperatorTok"/>
        </w:rPr>
        <w:t xml:space="preserve">=</w:t>
      </w:r>
      <w:r>
        <w:rPr>
          <w:rStyle w:val="NormalTok"/>
        </w:rPr>
        <w:t xml:space="preserve"> </w:t>
      </w:r>
      <w:r>
        <w:rPr>
          <w:rStyle w:val="VariableTok"/>
        </w:rPr>
        <w:t xml:space="preserve">$t</w:t>
      </w:r>
      <w:r>
        <w:rPr>
          <w:rStyle w:val="OperatorTok"/>
        </w:rPr>
        <w:t xml:space="preserve">.</w:t>
      </w:r>
      <w:r>
        <w:rPr>
          <w:rStyle w:val="FunctionTok"/>
        </w:rPr>
        <w:t xml:space="preserve">cn</w:t>
      </w:r>
      <w:r>
        <w:rPr>
          <w:rStyle w:val="NormalTok"/>
        </w:rPr>
        <w:t xml:space="preserve"> </w:t>
      </w:r>
      <w:r>
        <w:rPr>
          <w:rStyle w:val="OperatorTok"/>
        </w:rPr>
        <w:t xml:space="preserve">-</w:t>
      </w:r>
      <w:r>
        <w:rPr>
          <w:rStyle w:val="NormalTok"/>
        </w:rPr>
        <w:t xml:space="preserve">in </w:t>
      </w:r>
      <w:r>
        <w:rPr>
          <w:rStyle w:val="VariableTok"/>
        </w:rPr>
        <w:t xml:space="preserve">$published</w:t>
      </w:r>
      <w:r>
        <w:br/>
      </w:r>
      <w:r>
        <w:rPr>
          <w:rStyle w:val="NormalTok"/>
        </w:rPr>
        <w:t xml:space="preserve">        </w:t>
      </w:r>
      <w:r>
        <w:rPr>
          <w:rStyle w:val="VariableTok"/>
        </w:rPr>
        <w:t xml:space="preserve">$eku</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$t</w:t>
      </w:r>
      <w:r>
        <w:rPr>
          <w:rStyle w:val="OperatorTok"/>
        </w:rPr>
        <w:t xml:space="preserve">.</w:t>
      </w:r>
      <w:r>
        <w:rPr>
          <w:rStyle w:val="FunctionTok"/>
        </w:rPr>
        <w:t xml:space="preserve">pKIExtendedKeyUsage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$t</w:t>
      </w:r>
      <w:r>
        <w:rPr>
          <w:rStyle w:val="OperatorTok"/>
        </w:rPr>
        <w:t xml:space="preserve">.</w:t>
      </w:r>
      <w:r>
        <w:rPr>
          <w:rStyle w:val="StringTok"/>
        </w:rPr>
        <w:t xml:space="preserve">'msPKI-Certificate-Application-Policy'</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NormalTok"/>
        </w:rPr>
        <w:t xml:space="preserve"> </w:t>
      </w:r>
      <w:r>
        <w:rPr>
          <w:rStyle w:val="OperatorTok"/>
        </w:rPr>
        <w:t xml:space="preserve">}</w:t>
      </w:r>
      <w:r>
        <w:br/>
      </w:r>
      <w:r>
        <w:rPr>
          <w:rStyle w:val="NormalTok"/>
        </w:rPr>
        <w:t xml:space="preserve">        </w:t>
      </w:r>
      <w:r>
        <w:rPr>
          <w:rStyle w:val="VariableTok"/>
        </w:rPr>
        <w:t xml:space="preserve">$authEku</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$eku</w:t>
      </w:r>
      <w:r>
        <w:rPr>
          <w:rStyle w:val="OperatorTok"/>
        </w:rPr>
        <w:t xml:space="preserve">).</w:t>
      </w:r>
      <w:r>
        <w:rPr>
          <w:rStyle w:val="FunctionTok"/>
        </w:rPr>
        <w:t xml:space="preserve">Count</w:t>
      </w:r>
      <w:r>
        <w:rPr>
          <w:rStyle w:val="NormalTok"/>
        </w:rPr>
        <w:t xml:space="preserve"> </w:t>
      </w:r>
      <w:r>
        <w:rPr>
          <w:rStyle w:val="OperatorTok"/>
        </w:rPr>
        <w:t xml:space="preserve">-eq</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-or</w:t>
      </w:r>
      <w:r>
        <w:rPr>
          <w:rStyle w:val="NormalTok"/>
        </w:rPr>
        <w:t xml:space="preserve"> </w:t>
      </w:r>
      <w:r>
        <w:rPr>
          <w:rStyle w:val="OperatorTok"/>
        </w:rPr>
        <w:t xml:space="preserve">@(</w:t>
      </w:r>
      <w:r>
        <w:rPr>
          <w:rStyle w:val="VariableTok"/>
        </w:rPr>
        <w:t xml:space="preserve">$eku</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NormalTok"/>
        </w:rPr>
        <w:t xml:space="preserve"> </w:t>
      </w:r>
      <w:r>
        <w:rPr>
          <w:rStyle w:val="OperatorTok"/>
        </w:rPr>
        <w:t xml:space="preserve">-</w:t>
      </w:r>
      <w:r>
        <w:rPr>
          <w:rStyle w:val="NormalTok"/>
        </w:rPr>
        <w:t xml:space="preserve">in </w:t>
      </w:r>
      <w:r>
        <w:rPr>
          <w:rStyle w:val="VariableTok"/>
        </w:rPr>
        <w:t xml:space="preserve">$script</w:t>
      </w:r>
      <w:r>
        <w:rPr>
          <w:rStyle w:val="OperatorTok"/>
        </w:rPr>
        <w:t xml:space="preserve">:</w:t>
      </w:r>
      <w:r>
        <w:rPr>
          <w:rStyle w:val="VariableTok"/>
        </w:rPr>
        <w:t xml:space="preserve">FMPAuthEku</w:t>
      </w:r>
      <w:r>
        <w:rPr>
          <w:rStyle w:val="NormalTok"/>
        </w:rPr>
        <w:t xml:space="preserve"> </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br/>
      </w:r>
      <w:r>
        <w:rPr>
          <w:rStyle w:val="NormalTok"/>
        </w:rPr>
        <w:t xml:space="preserve">        </w:t>
      </w:r>
      <w:r>
        <w:rPr>
          <w:rStyle w:val="VariableTok"/>
        </w:rPr>
        <w:t xml:space="preserve">$supplies</w:t>
      </w:r>
      <w:r>
        <w:rPr>
          <w:rStyle w:val="NormalTok"/>
        </w:rPr>
        <w:t xml:space="preserve"> </w:t>
      </w:r>
      <w:r>
        <w:rPr>
          <w:rStyle w:val="OperatorTok"/>
        </w:rPr>
        <w:t xml:space="preserve">=</w:t>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$t</w:t>
      </w:r>
      <w:r>
        <w:rPr>
          <w:rStyle w:val="OperatorTok"/>
        </w:rPr>
        <w:t xml:space="preserve">.</w:t>
      </w:r>
      <w:r>
        <w:rPr>
          <w:rStyle w:val="StringTok"/>
        </w:rPr>
        <w:t xml:space="preserve">'msPKI-Certificate-Name-Flag'</w:t>
      </w:r>
      <w:r>
        <w:rPr>
          <w:rStyle w:val="NormalTok"/>
        </w:rPr>
        <w:t xml:space="preserve"> </w:t>
      </w:r>
      <w:r>
        <w:rPr>
          <w:rStyle w:val="OperatorTok"/>
        </w:rPr>
        <w:t xml:space="preserve">-band</w:t>
      </w:r>
      <w:r>
        <w:rPr>
          <w:rStyle w:val="NormalTok"/>
        </w:rPr>
        <w:t xml:space="preserve"> </w:t>
      </w:r>
      <w:r>
        <w:rPr>
          <w:rStyle w:val="DecValTok"/>
        </w:rPr>
        <w:t xml:space="preserve">0x1</w:t>
      </w:r>
      <w:r>
        <w:rPr>
          <w:rStyle w:val="OperatorTok"/>
        </w:rPr>
        <w:t xml:space="preserve">)</w:t>
      </w:r>
      <w:r>
        <w:rPr>
          <w:rStyle w:val="NormalTok"/>
        </w:rPr>
        <w:t xml:space="preserve"> </w:t>
      </w:r>
      <w:r>
        <w:rPr>
          <w:rStyle w:val="OperatorTok"/>
        </w:rPr>
        <w:t xml:space="preserve">-eq</w:t>
      </w:r>
      <w:r>
        <w:rPr>
          <w:rStyle w:val="NormalTok"/>
        </w:rPr>
        <w:t xml:space="preserve"> </w:t>
      </w:r>
      <w:r>
        <w:rPr>
          <w:rStyle w:val="DecValTok"/>
        </w:rPr>
        <w:t xml:space="preserve">0x1</w:t>
      </w:r>
      <w:r>
        <w:br/>
      </w:r>
      <w:r>
        <w:rPr>
          <w:rStyle w:val="NormalTok"/>
        </w:rPr>
        <w:t xml:space="preserve">        </w:t>
      </w:r>
      <w:r>
        <w:rPr>
          <w:rStyle w:val="VariableTok"/>
        </w:rPr>
        <w:t xml:space="preserve">$approval</w:t>
      </w:r>
      <w:r>
        <w:rPr>
          <w:rStyle w:val="NormalTok"/>
        </w:rPr>
        <w:t xml:space="preserve"> </w:t>
      </w:r>
      <w:r>
        <w:rPr>
          <w:rStyle w:val="OperatorTok"/>
        </w:rPr>
        <w:t xml:space="preserve">=</w:t>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$t</w:t>
      </w:r>
      <w:r>
        <w:rPr>
          <w:rStyle w:val="OperatorTok"/>
        </w:rPr>
        <w:t xml:space="preserve">.</w:t>
      </w:r>
      <w:r>
        <w:rPr>
          <w:rStyle w:val="StringTok"/>
        </w:rPr>
        <w:t xml:space="preserve">'msPKI-Enrollment-Flag'</w:t>
      </w:r>
      <w:r>
        <w:rPr>
          <w:rStyle w:val="NormalTok"/>
        </w:rPr>
        <w:t xml:space="preserve"> </w:t>
      </w:r>
      <w:r>
        <w:rPr>
          <w:rStyle w:val="OperatorTok"/>
        </w:rPr>
        <w:t xml:space="preserve">-band</w:t>
      </w:r>
      <w:r>
        <w:rPr>
          <w:rStyle w:val="NormalTok"/>
        </w:rPr>
        <w:t xml:space="preserve"> </w:t>
      </w:r>
      <w:r>
        <w:rPr>
          <w:rStyle w:val="DecValTok"/>
        </w:rPr>
        <w:t xml:space="preserve">0x2</w:t>
      </w:r>
      <w:r>
        <w:rPr>
          <w:rStyle w:val="OperatorTok"/>
        </w:rPr>
        <w:t xml:space="preserve">)</w:t>
      </w:r>
      <w:r>
        <w:rPr>
          <w:rStyle w:val="NormalTok"/>
        </w:rPr>
        <w:t xml:space="preserve"> </w:t>
      </w:r>
      <w:r>
        <w:rPr>
          <w:rStyle w:val="OperatorTok"/>
        </w:rPr>
        <w:t xml:space="preserve">-eq</w:t>
      </w:r>
      <w:r>
        <w:rPr>
          <w:rStyle w:val="NormalTok"/>
        </w:rPr>
        <w:t xml:space="preserve"> </w:t>
      </w:r>
      <w:r>
        <w:rPr>
          <w:rStyle w:val="DecValTok"/>
        </w:rPr>
        <w:t xml:space="preserve">0x2</w:t>
      </w:r>
      <w:r>
        <w:br/>
      </w:r>
      <w:r>
        <w:rPr>
          <w:rStyle w:val="NormalTok"/>
        </w:rPr>
        <w:t xml:space="preserve">        </w:t>
      </w:r>
      <w:r>
        <w:rPr>
          <w:rStyle w:val="VariableTok"/>
        </w:rPr>
        <w:t xml:space="preserve">$sigs</w:t>
      </w:r>
      <w:r>
        <w:rPr>
          <w:rStyle w:val="NormalTok"/>
        </w:rPr>
        <w:t xml:space="preserve">     </w:t>
      </w:r>
      <w:r>
        <w:rPr>
          <w:rStyle w:val="OperatorTok"/>
        </w:rPr>
        <w:t xml:space="preserve">=</w:t>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$t</w:t>
      </w:r>
      <w:r>
        <w:rPr>
          <w:rStyle w:val="OperatorTok"/>
        </w:rPr>
        <w:t xml:space="preserve">.</w:t>
      </w:r>
      <w:r>
        <w:rPr>
          <w:rStyle w:val="StringTok"/>
        </w:rPr>
        <w:t xml:space="preserve">'msPKI-RA-Signature'</w:t>
      </w:r>
      <w:r>
        <w:br/>
      </w:r>
      <w:r>
        <w:rPr>
          <w:rStyle w:val="NormalTok"/>
        </w:rPr>
        <w:t xml:space="preserve">        </w:t>
      </w:r>
      <w:r>
        <w:rPr>
          <w:rStyle w:val="VariableTok"/>
        </w:rPr>
        <w:t xml:space="preserve">$aces</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$t</w:t>
      </w:r>
      <w:r>
        <w:rPr>
          <w:rStyle w:val="OperatorTok"/>
        </w:rPr>
        <w:t xml:space="preserve">.</w:t>
      </w:r>
      <w:r>
        <w:rPr>
          <w:rStyle w:val="FunctionTok"/>
        </w:rPr>
        <w:t xml:space="preserve">nTSecurityDescriptor</w:t>
      </w:r>
      <w:r>
        <w:rPr>
          <w:rStyle w:val="OperatorTok"/>
        </w:rPr>
        <w:t xml:space="preserve">.</w:t>
      </w:r>
      <w:r>
        <w:rPr>
          <w:rStyle w:val="FunctionTok"/>
        </w:rPr>
        <w:t xml:space="preserve">Access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AccessControlType</w:t>
      </w:r>
      <w:r>
        <w:rPr>
          <w:rStyle w:val="NormalTok"/>
        </w:rPr>
        <w:t xml:space="preserve"> </w:t>
      </w:r>
      <w:r>
        <w:rPr>
          <w:rStyle w:val="OperatorTok"/>
        </w:rPr>
        <w:t xml:space="preserve">-eq</w:t>
      </w:r>
      <w:r>
        <w:rPr>
          <w:rStyle w:val="NormalTok"/>
        </w:rPr>
        <w:t xml:space="preserve"> </w:t>
      </w:r>
      <w:r>
        <w:rPr>
          <w:rStyle w:val="StringTok"/>
        </w:rPr>
        <w:t xml:space="preserve">'Allow'</w:t>
      </w:r>
      <w:r>
        <w:rPr>
          <w:rStyle w:val="NormalTok"/>
        </w:rPr>
        <w:t xml:space="preserve"> </w:t>
      </w:r>
      <w:r>
        <w:rPr>
          <w:rStyle w:val="OperatorTok"/>
        </w:rPr>
        <w:t xml:space="preserve">})</w:t>
      </w:r>
      <w:r>
        <w:br/>
      </w:r>
      <w:r>
        <w:rPr>
          <w:rStyle w:val="NormalTok"/>
        </w:rPr>
        <w:t xml:space="preserve">        </w:t>
      </w:r>
      <w:r>
        <w:rPr>
          <w:rStyle w:val="VariableTok"/>
        </w:rPr>
        <w:t xml:space="preserve">$broadEnroll</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$aces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IdentityReference</w:t>
      </w:r>
      <w:r>
        <w:rPr>
          <w:rStyle w:val="OperatorTok"/>
        </w:rPr>
        <w:t xml:space="preserve">)</w:t>
      </w:r>
      <w:r>
        <w:rPr>
          <w:rStyle w:val="StringTok"/>
        </w:rPr>
        <w:t xml:space="preserve">"</w:t>
      </w:r>
      <w:r>
        <w:rPr>
          <w:rStyle w:val="NormalTok"/>
        </w:rPr>
        <w:t xml:space="preserve"> </w:t>
      </w:r>
      <w:r>
        <w:rPr>
          <w:rStyle w:val="OperatorTok"/>
        </w:rPr>
        <w:t xml:space="preserve">-match</w:t>
      </w:r>
      <w:r>
        <w:rPr>
          <w:rStyle w:val="NormalTok"/>
        </w:rPr>
        <w:t xml:space="preserve"> </w:t>
      </w:r>
      <w:r>
        <w:rPr>
          <w:rStyle w:val="VariableTok"/>
        </w:rPr>
        <w:t xml:space="preserve">$script</w:t>
      </w:r>
      <w:r>
        <w:rPr>
          <w:rStyle w:val="OperatorTok"/>
        </w:rPr>
        <w:t xml:space="preserve">:</w:t>
      </w:r>
      <w:r>
        <w:rPr>
          <w:rStyle w:val="VariableTok"/>
        </w:rPr>
        <w:t xml:space="preserve">FMPBroadPrincipal</w:t>
      </w:r>
      <w:r>
        <w:rPr>
          <w:rStyle w:val="NormalTok"/>
        </w:rPr>
        <w:t xml:space="preserve"> </w:t>
      </w:r>
      <w:r>
        <w:rPr>
          <w:rStyle w:val="OperatorTok"/>
        </w:rPr>
        <w:t xml:space="preserve">-and</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ActiveDirectoryRights</w:t>
      </w:r>
      <w:r>
        <w:rPr>
          <w:rStyle w:val="OperatorTok"/>
        </w:rPr>
        <w:t xml:space="preserve">)</w:t>
      </w:r>
      <w:r>
        <w:rPr>
          <w:rStyle w:val="StringTok"/>
        </w:rPr>
        <w:t xml:space="preserve">"</w:t>
      </w:r>
      <w:r>
        <w:rPr>
          <w:rStyle w:val="NormalTok"/>
        </w:rPr>
        <w:t xml:space="preserve"> </w:t>
      </w:r>
      <w:r>
        <w:rPr>
          <w:rStyle w:val="OperatorTok"/>
        </w:rPr>
        <w:t xml:space="preserve">-match</w:t>
      </w:r>
      <w:r>
        <w:rPr>
          <w:rStyle w:val="NormalTok"/>
        </w:rPr>
        <w:t xml:space="preserve"> </w:t>
      </w:r>
      <w:r>
        <w:rPr>
          <w:rStyle w:val="StringTok"/>
        </w:rPr>
        <w:t xml:space="preserve">'GenericAll'</w:t>
      </w:r>
      <w:r>
        <w:rPr>
          <w:rStyle w:val="OperatorTok"/>
        </w:rPr>
        <w:t xml:space="preserve">)</w:t>
      </w:r>
      <w:r>
        <w:rPr>
          <w:rStyle w:val="NormalTok"/>
        </w:rPr>
        <w:t xml:space="preserve"> </w:t>
      </w:r>
      <w:r>
        <w:rPr>
          <w:rStyle w:val="OperatorTok"/>
        </w:rPr>
        <w:t xml:space="preserve">-or</w:t>
      </w:r>
      <w:r>
        <w:br/>
      </w:r>
      <w:r>
        <w:rPr>
          <w:rStyle w:val="NormalTok"/>
        </w:rPr>
        <w:t xml:space="preserve">                    </w:t>
      </w:r>
      <w:r>
        <w:rPr>
          <w:rStyle w:val="OperatorTok"/>
        </w:rPr>
        <w:t xml:space="preserve">((</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ActiveDirectoryRights</w:t>
      </w:r>
      <w:r>
        <w:rPr>
          <w:rStyle w:val="OperatorTok"/>
        </w:rPr>
        <w:t xml:space="preserve">)</w:t>
      </w:r>
      <w:r>
        <w:rPr>
          <w:rStyle w:val="StringTok"/>
        </w:rPr>
        <w:t xml:space="preserve">"</w:t>
      </w:r>
      <w:r>
        <w:rPr>
          <w:rStyle w:val="NormalTok"/>
        </w:rPr>
        <w:t xml:space="preserve"> </w:t>
      </w:r>
      <w:r>
        <w:rPr>
          <w:rStyle w:val="OperatorTok"/>
        </w:rPr>
        <w:t xml:space="preserve">-match</w:t>
      </w:r>
      <w:r>
        <w:rPr>
          <w:rStyle w:val="NormalTok"/>
        </w:rPr>
        <w:t xml:space="preserve"> </w:t>
      </w:r>
      <w:r>
        <w:rPr>
          <w:rStyle w:val="StringTok"/>
        </w:rPr>
        <w:t xml:space="preserve">'ExtendedRight'</w:t>
      </w:r>
      <w:r>
        <w:rPr>
          <w:rStyle w:val="OperatorTok"/>
        </w:rPr>
        <w:t xml:space="preserve">)</w:t>
      </w:r>
      <w:r>
        <w:rPr>
          <w:rStyle w:val="NormalTok"/>
        </w:rPr>
        <w:t xml:space="preserve"> </w:t>
      </w:r>
      <w:r>
        <w:rPr>
          <w:rStyle w:val="OperatorTok"/>
        </w:rPr>
        <w:t xml:space="preserve">-and</w:t>
      </w:r>
      <w:r>
        <w:br/>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ObjectType</w:t>
      </w:r>
      <w:r>
        <w:rPr>
          <w:rStyle w:val="NormalTok"/>
        </w:rPr>
        <w:t xml:space="preserve"> </w:t>
      </w:r>
      <w:r>
        <w:rPr>
          <w:rStyle w:val="OperatorTok"/>
        </w:rPr>
        <w:t xml:space="preserve">-eq</w:t>
      </w:r>
      <w:r>
        <w:rPr>
          <w:rStyle w:val="NormalTok"/>
        </w:rPr>
        <w:t xml:space="preserve"> </w:t>
      </w:r>
      <w:r>
        <w:rPr>
          <w:rStyle w:val="VariableTok"/>
        </w:rPr>
        <w:t xml:space="preserve">$script</w:t>
      </w:r>
      <w:r>
        <w:rPr>
          <w:rStyle w:val="OperatorTok"/>
        </w:rPr>
        <w:t xml:space="preserve">:</w:t>
      </w:r>
      <w:r>
        <w:rPr>
          <w:rStyle w:val="VariableTok"/>
        </w:rPr>
        <w:t xml:space="preserve">FMPEnrollRight</w:t>
      </w:r>
      <w:r>
        <w:rPr>
          <w:rStyle w:val="NormalTok"/>
        </w:rPr>
        <w:t xml:space="preserve"> </w:t>
      </w:r>
      <w:r>
        <w:rPr>
          <w:rStyle w:val="OperatorTok"/>
        </w:rPr>
        <w:t xml:space="preserve">-or</w:t>
      </w:r>
      <w:r>
        <w:rPr>
          <w:rStyle w:val="NormalTok"/>
        </w:rPr>
        <w:t xml:space="preserve"> </w:t>
      </w:r>
      <w:r>
        <w:rPr>
          <w:rStyle w:val="VariableTok"/>
        </w:rPr>
        <w:t xml:space="preserve">$_</w:t>
      </w:r>
      <w:r>
        <w:rPr>
          <w:rStyle w:val="OperatorTok"/>
        </w:rPr>
        <w:t xml:space="preserve">.</w:t>
      </w:r>
      <w:r>
        <w:rPr>
          <w:rStyle w:val="FunctionTok"/>
        </w:rPr>
        <w:t xml:space="preserve">ObjectType</w:t>
      </w:r>
      <w:r>
        <w:rPr>
          <w:rStyle w:val="NormalTok"/>
        </w:rPr>
        <w:t xml:space="preserve"> </w:t>
      </w:r>
      <w:r>
        <w:rPr>
          <w:rStyle w:val="OperatorTok"/>
        </w:rPr>
        <w:t xml:space="preserve">-eq</w:t>
      </w:r>
      <w:r>
        <w:rPr>
          <w:rStyle w:val="NormalTok"/>
        </w:rPr>
        <w:t xml:space="preserve"> </w:t>
      </w:r>
      <w:r>
        <w:rPr>
          <w:rStyle w:val="OperatorTok"/>
        </w:rPr>
        <w:t xml:space="preserve">[</w:t>
      </w:r>
      <w:r>
        <w:rPr>
          <w:rStyle w:val="NormalTok"/>
        </w:rPr>
        <w:t xml:space="preserve">guid</w:t>
      </w:r>
      <w:r>
        <w:rPr>
          <w:rStyle w:val="OperatorTok"/>
        </w:rPr>
        <w:t xml:space="preserve">]::</w:t>
      </w:r>
      <w:r>
        <w:rPr>
          <w:rStyle w:val="NormalTok"/>
        </w:rPr>
        <w:t xml:space="preserve">Empty</w:t>
      </w:r>
      <w:r>
        <w:rPr>
          <w:rStyle w:val="OperatorTok"/>
        </w:rPr>
        <w:t xml:space="preserve">)))</w:t>
      </w:r>
      <w:r>
        <w:br/>
      </w:r>
      <w:r>
        <w:rPr>
          <w:rStyle w:val="NormalTok"/>
        </w:rPr>
        <w:t xml:space="preserve">            </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br/>
      </w:r>
      <w:r>
        <w:rPr>
          <w:rStyle w:val="NormalTok"/>
        </w:rPr>
        <w:t xml:space="preserve">        </w:t>
      </w:r>
      <w:r>
        <w:rPr>
          <w:rStyle w:val="VariableTok"/>
        </w:rPr>
        <w:t xml:space="preserve">$broadWrite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$aces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IdentityReference</w:t>
      </w:r>
      <w:r>
        <w:rPr>
          <w:rStyle w:val="OperatorTok"/>
        </w:rPr>
        <w:t xml:space="preserve">)</w:t>
      </w:r>
      <w:r>
        <w:rPr>
          <w:rStyle w:val="StringTok"/>
        </w:rPr>
        <w:t xml:space="preserve">"</w:t>
      </w:r>
      <w:r>
        <w:rPr>
          <w:rStyle w:val="NormalTok"/>
        </w:rPr>
        <w:t xml:space="preserve"> </w:t>
      </w:r>
      <w:r>
        <w:rPr>
          <w:rStyle w:val="OperatorTok"/>
        </w:rPr>
        <w:t xml:space="preserve">-match</w:t>
      </w:r>
      <w:r>
        <w:rPr>
          <w:rStyle w:val="NormalTok"/>
        </w:rPr>
        <w:t xml:space="preserve"> </w:t>
      </w:r>
      <w:r>
        <w:rPr>
          <w:rStyle w:val="VariableTok"/>
        </w:rPr>
        <w:t xml:space="preserve">$script</w:t>
      </w:r>
      <w:r>
        <w:rPr>
          <w:rStyle w:val="OperatorTok"/>
        </w:rPr>
        <w:t xml:space="preserve">:</w:t>
      </w:r>
      <w:r>
        <w:rPr>
          <w:rStyle w:val="VariableTok"/>
        </w:rPr>
        <w:t xml:space="preserve">FMPBroadPrincipal</w:t>
      </w:r>
      <w:r>
        <w:rPr>
          <w:rStyle w:val="NormalTok"/>
        </w:rPr>
        <w:t xml:space="preserve"> </w:t>
      </w:r>
      <w:r>
        <w:rPr>
          <w:rStyle w:val="OperatorTok"/>
        </w:rPr>
        <w:t xml:space="preserve">-and</w:t>
      </w:r>
      <w:r>
        <w:br/>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ActiveDirectoryRights</w:t>
      </w:r>
      <w:r>
        <w:rPr>
          <w:rStyle w:val="OperatorTok"/>
        </w:rPr>
        <w:t xml:space="preserve">)</w:t>
      </w:r>
      <w:r>
        <w:rPr>
          <w:rStyle w:val="StringTok"/>
        </w:rPr>
        <w:t xml:space="preserve">"</w:t>
      </w:r>
      <w:r>
        <w:rPr>
          <w:rStyle w:val="NormalTok"/>
        </w:rPr>
        <w:t xml:space="preserve"> </w:t>
      </w:r>
      <w:r>
        <w:rPr>
          <w:rStyle w:val="OperatorTok"/>
        </w:rPr>
        <w:t xml:space="preserve">-match</w:t>
      </w:r>
      <w:r>
        <w:rPr>
          <w:rStyle w:val="NormalTok"/>
        </w:rPr>
        <w:t xml:space="preserve"> </w:t>
      </w:r>
      <w:r>
        <w:rPr>
          <w:rStyle w:val="StringTok"/>
        </w:rPr>
        <w:t xml:space="preserve">'GenericAll|GenericWrite|WriteDacl|WriteOwner|WriteProperty'</w:t>
      </w:r>
      <w:r>
        <w:br/>
      </w:r>
      <w:r>
        <w:rPr>
          <w:rStyle w:val="NormalTok"/>
        </w:rPr>
        <w:t xml:space="preserve">            </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br/>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$isPub</w:t>
      </w:r>
      <w:r>
        <w:rPr>
          <w:rStyle w:val="NormalTok"/>
        </w:rPr>
        <w:t xml:space="preserve"> </w:t>
      </w:r>
      <w:r>
        <w:rPr>
          <w:rStyle w:val="OperatorTok"/>
        </w:rPr>
        <w:t xml:space="preserve">-and</w:t>
      </w:r>
      <w:r>
        <w:rPr>
          <w:rStyle w:val="NormalTok"/>
        </w:rPr>
        <w:t xml:space="preserve"> </w:t>
      </w:r>
      <w:r>
        <w:rPr>
          <w:rStyle w:val="VariableTok"/>
        </w:rPr>
        <w:t xml:space="preserve">$supplies</w:t>
      </w:r>
      <w:r>
        <w:rPr>
          <w:rStyle w:val="NormalTok"/>
        </w:rPr>
        <w:t xml:space="preserve"> </w:t>
      </w:r>
      <w:r>
        <w:rPr>
          <w:rStyle w:val="OperatorTok"/>
        </w:rPr>
        <w:t xml:space="preserve">-and</w:t>
      </w:r>
      <w:r>
        <w:rPr>
          <w:rStyle w:val="NormalTok"/>
        </w:rPr>
        <w:t xml:space="preserve"> </w:t>
      </w:r>
      <w:r>
        <w:rPr>
          <w:rStyle w:val="VariableTok"/>
        </w:rPr>
        <w:t xml:space="preserve">$authEku</w:t>
      </w:r>
      <w:r>
        <w:rPr>
          <w:rStyle w:val="NormalTok"/>
        </w:rPr>
        <w:t xml:space="preserve"> </w:t>
      </w:r>
      <w:r>
        <w:rPr>
          <w:rStyle w:val="OperatorTok"/>
        </w:rPr>
        <w:t xml:space="preserve">-and</w:t>
      </w:r>
      <w:r>
        <w:rPr>
          <w:rStyle w:val="NormalTok"/>
        </w:rPr>
        <w:t xml:space="preserve"> </w:t>
      </w:r>
      <w:r>
        <w:rPr>
          <w:rStyle w:val="OperatorTok"/>
        </w:rPr>
        <w:t xml:space="preserve">-not</w:t>
      </w:r>
      <w:r>
        <w:rPr>
          <w:rStyle w:val="NormalTok"/>
        </w:rPr>
        <w:t xml:space="preserve"> </w:t>
      </w:r>
      <w:r>
        <w:rPr>
          <w:rStyle w:val="VariableTok"/>
        </w:rPr>
        <w:t xml:space="preserve">$approval</w:t>
      </w:r>
      <w:r>
        <w:rPr>
          <w:rStyle w:val="NormalTok"/>
        </w:rPr>
        <w:t xml:space="preserve"> </w:t>
      </w:r>
      <w:r>
        <w:rPr>
          <w:rStyle w:val="OperatorTok"/>
        </w:rPr>
        <w:t xml:space="preserve">-and</w:t>
      </w:r>
      <w:r>
        <w:rPr>
          <w:rStyle w:val="NormalTok"/>
        </w:rPr>
        <w:t xml:space="preserve"> </w:t>
      </w:r>
      <w:r>
        <w:rPr>
          <w:rStyle w:val="VariableTok"/>
        </w:rPr>
        <w:t xml:space="preserve">$sigs</w:t>
      </w:r>
      <w:r>
        <w:rPr>
          <w:rStyle w:val="NormalTok"/>
        </w:rPr>
        <w:t xml:space="preserve"> </w:t>
      </w:r>
      <w:r>
        <w:rPr>
          <w:rStyle w:val="OperatorTok"/>
        </w:rPr>
        <w:t xml:space="preserve">-eq</w:t>
      </w:r>
      <w:r>
        <w:rPr>
          <w:rStyle w:val="NormalTok"/>
        </w:rPr>
        <w:t xml:space="preserve"> </w:t>
      </w:r>
      <w:r>
        <w:rPr>
          <w:rStyle w:val="DecValTok"/>
        </w:rPr>
        <w:t xml:space="preserve">0</w:t>
      </w:r>
      <w:r>
        <w:rPr>
          <w:rStyle w:val="NormalTok"/>
        </w:rPr>
        <w:t xml:space="preserve"> </w:t>
      </w:r>
      <w:r>
        <w:rPr>
          <w:rStyle w:val="OperatorTok"/>
        </w:rPr>
        <w:t xml:space="preserve">-and</w:t>
      </w:r>
      <w:r>
        <w:rPr>
          <w:rStyle w:val="NormalTok"/>
        </w:rPr>
        <w:t xml:space="preserve"> </w:t>
      </w:r>
      <w:r>
        <w:rPr>
          <w:rStyle w:val="VariableTok"/>
        </w:rPr>
        <w:t xml:space="preserve">$broadEnroll</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$findings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Finding </w:t>
      </w:r>
      <w:r>
        <w:rPr>
          <w:rStyle w:val="OperatorTok"/>
        </w:rPr>
        <w:t xml:space="preserve">=</w:t>
      </w:r>
      <w:r>
        <w:rPr>
          <w:rStyle w:val="NormalTok"/>
        </w:rPr>
        <w:t xml:space="preserve"> </w:t>
      </w:r>
      <w:r>
        <w:rPr>
          <w:rStyle w:val="StringTok"/>
        </w:rPr>
        <w:t xml:space="preserve">'ESC1'</w:t>
      </w:r>
      <w:r>
        <w:rPr>
          <w:rStyle w:val="OperatorTok"/>
        </w:rPr>
        <w:t xml:space="preserve">;</w:t>
      </w:r>
      <w:r>
        <w:rPr>
          <w:rStyle w:val="NormalTok"/>
        </w:rPr>
        <w:t xml:space="preserve"> Severity </w:t>
      </w:r>
      <w:r>
        <w:rPr>
          <w:rStyle w:val="OperatorTok"/>
        </w:rPr>
        <w:t xml:space="preserve">=</w:t>
      </w:r>
      <w:r>
        <w:rPr>
          <w:rStyle w:val="NormalTok"/>
        </w:rPr>
        <w:t xml:space="preserve"> </w:t>
      </w:r>
      <w:r>
        <w:rPr>
          <w:rStyle w:val="StringTok"/>
        </w:rPr>
        <w:t xml:space="preserve">'Critical'</w:t>
      </w:r>
      <w:r>
        <w:rPr>
          <w:rStyle w:val="OperatorTok"/>
        </w:rPr>
        <w:t xml:space="preserve">;</w:t>
      </w:r>
      <w:r>
        <w:rPr>
          <w:rStyle w:val="NormalTok"/>
        </w:rPr>
        <w:t xml:space="preserve"> Template </w:t>
      </w:r>
      <w:r>
        <w:rPr>
          <w:rStyle w:val="OperatorTok"/>
        </w:rPr>
        <w:t xml:space="preserve">=</w:t>
      </w:r>
      <w:r>
        <w:rPr>
          <w:rStyle w:val="NormalTok"/>
        </w:rPr>
        <w:t xml:space="preserve"> </w:t>
      </w:r>
      <w:r>
        <w:rPr>
          <w:rStyle w:val="VariableTok"/>
        </w:rPr>
        <w:t xml:space="preserve">$name</w:t>
      </w:r>
      <w:r>
        <w:br/>
      </w:r>
      <w:r>
        <w:rPr>
          <w:rStyle w:val="NormalTok"/>
        </w:rPr>
        <w:t xml:space="preserve">                Description </w:t>
      </w:r>
      <w:r>
        <w:rPr>
          <w:rStyle w:val="OperatorTok"/>
        </w:rPr>
        <w:t xml:space="preserve">=</w:t>
      </w:r>
      <w:r>
        <w:rPr>
          <w:rStyle w:val="NormalTok"/>
        </w:rPr>
        <w:t xml:space="preserve"> </w:t>
      </w:r>
      <w:r>
        <w:rPr>
          <w:rStyle w:val="StringTok"/>
        </w:rPr>
        <w:t xml:space="preserve">'Published template lets broad groups enroll, supply the subject, and obtain an authentication certificate without approval.'</w:t>
      </w:r>
      <w:r>
        <w:br/>
      </w:r>
      <w:r>
        <w:rPr>
          <w:rStyle w:val="NormalTok"/>
        </w:rPr>
        <w:t xml:space="preserve">                Remediation </w:t>
      </w:r>
      <w:r>
        <w:rPr>
          <w:rStyle w:val="OperatorTok"/>
        </w:rPr>
        <w:t xml:space="preserve">=</w:t>
      </w:r>
      <w:r>
        <w:rPr>
          <w:rStyle w:val="NormalTok"/>
        </w:rPr>
        <w:t xml:space="preserve"> </w:t>
      </w:r>
      <w:r>
        <w:rPr>
          <w:rStyle w:val="StringTok"/>
        </w:rPr>
        <w:t xml:space="preserve">'Turn off Supply in the request, remove authentication EKUs, restrict enrollment, require manager approval, or unpublish.'</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$anyOrNone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$eku</w:t>
      </w:r>
      <w:r>
        <w:rPr>
          <w:rStyle w:val="OperatorTok"/>
        </w:rPr>
        <w:t xml:space="preserve">).</w:t>
      </w:r>
      <w:r>
        <w:rPr>
          <w:rStyle w:val="FunctionTok"/>
        </w:rPr>
        <w:t xml:space="preserve">Count</w:t>
      </w:r>
      <w:r>
        <w:rPr>
          <w:rStyle w:val="NormalTok"/>
        </w:rPr>
        <w:t xml:space="preserve"> </w:t>
      </w:r>
      <w:r>
        <w:rPr>
          <w:rStyle w:val="OperatorTok"/>
        </w:rPr>
        <w:t xml:space="preserve">-eq</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-or</w:t>
      </w:r>
      <w:r>
        <w:rPr>
          <w:rStyle w:val="NormalTok"/>
        </w:rPr>
        <w:t xml:space="preserve"> </w:t>
      </w:r>
      <w:r>
        <w:rPr>
          <w:rStyle w:val="OperatorTok"/>
        </w:rPr>
        <w:t xml:space="preserve">(</w:t>
      </w:r>
      <w:r>
        <w:rPr>
          <w:rStyle w:val="StringTok"/>
        </w:rPr>
        <w:t xml:space="preserve">'2.5.29.37.0'</w:t>
      </w:r>
      <w:r>
        <w:rPr>
          <w:rStyle w:val="NormalTok"/>
        </w:rPr>
        <w:t xml:space="preserve"> </w:t>
      </w:r>
      <w:r>
        <w:rPr>
          <w:rStyle w:val="OperatorTok"/>
        </w:rPr>
        <w:t xml:space="preserve">-</w:t>
      </w:r>
      <w:r>
        <w:rPr>
          <w:rStyle w:val="NormalTok"/>
        </w:rPr>
        <w:t xml:space="preserve">in </w:t>
      </w:r>
      <w:r>
        <w:rPr>
          <w:rStyle w:val="VariableTok"/>
        </w:rPr>
        <w:t xml:space="preserve">$eku</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$isPub</w:t>
      </w:r>
      <w:r>
        <w:rPr>
          <w:rStyle w:val="NormalTok"/>
        </w:rPr>
        <w:t xml:space="preserve"> </w:t>
      </w:r>
      <w:r>
        <w:rPr>
          <w:rStyle w:val="OperatorTok"/>
        </w:rPr>
        <w:t xml:space="preserve">-and</w:t>
      </w:r>
      <w:r>
        <w:rPr>
          <w:rStyle w:val="NormalTok"/>
        </w:rPr>
        <w:t xml:space="preserve"> </w:t>
      </w:r>
      <w:r>
        <w:rPr>
          <w:rStyle w:val="VariableTok"/>
        </w:rPr>
        <w:t xml:space="preserve">$anyOrNone</w:t>
      </w:r>
      <w:r>
        <w:rPr>
          <w:rStyle w:val="NormalTok"/>
        </w:rPr>
        <w:t xml:space="preserve"> </w:t>
      </w:r>
      <w:r>
        <w:rPr>
          <w:rStyle w:val="OperatorTok"/>
        </w:rPr>
        <w:t xml:space="preserve">-and</w:t>
      </w:r>
      <w:r>
        <w:rPr>
          <w:rStyle w:val="NormalTok"/>
        </w:rPr>
        <w:t xml:space="preserve"> </w:t>
      </w:r>
      <w:r>
        <w:rPr>
          <w:rStyle w:val="VariableTok"/>
        </w:rPr>
        <w:t xml:space="preserve">$broadEnroll</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$findings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Finding </w:t>
      </w:r>
      <w:r>
        <w:rPr>
          <w:rStyle w:val="OperatorTok"/>
        </w:rPr>
        <w:t xml:space="preserve">=</w:t>
      </w:r>
      <w:r>
        <w:rPr>
          <w:rStyle w:val="NormalTok"/>
        </w:rPr>
        <w:t xml:space="preserve"> </w:t>
      </w:r>
      <w:r>
        <w:rPr>
          <w:rStyle w:val="StringTok"/>
        </w:rPr>
        <w:t xml:space="preserve">'ESC2'</w:t>
      </w:r>
      <w:r>
        <w:rPr>
          <w:rStyle w:val="OperatorTok"/>
        </w:rPr>
        <w:t xml:space="preserve">;</w:t>
      </w:r>
      <w:r>
        <w:rPr>
          <w:rStyle w:val="NormalTok"/>
        </w:rPr>
        <w:t xml:space="preserve"> Severity </w:t>
      </w:r>
      <w:r>
        <w:rPr>
          <w:rStyle w:val="OperatorTok"/>
        </w:rPr>
        <w:t xml:space="preserve">=</w:t>
      </w:r>
      <w:r>
        <w:rPr>
          <w:rStyle w:val="NormalTok"/>
        </w:rPr>
        <w:t xml:space="preserve"> </w:t>
      </w:r>
      <w:r>
        <w:rPr>
          <w:rStyle w:val="StringTok"/>
        </w:rPr>
        <w:t xml:space="preserve">'High'</w:t>
      </w:r>
      <w:r>
        <w:rPr>
          <w:rStyle w:val="OperatorTok"/>
        </w:rPr>
        <w:t xml:space="preserve">;</w:t>
      </w:r>
      <w:r>
        <w:rPr>
          <w:rStyle w:val="NormalTok"/>
        </w:rPr>
        <w:t xml:space="preserve"> Template </w:t>
      </w:r>
      <w:r>
        <w:rPr>
          <w:rStyle w:val="OperatorTok"/>
        </w:rPr>
        <w:t xml:space="preserve">=</w:t>
      </w:r>
      <w:r>
        <w:rPr>
          <w:rStyle w:val="NormalTok"/>
        </w:rPr>
        <w:t xml:space="preserve"> </w:t>
      </w:r>
      <w:r>
        <w:rPr>
          <w:rStyle w:val="VariableTok"/>
        </w:rPr>
        <w:t xml:space="preserve">$name</w:t>
      </w:r>
      <w:r>
        <w:br/>
      </w:r>
      <w:r>
        <w:rPr>
          <w:rStyle w:val="NormalTok"/>
        </w:rPr>
        <w:t xml:space="preserve">                Description </w:t>
      </w:r>
      <w:r>
        <w:rPr>
          <w:rStyle w:val="OperatorTok"/>
        </w:rPr>
        <w:t xml:space="preserve">=</w:t>
      </w:r>
      <w:r>
        <w:rPr>
          <w:rStyle w:val="NormalTok"/>
        </w:rPr>
        <w:t xml:space="preserve"> </w:t>
      </w:r>
      <w:r>
        <w:rPr>
          <w:rStyle w:val="StringTok"/>
        </w:rPr>
        <w:t xml:space="preserve">'Published template with Any Purpose or no EKU is enrollable by broad groups.'</w:t>
      </w:r>
      <w:r>
        <w:br/>
      </w:r>
      <w:r>
        <w:rPr>
          <w:rStyle w:val="NormalTok"/>
        </w:rPr>
        <w:t xml:space="preserve">                Remediation </w:t>
      </w:r>
      <w:r>
        <w:rPr>
          <w:rStyle w:val="OperatorTok"/>
        </w:rPr>
        <w:t xml:space="preserve">=</w:t>
      </w:r>
      <w:r>
        <w:rPr>
          <w:rStyle w:val="NormalTok"/>
        </w:rPr>
        <w:t xml:space="preserve"> </w:t>
      </w:r>
      <w:r>
        <w:rPr>
          <w:rStyle w:val="StringTok"/>
        </w:rPr>
        <w:t xml:space="preserve">'Restrict the EKUs to the intended purposes or restrict enrollment.'</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$broadWrite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$findings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Finding </w:t>
      </w:r>
      <w:r>
        <w:rPr>
          <w:rStyle w:val="OperatorTok"/>
        </w:rPr>
        <w:t xml:space="preserve">=</w:t>
      </w:r>
      <w:r>
        <w:rPr>
          <w:rStyle w:val="NormalTok"/>
        </w:rPr>
        <w:t xml:space="preserve"> </w:t>
      </w:r>
      <w:r>
        <w:rPr>
          <w:rStyle w:val="StringTok"/>
        </w:rPr>
        <w:t xml:space="preserve">'ESC4'</w:t>
      </w:r>
      <w:r>
        <w:rPr>
          <w:rStyle w:val="OperatorTok"/>
        </w:rPr>
        <w:t xml:space="preserve">;</w:t>
      </w:r>
      <w:r>
        <w:rPr>
          <w:rStyle w:val="NormalTok"/>
        </w:rPr>
        <w:t xml:space="preserve"> Severity </w:t>
      </w:r>
      <w:r>
        <w:rPr>
          <w:rStyle w:val="OperatorTok"/>
        </w:rPr>
        <w:t xml:space="preserve">=</w:t>
      </w:r>
      <w:r>
        <w:rPr>
          <w:rStyle w:val="NormalTok"/>
        </w:rPr>
        <w:t xml:space="preserve"> </w:t>
      </w:r>
      <w:r>
        <w:rPr>
          <w:rStyle w:val="StringTok"/>
        </w:rPr>
        <w:t xml:space="preserve">'Critical'</w:t>
      </w:r>
      <w:r>
        <w:rPr>
          <w:rStyle w:val="OperatorTok"/>
        </w:rPr>
        <w:t xml:space="preserve">;</w:t>
      </w:r>
      <w:r>
        <w:rPr>
          <w:rStyle w:val="NormalTok"/>
        </w:rPr>
        <w:t xml:space="preserve"> Template </w:t>
      </w:r>
      <w:r>
        <w:rPr>
          <w:rStyle w:val="OperatorTok"/>
        </w:rPr>
        <w:t xml:space="preserve">=</w:t>
      </w:r>
      <w:r>
        <w:rPr>
          <w:rStyle w:val="NormalTok"/>
        </w:rPr>
        <w:t xml:space="preserve"> </w:t>
      </w:r>
      <w:r>
        <w:rPr>
          <w:rStyle w:val="VariableTok"/>
        </w:rPr>
        <w:t xml:space="preserve">$name</w:t>
      </w:r>
      <w:r>
        <w:br/>
      </w:r>
      <w:r>
        <w:rPr>
          <w:rStyle w:val="NormalTok"/>
        </w:rPr>
        <w:t xml:space="preserve">                Description </w:t>
      </w:r>
      <w:r>
        <w:rPr>
          <w:rStyle w:val="OperatorTok"/>
        </w:rPr>
        <w:t xml:space="preserve">=</w:t>
      </w:r>
      <w:r>
        <w:rPr>
          <w:rStyle w:val="NormalTok"/>
        </w:rPr>
        <w:t xml:space="preserve"> </w:t>
      </w:r>
      <w:r>
        <w:rPr>
          <w:rStyle w:val="StringTok"/>
        </w:rPr>
        <w:t xml:space="preserve">'Template ACL grants write or control rights to broad groups.'</w:t>
      </w:r>
      <w:r>
        <w:br/>
      </w:r>
      <w:r>
        <w:rPr>
          <w:rStyle w:val="NormalTok"/>
        </w:rPr>
        <w:t xml:space="preserve">                Remediation </w:t>
      </w:r>
      <w:r>
        <w:rPr>
          <w:rStyle w:val="OperatorTok"/>
        </w:rPr>
        <w:t xml:space="preserve">=</w:t>
      </w:r>
      <w:r>
        <w:rPr>
          <w:rStyle w:val="NormalTok"/>
        </w:rPr>
        <w:t xml:space="preserve"> </w:t>
      </w:r>
      <w:r>
        <w:rPr>
          <w:rStyle w:val="StringTok"/>
        </w:rPr>
        <w:t xml:space="preserve">'Remove the entries; limit template write rights to PKI administrators.'</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$ca</w:t>
      </w:r>
      <w:r>
        <w:rPr>
          <w:rStyle w:val="NormalTok"/>
        </w:rPr>
        <w:t xml:space="preserve"> </w:t>
      </w:r>
      <w:r>
        <w:rPr>
          <w:rStyle w:val="KeywordTok"/>
        </w:rPr>
        <w:t xml:space="preserve">in</w:t>
      </w:r>
      <w:r>
        <w:rPr>
          <w:rStyle w:val="NormalTok"/>
        </w:rPr>
        <w:t xml:space="preserve"> </w:t>
      </w:r>
      <w:r>
        <w:rPr>
          <w:rStyle w:val="VariableTok"/>
        </w:rPr>
        <w:t xml:space="preserve">$PkiData</w:t>
      </w:r>
      <w:r>
        <w:rPr>
          <w:rStyle w:val="OperatorTok"/>
        </w:rPr>
        <w:t xml:space="preserve">.</w:t>
      </w:r>
      <w:r>
        <w:rPr>
          <w:rStyle w:val="FunctionTok"/>
        </w:rPr>
        <w:t xml:space="preserve">CAs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$config</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$ca</w:t>
      </w:r>
      <w:r>
        <w:rPr>
          <w:rStyle w:val="OperatorTok"/>
        </w:rPr>
        <w:t xml:space="preserve">.</w:t>
      </w:r>
      <w:r>
        <w:rPr>
          <w:rStyle w:val="FunctionTok"/>
        </w:rPr>
        <w:t xml:space="preserve">dNSHostName</w:t>
      </w:r>
      <w:r>
        <w:rPr>
          <w:rStyle w:val="OperatorTok"/>
        </w:rPr>
        <w:t xml:space="preserve">)</w:t>
      </w:r>
      <w:r>
        <w:rPr>
          <w:rStyle w:val="StringTok"/>
        </w:rPr>
        <w:t xml:space="preserve">\</w:t>
      </w:r>
      <w:r>
        <w:rPr>
          <w:rStyle w:val="OperatorTok"/>
        </w:rPr>
        <w:t xml:space="preserve">$(</w:t>
      </w:r>
      <w:r>
        <w:rPr>
          <w:rStyle w:val="VariableTok"/>
        </w:rPr>
        <w:t xml:space="preserve">$ca</w:t>
      </w:r>
      <w:r>
        <w:rPr>
          <w:rStyle w:val="OperatorTok"/>
        </w:rPr>
        <w:t xml:space="preserve">.</w:t>
      </w:r>
      <w:r>
        <w:rPr>
          <w:rStyle w:val="FunctionTok"/>
        </w:rPr>
        <w:t xml:space="preserve">cn</w:t>
      </w:r>
      <w:r>
        <w:rPr>
          <w:rStyle w:val="OperatorTok"/>
        </w:rPr>
        <w:t xml:space="preserve">)</w:t>
      </w:r>
      <w:r>
        <w:rPr>
          <w:rStyle w:val="StringTok"/>
        </w:rPr>
        <w:t xml:space="preserve">"</w:t>
      </w:r>
      <w:r>
        <w:br/>
      </w:r>
      <w:r>
        <w:rPr>
          <w:rStyle w:val="NormalTok"/>
        </w:rPr>
        <w:t xml:space="preserve">        </w:t>
      </w:r>
      <w:r>
        <w:rPr>
          <w:rStyle w:val="VariableTok"/>
        </w:rPr>
        <w:t xml:space="preserve">$out</w:t>
      </w:r>
      <w:r>
        <w:rPr>
          <w:rStyle w:val="NormalTok"/>
        </w:rPr>
        <w:t xml:space="preserve"> </w:t>
      </w:r>
      <w:r>
        <w:rPr>
          <w:rStyle w:val="OperatorTok"/>
        </w:rPr>
        <w:t xml:space="preserve">=</w:t>
      </w:r>
      <w:r>
        <w:rPr>
          <w:rStyle w:val="NormalTok"/>
        </w:rPr>
        <w:t xml:space="preserve"> </w:t>
      </w:r>
      <w:r>
        <w:rPr>
          <w:rStyle w:val="OperatorTok"/>
        </w:rPr>
        <w:t xml:space="preserve">&amp;</w:t>
      </w:r>
      <w:r>
        <w:rPr>
          <w:rStyle w:val="NormalTok"/>
        </w:rPr>
        <w:t xml:space="preserve"> certutil</w:t>
      </w:r>
      <w:r>
        <w:rPr>
          <w:rStyle w:val="OperatorTok"/>
        </w:rPr>
        <w:t xml:space="preserve">.</w:t>
      </w:r>
      <w:r>
        <w:rPr>
          <w:rStyle w:val="FunctionTok"/>
        </w:rPr>
        <w:t xml:space="preserve">exe</w:t>
      </w:r>
      <w:r>
        <w:rPr>
          <w:rStyle w:val="NormalTok"/>
        </w:rPr>
        <w:t xml:space="preserve"> </w:t>
      </w:r>
      <w:r>
        <w:rPr>
          <w:rStyle w:val="OperatorTok"/>
        </w:rPr>
        <w:t xml:space="preserve">-</w:t>
      </w:r>
      <w:r>
        <w:rPr>
          <w:rStyle w:val="NormalTok"/>
        </w:rPr>
        <w:t xml:space="preserve">config </w:t>
      </w:r>
      <w:r>
        <w:rPr>
          <w:rStyle w:val="VariableTok"/>
        </w:rPr>
        <w:t xml:space="preserve">$config</w:t>
      </w:r>
      <w:r>
        <w:rPr>
          <w:rStyle w:val="NormalTok"/>
        </w:rPr>
        <w:t xml:space="preserve"> </w:t>
      </w:r>
      <w:r>
        <w:rPr>
          <w:rStyle w:val="OperatorTok"/>
        </w:rPr>
        <w:t xml:space="preserve">-</w:t>
      </w:r>
      <w:r>
        <w:rPr>
          <w:rStyle w:val="NormalTok"/>
        </w:rPr>
        <w:t xml:space="preserve">getreg </w:t>
      </w:r>
      <w:r>
        <w:rPr>
          <w:rStyle w:val="StringTok"/>
        </w:rPr>
        <w:t xml:space="preserve">'policy\EditFlags'</w:t>
      </w:r>
      <w:r>
        <w:rPr>
          <w:rStyle w:val="NormalTok"/>
        </w:rPr>
        <w:t xml:space="preserve"> </w:t>
      </w:r>
      <w:r>
        <w:rPr>
          <w:rStyle w:val="DecValTok"/>
        </w:rPr>
        <w:t xml:space="preserve">2</w:t>
      </w:r>
      <w:r>
        <w:rPr>
          <w:rStyle w:val="OperatorTok"/>
        </w:rPr>
        <w:t xml:space="preserve">&gt;&amp;</w:t>
      </w:r>
      <w:r>
        <w:rPr>
          <w:rStyle w:val="DecValTok"/>
        </w:rPr>
        <w:t xml:space="preserve">1</w:t>
      </w:r>
      <w:r>
        <w:rPr>
          <w:rStyle w:val="NormalTok"/>
        </w:rPr>
        <w:t xml:space="preserve"> </w:t>
      </w:r>
      <w:r>
        <w:rPr>
          <w:rStyle w:val="OperatorTok"/>
        </w:rPr>
        <w:t xml:space="preserve">|</w:t>
      </w:r>
      <w:r>
        <w:rPr>
          <w:rStyle w:val="NormalTok"/>
        </w:rPr>
        <w:t xml:space="preserve"> </w:t>
      </w:r>
      <w:r>
        <w:rPr>
          <w:rStyle w:val="FunctionTok"/>
        </w:rPr>
        <w:t xml:space="preserve">Out-String</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$LASTEXITCODE</w:t>
      </w:r>
      <w:r>
        <w:rPr>
          <w:rStyle w:val="NormalTok"/>
        </w:rPr>
        <w:t xml:space="preserve"> </w:t>
      </w:r>
      <w:r>
        <w:rPr>
          <w:rStyle w:val="OperatorTok"/>
        </w:rPr>
        <w:t xml:space="preserve">-ne</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$findings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Finding </w:t>
      </w:r>
      <w:r>
        <w:rPr>
          <w:rStyle w:val="OperatorTok"/>
        </w:rPr>
        <w:t xml:space="preserve">=</w:t>
      </w:r>
      <w:r>
        <w:rPr>
          <w:rStyle w:val="NormalTok"/>
        </w:rPr>
        <w:t xml:space="preserve"> </w:t>
      </w:r>
      <w:r>
        <w:rPr>
          <w:rStyle w:val="StringTok"/>
        </w:rPr>
        <w:t xml:space="preserve">'CA-UNREADABLE'</w:t>
      </w:r>
      <w:r>
        <w:rPr>
          <w:rStyle w:val="OperatorTok"/>
        </w:rPr>
        <w:t xml:space="preserve">;</w:t>
      </w:r>
      <w:r>
        <w:rPr>
          <w:rStyle w:val="NormalTok"/>
        </w:rPr>
        <w:t xml:space="preserve"> Severity </w:t>
      </w:r>
      <w:r>
        <w:rPr>
          <w:rStyle w:val="OperatorTok"/>
        </w:rPr>
        <w:t xml:space="preserve">=</w:t>
      </w:r>
      <w:r>
        <w:rPr>
          <w:rStyle w:val="NormalTok"/>
        </w:rPr>
        <w:t xml:space="preserve"> </w:t>
      </w:r>
      <w:r>
        <w:rPr>
          <w:rStyle w:val="StringTok"/>
        </w:rPr>
        <w:t xml:space="preserve">'Info'</w:t>
      </w:r>
      <w:r>
        <w:rPr>
          <w:rStyle w:val="OperatorTok"/>
        </w:rPr>
        <w:t xml:space="preserve">;</w:t>
      </w:r>
      <w:r>
        <w:rPr>
          <w:rStyle w:val="NormalTok"/>
        </w:rPr>
        <w:t xml:space="preserve"> Template </w:t>
      </w:r>
      <w:r>
        <w:rPr>
          <w:rStyle w:val="OperatorTok"/>
        </w:rPr>
        <w:t xml:space="preserve">=</w:t>
      </w:r>
      <w:r>
        <w:rPr>
          <w:rStyle w:val="NormalTok"/>
        </w:rPr>
        <w:t xml:space="preserve"> </w:t>
      </w:r>
      <w:r>
        <w:rPr>
          <w:rStyle w:val="StringTok"/>
        </w:rPr>
        <w:t xml:space="preserve">"N/A (</w:t>
      </w:r>
      <w:r>
        <w:rPr>
          <w:rStyle w:val="VariableTok"/>
        </w:rPr>
        <w:t xml:space="preserve">$config</w:t>
      </w:r>
      <w:r>
        <w:rPr>
          <w:rStyle w:val="StringTok"/>
        </w:rPr>
        <w:t xml:space="preserve">)"</w:t>
      </w:r>
      <w:r>
        <w:br/>
      </w:r>
      <w:r>
        <w:rPr>
          <w:rStyle w:val="NormalTok"/>
        </w:rPr>
        <w:t xml:space="preserve">                Description </w:t>
      </w:r>
      <w:r>
        <w:rPr>
          <w:rStyle w:val="OperatorTok"/>
        </w:rPr>
        <w:t xml:space="preserve">=</w:t>
      </w:r>
      <w:r>
        <w:rPr>
          <w:rStyle w:val="NormalTok"/>
        </w:rPr>
        <w:t xml:space="preserve"> </w:t>
      </w:r>
      <w:r>
        <w:rPr>
          <w:rStyle w:val="StringTok"/>
        </w:rPr>
        <w:t xml:space="preserve">'Could not read policy EditFlags.'</w:t>
      </w:r>
      <w:r>
        <w:rPr>
          <w:rStyle w:val="OperatorTok"/>
        </w:rPr>
        <w:t xml:space="preserve">;</w:t>
      </w:r>
      <w:r>
        <w:rPr>
          <w:rStyle w:val="NormalTok"/>
        </w:rPr>
        <w:t xml:space="preserve"> Remediation </w:t>
      </w:r>
      <w:r>
        <w:rPr>
          <w:rStyle w:val="OperatorTok"/>
        </w:rPr>
        <w:t xml:space="preserve">=</w:t>
      </w:r>
      <w:r>
        <w:rPr>
          <w:rStyle w:val="NormalTok"/>
        </w:rPr>
        <w:t xml:space="preserve"> </w:t>
      </w:r>
      <w:r>
        <w:rPr>
          <w:rStyle w:val="StringTok"/>
        </w:rPr>
        <w:t xml:space="preserve">'Check RPC reachability and rights on the CA.'</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$out</w:t>
      </w:r>
      <w:r>
        <w:rPr>
          <w:rStyle w:val="NormalTok"/>
        </w:rPr>
        <w:t xml:space="preserve"> </w:t>
      </w:r>
      <w:r>
        <w:rPr>
          <w:rStyle w:val="OperatorTok"/>
        </w:rPr>
        <w:t xml:space="preserve">-match</w:t>
      </w:r>
      <w:r>
        <w:rPr>
          <w:rStyle w:val="NormalTok"/>
        </w:rPr>
        <w:t xml:space="preserve"> </w:t>
      </w:r>
      <w:r>
        <w:rPr>
          <w:rStyle w:val="StringTok"/>
        </w:rPr>
        <w:t xml:space="preserve">'EDITF_ATTRIBUTESUBJECTALTNAME2'</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$findings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Finding </w:t>
      </w:r>
      <w:r>
        <w:rPr>
          <w:rStyle w:val="OperatorTok"/>
        </w:rPr>
        <w:t xml:space="preserve">=</w:t>
      </w:r>
      <w:r>
        <w:rPr>
          <w:rStyle w:val="NormalTok"/>
        </w:rPr>
        <w:t xml:space="preserve"> </w:t>
      </w:r>
      <w:r>
        <w:rPr>
          <w:rStyle w:val="StringTok"/>
        </w:rPr>
        <w:t xml:space="preserve">'ESC6'</w:t>
      </w:r>
      <w:r>
        <w:rPr>
          <w:rStyle w:val="OperatorTok"/>
        </w:rPr>
        <w:t xml:space="preserve">;</w:t>
      </w:r>
      <w:r>
        <w:rPr>
          <w:rStyle w:val="NormalTok"/>
        </w:rPr>
        <w:t xml:space="preserve"> Severity </w:t>
      </w:r>
      <w:r>
        <w:rPr>
          <w:rStyle w:val="OperatorTok"/>
        </w:rPr>
        <w:t xml:space="preserve">=</w:t>
      </w:r>
      <w:r>
        <w:rPr>
          <w:rStyle w:val="NormalTok"/>
        </w:rPr>
        <w:t xml:space="preserve"> </w:t>
      </w:r>
      <w:r>
        <w:rPr>
          <w:rStyle w:val="StringTok"/>
        </w:rPr>
        <w:t xml:space="preserve">'Critical'</w:t>
      </w:r>
      <w:r>
        <w:rPr>
          <w:rStyle w:val="OperatorTok"/>
        </w:rPr>
        <w:t xml:space="preserve">;</w:t>
      </w:r>
      <w:r>
        <w:rPr>
          <w:rStyle w:val="NormalTok"/>
        </w:rPr>
        <w:t xml:space="preserve"> Template </w:t>
      </w:r>
      <w:r>
        <w:rPr>
          <w:rStyle w:val="OperatorTok"/>
        </w:rPr>
        <w:t xml:space="preserve">=</w:t>
      </w:r>
      <w:r>
        <w:rPr>
          <w:rStyle w:val="NormalTok"/>
        </w:rPr>
        <w:t xml:space="preserve"> </w:t>
      </w:r>
      <w:r>
        <w:rPr>
          <w:rStyle w:val="StringTok"/>
        </w:rPr>
        <w:t xml:space="preserve">"N/A (</w:t>
      </w:r>
      <w:r>
        <w:rPr>
          <w:rStyle w:val="VariableTok"/>
        </w:rPr>
        <w:t xml:space="preserve">$config</w:t>
      </w:r>
      <w:r>
        <w:rPr>
          <w:rStyle w:val="StringTok"/>
        </w:rPr>
        <w:t xml:space="preserve">)"</w:t>
      </w:r>
      <w:r>
        <w:br/>
      </w:r>
      <w:r>
        <w:rPr>
          <w:rStyle w:val="NormalTok"/>
        </w:rPr>
        <w:t xml:space="preserve">                Description </w:t>
      </w:r>
      <w:r>
        <w:rPr>
          <w:rStyle w:val="OperatorTok"/>
        </w:rPr>
        <w:t xml:space="preserve">=</w:t>
      </w:r>
      <w:r>
        <w:rPr>
          <w:rStyle w:val="NormalTok"/>
        </w:rPr>
        <w:t xml:space="preserve"> </w:t>
      </w:r>
      <w:r>
        <w:rPr>
          <w:rStyle w:val="StringTok"/>
        </w:rPr>
        <w:t xml:space="preserve">'CA has EDITF_ATTRIBUTESUBJECTALTNAME2 set; requesters can add a SAN to any request.'</w:t>
      </w:r>
      <w:r>
        <w:br/>
      </w:r>
      <w:r>
        <w:rPr>
          <w:rStyle w:val="NormalTok"/>
        </w:rPr>
        <w:t xml:space="preserve">                Remediation </w:t>
      </w:r>
      <w:r>
        <w:rPr>
          <w:rStyle w:val="OperatorTok"/>
        </w:rPr>
        <w:t xml:space="preserve">=</w:t>
      </w:r>
      <w:r>
        <w:rPr>
          <w:rStyle w:val="NormalTok"/>
        </w:rPr>
        <w:t xml:space="preserve"> </w:t>
      </w:r>
      <w:r>
        <w:rPr>
          <w:rStyle w:val="StringTok"/>
        </w:rPr>
        <w:t xml:space="preserve">'certutil -setreg policy\EditFlags -EDITF_ATTRIBUTESUBJECTALTNAME2, then restart the CA service.'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$findings</w:t>
      </w:r>
      <w:r>
        <w:br/>
      </w:r>
      <w:r>
        <w:rPr>
          <w:rStyle w:val="OperatorTok"/>
        </w:rPr>
        <w:t xml:space="preserve">}</w:t>
      </w:r>
      <w:r>
        <w:br/>
      </w:r>
      <w:r>
        <w:br/>
      </w:r>
      <w:r>
        <w:rPr>
          <w:rStyle w:val="KeywordTok"/>
        </w:rPr>
        <w:t xml:space="preserve">function</w:t>
      </w:r>
      <w:r>
        <w:rPr>
          <w:rStyle w:val="NormalTok"/>
        </w:rPr>
        <w:t xml:space="preserve"> Get-FMPPKIAssessment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CA and template inventory, CA certificate details, CDP and AIA objects, and ESC findings.</w:t>
      </w:r>
      <w:r>
        <w:br/>
      </w:r>
      <w:r>
        <w:rPr>
          <w:rStyle w:val="CommentTok"/>
        </w:rPr>
        <w:t xml:space="preserve">    .OUTPUTS</w:t>
      </w:r>
      <w:r>
        <w:br/>
      </w:r>
      <w:r>
        <w:rPr>
          <w:rStyle w:val="CommentTok"/>
        </w:rPr>
        <w:t xml:space="preserve">        PKIInventory.json, PKISecurityReport.json</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DNSRoot</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'D:\FMP\Assessment'</w:t>
      </w:r>
      <w:r>
        <w:br/>
      </w:r>
      <w:r>
        <w:rPr>
          <w:rStyle w:val="NormalTok"/>
        </w:rPr>
        <w:t xml:space="preserve">    </w:t>
      </w:r>
      <w:r>
        <w:rPr>
          <w:rStyle w:val="OperatorTok"/>
        </w:rPr>
        <w:t xml:space="preserve">)</w:t>
      </w:r>
      <w:r>
        <w:br/>
      </w:r>
      <w:r>
        <w:rPr>
          <w:rStyle w:val="NormalTok"/>
        </w:rPr>
        <w:t xml:space="preserve">    </w:t>
      </w:r>
      <w:r>
        <w:rPr>
          <w:rStyle w:val="VariableTok"/>
        </w:rPr>
        <w:t xml:space="preserve">$pkiPath</w:t>
      </w:r>
      <w:r>
        <w:rPr>
          <w:rStyle w:val="NormalTok"/>
        </w:rPr>
        <w:t xml:space="preserve"> </w:t>
      </w:r>
      <w:r>
        <w:rPr>
          <w:rStyle w:val="OperatorTok"/>
        </w:rPr>
        <w:t xml:space="preserve">=</w:t>
      </w:r>
      <w:r>
        <w:rPr>
          <w:rStyle w:val="NormalTok"/>
        </w:rPr>
        <w:t xml:space="preserve"> Get-FMPDomainPath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Area </w:t>
      </w:r>
      <w:r>
        <w:rPr>
          <w:rStyle w:val="StringTok"/>
        </w:rPr>
        <w:t xml:space="preserve">'PKI'</w:t>
      </w:r>
      <w:r>
        <w:br/>
      </w:r>
      <w:r>
        <w:rPr>
          <w:rStyle w:val="NormalTok"/>
        </w:rPr>
        <w:t xml:space="preserve">    </w:t>
      </w:r>
      <w:r>
        <w:rPr>
          <w:rStyle w:val="VariableTok"/>
        </w:rPr>
        <w:t xml:space="preserve">$pki</w:t>
      </w:r>
      <w:r>
        <w:rPr>
          <w:rStyle w:val="NormalTok"/>
        </w:rPr>
        <w:t xml:space="preserve"> </w:t>
      </w:r>
      <w:r>
        <w:rPr>
          <w:rStyle w:val="OperatorTok"/>
        </w:rPr>
        <w:t xml:space="preserve">=</w:t>
      </w:r>
      <w:r>
        <w:rPr>
          <w:rStyle w:val="NormalTok"/>
        </w:rPr>
        <w:t xml:space="preserve"> Get-FMPPkiData </w:t>
      </w:r>
      <w:r>
        <w:rPr>
          <w:rStyle w:val="OperatorTok"/>
        </w:rPr>
        <w:t xml:space="preserve">-</w:t>
      </w:r>
      <w:r>
        <w:rPr>
          <w:rStyle w:val="NormalTok"/>
        </w:rPr>
        <w:t xml:space="preserve">Server </w:t>
      </w:r>
      <w:r>
        <w:rPr>
          <w:rStyle w:val="VariableTok"/>
        </w:rPr>
        <w:t xml:space="preserve">$Domain</w:t>
      </w:r>
      <w:r>
        <w:br/>
      </w:r>
      <w:r>
        <w:br/>
      </w:r>
      <w:r>
        <w:rPr>
          <w:rStyle w:val="NormalTok"/>
        </w:rPr>
        <w:t xml:space="preserve">    </w:t>
      </w:r>
      <w:r>
        <w:rPr>
          <w:rStyle w:val="VariableTok"/>
        </w:rPr>
        <w:t xml:space="preserve">$caInventory</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$ca</w:t>
      </w:r>
      <w:r>
        <w:rPr>
          <w:rStyle w:val="NormalTok"/>
        </w:rPr>
        <w:t xml:space="preserve"> </w:t>
      </w:r>
      <w:r>
        <w:rPr>
          <w:rStyle w:val="KeywordTok"/>
        </w:rPr>
        <w:t xml:space="preserve">in</w:t>
      </w:r>
      <w:r>
        <w:rPr>
          <w:rStyle w:val="NormalTok"/>
        </w:rPr>
        <w:t xml:space="preserve"> </w:t>
      </w:r>
      <w:r>
        <w:rPr>
          <w:rStyle w:val="VariableTok"/>
        </w:rPr>
        <w:t xml:space="preserve">$pki</w:t>
      </w:r>
      <w:r>
        <w:rPr>
          <w:rStyle w:val="OperatorTok"/>
        </w:rPr>
        <w:t xml:space="preserve">.</w:t>
      </w:r>
      <w:r>
        <w:rPr>
          <w:rStyle w:val="FunctionTok"/>
        </w:rPr>
        <w:t xml:space="preserve">CAs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$config</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$ca</w:t>
      </w:r>
      <w:r>
        <w:rPr>
          <w:rStyle w:val="OperatorTok"/>
        </w:rPr>
        <w:t xml:space="preserve">.</w:t>
      </w:r>
      <w:r>
        <w:rPr>
          <w:rStyle w:val="FunctionTok"/>
        </w:rPr>
        <w:t xml:space="preserve">dNSHostName</w:t>
      </w:r>
      <w:r>
        <w:rPr>
          <w:rStyle w:val="OperatorTok"/>
        </w:rPr>
        <w:t xml:space="preserve">)</w:t>
      </w:r>
      <w:r>
        <w:rPr>
          <w:rStyle w:val="StringTok"/>
        </w:rPr>
        <w:t xml:space="preserve">\</w:t>
      </w:r>
      <w:r>
        <w:rPr>
          <w:rStyle w:val="OperatorTok"/>
        </w:rPr>
        <w:t xml:space="preserve">$(</w:t>
      </w:r>
      <w:r>
        <w:rPr>
          <w:rStyle w:val="VariableTok"/>
        </w:rPr>
        <w:t xml:space="preserve">$ca</w:t>
      </w:r>
      <w:r>
        <w:rPr>
          <w:rStyle w:val="OperatorTok"/>
        </w:rPr>
        <w:t xml:space="preserve">.</w:t>
      </w:r>
      <w:r>
        <w:rPr>
          <w:rStyle w:val="FunctionTok"/>
        </w:rPr>
        <w:t xml:space="preserve">cn</w:t>
      </w:r>
      <w:r>
        <w:rPr>
          <w:rStyle w:val="OperatorTok"/>
        </w:rPr>
        <w:t xml:space="preserve">)</w:t>
      </w:r>
      <w:r>
        <w:rPr>
          <w:rStyle w:val="StringTok"/>
        </w:rPr>
        <w:t xml:space="preserve">"</w:t>
      </w:r>
      <w:r>
        <w:br/>
      </w:r>
      <w:r>
        <w:rPr>
          <w:rStyle w:val="NormalTok"/>
        </w:rPr>
        <w:t xml:space="preserve">        </w:t>
      </w:r>
      <w:r>
        <w:rPr>
          <w:rStyle w:val="VariableTok"/>
        </w:rPr>
        <w:t xml:space="preserve">$certFile</w:t>
      </w:r>
      <w:r>
        <w:rPr>
          <w:rStyle w:val="NormalTok"/>
        </w:rPr>
        <w:t xml:space="preserve"> </w:t>
      </w:r>
      <w:r>
        <w:rPr>
          <w:rStyle w:val="OperatorTok"/>
        </w:rPr>
        <w:t xml:space="preserve">=</w:t>
      </w:r>
      <w:r>
        <w:rPr>
          <w:rStyle w:val="NormalTok"/>
        </w:rPr>
        <w:t xml:space="preserve"> </w:t>
      </w:r>
      <w:r>
        <w:rPr>
          <w:rStyle w:val="FunctionTok"/>
        </w:rPr>
        <w:t xml:space="preserve">Join-Path</w:t>
      </w:r>
      <w:r>
        <w:rPr>
          <w:rStyle w:val="NormalTok"/>
        </w:rPr>
        <w:t xml:space="preserve"> </w:t>
      </w:r>
      <w:r>
        <w:rPr>
          <w:rStyle w:val="VariableTok"/>
        </w:rPr>
        <w:t xml:space="preserve">$pkiPath</w:t>
      </w:r>
      <w:r>
        <w:rPr>
          <w:rStyle w:val="NormalTok"/>
        </w:rPr>
        <w:t xml:space="preserve"> </w:t>
      </w:r>
      <w:r>
        <w:rPr>
          <w:rStyle w:val="OperatorTok"/>
        </w:rPr>
        <w:t xml:space="preserve">(</w:t>
      </w:r>
      <w:r>
        <w:rPr>
          <w:rStyle w:val="StringTok"/>
        </w:rPr>
        <w:t xml:space="preserve">"{0}.cer"</w:t>
      </w:r>
      <w:r>
        <w:rPr>
          <w:rStyle w:val="NormalTok"/>
        </w:rPr>
        <w:t xml:space="preserve"> </w:t>
      </w:r>
      <w:r>
        <w:rPr>
          <w:rStyle w:val="OperatorTok"/>
        </w:rPr>
        <w:t xml:space="preserve">-</w:t>
      </w:r>
      <w:r>
        <w:rPr>
          <w:rStyle w:val="NormalTok"/>
        </w:rPr>
        <w:t xml:space="preserve">f </w:t>
      </w:r>
      <w:r>
        <w:rPr>
          <w:rStyle w:val="OperatorTok"/>
        </w:rPr>
        <w:t xml:space="preserve">(</w:t>
      </w:r>
      <w:r>
        <w:rPr>
          <w:rStyle w:val="VariableTok"/>
        </w:rPr>
        <w:t xml:space="preserve">$ca</w:t>
      </w:r>
      <w:r>
        <w:rPr>
          <w:rStyle w:val="OperatorTok"/>
        </w:rPr>
        <w:t xml:space="preserve">.</w:t>
      </w:r>
      <w:r>
        <w:rPr>
          <w:rStyle w:val="FunctionTok"/>
        </w:rPr>
        <w:t xml:space="preserve">cn</w:t>
      </w:r>
      <w:r>
        <w:rPr>
          <w:rStyle w:val="NormalTok"/>
        </w:rPr>
        <w:t xml:space="preserve"> </w:t>
      </w:r>
      <w:r>
        <w:rPr>
          <w:rStyle w:val="OperatorTok"/>
        </w:rPr>
        <w:t xml:space="preserve">-replace</w:t>
      </w:r>
      <w:r>
        <w:rPr>
          <w:rStyle w:val="NormalTok"/>
        </w:rPr>
        <w:t xml:space="preserve"> </w:t>
      </w:r>
      <w:r>
        <w:rPr>
          <w:rStyle w:val="StringTok"/>
        </w:rPr>
        <w:t xml:space="preserve">'[^\w\-]'</w:t>
      </w:r>
      <w:r>
        <w:rPr>
          <w:rStyle w:val="OperatorTok"/>
        </w:rPr>
        <w:t xml:space="preserve">,</w:t>
      </w:r>
      <w:r>
        <w:rPr>
          <w:rStyle w:val="NormalTok"/>
        </w:rPr>
        <w:t xml:space="preserve"> </w:t>
      </w:r>
      <w:r>
        <w:rPr>
          <w:rStyle w:val="StringTok"/>
        </w:rPr>
        <w:t xml:space="preserve">'_'</w:t>
      </w:r>
      <w:r>
        <w:rPr>
          <w:rStyle w:val="OperatorTok"/>
        </w:rPr>
        <w:t xml:space="preserve">))</w:t>
      </w:r>
      <w:r>
        <w:br/>
      </w:r>
      <w:r>
        <w:rPr>
          <w:rStyle w:val="NormalTok"/>
        </w:rPr>
        <w:t xml:space="preserve">        </w:t>
      </w:r>
      <w:r>
        <w:rPr>
          <w:rStyle w:val="VariableTok"/>
        </w:rPr>
        <w:t xml:space="preserve">$cert</w:t>
      </w:r>
      <w:r>
        <w:rPr>
          <w:rStyle w:val="NormalTok"/>
        </w:rPr>
        <w:t xml:space="preserve"> </w:t>
      </w:r>
      <w:r>
        <w:rPr>
          <w:rStyle w:val="OperatorTok"/>
        </w:rPr>
        <w:t xml:space="preserve">=</w:t>
      </w:r>
      <w:r>
        <w:rPr>
          <w:rStyle w:val="NormalTok"/>
        </w:rPr>
        <w:t xml:space="preserve"> </w:t>
      </w:r>
      <w:r>
        <w:rPr>
          <w:rStyle w:val="VariableTok"/>
        </w:rPr>
        <w:t xml:space="preserve">$null</w:t>
      </w:r>
      <w:r>
        <w:br/>
      </w:r>
      <w:r>
        <w:rPr>
          <w:rStyle w:val="NormalTok"/>
        </w:rPr>
        <w:t xml:space="preserve">        </w:t>
      </w:r>
      <w:r>
        <w:rPr>
          <w:rStyle w:val="OperatorTok"/>
        </w:rPr>
        <w:t xml:space="preserve">&amp;</w:t>
      </w:r>
      <w:r>
        <w:rPr>
          <w:rStyle w:val="NormalTok"/>
        </w:rPr>
        <w:t xml:space="preserve"> certutil</w:t>
      </w:r>
      <w:r>
        <w:rPr>
          <w:rStyle w:val="OperatorTok"/>
        </w:rPr>
        <w:t xml:space="preserve">.</w:t>
      </w:r>
      <w:r>
        <w:rPr>
          <w:rStyle w:val="FunctionTok"/>
        </w:rPr>
        <w:t xml:space="preserve">exe</w:t>
      </w:r>
      <w:r>
        <w:rPr>
          <w:rStyle w:val="NormalTok"/>
        </w:rPr>
        <w:t xml:space="preserve"> </w:t>
      </w:r>
      <w:r>
        <w:rPr>
          <w:rStyle w:val="OperatorTok"/>
        </w:rPr>
        <w:t xml:space="preserve">-</w:t>
      </w:r>
      <w:r>
        <w:rPr>
          <w:rStyle w:val="NormalTok"/>
        </w:rPr>
        <w:t xml:space="preserve">config </w:t>
      </w:r>
      <w:r>
        <w:rPr>
          <w:rStyle w:val="VariableTok"/>
        </w:rPr>
        <w:t xml:space="preserve">$config</w:t>
      </w:r>
      <w:r>
        <w:rPr>
          <w:rStyle w:val="NormalTok"/>
        </w:rPr>
        <w:t xml:space="preserve"> </w:t>
      </w:r>
      <w:r>
        <w:rPr>
          <w:rStyle w:val="OperatorTok"/>
        </w:rPr>
        <w:t xml:space="preserve">-</w:t>
      </w:r>
      <w:r>
        <w:rPr>
          <w:rStyle w:val="NormalTok"/>
        </w:rPr>
        <w:t xml:space="preserve">ca</w:t>
      </w:r>
      <w:r>
        <w:rPr>
          <w:rStyle w:val="OperatorTok"/>
        </w:rPr>
        <w:t xml:space="preserve">.</w:t>
      </w:r>
      <w:r>
        <w:rPr>
          <w:rStyle w:val="FunctionTok"/>
        </w:rPr>
        <w:t xml:space="preserve">cert</w:t>
      </w:r>
      <w:r>
        <w:rPr>
          <w:rStyle w:val="NormalTok"/>
        </w:rPr>
        <w:t xml:space="preserve"> </w:t>
      </w:r>
      <w:r>
        <w:rPr>
          <w:rStyle w:val="VariableTok"/>
        </w:rPr>
        <w:t xml:space="preserve">$certFile</w:t>
      </w:r>
      <w:r>
        <w:rPr>
          <w:rStyle w:val="NormalTok"/>
        </w:rPr>
        <w:t xml:space="preserve"> </w:t>
      </w:r>
      <w:r>
        <w:rPr>
          <w:rStyle w:val="DecValTok"/>
        </w:rPr>
        <w:t xml:space="preserve">2</w:t>
      </w:r>
      <w:r>
        <w:rPr>
          <w:rStyle w:val="OperatorTok"/>
        </w:rPr>
        <w:t xml:space="preserve">&gt;&amp;</w:t>
      </w:r>
      <w:r>
        <w:rPr>
          <w:rStyle w:val="DecValTok"/>
        </w:rPr>
        <w:t xml:space="preserve">1</w:t>
      </w:r>
      <w:r>
        <w:rPr>
          <w:rStyle w:val="NormalTok"/>
        </w:rPr>
        <w:t xml:space="preserve"> </w:t>
      </w:r>
      <w:r>
        <w:rPr>
          <w:rStyle w:val="OperatorTok"/>
        </w:rPr>
        <w:t xml:space="preserve">|</w:t>
      </w:r>
      <w:r>
        <w:rPr>
          <w:rStyle w:val="NormalTok"/>
        </w:rPr>
        <w:t xml:space="preserve"> </w:t>
      </w:r>
      <w:r>
        <w:rPr>
          <w:rStyle w:val="FunctionTok"/>
        </w:rPr>
        <w:t xml:space="preserve">Out-Null</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$LASTEXITCODE</w:t>
      </w:r>
      <w:r>
        <w:rPr>
          <w:rStyle w:val="NormalTok"/>
        </w:rPr>
        <w:t xml:space="preserve"> </w:t>
      </w:r>
      <w:r>
        <w:rPr>
          <w:rStyle w:val="OperatorTok"/>
        </w:rPr>
        <w:t xml:space="preserve">-eq</w:t>
      </w:r>
      <w:r>
        <w:rPr>
          <w:rStyle w:val="NormalTok"/>
        </w:rPr>
        <w:t xml:space="preserve"> </w:t>
      </w:r>
      <w:r>
        <w:rPr>
          <w:rStyle w:val="DecValTok"/>
        </w:rPr>
        <w:t xml:space="preserve">0</w:t>
      </w:r>
      <w:r>
        <w:rPr>
          <w:rStyle w:val="NormalTok"/>
        </w:rPr>
        <w:t xml:space="preserve"> </w:t>
      </w:r>
      <w:r>
        <w:rPr>
          <w:rStyle w:val="OperatorTok"/>
        </w:rPr>
        <w:t xml:space="preserve">-and</w:t>
      </w:r>
      <w:r>
        <w:rPr>
          <w:rStyle w:val="NormalTok"/>
        </w:rPr>
        <w:t xml:space="preserve"> </w:t>
      </w:r>
      <w:r>
        <w:rPr>
          <w:rStyle w:val="OperatorTok"/>
        </w:rPr>
        <w:t xml:space="preserve">(</w:t>
      </w:r>
      <w:r>
        <w:rPr>
          <w:rStyle w:val="FunctionTok"/>
        </w:rPr>
        <w:t xml:space="preserve">Test-Path</w:t>
      </w:r>
      <w:r>
        <w:rPr>
          <w:rStyle w:val="NormalTok"/>
        </w:rPr>
        <w:t xml:space="preserve"> </w:t>
      </w:r>
      <w:r>
        <w:rPr>
          <w:rStyle w:val="VariableTok"/>
        </w:rPr>
        <w:t xml:space="preserve">$certFile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$cert</w:t>
      </w:r>
      <w:r>
        <w:rPr>
          <w:rStyle w:val="NormalTok"/>
        </w:rPr>
        <w:t xml:space="preserve"> </w:t>
      </w:r>
      <w:r>
        <w:rPr>
          <w:rStyle w:val="OperatorTok"/>
        </w:rPr>
        <w:t xml:space="preserve">=</w:t>
      </w:r>
      <w:r>
        <w:rPr>
          <w:rStyle w:val="NormalTok"/>
        </w:rPr>
        <w:t xml:space="preserve"> </w:t>
      </w:r>
      <w:r>
        <w:rPr>
          <w:rStyle w:val="FunctionTok"/>
        </w:rPr>
        <w:t xml:space="preserve">New-Object</w:t>
      </w:r>
      <w:r>
        <w:rPr>
          <w:rStyle w:val="NormalTok"/>
        </w:rPr>
        <w:t xml:space="preserve"> System</w:t>
      </w:r>
      <w:r>
        <w:rPr>
          <w:rStyle w:val="OperatorTok"/>
        </w:rPr>
        <w:t xml:space="preserve">.</w:t>
      </w:r>
      <w:r>
        <w:rPr>
          <w:rStyle w:val="FunctionTok"/>
        </w:rPr>
        <w:t xml:space="preserve">Security</w:t>
      </w:r>
      <w:r>
        <w:rPr>
          <w:rStyle w:val="OperatorTok"/>
        </w:rPr>
        <w:t xml:space="preserve">.</w:t>
      </w:r>
      <w:r>
        <w:rPr>
          <w:rStyle w:val="FunctionTok"/>
        </w:rPr>
        <w:t xml:space="preserve">Cryptography</w:t>
      </w:r>
      <w:r>
        <w:rPr>
          <w:rStyle w:val="OperatorTok"/>
        </w:rPr>
        <w:t xml:space="preserve">.</w:t>
      </w:r>
      <w:r>
        <w:rPr>
          <w:rStyle w:val="FunctionTok"/>
        </w:rPr>
        <w:t xml:space="preserve">X509Certificates</w:t>
      </w:r>
      <w:r>
        <w:rPr>
          <w:rStyle w:val="OperatorTok"/>
        </w:rPr>
        <w:t xml:space="preserve">.</w:t>
      </w:r>
      <w:r>
        <w:rPr>
          <w:rStyle w:val="FunctionTok"/>
        </w:rPr>
        <w:t xml:space="preserve">X509Certificate2</w:t>
      </w:r>
      <w:r>
        <w:rPr>
          <w:rStyle w:val="NormalTok"/>
        </w:rPr>
        <w:t xml:space="preserve"> </w:t>
      </w:r>
      <w:r>
        <w:rPr>
          <w:rStyle w:val="OperatorTok"/>
        </w:rPr>
        <w:t xml:space="preserve">-</w:t>
      </w:r>
      <w:r>
        <w:rPr>
          <w:rStyle w:val="NormalTok"/>
        </w:rPr>
        <w:t xml:space="preserve">ArgumentList </w:t>
      </w:r>
      <w:r>
        <w:rPr>
          <w:rStyle w:val="VariableTok"/>
        </w:rPr>
        <w:t xml:space="preserve">$certFile</w:t>
      </w:r>
      <w:r>
        <w:br/>
      </w:r>
      <w:r>
        <w:rPr>
          <w:rStyle w:val="NormalTok"/>
        </w:rPr>
        <w:t xml:space="preserve">        </w:t>
      </w:r>
      <w:r>
        <w:rPr>
          <w:rStyle w:val="OperatorTok"/>
        </w:rPr>
        <w:t xml:space="preserve">}</w:t>
      </w:r>
      <w:r>
        <w:br/>
      </w:r>
      <w:r>
        <w:rPr>
          <w:rStyle w:val="NormalTok"/>
        </w:rPr>
        <w:t xml:space="preserve">        </w:t>
      </w:r>
      <w:r>
        <w:rPr>
          <w:rStyle w:val="VariableTok"/>
        </w:rPr>
        <w:t xml:space="preserve">$keySize</w:t>
      </w:r>
      <w:r>
        <w:rPr>
          <w:rStyle w:val="NormalTok"/>
        </w:rPr>
        <w:t xml:space="preserve"> </w:t>
      </w:r>
      <w:r>
        <w:rPr>
          <w:rStyle w:val="OperatorTok"/>
        </w:rPr>
        <w:t xml:space="preserve">=</w:t>
      </w:r>
      <w:r>
        <w:rPr>
          <w:rStyle w:val="NormalTok"/>
        </w:rPr>
        <w:t xml:space="preserve"> </w:t>
      </w:r>
      <w:r>
        <w:rPr>
          <w:rStyle w:val="VariableTok"/>
        </w:rPr>
        <w:t xml:space="preserve">$null</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$cert</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try</w:t>
      </w:r>
      <w:r>
        <w:rPr>
          <w:rStyle w:val="NormalTok"/>
        </w:rPr>
        <w:t xml:space="preserve"> </w:t>
      </w:r>
      <w:r>
        <w:rPr>
          <w:rStyle w:val="OperatorTok"/>
        </w:rPr>
        <w:t xml:space="preserve">{</w:t>
      </w:r>
      <w:r>
        <w:rPr>
          <w:rStyle w:val="NormalTok"/>
        </w:rPr>
        <w:t xml:space="preserve"> </w:t>
      </w:r>
      <w:r>
        <w:rPr>
          <w:rStyle w:val="VariableTok"/>
        </w:rPr>
        <w:t xml:space="preserve">$keySize</w:t>
      </w:r>
      <w:r>
        <w:rPr>
          <w:rStyle w:val="NormalTok"/>
        </w:rPr>
        <w:t xml:space="preserve"> </w:t>
      </w:r>
      <w:r>
        <w:rPr>
          <w:rStyle w:val="OperatorTok"/>
        </w:rPr>
        <w:t xml:space="preserve">=</w:t>
      </w:r>
      <w:r>
        <w:rPr>
          <w:rStyle w:val="NormalTok"/>
        </w:rPr>
        <w:t xml:space="preserve"> </w:t>
      </w:r>
      <w:r>
        <w:rPr>
          <w:rStyle w:val="VariableTok"/>
        </w:rPr>
        <w:t xml:space="preserve">$cert</w:t>
      </w:r>
      <w:r>
        <w:rPr>
          <w:rStyle w:val="OperatorTok"/>
        </w:rPr>
        <w:t xml:space="preserve">.</w:t>
      </w:r>
      <w:r>
        <w:rPr>
          <w:rStyle w:val="FunctionTok"/>
        </w:rPr>
        <w:t xml:space="preserve">PublicKey</w:t>
      </w:r>
      <w:r>
        <w:rPr>
          <w:rStyle w:val="OperatorTok"/>
        </w:rPr>
        <w:t xml:space="preserve">.</w:t>
      </w:r>
      <w:r>
        <w:rPr>
          <w:rStyle w:val="FunctionTok"/>
        </w:rPr>
        <w:t xml:space="preserve">Key</w:t>
      </w:r>
      <w:r>
        <w:rPr>
          <w:rStyle w:val="OperatorTok"/>
        </w:rPr>
        <w:t xml:space="preserve">.</w:t>
      </w:r>
      <w:r>
        <w:rPr>
          <w:rStyle w:val="FunctionTok"/>
        </w:rPr>
        <w:t xml:space="preserve">KeySize</w:t>
      </w:r>
      <w:r>
        <w:rPr>
          <w:rStyle w:val="NormalTok"/>
        </w:rPr>
        <w:t xml:space="preserve"> </w:t>
      </w:r>
      <w:r>
        <w:rPr>
          <w:rStyle w:val="OperatorTok"/>
        </w:rPr>
        <w:t xml:space="preserve">}</w:t>
      </w:r>
      <w:r>
        <w:rPr>
          <w:rStyle w:val="NormalTok"/>
        </w:rPr>
        <w:t xml:space="preserve"> </w:t>
      </w:r>
      <w:r>
        <w:rPr>
          <w:rStyle w:val="ControlFlowTok"/>
        </w:rPr>
        <w:t xml:space="preserve">catch</w:t>
      </w:r>
      <w:r>
        <w:rPr>
          <w:rStyle w:val="NormalTok"/>
        </w:rPr>
        <w:t xml:space="preserve"> </w:t>
      </w:r>
      <w:r>
        <w:rPr>
          <w:rStyle w:val="OperatorTok"/>
        </w:rPr>
        <w:t xml:space="preserve">{</w:t>
      </w:r>
      <w:r>
        <w:rPr>
          <w:rStyle w:val="NormalTok"/>
        </w:rPr>
        <w:t xml:space="preserve"> </w:t>
      </w:r>
      <w:r>
        <w:rPr>
          <w:rStyle w:val="VariableTok"/>
        </w:rPr>
        <w:t xml:space="preserve">$keySize</w:t>
      </w:r>
      <w:r>
        <w:rPr>
          <w:rStyle w:val="NormalTok"/>
        </w:rPr>
        <w:t xml:space="preserve"> </w:t>
      </w:r>
      <w:r>
        <w:rPr>
          <w:rStyle w:val="OperatorTok"/>
        </w:rPr>
        <w:t xml:space="preserve">=</w:t>
      </w:r>
      <w:r>
        <w:rPr>
          <w:rStyle w:val="NormalTok"/>
        </w:rPr>
        <w:t xml:space="preserve"> </w:t>
      </w:r>
      <w:r>
        <w:rPr>
          <w:rStyle w:val="VariableTok"/>
        </w:rPr>
        <w:t xml:space="preserve">$null</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CAName             </w:t>
      </w:r>
      <w:r>
        <w:rPr>
          <w:rStyle w:val="OperatorTok"/>
        </w:rPr>
        <w:t xml:space="preserve">=</w:t>
      </w:r>
      <w:r>
        <w:rPr>
          <w:rStyle w:val="NormalTok"/>
        </w:rPr>
        <w:t xml:space="preserve"> </w:t>
      </w:r>
      <w:r>
        <w:rPr>
          <w:rStyle w:val="VariableTok"/>
        </w:rPr>
        <w:t xml:space="preserve">$ca</w:t>
      </w:r>
      <w:r>
        <w:rPr>
          <w:rStyle w:val="OperatorTok"/>
        </w:rPr>
        <w:t xml:space="preserve">.</w:t>
      </w:r>
      <w:r>
        <w:rPr>
          <w:rStyle w:val="FunctionTok"/>
        </w:rPr>
        <w:t xml:space="preserve">cn</w:t>
      </w:r>
      <w:r>
        <w:br/>
      </w:r>
      <w:r>
        <w:rPr>
          <w:rStyle w:val="NormalTok"/>
        </w:rPr>
        <w:t xml:space="preserve">            DisplayName        </w:t>
      </w:r>
      <w:r>
        <w:rPr>
          <w:rStyle w:val="OperatorTok"/>
        </w:rPr>
        <w:t xml:space="preserve">=</w:t>
      </w:r>
      <w:r>
        <w:rPr>
          <w:rStyle w:val="NormalTok"/>
        </w:rPr>
        <w:t xml:space="preserve"> </w:t>
      </w:r>
      <w:r>
        <w:rPr>
          <w:rStyle w:val="VariableTok"/>
        </w:rPr>
        <w:t xml:space="preserve">$ca</w:t>
      </w:r>
      <w:r>
        <w:rPr>
          <w:rStyle w:val="OperatorTok"/>
        </w:rPr>
        <w:t xml:space="preserve">.</w:t>
      </w:r>
      <w:r>
        <w:rPr>
          <w:rStyle w:val="FunctionTok"/>
        </w:rPr>
        <w:t xml:space="preserve">displayName</w:t>
      </w:r>
      <w:r>
        <w:br/>
      </w:r>
      <w:r>
        <w:rPr>
          <w:rStyle w:val="NormalTok"/>
        </w:rPr>
        <w:t xml:space="preserve">            ComputerName       </w:t>
      </w:r>
      <w:r>
        <w:rPr>
          <w:rStyle w:val="OperatorTok"/>
        </w:rPr>
        <w:t xml:space="preserve">=</w:t>
      </w:r>
      <w:r>
        <w:rPr>
          <w:rStyle w:val="NormalTok"/>
        </w:rPr>
        <w:t xml:space="preserve"> </w:t>
      </w:r>
      <w:r>
        <w:rPr>
          <w:rStyle w:val="VariableTok"/>
        </w:rPr>
        <w:t xml:space="preserve">$ca</w:t>
      </w:r>
      <w:r>
        <w:rPr>
          <w:rStyle w:val="OperatorTok"/>
        </w:rPr>
        <w:t xml:space="preserve">.</w:t>
      </w:r>
      <w:r>
        <w:rPr>
          <w:rStyle w:val="FunctionTok"/>
        </w:rPr>
        <w:t xml:space="preserve">dNSHostName</w:t>
      </w:r>
      <w:r>
        <w:br/>
      </w:r>
      <w:r>
        <w:rPr>
          <w:rStyle w:val="NormalTok"/>
        </w:rPr>
        <w:t xml:space="preserve">            ConfigString       </w:t>
      </w:r>
      <w:r>
        <w:rPr>
          <w:rStyle w:val="OperatorTok"/>
        </w:rPr>
        <w:t xml:space="preserve">=</w:t>
      </w:r>
      <w:r>
        <w:rPr>
          <w:rStyle w:val="NormalTok"/>
        </w:rPr>
        <w:t xml:space="preserve"> </w:t>
      </w:r>
      <w:r>
        <w:rPr>
          <w:rStyle w:val="VariableTok"/>
        </w:rPr>
        <w:t xml:space="preserve">$config</w:t>
      </w:r>
      <w:r>
        <w:br/>
      </w:r>
      <w:r>
        <w:rPr>
          <w:rStyle w:val="NormalTok"/>
        </w:rPr>
        <w:t xml:space="preserve">            PublishedTemplates </w:t>
      </w:r>
      <w:r>
        <w:rPr>
          <w:rStyle w:val="OperatorTok"/>
        </w:rPr>
        <w:t xml:space="preserve">=</w:t>
      </w:r>
      <w:r>
        <w:rPr>
          <w:rStyle w:val="NormalTok"/>
        </w:rPr>
        <w:t xml:space="preserve"> </w:t>
      </w:r>
      <w:r>
        <w:rPr>
          <w:rStyle w:val="OperatorTok"/>
        </w:rPr>
        <w:t xml:space="preserve">@(</w:t>
      </w:r>
      <w:r>
        <w:rPr>
          <w:rStyle w:val="VariableTok"/>
        </w:rPr>
        <w:t xml:space="preserve">$ca</w:t>
      </w:r>
      <w:r>
        <w:rPr>
          <w:rStyle w:val="OperatorTok"/>
        </w:rPr>
        <w:t xml:space="preserve">.</w:t>
      </w:r>
      <w:r>
        <w:rPr>
          <w:rStyle w:val="FunctionTok"/>
        </w:rPr>
        <w:t xml:space="preserve">certificateTemplates</w:t>
      </w:r>
      <w:r>
        <w:rPr>
          <w:rStyle w:val="OperatorTok"/>
        </w:rPr>
        <w:t xml:space="preserve">)</w:t>
      </w:r>
      <w:r>
        <w:br/>
      </w:r>
      <w:r>
        <w:rPr>
          <w:rStyle w:val="NormalTok"/>
        </w:rPr>
        <w:t xml:space="preserve">            CertSubject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$cert</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$cert</w:t>
      </w:r>
      <w:r>
        <w:rPr>
          <w:rStyle w:val="OperatorTok"/>
        </w:rPr>
        <w:t xml:space="preserve">.</w:t>
      </w:r>
      <w:r>
        <w:rPr>
          <w:rStyle w:val="FunctionTok"/>
        </w:rPr>
        <w:t xml:space="preserve">Subject</w:t>
      </w:r>
      <w:r>
        <w:rPr>
          <w:rStyle w:val="NormalTok"/>
        </w:rPr>
        <w:t xml:space="preserve"> </w:t>
      </w:r>
      <w:r>
        <w:rPr>
          <w:rStyle w:val="OperatorTok"/>
        </w:rPr>
        <w:t xml:space="preserve">}</w:t>
      </w:r>
      <w:r>
        <w:br/>
      </w:r>
      <w:r>
        <w:rPr>
          <w:rStyle w:val="NormalTok"/>
        </w:rPr>
        <w:t xml:space="preserve">            NotBefore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$cert</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$cert</w:t>
      </w:r>
      <w:r>
        <w:rPr>
          <w:rStyle w:val="OperatorTok"/>
        </w:rPr>
        <w:t xml:space="preserve">.</w:t>
      </w:r>
      <w:r>
        <w:rPr>
          <w:rStyle w:val="FunctionTok"/>
        </w:rPr>
        <w:t xml:space="preserve">NotBefore</w:t>
      </w:r>
      <w:r>
        <w:rPr>
          <w:rStyle w:val="OperatorTok"/>
        </w:rPr>
        <w:t xml:space="preserve">.</w:t>
      </w:r>
      <w:r>
        <w:rPr>
          <w:rStyle w:val="FunctionTok"/>
        </w:rPr>
        <w:t xml:space="preserve">ToString</w:t>
      </w:r>
      <w:r>
        <w:rPr>
          <w:rStyle w:val="OperatorTok"/>
        </w:rPr>
        <w:t xml:space="preserve">(</w:t>
      </w:r>
      <w:r>
        <w:rPr>
          <w:rStyle w:val="StringTok"/>
        </w:rPr>
        <w:t xml:space="preserve">'o'</w:t>
      </w:r>
      <w:r>
        <w:rPr>
          <w:rStyle w:val="OperatorTok"/>
        </w:rPr>
        <w:t xml:space="preserve">)</w:t>
      </w:r>
      <w:r>
        <w:rPr>
          <w:rStyle w:val="NormalTok"/>
        </w:rPr>
        <w:t xml:space="preserve"> </w:t>
      </w:r>
      <w:r>
        <w:rPr>
          <w:rStyle w:val="OperatorTok"/>
        </w:rPr>
        <w:t xml:space="preserve">}</w:t>
      </w:r>
      <w:r>
        <w:br/>
      </w:r>
      <w:r>
        <w:rPr>
          <w:rStyle w:val="NormalTok"/>
        </w:rPr>
        <w:t xml:space="preserve">            NotAfter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$cert</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$cert</w:t>
      </w:r>
      <w:r>
        <w:rPr>
          <w:rStyle w:val="OperatorTok"/>
        </w:rPr>
        <w:t xml:space="preserve">.</w:t>
      </w:r>
      <w:r>
        <w:rPr>
          <w:rStyle w:val="FunctionTok"/>
        </w:rPr>
        <w:t xml:space="preserve">NotAfter</w:t>
      </w:r>
      <w:r>
        <w:rPr>
          <w:rStyle w:val="OperatorTok"/>
        </w:rPr>
        <w:t xml:space="preserve">.</w:t>
      </w:r>
      <w:r>
        <w:rPr>
          <w:rStyle w:val="FunctionTok"/>
        </w:rPr>
        <w:t xml:space="preserve">ToString</w:t>
      </w:r>
      <w:r>
        <w:rPr>
          <w:rStyle w:val="OperatorTok"/>
        </w:rPr>
        <w:t xml:space="preserve">(</w:t>
      </w:r>
      <w:r>
        <w:rPr>
          <w:rStyle w:val="StringTok"/>
        </w:rPr>
        <w:t xml:space="preserve">'o'</w:t>
      </w:r>
      <w:r>
        <w:rPr>
          <w:rStyle w:val="OperatorTok"/>
        </w:rPr>
        <w:t xml:space="preserve">)</w:t>
      </w:r>
      <w:r>
        <w:rPr>
          <w:rStyle w:val="NormalTok"/>
        </w:rPr>
        <w:t xml:space="preserve"> </w:t>
      </w:r>
      <w:r>
        <w:rPr>
          <w:rStyle w:val="OperatorTok"/>
        </w:rPr>
        <w:t xml:space="preserve">}</w:t>
      </w:r>
      <w:r>
        <w:br/>
      </w:r>
      <w:r>
        <w:rPr>
          <w:rStyle w:val="NormalTok"/>
        </w:rPr>
        <w:t xml:space="preserve">            KeySize            </w:t>
      </w:r>
      <w:r>
        <w:rPr>
          <w:rStyle w:val="OperatorTok"/>
        </w:rPr>
        <w:t xml:space="preserve">=</w:t>
      </w:r>
      <w:r>
        <w:rPr>
          <w:rStyle w:val="NormalTok"/>
        </w:rPr>
        <w:t xml:space="preserve"> </w:t>
      </w:r>
      <w:r>
        <w:rPr>
          <w:rStyle w:val="VariableTok"/>
        </w:rPr>
        <w:t xml:space="preserve">$keySize</w:t>
      </w:r>
      <w:r>
        <w:br/>
      </w:r>
      <w:r>
        <w:rPr>
          <w:rStyle w:val="NormalTok"/>
        </w:rPr>
        <w:t xml:space="preserve">            SignatureAlgorithm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$cert</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$cert</w:t>
      </w:r>
      <w:r>
        <w:rPr>
          <w:rStyle w:val="OperatorTok"/>
        </w:rPr>
        <w:t xml:space="preserve">.</w:t>
      </w:r>
      <w:r>
        <w:rPr>
          <w:rStyle w:val="FunctionTok"/>
        </w:rPr>
        <w:t xml:space="preserve">SignatureAlgorithm</w:t>
      </w:r>
      <w:r>
        <w:rPr>
          <w:rStyle w:val="OperatorTok"/>
        </w:rPr>
        <w:t xml:space="preserve">.</w:t>
      </w:r>
      <w:r>
        <w:rPr>
          <w:rStyle w:val="FunctionTok"/>
        </w:rPr>
        <w:t xml:space="preserve">FriendlyName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$templates</w:t>
      </w:r>
      <w:r>
        <w:rPr>
          <w:rStyle w:val="NormalTok"/>
        </w:rPr>
        <w:t xml:space="preserve"> </w:t>
      </w:r>
      <w:r>
        <w:rPr>
          <w:rStyle w:val="OperatorTok"/>
        </w:rPr>
        <w:t xml:space="preserve">=</w:t>
      </w:r>
      <w:r>
        <w:rPr>
          <w:rStyle w:val="NormalTok"/>
        </w:rPr>
        <w:t xml:space="preserve"> </w:t>
      </w:r>
      <w:r>
        <w:rPr>
          <w:rStyle w:val="VariableTok"/>
        </w:rPr>
        <w:t xml:space="preserve">$pki</w:t>
      </w:r>
      <w:r>
        <w:rPr>
          <w:rStyle w:val="OperatorTok"/>
        </w:rPr>
        <w:t xml:space="preserve">.</w:t>
      </w:r>
      <w:r>
        <w:rPr>
          <w:rStyle w:val="FunctionTok"/>
        </w:rPr>
        <w:t xml:space="preserve">Templates</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'Name'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cn</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'DisplayName'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displayName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'OID'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StringTok"/>
        </w:rPr>
        <w:t xml:space="preserve">'msPKI-Cert-Template-OID'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'SchemaVersion'</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StringTok"/>
        </w:rPr>
        <w:t xml:space="preserve">'msPKI-Template-Schema-Version'</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'NameFlag'</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StringTok"/>
        </w:rPr>
        <w:t xml:space="preserve">'msPKI-Certificate-Name-Flag'</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'EnrollmentFlag'</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StringTok"/>
        </w:rPr>
        <w:t xml:space="preserve">'msPKI-Enrollment-Flag'</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'RASignatures'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StringTok"/>
        </w:rPr>
        <w:t xml:space="preserve">'msPKI-RA-Signature'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'EKU'</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pKIExtendedKeyUsage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StringTok"/>
        </w:rPr>
        <w:t xml:space="preserve">'msPKI-Certificate-Application-Policy'</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CommentTok"/>
        </w:rPr>
        <w:t xml:space="preserve"># CRL and AIA publication objects in the directory; HTTP and file locations are in each CA's registry.</w:t>
      </w:r>
      <w:r>
        <w:br/>
      </w:r>
      <w:r>
        <w:rPr>
          <w:rStyle w:val="NormalTok"/>
        </w:rPr>
        <w:t xml:space="preserve">    </w:t>
      </w:r>
      <w:r>
        <w:rPr>
          <w:rStyle w:val="VariableTok"/>
        </w:rPr>
        <w:t xml:space="preserve">$cdp</w:t>
      </w:r>
      <w:r>
        <w:rPr>
          <w:rStyle w:val="NormalTok"/>
        </w:rPr>
        <w:t xml:space="preserve"> </w:t>
      </w:r>
      <w:r>
        <w:rPr>
          <w:rStyle w:val="OperatorTok"/>
        </w:rPr>
        <w:t xml:space="preserve">=</w:t>
      </w:r>
      <w:r>
        <w:rPr>
          <w:rStyle w:val="NormalTok"/>
        </w:rPr>
        <w:t xml:space="preserve"> </w:t>
      </w:r>
      <w:r>
        <w:rPr>
          <w:rStyle w:val="FunctionTok"/>
        </w:rPr>
        <w:t xml:space="preserve">Get-ADObject</w:t>
      </w:r>
      <w:r>
        <w:rPr>
          <w:rStyle w:val="NormalTok"/>
        </w:rPr>
        <w:t xml:space="preserve"> </w:t>
      </w:r>
      <w:r>
        <w:rPr>
          <w:rStyle w:val="OperatorTok"/>
        </w:rPr>
        <w:t xml:space="preserve">-</w:t>
      </w:r>
      <w:r>
        <w:rPr>
          <w:rStyle w:val="NormalTok"/>
        </w:rPr>
        <w:t xml:space="preserve">SearchBase </w:t>
      </w:r>
      <w:r>
        <w:rPr>
          <w:rStyle w:val="StringTok"/>
        </w:rPr>
        <w:t xml:space="preserve">"CN=CDP,</w:t>
      </w:r>
      <w:r>
        <w:rPr>
          <w:rStyle w:val="OperatorTok"/>
        </w:rPr>
        <w:t xml:space="preserve">$(</w:t>
      </w:r>
      <w:r>
        <w:rPr>
          <w:rStyle w:val="VariableTok"/>
        </w:rPr>
        <w:t xml:space="preserve">$pki</w:t>
      </w:r>
      <w:r>
        <w:rPr>
          <w:rStyle w:val="OperatorTok"/>
        </w:rPr>
        <w:t xml:space="preserve">.</w:t>
      </w:r>
      <w:r>
        <w:rPr>
          <w:rStyle w:val="FunctionTok"/>
        </w:rPr>
        <w:t xml:space="preserve">PksDN</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LDAPFilter </w:t>
      </w:r>
      <w:r>
        <w:rPr>
          <w:rStyle w:val="StringTok"/>
        </w:rPr>
        <w:t xml:space="preserve">'(objectClass=cRLDistributionPoint)'</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DistinguishedName</w:t>
      </w:r>
      <w:r>
        <w:br/>
      </w:r>
      <w:r>
        <w:rPr>
          <w:rStyle w:val="NormalTok"/>
        </w:rPr>
        <w:t xml:space="preserve">    </w:t>
      </w:r>
      <w:r>
        <w:rPr>
          <w:rStyle w:val="VariableTok"/>
        </w:rPr>
        <w:t xml:space="preserve">$aia</w:t>
      </w:r>
      <w:r>
        <w:rPr>
          <w:rStyle w:val="NormalTok"/>
        </w:rPr>
        <w:t xml:space="preserve"> </w:t>
      </w:r>
      <w:r>
        <w:rPr>
          <w:rStyle w:val="OperatorTok"/>
        </w:rPr>
        <w:t xml:space="preserve">=</w:t>
      </w:r>
      <w:r>
        <w:rPr>
          <w:rStyle w:val="NormalTok"/>
        </w:rPr>
        <w:t xml:space="preserve"> </w:t>
      </w:r>
      <w:r>
        <w:rPr>
          <w:rStyle w:val="FunctionTok"/>
        </w:rPr>
        <w:t xml:space="preserve">Get-ADObject</w:t>
      </w:r>
      <w:r>
        <w:rPr>
          <w:rStyle w:val="NormalTok"/>
        </w:rPr>
        <w:t xml:space="preserve"> </w:t>
      </w:r>
      <w:r>
        <w:rPr>
          <w:rStyle w:val="OperatorTok"/>
        </w:rPr>
        <w:t xml:space="preserve">-</w:t>
      </w:r>
      <w:r>
        <w:rPr>
          <w:rStyle w:val="NormalTok"/>
        </w:rPr>
        <w:t xml:space="preserve">SearchBase </w:t>
      </w:r>
      <w:r>
        <w:rPr>
          <w:rStyle w:val="StringTok"/>
        </w:rPr>
        <w:t xml:space="preserve">"CN=AIA,</w:t>
      </w:r>
      <w:r>
        <w:rPr>
          <w:rStyle w:val="OperatorTok"/>
        </w:rPr>
        <w:t xml:space="preserve">$(</w:t>
      </w:r>
      <w:r>
        <w:rPr>
          <w:rStyle w:val="VariableTok"/>
        </w:rPr>
        <w:t xml:space="preserve">$pki</w:t>
      </w:r>
      <w:r>
        <w:rPr>
          <w:rStyle w:val="OperatorTok"/>
        </w:rPr>
        <w:t xml:space="preserve">.</w:t>
      </w:r>
      <w:r>
        <w:rPr>
          <w:rStyle w:val="FunctionTok"/>
        </w:rPr>
        <w:t xml:space="preserve">PksDN</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LDAPFilter </w:t>
      </w:r>
      <w:r>
        <w:rPr>
          <w:rStyle w:val="StringTok"/>
        </w:rPr>
        <w:t xml:space="preserve">'(objectClass=certificationAuthority)'</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DistinguishedName</w:t>
      </w:r>
      <w:r>
        <w:br/>
      </w:r>
      <w:r>
        <w:br/>
      </w:r>
      <w:r>
        <w:rPr>
          <w:rStyle w:val="NormalTok"/>
        </w:rPr>
        <w:t xml:space="preserve">    </w:t>
      </w:r>
      <w:r>
        <w:rPr>
          <w:rStyle w:val="VariableTok"/>
        </w:rPr>
        <w:t xml:space="preserve">$inventory</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AssessmentTimestamp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'o'</w:t>
      </w:r>
      <w:r>
        <w:rPr>
          <w:rStyle w:val="OperatorTok"/>
        </w:rPr>
        <w:t xml:space="preserve">)</w:t>
      </w:r>
      <w:r>
        <w:br/>
      </w:r>
      <w:r>
        <w:rPr>
          <w:rStyle w:val="NormalTok"/>
        </w:rPr>
        <w:t xml:space="preserve">        CertificationAuthorities </w:t>
      </w:r>
      <w:r>
        <w:rPr>
          <w:rStyle w:val="OperatorTok"/>
        </w:rPr>
        <w:t xml:space="preserve">=</w:t>
      </w:r>
      <w:r>
        <w:rPr>
          <w:rStyle w:val="NormalTok"/>
        </w:rPr>
        <w:t xml:space="preserve"> </w:t>
      </w:r>
      <w:r>
        <w:rPr>
          <w:rStyle w:val="OperatorTok"/>
        </w:rPr>
        <w:t xml:space="preserve">@(</w:t>
      </w:r>
      <w:r>
        <w:rPr>
          <w:rStyle w:val="VariableTok"/>
        </w:rPr>
        <w:t xml:space="preserve">$caInventory</w:t>
      </w:r>
      <w:r>
        <w:rPr>
          <w:rStyle w:val="OperatorTok"/>
        </w:rPr>
        <w:t xml:space="preserve">)</w:t>
      </w:r>
      <w:r>
        <w:br/>
      </w:r>
      <w:r>
        <w:rPr>
          <w:rStyle w:val="NormalTok"/>
        </w:rPr>
        <w:t xml:space="preserve">        CertificateTemplates     </w:t>
      </w:r>
      <w:r>
        <w:rPr>
          <w:rStyle w:val="OperatorTok"/>
        </w:rPr>
        <w:t xml:space="preserve">=</w:t>
      </w:r>
      <w:r>
        <w:rPr>
          <w:rStyle w:val="NormalTok"/>
        </w:rPr>
        <w:t xml:space="preserve"> </w:t>
      </w:r>
      <w:r>
        <w:rPr>
          <w:rStyle w:val="OperatorTok"/>
        </w:rPr>
        <w:t xml:space="preserve">@(</w:t>
      </w:r>
      <w:r>
        <w:rPr>
          <w:rStyle w:val="VariableTok"/>
        </w:rPr>
        <w:t xml:space="preserve">$templates</w:t>
      </w:r>
      <w:r>
        <w:rPr>
          <w:rStyle w:val="OperatorTok"/>
        </w:rPr>
        <w:t xml:space="preserve">)</w:t>
      </w:r>
      <w:r>
        <w:br/>
      </w:r>
      <w:r>
        <w:rPr>
          <w:rStyle w:val="NormalTok"/>
        </w:rPr>
        <w:t xml:space="preserve">        CDPObjects               </w:t>
      </w:r>
      <w:r>
        <w:rPr>
          <w:rStyle w:val="OperatorTok"/>
        </w:rPr>
        <w:t xml:space="preserve">=</w:t>
      </w:r>
      <w:r>
        <w:rPr>
          <w:rStyle w:val="NormalTok"/>
        </w:rPr>
        <w:t xml:space="preserve"> </w:t>
      </w:r>
      <w:r>
        <w:rPr>
          <w:rStyle w:val="OperatorTok"/>
        </w:rPr>
        <w:t xml:space="preserve">@(</w:t>
      </w:r>
      <w:r>
        <w:rPr>
          <w:rStyle w:val="VariableTok"/>
        </w:rPr>
        <w:t xml:space="preserve">$cdp</w:t>
      </w:r>
      <w:r>
        <w:rPr>
          <w:rStyle w:val="OperatorTok"/>
        </w:rPr>
        <w:t xml:space="preserve">)</w:t>
      </w:r>
      <w:r>
        <w:br/>
      </w:r>
      <w:r>
        <w:rPr>
          <w:rStyle w:val="NormalTok"/>
        </w:rPr>
        <w:t xml:space="preserve">        AIAObjects               </w:t>
      </w:r>
      <w:r>
        <w:rPr>
          <w:rStyle w:val="OperatorTok"/>
        </w:rPr>
        <w:t xml:space="preserve">=</w:t>
      </w:r>
      <w:r>
        <w:rPr>
          <w:rStyle w:val="NormalTok"/>
        </w:rPr>
        <w:t xml:space="preserve"> </w:t>
      </w:r>
      <w:r>
        <w:rPr>
          <w:rStyle w:val="OperatorTok"/>
        </w:rPr>
        <w:t xml:space="preserve">@(</w:t>
      </w:r>
      <w:r>
        <w:rPr>
          <w:rStyle w:val="VariableTok"/>
        </w:rPr>
        <w:t xml:space="preserve">$aia</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$findings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Get-PKISecurityFindings </w:t>
      </w:r>
      <w:r>
        <w:rPr>
          <w:rStyle w:val="OperatorTok"/>
        </w:rPr>
        <w:t xml:space="preserve">-</w:t>
      </w:r>
      <w:r>
        <w:rPr>
          <w:rStyle w:val="NormalTok"/>
        </w:rPr>
        <w:t xml:space="preserve">PkiData </w:t>
      </w:r>
      <w:r>
        <w:rPr>
          <w:rStyle w:val="VariableTok"/>
        </w:rPr>
        <w:t xml:space="preserve">$pki</w:t>
      </w:r>
      <w:r>
        <w:rPr>
          <w:rStyle w:val="OperatorTok"/>
        </w:rPr>
        <w:t xml:space="preserve">)</w:t>
      </w:r>
      <w:r>
        <w:br/>
      </w:r>
      <w:r>
        <w:br/>
      </w:r>
      <w:r>
        <w:rPr>
          <w:rStyle w:val="NormalTok"/>
        </w:rPr>
        <w:t xml:space="preserve">    Write-FMPJson </w:t>
      </w:r>
      <w:r>
        <w:rPr>
          <w:rStyle w:val="OperatorTok"/>
        </w:rPr>
        <w:t xml:space="preserve">-</w:t>
      </w:r>
      <w:r>
        <w:rPr>
          <w:rStyle w:val="NormalTok"/>
        </w:rPr>
        <w:t xml:space="preserve">InputObject </w:t>
      </w:r>
      <w:r>
        <w:rPr>
          <w:rStyle w:val="VariableTok"/>
        </w:rPr>
        <w:t xml:space="preserve">$inventory</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$pkiPath</w:t>
      </w:r>
      <w:r>
        <w:rPr>
          <w:rStyle w:val="NormalTok"/>
        </w:rPr>
        <w:t xml:space="preserve"> </w:t>
      </w:r>
      <w:r>
        <w:rPr>
          <w:rStyle w:val="StringTok"/>
        </w:rPr>
        <w:t xml:space="preserve">'PKIInventory.json'</w:t>
      </w:r>
      <w:r>
        <w:rPr>
          <w:rStyle w:val="OperatorTok"/>
        </w:rPr>
        <w:t xml:space="preserve">)</w:t>
      </w:r>
      <w:r>
        <w:rPr>
          <w:rStyle w:val="NormalTok"/>
        </w:rPr>
        <w:t xml:space="preserve"> </w:t>
      </w:r>
      <w:r>
        <w:rPr>
          <w:rStyle w:val="OperatorTok"/>
        </w:rPr>
        <w:t xml:space="preserve">-</w:t>
      </w:r>
      <w:r>
        <w:rPr>
          <w:rStyle w:val="NormalTok"/>
        </w:rPr>
        <w:t xml:space="preserve">Depth </w:t>
      </w:r>
      <w:r>
        <w:rPr>
          <w:rStyle w:val="DecValTok"/>
        </w:rPr>
        <w:t xml:space="preserve">8</w:t>
      </w:r>
      <w:r>
        <w:br/>
      </w:r>
      <w:r>
        <w:rPr>
          <w:rStyle w:val="NormalTok"/>
        </w:rPr>
        <w:t xml:space="preserve">    Write-FMPJson </w:t>
      </w:r>
      <w:r>
        <w:rPr>
          <w:rStyle w:val="OperatorTok"/>
        </w:rPr>
        <w:t xml:space="preserve">-</w:t>
      </w:r>
      <w:r>
        <w:rPr>
          <w:rStyle w:val="NormalTok"/>
        </w:rPr>
        <w:t xml:space="preserve">InputObject </w:t>
      </w:r>
      <w:r>
        <w:rPr>
          <w:rStyle w:val="VariableTok"/>
        </w:rPr>
        <w:t xml:space="preserve">$findings</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$pkiPath</w:t>
      </w:r>
      <w:r>
        <w:rPr>
          <w:rStyle w:val="NormalTok"/>
        </w:rPr>
        <w:t xml:space="preserve"> </w:t>
      </w:r>
      <w:r>
        <w:rPr>
          <w:rStyle w:val="StringTok"/>
        </w:rPr>
        <w:t xml:space="preserve">'PKISecurityReport.json'</w:t>
      </w:r>
      <w:r>
        <w:rPr>
          <w:rStyle w:val="OperatorTok"/>
        </w:rPr>
        <w:t xml:space="preserve">)</w:t>
      </w:r>
      <w:r>
        <w:br/>
      </w:r>
      <w:r>
        <w:rPr>
          <w:rStyle w:val="NormalTok"/>
        </w:rPr>
        <w:t xml:space="preserve">    </w:t>
      </w:r>
      <w:r>
        <w:rPr>
          <w:rStyle w:val="FunctionTok"/>
        </w:rPr>
        <w:t xml:space="preserve">Write-Verbose</w:t>
      </w:r>
      <w:r>
        <w:rPr>
          <w:rStyle w:val="NormalTok"/>
        </w:rPr>
        <w:t xml:space="preserve"> </w:t>
      </w:r>
      <w:r>
        <w:rPr>
          <w:rStyle w:val="StringTok"/>
        </w:rPr>
        <w:t xml:space="preserve">"PKI assessment written to </w:t>
      </w:r>
      <w:r>
        <w:rPr>
          <w:rStyle w:val="VariableTok"/>
        </w:rPr>
        <w:t xml:space="preserve">$pkiPath</w:t>
      </w:r>
      <w:r>
        <w:rPr>
          <w:rStyle w:val="StringTok"/>
        </w:rPr>
        <w:t xml:space="preserve"> with </w:t>
      </w:r>
      <w:r>
        <w:rPr>
          <w:rStyle w:val="OperatorTok"/>
        </w:rPr>
        <w:t xml:space="preserve">$(</w:t>
      </w:r>
      <w:r>
        <w:rPr>
          <w:rStyle w:val="VariableTok"/>
        </w:rPr>
        <w:t xml:space="preserve">$findings</w:t>
      </w:r>
      <w:r>
        <w:rPr>
          <w:rStyle w:val="OperatorTok"/>
        </w:rPr>
        <w:t xml:space="preserve">.</w:t>
      </w:r>
      <w:r>
        <w:rPr>
          <w:rStyle w:val="FunctionTok"/>
        </w:rPr>
        <w:t xml:space="preserve">Count</w:t>
      </w:r>
      <w:r>
        <w:rPr>
          <w:rStyle w:val="OperatorTok"/>
        </w:rPr>
        <w:t xml:space="preserve">)</w:t>
      </w:r>
      <w:r>
        <w:rPr>
          <w:rStyle w:val="StringTok"/>
        </w:rPr>
        <w:t xml:space="preserve"> findings."</w:t>
      </w:r>
      <w:r>
        <w:br/>
      </w:r>
      <w:r>
        <w:rPr>
          <w:rStyle w:val="OperatorTok"/>
        </w:rPr>
        <w:t xml:space="preserve">}</w:t>
      </w:r>
    </w:p>
    <w:p>
      <w:pPr>
        <w:pStyle w:val="FirstParagraph"/>
      </w:pPr>
      <w:r>
        <w:t xml:space="preserve">The directory locations are the Public Key Services containers Microsoft documents: Enrollment Services for enterprise CAs, Certificate Templates, AIA and CDP.</w:t>
      </w:r>
      <w:r>
        <w:rPr>
          <w:rStyle w:val="FootnoteReference"/>
        </w:rPr>
        <w:footnoteReference w:id="1267"/>
      </w:r>
      <w:r>
        <w:t xml:space="preserve"> </w:t>
      </w:r>
      <w:r>
        <w:t xml:space="preserve">The</w:t>
      </w:r>
      <w:r>
        <w:t xml:space="preserve"> </w:t>
      </w:r>
      <w:r>
        <w:rPr>
          <w:rStyle w:val="VerbatimChar"/>
        </w:rPr>
        <w:t xml:space="preserve">certutil</w:t>
      </w:r>
      <w:r>
        <w:t xml:space="preserve"> </w:t>
      </w:r>
      <w:r>
        <w:t xml:space="preserve">verbs (</w:t>
      </w:r>
      <w:r>
        <w:rPr>
          <w:rStyle w:val="VerbatimChar"/>
        </w:rPr>
        <w:t xml:space="preserve">-config</w:t>
      </w:r>
      <w:r>
        <w:t xml:space="preserve">,</w:t>
      </w:r>
      <w:r>
        <w:t xml:space="preserve"> </w:t>
      </w:r>
      <w:r>
        <w:rPr>
          <w:rStyle w:val="VerbatimChar"/>
        </w:rPr>
        <w:t xml:space="preserve">-ca.cert</w:t>
      </w:r>
      <w:r>
        <w:t xml:space="preserve">,</w:t>
      </w:r>
      <w:r>
        <w:t xml:space="preserve"> </w:t>
      </w:r>
      <w:r>
        <w:rPr>
          <w:rStyle w:val="VerbatimChar"/>
        </w:rPr>
        <w:t xml:space="preserve">-getreg</w:t>
      </w:r>
      <w:r>
        <w:t xml:space="preserve">) are as documented.</w:t>
      </w:r>
      <w:r>
        <w:rPr>
          <w:rStyle w:val="FootnoteReference"/>
        </w:rPr>
        <w:footnoteReference w:id="1268"/>
      </w:r>
      <w:r>
        <w:t xml:space="preserve"> </w:t>
      </w:r>
      <w:r>
        <w:t xml:space="preserve">The ESC4 check above treats any broad write-type right as a finding; the ESC1 and ESC2 checks require the template to be published by at least one CA, because an unpublished template can’t be requested.</w:t>
      </w:r>
      <w:r>
        <w:rPr>
          <w:rStyle w:val="FootnoteReference"/>
        </w:rPr>
        <w:footnoteReference w:id="1269"/>
      </w:r>
      <w:r>
        <w:t xml:space="preserve"> </w:t>
      </w:r>
      <w:r>
        <w:t xml:space="preserve">ESC7 (CA ACLs) needs the CA’s own security settings and isn’t collected here; Defender for Identity assesses it where a sensor is installed on the CA.</w:t>
      </w:r>
      <w:r>
        <w:rPr>
          <w:rStyle w:val="FootnoteReference"/>
        </w:rPr>
        <w:footnoteReference w:id="1270"/>
      </w:r>
    </w:p>
    <w:bookmarkEnd w:id="1271"/>
    <w:bookmarkStart w:id="1273" w:name="computers"/>
    <w:p>
      <w:pPr>
        <w:pStyle w:val="Heading3"/>
      </w:pPr>
      <w:r>
        <w:t xml:space="preserve">Computers</w:t>
      </w:r>
    </w:p>
    <w:p>
      <w:pPr>
        <w:pStyle w:val="SourceCode"/>
      </w:pPr>
      <w:r>
        <w:rPr>
          <w:rStyle w:val="KeywordTok"/>
        </w:rPr>
        <w:t xml:space="preserve">function</w:t>
      </w:r>
      <w:r>
        <w:rPr>
          <w:rStyle w:val="NormalTok"/>
        </w:rPr>
        <w:t xml:space="preserve"> Get-FMPComputerInventory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Computer objects, OS classification, staleness and Kerberos delegation.</w:t>
      </w:r>
      <w:r>
        <w:br/>
      </w:r>
      <w:r>
        <w:rPr>
          <w:rStyle w:val="CommentTok"/>
        </w:rPr>
        <w:t xml:space="preserve">    .OUTPUTS</w:t>
      </w:r>
      <w:r>
        <w:br/>
      </w:r>
      <w:r>
        <w:rPr>
          <w:rStyle w:val="CommentTok"/>
        </w:rPr>
        <w:t xml:space="preserve">        ComputerInventory.json, ComputersByOS.csv, StaleComputers.csv, DelegationReport.csv</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DNSRoot</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'D:\FMP\Assessment'</w:t>
      </w:r>
      <w:r>
        <w:rPr>
          <w:rStyle w:val="OperatorTok"/>
        </w:rPr>
        <w:t xml:space="preserve">,</w:t>
      </w:r>
      <w:r>
        <w:br/>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$StaleThresholdDays</w:t>
      </w:r>
      <w:r>
        <w:rPr>
          <w:rStyle w:val="NormalTok"/>
        </w:rPr>
        <w:t xml:space="preserve"> </w:t>
      </w:r>
      <w:r>
        <w:rPr>
          <w:rStyle w:val="OperatorTok"/>
        </w:rPr>
        <w:t xml:space="preserve">=</w:t>
      </w:r>
      <w:r>
        <w:rPr>
          <w:rStyle w:val="NormalTok"/>
        </w:rPr>
        <w:t xml:space="preserve"> </w:t>
      </w:r>
      <w:r>
        <w:rPr>
          <w:rStyle w:val="DecValTok"/>
        </w:rPr>
        <w:t xml:space="preserve">90</w:t>
      </w:r>
      <w:r>
        <w:br/>
      </w:r>
      <w:r>
        <w:rPr>
          <w:rStyle w:val="NormalTok"/>
        </w:rPr>
        <w:t xml:space="preserve">    </w:t>
      </w:r>
      <w:r>
        <w:rPr>
          <w:rStyle w:val="OperatorTok"/>
        </w:rPr>
        <w:t xml:space="preserve">)</w:t>
      </w:r>
      <w:r>
        <w:br/>
      </w:r>
      <w:r>
        <w:rPr>
          <w:rStyle w:val="NormalTok"/>
        </w:rPr>
        <w:t xml:space="preserve">    </w:t>
      </w:r>
      <w:r>
        <w:rPr>
          <w:rStyle w:val="VariableTok"/>
        </w:rPr>
        <w:t xml:space="preserve">$objPath</w:t>
      </w:r>
      <w:r>
        <w:rPr>
          <w:rStyle w:val="NormalTok"/>
        </w:rPr>
        <w:t xml:space="preserve"> </w:t>
      </w:r>
      <w:r>
        <w:rPr>
          <w:rStyle w:val="OperatorTok"/>
        </w:rPr>
        <w:t xml:space="preserve">=</w:t>
      </w:r>
      <w:r>
        <w:rPr>
          <w:rStyle w:val="NormalTok"/>
        </w:rPr>
        <w:t xml:space="preserve"> Get-FMPDomainPath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Area </w:t>
      </w:r>
      <w:r>
        <w:rPr>
          <w:rStyle w:val="StringTok"/>
        </w:rPr>
        <w:t xml:space="preserve">'Objects'</w:t>
      </w:r>
      <w:r>
        <w:br/>
      </w:r>
      <w:r>
        <w:rPr>
          <w:rStyle w:val="NormalTok"/>
        </w:rPr>
        <w:t xml:space="preserve">    </w:t>
      </w:r>
      <w:r>
        <w:rPr>
          <w:rStyle w:val="VariableTok"/>
        </w:rPr>
        <w:t xml:space="preserve">$staleDate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AddDays</w:t>
      </w:r>
      <w:r>
        <w:rPr>
          <w:rStyle w:val="OperatorTok"/>
        </w:rPr>
        <w:t xml:space="preserve">(-</w:t>
      </w:r>
      <w:r>
        <w:rPr>
          <w:rStyle w:val="VariableTok"/>
        </w:rPr>
        <w:t xml:space="preserve">$StaleThresholdDays</w:t>
      </w:r>
      <w:r>
        <w:rPr>
          <w:rStyle w:val="OperatorTok"/>
        </w:rPr>
        <w:t xml:space="preserve">)</w:t>
      </w:r>
      <w:r>
        <w:br/>
      </w:r>
      <w:r>
        <w:rPr>
          <w:rStyle w:val="NormalTok"/>
        </w:rPr>
        <w:t xml:space="preserve">    </w:t>
      </w:r>
      <w:r>
        <w:rPr>
          <w:rStyle w:val="VariableTok"/>
        </w:rPr>
        <w:t xml:space="preserve">$dcNames</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Get-ADDomainController</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w:t>
      </w:r>
      <w:r>
        <w:br/>
      </w:r>
      <w:r>
        <w:br/>
      </w:r>
      <w:r>
        <w:rPr>
          <w:rStyle w:val="NormalTok"/>
        </w:rPr>
        <w:t xml:space="preserve">    </w:t>
      </w:r>
      <w:r>
        <w:rPr>
          <w:rStyle w:val="VariableTok"/>
        </w:rPr>
        <w:t xml:space="preserve">$computers</w:t>
      </w:r>
      <w:r>
        <w:rPr>
          <w:rStyle w:val="NormalTok"/>
        </w:rPr>
        <w:t xml:space="preserve"> </w:t>
      </w:r>
      <w:r>
        <w:rPr>
          <w:rStyle w:val="OperatorTok"/>
        </w:rPr>
        <w:t xml:space="preserve">=</w:t>
      </w:r>
      <w:r>
        <w:rPr>
          <w:rStyle w:val="NormalTok"/>
        </w:rPr>
        <w:t xml:space="preserve"> </w:t>
      </w:r>
      <w:r>
        <w:rPr>
          <w:rStyle w:val="FunctionTok"/>
        </w:rPr>
        <w:t xml:space="preserve">Get-ADComputer</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Properties DNSHostName</w:t>
      </w:r>
      <w:r>
        <w:rPr>
          <w:rStyle w:val="OperatorTok"/>
        </w:rPr>
        <w:t xml:space="preserve">,</w:t>
      </w:r>
      <w:r>
        <w:rPr>
          <w:rStyle w:val="NormalTok"/>
        </w:rPr>
        <w:t xml:space="preserve"> OperatingSystem</w:t>
      </w:r>
      <w:r>
        <w:rPr>
          <w:rStyle w:val="OperatorTok"/>
        </w:rPr>
        <w:t xml:space="preserve">,</w:t>
      </w:r>
      <w:r>
        <w:br/>
      </w:r>
      <w:r>
        <w:rPr>
          <w:rStyle w:val="NormalTok"/>
        </w:rPr>
        <w:t xml:space="preserve">        OperatingSystemVersion</w:t>
      </w:r>
      <w:r>
        <w:rPr>
          <w:rStyle w:val="OperatorTok"/>
        </w:rPr>
        <w:t xml:space="preserve">,</w:t>
      </w:r>
      <w:r>
        <w:rPr>
          <w:rStyle w:val="NormalTok"/>
        </w:rPr>
        <w:t xml:space="preserve"> Enabled</w:t>
      </w:r>
      <w:r>
        <w:rPr>
          <w:rStyle w:val="OperatorTok"/>
        </w:rPr>
        <w:t xml:space="preserve">,</w:t>
      </w:r>
      <w:r>
        <w:rPr>
          <w:rStyle w:val="NormalTok"/>
        </w:rPr>
        <w:t xml:space="preserve"> LastLogonDate</w:t>
      </w:r>
      <w:r>
        <w:rPr>
          <w:rStyle w:val="OperatorTok"/>
        </w:rPr>
        <w:t xml:space="preserve">,</w:t>
      </w:r>
      <w:r>
        <w:rPr>
          <w:rStyle w:val="NormalTok"/>
        </w:rPr>
        <w:t xml:space="preserve"> PasswordLastSet</w:t>
      </w:r>
      <w:r>
        <w:rPr>
          <w:rStyle w:val="OperatorTok"/>
        </w:rPr>
        <w:t xml:space="preserve">,</w:t>
      </w:r>
      <w:r>
        <w:rPr>
          <w:rStyle w:val="NormalTok"/>
        </w:rPr>
        <w:t xml:space="preserve"> Created</w:t>
      </w:r>
      <w:r>
        <w:rPr>
          <w:rStyle w:val="OperatorTok"/>
        </w:rPr>
        <w:t xml:space="preserve">,</w:t>
      </w:r>
      <w:r>
        <w:rPr>
          <w:rStyle w:val="NormalTok"/>
        </w:rPr>
        <w:t xml:space="preserve"> Modified</w:t>
      </w:r>
      <w:r>
        <w:rPr>
          <w:rStyle w:val="OperatorTok"/>
        </w:rPr>
        <w:t xml:space="preserve">,</w:t>
      </w:r>
      <w:r>
        <w:br/>
      </w:r>
      <w:r>
        <w:rPr>
          <w:rStyle w:val="NormalTok"/>
        </w:rPr>
        <w:t xml:space="preserve">        MemberOf</w:t>
      </w:r>
      <w:r>
        <w:rPr>
          <w:rStyle w:val="OperatorTok"/>
        </w:rPr>
        <w:t xml:space="preserve">,</w:t>
      </w:r>
      <w:r>
        <w:rPr>
          <w:rStyle w:val="NormalTok"/>
        </w:rPr>
        <w:t xml:space="preserve"> IPv4Address</w:t>
      </w:r>
      <w:r>
        <w:rPr>
          <w:rStyle w:val="OperatorTok"/>
        </w:rPr>
        <w:t xml:space="preserve">,</w:t>
      </w:r>
      <w:r>
        <w:rPr>
          <w:rStyle w:val="NormalTok"/>
        </w:rPr>
        <w:t xml:space="preserve"> ServicePrincipalName</w:t>
      </w:r>
      <w:r>
        <w:rPr>
          <w:rStyle w:val="OperatorTok"/>
        </w:rPr>
        <w:t xml:space="preserve">,</w:t>
      </w:r>
      <w:r>
        <w:rPr>
          <w:rStyle w:val="NormalTok"/>
        </w:rPr>
        <w:t xml:space="preserve"> TrustedForDelegation</w:t>
      </w:r>
      <w:r>
        <w:rPr>
          <w:rStyle w:val="OperatorTok"/>
        </w:rPr>
        <w:t xml:space="preserve">,</w:t>
      </w:r>
      <w:r>
        <w:rPr>
          <w:rStyle w:val="NormalTok"/>
        </w:rPr>
        <w:t xml:space="preserve"> TrustedToAuthForDelegation</w:t>
      </w:r>
      <w:r>
        <w:rPr>
          <w:rStyle w:val="OperatorTok"/>
        </w:rPr>
        <w:t xml:space="preserve">,</w:t>
      </w:r>
      <w:r>
        <w:br/>
      </w:r>
      <w:r>
        <w:rPr>
          <w:rStyle w:val="NormalTok"/>
        </w:rPr>
        <w:t xml:space="preserve">        </w:t>
      </w:r>
      <w:r>
        <w:rPr>
          <w:rStyle w:val="StringTok"/>
        </w:rPr>
        <w:t xml:space="preserve">'msDS-AllowedToDelegateTo'</w:t>
      </w:r>
      <w:r>
        <w:rPr>
          <w:rStyle w:val="OperatorTok"/>
        </w:rPr>
        <w:t xml:space="preserve">,</w:t>
      </w:r>
      <w:r>
        <w:rPr>
          <w:rStyle w:val="NormalTok"/>
        </w:rPr>
        <w:t xml:space="preserve"> PrincipalsAllowedToDelegateToAccount</w:t>
      </w:r>
      <w:r>
        <w:rPr>
          <w:rStyle w:val="OperatorTok"/>
        </w:rPr>
        <w:t xml:space="preserve">,</w:t>
      </w:r>
      <w:r>
        <w:rPr>
          <w:rStyle w:val="NormalTok"/>
        </w:rPr>
        <w:t xml:space="preserve"> </w:t>
      </w:r>
      <w:r>
        <w:rPr>
          <w:rStyle w:val="StringTok"/>
        </w:rPr>
        <w:t xml:space="preserve">'msDS-SupportedEncryptionTypes'</w:t>
      </w:r>
      <w:r>
        <w:rPr>
          <w:rStyle w:val="OperatorTok"/>
        </w:rPr>
        <w:t xml:space="preserve">,</w:t>
      </w:r>
      <w:r>
        <w:rPr>
          <w:rStyle w:val="NormalTok"/>
        </w:rPr>
        <w:t xml:space="preserve"> Description </w:t>
      </w:r>
      <w:r>
        <w:rPr>
          <w:rStyle w:val="OperatorTok"/>
        </w:rPr>
        <w:t xml:space="preserve">|</w:t>
      </w:r>
      <w:r>
        <w:br/>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DNSHostName</w:t>
      </w:r>
      <w:r>
        <w:rPr>
          <w:rStyle w:val="OperatorTok"/>
        </w:rPr>
        <w:t xml:space="preserve">,</w:t>
      </w:r>
      <w:r>
        <w:rPr>
          <w:rStyle w:val="NormalTok"/>
        </w:rPr>
        <w:t xml:space="preserve"> OperatingSystem</w:t>
      </w:r>
      <w:r>
        <w:rPr>
          <w:rStyle w:val="OperatorTok"/>
        </w:rPr>
        <w:t xml:space="preserve">,</w:t>
      </w:r>
      <w:r>
        <w:rPr>
          <w:rStyle w:val="NormalTok"/>
        </w:rPr>
        <w:t xml:space="preserve"> OperatingSystemVersion</w:t>
      </w:r>
      <w:r>
        <w:rPr>
          <w:rStyle w:val="OperatorTok"/>
        </w:rPr>
        <w:t xml:space="preserve">,</w:t>
      </w:r>
      <w:r>
        <w:rPr>
          <w:rStyle w:val="NormalTok"/>
        </w:rPr>
        <w:t xml:space="preserve"> Enabled</w:t>
      </w:r>
      <w:r>
        <w:rPr>
          <w:rStyle w:val="OperatorTok"/>
        </w:rPr>
        <w:t xml:space="preserve">,</w:t>
      </w:r>
      <w:r>
        <w:br/>
      </w:r>
      <w:r>
        <w:rPr>
          <w:rStyle w:val="NormalTok"/>
        </w:rPr>
        <w:t xml:space="preserve">            LastLogonDate</w:t>
      </w:r>
      <w:r>
        <w:rPr>
          <w:rStyle w:val="OperatorTok"/>
        </w:rPr>
        <w:t xml:space="preserve">,</w:t>
      </w:r>
      <w:r>
        <w:rPr>
          <w:rStyle w:val="NormalTok"/>
        </w:rPr>
        <w:t xml:space="preserve"> PasswordLastSet</w:t>
      </w:r>
      <w:r>
        <w:rPr>
          <w:rStyle w:val="OperatorTok"/>
        </w:rPr>
        <w:t xml:space="preserve">,</w:t>
      </w:r>
      <w:r>
        <w:rPr>
          <w:rStyle w:val="NormalTok"/>
        </w:rPr>
        <w:t xml:space="preserve"> Created</w:t>
      </w:r>
      <w:r>
        <w:rPr>
          <w:rStyle w:val="OperatorTok"/>
        </w:rPr>
        <w:t xml:space="preserve">,</w:t>
      </w:r>
      <w:r>
        <w:rPr>
          <w:rStyle w:val="NormalTok"/>
        </w:rPr>
        <w:t xml:space="preserve"> Modified</w:t>
      </w:r>
      <w:r>
        <w:rPr>
          <w:rStyle w:val="OperatorTok"/>
        </w:rPr>
        <w:t xml:space="preserve">,</w:t>
      </w:r>
      <w:r>
        <w:rPr>
          <w:rStyle w:val="NormalTok"/>
        </w:rPr>
        <w:t xml:space="preserve"> DistinguishedName</w:t>
      </w:r>
      <w:r>
        <w:rPr>
          <w:rStyle w:val="OperatorTok"/>
        </w:rPr>
        <w:t xml:space="preserve">,</w:t>
      </w:r>
      <w:r>
        <w:rPr>
          <w:rStyle w:val="NormalTok"/>
        </w:rPr>
        <w:t xml:space="preserve"> IPv4Address</w:t>
      </w:r>
      <w:r>
        <w:rPr>
          <w:rStyle w:val="OperatorTok"/>
        </w:rPr>
        <w:t xml:space="preserve">,</w:t>
      </w:r>
      <w:r>
        <w:rPr>
          <w:rStyle w:val="NormalTok"/>
        </w:rPr>
        <w:t xml:space="preserve"> Description</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'SID'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SID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'IsDomainController'</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w:t>
      </w:r>
      <w:r>
        <w:rPr>
          <w:rStyle w:val="NormalTok"/>
        </w:rPr>
        <w:t xml:space="preserve">in </w:t>
      </w:r>
      <w:r>
        <w:rPr>
          <w:rStyle w:val="VariableTok"/>
        </w:rPr>
        <w:t xml:space="preserve">$dcNames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'MemberOfCount'</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MemberOf</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'SPNs'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ServicePrincipalName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TrustedForDelegation</w:t>
      </w:r>
      <w:r>
        <w:rPr>
          <w:rStyle w:val="OperatorTok"/>
        </w:rPr>
        <w:t xml:space="preserve">,</w:t>
      </w:r>
      <w:r>
        <w:rPr>
          <w:rStyle w:val="NormalTok"/>
        </w:rPr>
        <w:t xml:space="preserve"> TrustedToAuthForDelegation</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'AllowedToDelegateTo'</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StringTok"/>
        </w:rPr>
        <w:t xml:space="preserve">'msDS-AllowedToDelegateTo'</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'RBCDPrincipals'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PrincipalsAllowedToDelegateToAccount</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'SupportedEncryptionTypes'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StringTok"/>
        </w:rPr>
        <w:t xml:space="preserve">'msDS-SupportedEncryptionTypes'</w:t>
      </w:r>
      <w:r>
        <w:rPr>
          <w:rStyle w:val="NormalTok"/>
        </w:rPr>
        <w:t xml:space="preserve"> </w:t>
      </w:r>
      <w:r>
        <w:rPr>
          <w:rStyle w:val="OperatorTok"/>
        </w:rPr>
        <w:t xml:space="preserve">}</w:t>
      </w:r>
      <w:r>
        <w:rPr>
          <w:rStyle w:val="NormalTok"/>
        </w:rPr>
        <w:t xml:space="preserve"> </w:t>
      </w:r>
      <w:r>
        <w:rPr>
          <w:rStyle w:val="OperatorTok"/>
        </w:rPr>
        <w:t xml:space="preserve">}</w:t>
      </w:r>
      <w:r>
        <w:br/>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$computers</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$objPath</w:t>
      </w:r>
      <w:r>
        <w:rPr>
          <w:rStyle w:val="NormalTok"/>
        </w:rPr>
        <w:t xml:space="preserve"> </w:t>
      </w:r>
      <w:r>
        <w:rPr>
          <w:rStyle w:val="StringTok"/>
        </w:rPr>
        <w:t xml:space="preserve">'ComputerInventory.json'</w:t>
      </w:r>
      <w:r>
        <w:rPr>
          <w:rStyle w:val="OperatorTok"/>
        </w:rPr>
        <w:t xml:space="preserve">)</w:t>
      </w:r>
      <w:r>
        <w:br/>
      </w:r>
      <w:r>
        <w:br/>
      </w:r>
      <w:r>
        <w:rPr>
          <w:rStyle w:val="NormalTok"/>
        </w:rPr>
        <w:t xml:space="preserve">    </w:t>
      </w:r>
      <w:r>
        <w:rPr>
          <w:rStyle w:val="VariableTok"/>
        </w:rPr>
        <w:t xml:space="preserve">$computers</w:t>
      </w:r>
      <w:r>
        <w:rPr>
          <w:rStyle w:val="NormalTok"/>
        </w:rPr>
        <w:t xml:space="preserve"> </w:t>
      </w:r>
      <w:r>
        <w:rPr>
          <w:rStyle w:val="OperatorTok"/>
        </w:rPr>
        <w:t xml:space="preserve">|</w:t>
      </w:r>
      <w:r>
        <w:rPr>
          <w:rStyle w:val="NormalTok"/>
        </w:rPr>
        <w:t xml:space="preserve"> </w:t>
      </w:r>
      <w:r>
        <w:rPr>
          <w:rStyle w:val="FunctionTok"/>
        </w:rPr>
        <w:t xml:space="preserve">Group-Object</w:t>
      </w:r>
      <w:r>
        <w:rPr>
          <w:rStyle w:val="NormalTok"/>
        </w:rPr>
        <w:t xml:space="preserve"> OperatingSystem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'OperatingSystem'</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Count</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'EnabledCount'</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Group</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Enabled</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'DisabledCount'</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Group</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OperatorTok"/>
        </w:rPr>
        <w:t xml:space="preserve">-not</w:t>
      </w:r>
      <w:r>
        <w:rPr>
          <w:rStyle w:val="NormalTok"/>
        </w:rPr>
        <w:t xml:space="preserve"> </w:t>
      </w:r>
      <w:r>
        <w:rPr>
          <w:rStyle w:val="VariableTok"/>
        </w:rPr>
        <w:t xml:space="preserve">$_</w:t>
      </w:r>
      <w:r>
        <w:rPr>
          <w:rStyle w:val="OperatorTok"/>
        </w:rPr>
        <w:t xml:space="preserve">.</w:t>
      </w:r>
      <w:r>
        <w:rPr>
          <w:rStyle w:val="FunctionTok"/>
        </w:rPr>
        <w:t xml:space="preserve">Enabled</w:t>
      </w:r>
      <w:r>
        <w:rPr>
          <w:rStyle w:val="NormalTok"/>
        </w:rPr>
        <w:t xml:space="preserve"> </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Sort-Object</w:t>
      </w:r>
      <w:r>
        <w:rPr>
          <w:rStyle w:val="NormalTok"/>
        </w:rPr>
        <w:t xml:space="preserve"> Count </w:t>
      </w:r>
      <w:r>
        <w:rPr>
          <w:rStyle w:val="OperatorTok"/>
        </w:rPr>
        <w:t xml:space="preserve">-</w:t>
      </w:r>
      <w:r>
        <w:rPr>
          <w:rStyle w:val="NormalTok"/>
        </w:rPr>
        <w:t xml:space="preserve">Descending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$objPath</w:t>
      </w:r>
      <w:r>
        <w:rPr>
          <w:rStyle w:val="NormalTok"/>
        </w:rPr>
        <w:t xml:space="preserve"> </w:t>
      </w:r>
      <w:r>
        <w:rPr>
          <w:rStyle w:val="StringTok"/>
        </w:rPr>
        <w:t xml:space="preserve">'ComputersByOS.csv'</w:t>
      </w:r>
      <w:r>
        <w:rPr>
          <w:rStyle w:val="OperatorTok"/>
        </w:rPr>
        <w:t xml:space="preserve">)</w:t>
      </w:r>
      <w:r>
        <w:rPr>
          <w:rStyle w:val="NormalTok"/>
        </w:rPr>
        <w:t xml:space="preserve"> </w:t>
      </w:r>
      <w:r>
        <w:rPr>
          <w:rStyle w:val="OperatorTok"/>
        </w:rPr>
        <w:t xml:space="preserve">-</w:t>
      </w:r>
      <w:r>
        <w:rPr>
          <w:rStyle w:val="NormalTok"/>
        </w:rPr>
        <w:t xml:space="preserve">NoTypeInformation </w:t>
      </w:r>
      <w:r>
        <w:rPr>
          <w:rStyle w:val="OperatorTok"/>
        </w:rPr>
        <w:t xml:space="preserve">-</w:t>
      </w:r>
      <w:r>
        <w:rPr>
          <w:rStyle w:val="NormalTok"/>
        </w:rPr>
        <w:t xml:space="preserve">Encoding UTF8</w:t>
      </w:r>
      <w:r>
        <w:br/>
      </w:r>
      <w:r>
        <w:br/>
      </w:r>
      <w:r>
        <w:rPr>
          <w:rStyle w:val="NormalTok"/>
        </w:rPr>
        <w:t xml:space="preserve">    </w:t>
      </w:r>
      <w:r>
        <w:rPr>
          <w:rStyle w:val="CommentTok"/>
        </w:rPr>
        <w:t xml:space="preserve"># Stale only when both lastLogonTimestamp and the machine password are old.</w:t>
      </w:r>
      <w:r>
        <w:br/>
      </w:r>
      <w:r>
        <w:rPr>
          <w:rStyle w:val="NormalTok"/>
        </w:rPr>
        <w:t xml:space="preserve">    </w:t>
      </w:r>
      <w:r>
        <w:rPr>
          <w:rStyle w:val="VariableTok"/>
        </w:rPr>
        <w:t xml:space="preserve">$computers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OperatorTok"/>
        </w:rPr>
        <w:t xml:space="preserve">((-not</w:t>
      </w:r>
      <w:r>
        <w:rPr>
          <w:rStyle w:val="NormalTok"/>
        </w:rPr>
        <w:t xml:space="preserve"> </w:t>
      </w:r>
      <w:r>
        <w:rPr>
          <w:rStyle w:val="VariableTok"/>
        </w:rPr>
        <w:t xml:space="preserve">$_</w:t>
      </w:r>
      <w:r>
        <w:rPr>
          <w:rStyle w:val="OperatorTok"/>
        </w:rPr>
        <w:t xml:space="preserve">.</w:t>
      </w:r>
      <w:r>
        <w:rPr>
          <w:rStyle w:val="FunctionTok"/>
        </w:rPr>
        <w:t xml:space="preserve">LastLogonDate</w:t>
      </w:r>
      <w:r>
        <w:rPr>
          <w:rStyle w:val="OperatorTok"/>
        </w:rPr>
        <w:t xml:space="preserve">)</w:t>
      </w:r>
      <w:r>
        <w:rPr>
          <w:rStyle w:val="NormalTok"/>
        </w:rPr>
        <w:t xml:space="preserve"> </w:t>
      </w:r>
      <w:r>
        <w:rPr>
          <w:rStyle w:val="OperatorTok"/>
        </w:rPr>
        <w:t xml:space="preserve">-or</w:t>
      </w:r>
      <w:r>
        <w:rPr>
          <w:rStyle w:val="NormalTok"/>
        </w:rPr>
        <w:t xml:space="preserve"> </w:t>
      </w:r>
      <w:r>
        <w:rPr>
          <w:rStyle w:val="VariableTok"/>
        </w:rPr>
        <w:t xml:space="preserve">$_</w:t>
      </w:r>
      <w:r>
        <w:rPr>
          <w:rStyle w:val="OperatorTok"/>
        </w:rPr>
        <w:t xml:space="preserve">.</w:t>
      </w:r>
      <w:r>
        <w:rPr>
          <w:rStyle w:val="FunctionTok"/>
        </w:rPr>
        <w:t xml:space="preserve">LastLogonDate</w:t>
      </w:r>
      <w:r>
        <w:rPr>
          <w:rStyle w:val="NormalTok"/>
        </w:rPr>
        <w:t xml:space="preserve"> </w:t>
      </w:r>
      <w:r>
        <w:rPr>
          <w:rStyle w:val="OperatorTok"/>
        </w:rPr>
        <w:t xml:space="preserve">-lt</w:t>
      </w:r>
      <w:r>
        <w:rPr>
          <w:rStyle w:val="NormalTok"/>
        </w:rPr>
        <w:t xml:space="preserve"> </w:t>
      </w:r>
      <w:r>
        <w:rPr>
          <w:rStyle w:val="VariableTok"/>
        </w:rPr>
        <w:t xml:space="preserve">$staleDate</w:t>
      </w:r>
      <w:r>
        <w:rPr>
          <w:rStyle w:val="OperatorTok"/>
        </w:rPr>
        <w:t xml:space="preserve">)</w:t>
      </w:r>
      <w:r>
        <w:rPr>
          <w:rStyle w:val="NormalTok"/>
        </w:rPr>
        <w:t xml:space="preserve"> </w:t>
      </w:r>
      <w:r>
        <w:rPr>
          <w:rStyle w:val="OperatorTok"/>
        </w:rPr>
        <w:t xml:space="preserve">-and</w:t>
      </w:r>
      <w:r>
        <w:br/>
      </w:r>
      <w:r>
        <w:rPr>
          <w:rStyle w:val="NormalTok"/>
        </w:rPr>
        <w:t xml:space="preserve">            </w:t>
      </w:r>
      <w:r>
        <w:rPr>
          <w:rStyle w:val="OperatorTok"/>
        </w:rPr>
        <w:t xml:space="preserve">((-not</w:t>
      </w:r>
      <w:r>
        <w:rPr>
          <w:rStyle w:val="NormalTok"/>
        </w:rPr>
        <w:t xml:space="preserve"> </w:t>
      </w:r>
      <w:r>
        <w:rPr>
          <w:rStyle w:val="VariableTok"/>
        </w:rPr>
        <w:t xml:space="preserve">$_</w:t>
      </w:r>
      <w:r>
        <w:rPr>
          <w:rStyle w:val="OperatorTok"/>
        </w:rPr>
        <w:t xml:space="preserve">.</w:t>
      </w:r>
      <w:r>
        <w:rPr>
          <w:rStyle w:val="FunctionTok"/>
        </w:rPr>
        <w:t xml:space="preserve">PasswordLastSet</w:t>
      </w:r>
      <w:r>
        <w:rPr>
          <w:rStyle w:val="OperatorTok"/>
        </w:rPr>
        <w:t xml:space="preserve">)</w:t>
      </w:r>
      <w:r>
        <w:rPr>
          <w:rStyle w:val="NormalTok"/>
        </w:rPr>
        <w:t xml:space="preserve"> </w:t>
      </w:r>
      <w:r>
        <w:rPr>
          <w:rStyle w:val="OperatorTok"/>
        </w:rPr>
        <w:t xml:space="preserve">-or</w:t>
      </w:r>
      <w:r>
        <w:rPr>
          <w:rStyle w:val="NormalTok"/>
        </w:rPr>
        <w:t xml:space="preserve"> </w:t>
      </w:r>
      <w:r>
        <w:rPr>
          <w:rStyle w:val="VariableTok"/>
        </w:rPr>
        <w:t xml:space="preserve">$_</w:t>
      </w:r>
      <w:r>
        <w:rPr>
          <w:rStyle w:val="OperatorTok"/>
        </w:rPr>
        <w:t xml:space="preserve">.</w:t>
      </w:r>
      <w:r>
        <w:rPr>
          <w:rStyle w:val="FunctionTok"/>
        </w:rPr>
        <w:t xml:space="preserve">PasswordLastSet</w:t>
      </w:r>
      <w:r>
        <w:rPr>
          <w:rStyle w:val="NormalTok"/>
        </w:rPr>
        <w:t xml:space="preserve"> </w:t>
      </w:r>
      <w:r>
        <w:rPr>
          <w:rStyle w:val="OperatorTok"/>
        </w:rPr>
        <w:t xml:space="preserve">-lt</w:t>
      </w:r>
      <w:r>
        <w:rPr>
          <w:rStyle w:val="NormalTok"/>
        </w:rPr>
        <w:t xml:space="preserve"> </w:t>
      </w:r>
      <w:r>
        <w:rPr>
          <w:rStyle w:val="VariableTok"/>
        </w:rPr>
        <w:t xml:space="preserve">$staleDate</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DNSHostName</w:t>
      </w:r>
      <w:r>
        <w:rPr>
          <w:rStyle w:val="OperatorTok"/>
        </w:rPr>
        <w:t xml:space="preserve">,</w:t>
      </w:r>
      <w:r>
        <w:rPr>
          <w:rStyle w:val="NormalTok"/>
        </w:rPr>
        <w:t xml:space="preserve"> OperatingSystem</w:t>
      </w:r>
      <w:r>
        <w:rPr>
          <w:rStyle w:val="OperatorTok"/>
        </w:rPr>
        <w:t xml:space="preserve">,</w:t>
      </w:r>
      <w:r>
        <w:rPr>
          <w:rStyle w:val="NormalTok"/>
        </w:rPr>
        <w:t xml:space="preserve"> Enabled</w:t>
      </w:r>
      <w:r>
        <w:rPr>
          <w:rStyle w:val="OperatorTok"/>
        </w:rPr>
        <w:t xml:space="preserve">,</w:t>
      </w:r>
      <w:r>
        <w:rPr>
          <w:rStyle w:val="NormalTok"/>
        </w:rPr>
        <w:t xml:space="preserve"> LastLogonDate</w:t>
      </w:r>
      <w:r>
        <w:rPr>
          <w:rStyle w:val="OperatorTok"/>
        </w:rPr>
        <w:t xml:space="preserve">,</w:t>
      </w:r>
      <w:r>
        <w:rPr>
          <w:rStyle w:val="NormalTok"/>
        </w:rPr>
        <w:t xml:space="preserve"> PasswordLastSet</w:t>
      </w:r>
      <w:r>
        <w:rPr>
          <w:rStyle w:val="OperatorTok"/>
        </w:rPr>
        <w:t xml:space="preserve">,</w:t>
      </w:r>
      <w:r>
        <w:rPr>
          <w:rStyle w:val="NormalTok"/>
        </w:rPr>
        <w:t xml:space="preserve"> DistinguishedName</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'DaysSinceLogon'</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LastLogonDate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LastLogonDate</w:t>
      </w:r>
      <w:r>
        <w:rPr>
          <w:rStyle w:val="OperatorTok"/>
        </w:rPr>
        <w:t xml:space="preserve">).</w:t>
      </w:r>
      <w:r>
        <w:rPr>
          <w:rStyle w:val="FunctionTok"/>
        </w:rPr>
        <w:t xml:space="preserve">Days</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'Never'</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$objPath</w:t>
      </w:r>
      <w:r>
        <w:rPr>
          <w:rStyle w:val="NormalTok"/>
        </w:rPr>
        <w:t xml:space="preserve"> </w:t>
      </w:r>
      <w:r>
        <w:rPr>
          <w:rStyle w:val="StringTok"/>
        </w:rPr>
        <w:t xml:space="preserve">'StaleComputers.csv'</w:t>
      </w:r>
      <w:r>
        <w:rPr>
          <w:rStyle w:val="OperatorTok"/>
        </w:rPr>
        <w:t xml:space="preserve">)</w:t>
      </w:r>
      <w:r>
        <w:rPr>
          <w:rStyle w:val="NormalTok"/>
        </w:rPr>
        <w:t xml:space="preserve"> </w:t>
      </w:r>
      <w:r>
        <w:rPr>
          <w:rStyle w:val="OperatorTok"/>
        </w:rPr>
        <w:t xml:space="preserve">-</w:t>
      </w:r>
      <w:r>
        <w:rPr>
          <w:rStyle w:val="NormalTok"/>
        </w:rPr>
        <w:t xml:space="preserve">NoTypeInformation </w:t>
      </w:r>
      <w:r>
        <w:rPr>
          <w:rStyle w:val="OperatorTok"/>
        </w:rPr>
        <w:t xml:space="preserve">-</w:t>
      </w:r>
      <w:r>
        <w:rPr>
          <w:rStyle w:val="NormalTok"/>
        </w:rPr>
        <w:t xml:space="preserve">Encoding UTF8</w:t>
      </w:r>
      <w:r>
        <w:br/>
      </w:r>
      <w:r>
        <w:br/>
      </w:r>
      <w:r>
        <w:rPr>
          <w:rStyle w:val="NormalTok"/>
        </w:rPr>
        <w:t xml:space="preserve">    </w:t>
      </w:r>
      <w:r>
        <w:rPr>
          <w:rStyle w:val="VariableTok"/>
        </w:rPr>
        <w:t xml:space="preserve">$computers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VariableTok"/>
        </w:rPr>
        <w:t xml:space="preserve">$_</w:t>
      </w:r>
      <w:r>
        <w:rPr>
          <w:rStyle w:val="OperatorTok"/>
        </w:rPr>
        <w:t xml:space="preserve">.</w:t>
      </w:r>
      <w:r>
        <w:rPr>
          <w:rStyle w:val="FunctionTok"/>
        </w:rPr>
        <w:t xml:space="preserve">TrustedForDelegation</w:t>
      </w:r>
      <w:r>
        <w:rPr>
          <w:rStyle w:val="NormalTok"/>
        </w:rPr>
        <w:t xml:space="preserve"> </w:t>
      </w:r>
      <w:r>
        <w:rPr>
          <w:rStyle w:val="OperatorTok"/>
        </w:rPr>
        <w:t xml:space="preserve">-or</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AllowedToDelegateTo</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rPr>
          <w:rStyle w:val="NormalTok"/>
        </w:rPr>
        <w:t xml:space="preserve"> </w:t>
      </w:r>
      <w:r>
        <w:rPr>
          <w:rStyle w:val="OperatorTok"/>
        </w:rPr>
        <w:t xml:space="preserve">-or</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RBCDPrincipals</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DNSHostName</w:t>
      </w:r>
      <w:r>
        <w:rPr>
          <w:rStyle w:val="OperatorTok"/>
        </w:rPr>
        <w:t xml:space="preserve">,</w:t>
      </w:r>
      <w:r>
        <w:rPr>
          <w:rStyle w:val="NormalTok"/>
        </w:rPr>
        <w:t xml:space="preserve"> OperatingSystem</w:t>
      </w:r>
      <w:r>
        <w:rPr>
          <w:rStyle w:val="OperatorTok"/>
        </w:rPr>
        <w:t xml:space="preserve">,</w:t>
      </w:r>
      <w:r>
        <w:rPr>
          <w:rStyle w:val="NormalTok"/>
        </w:rPr>
        <w:t xml:space="preserve"> IsDomainController</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'DelegationType'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TrustedForDelegation</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'Unconstrained'</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AllowedToDelegateTo</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rPr>
          <w:rStyle w:val="NormalTok"/>
        </w:rPr>
        <w:t xml:space="preserve"> </w:t>
      </w:r>
      <w:r>
        <w:rPr>
          <w:rStyle w:val="OperatorTok"/>
        </w:rPr>
        <w:t xml:space="preserve">-and</w:t>
      </w:r>
      <w:r>
        <w:rPr>
          <w:rStyle w:val="NormalTok"/>
        </w:rPr>
        <w:t xml:space="preserve"> </w:t>
      </w:r>
      <w:r>
        <w:rPr>
          <w:rStyle w:val="VariableTok"/>
        </w:rPr>
        <w:t xml:space="preserve">$_</w:t>
      </w:r>
      <w:r>
        <w:rPr>
          <w:rStyle w:val="OperatorTok"/>
        </w:rPr>
        <w:t xml:space="preserve">.</w:t>
      </w:r>
      <w:r>
        <w:rPr>
          <w:rStyle w:val="FunctionTok"/>
        </w:rPr>
        <w:t xml:space="preserve">TrustedToAuthForDelegation</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'Constrained (protocol transition)'</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AllowedToDelegateTo</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'Constrained (Kerberos only)'</w:t>
      </w:r>
      <w:r>
        <w:rPr>
          <w:rStyle w:val="NormalTok"/>
        </w:rPr>
        <w:t xml:space="preserve"> </w:t>
      </w:r>
      <w:r>
        <w:rPr>
          <w:rStyle w:val="OperatorTok"/>
        </w:rPr>
        <w:t xml:space="preserve">}</w:t>
      </w:r>
      <w:r>
        <w:br/>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'Resource-based (inbound)'</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'DelegationTargets'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AllowedToDelegateTo</w:t>
      </w:r>
      <w:r>
        <w:rPr>
          <w:rStyle w:val="OperatorTok"/>
        </w:rPr>
        <w:t xml:space="preserve">)</w:t>
      </w:r>
      <w:r>
        <w:rPr>
          <w:rStyle w:val="NormalTok"/>
        </w:rPr>
        <w:t xml:space="preserve"> </w:t>
      </w:r>
      <w:r>
        <w:rPr>
          <w:rStyle w:val="OperatorTok"/>
        </w:rPr>
        <w:t xml:space="preserve">-join</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'RBCDPrincipals'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RBCDPrincipals</w:t>
      </w:r>
      <w:r>
        <w:rPr>
          <w:rStyle w:val="OperatorTok"/>
        </w:rPr>
        <w:t xml:space="preserve">)</w:t>
      </w:r>
      <w:r>
        <w:rPr>
          <w:rStyle w:val="NormalTok"/>
        </w:rPr>
        <w:t xml:space="preserve"> </w:t>
      </w:r>
      <w:r>
        <w:rPr>
          <w:rStyle w:val="OperatorTok"/>
        </w:rPr>
        <w:t xml:space="preserve">-join</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DistinguishedName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$objPath</w:t>
      </w:r>
      <w:r>
        <w:rPr>
          <w:rStyle w:val="NormalTok"/>
        </w:rPr>
        <w:t xml:space="preserve"> </w:t>
      </w:r>
      <w:r>
        <w:rPr>
          <w:rStyle w:val="StringTok"/>
        </w:rPr>
        <w:t xml:space="preserve">'DelegationReport.csv'</w:t>
      </w:r>
      <w:r>
        <w:rPr>
          <w:rStyle w:val="OperatorTok"/>
        </w:rPr>
        <w:t xml:space="preserve">)</w:t>
      </w:r>
      <w:r>
        <w:rPr>
          <w:rStyle w:val="NormalTok"/>
        </w:rPr>
        <w:t xml:space="preserve"> </w:t>
      </w:r>
      <w:r>
        <w:rPr>
          <w:rStyle w:val="OperatorTok"/>
        </w:rPr>
        <w:t xml:space="preserve">-</w:t>
      </w:r>
      <w:r>
        <w:rPr>
          <w:rStyle w:val="NormalTok"/>
        </w:rPr>
        <w:t xml:space="preserve">NoTypeInformation </w:t>
      </w:r>
      <w:r>
        <w:rPr>
          <w:rStyle w:val="OperatorTok"/>
        </w:rPr>
        <w:t xml:space="preserve">-</w:t>
      </w:r>
      <w:r>
        <w:rPr>
          <w:rStyle w:val="NormalTok"/>
        </w:rPr>
        <w:t xml:space="preserve">Encoding UTF8</w:t>
      </w:r>
      <w:r>
        <w:br/>
      </w:r>
      <w:r>
        <w:br/>
      </w:r>
      <w:r>
        <w:rPr>
          <w:rStyle w:val="NormalTok"/>
        </w:rPr>
        <w:t xml:space="preserve">    </w:t>
      </w:r>
      <w:r>
        <w:rPr>
          <w:rStyle w:val="FunctionTok"/>
        </w:rPr>
        <w:t xml:space="preserve">Write-Verbose</w:t>
      </w:r>
      <w:r>
        <w:rPr>
          <w:rStyle w:val="NormalTok"/>
        </w:rPr>
        <w:t xml:space="preserve"> </w:t>
      </w:r>
      <w:r>
        <w:rPr>
          <w:rStyle w:val="StringTok"/>
        </w:rPr>
        <w:t xml:space="preserve">"Computer inventory: </w:t>
      </w:r>
      <w:r>
        <w:rPr>
          <w:rStyle w:val="OperatorTok"/>
        </w:rPr>
        <w:t xml:space="preserve">$(@(</w:t>
      </w:r>
      <w:r>
        <w:rPr>
          <w:rStyle w:val="VariableTok"/>
        </w:rPr>
        <w:t xml:space="preserve">$computers</w:t>
      </w:r>
      <w:r>
        <w:rPr>
          <w:rStyle w:val="OperatorTok"/>
        </w:rPr>
        <w:t xml:space="preserve">)</w:t>
      </w:r>
      <w:r>
        <w:rPr>
          <w:rStyle w:val="StringTok"/>
        </w:rPr>
        <w:t xml:space="preserve">.Count) objects."</w:t>
      </w:r>
      <w:r>
        <w:br/>
      </w:r>
      <w:r>
        <w:rPr>
          <w:rStyle w:val="OperatorTok"/>
        </w:rPr>
        <w:t xml:space="preserve">}</w:t>
      </w:r>
    </w:p>
    <w:p>
      <w:pPr>
        <w:pStyle w:val="FirstParagraph"/>
      </w:pPr>
      <w:r>
        <w:rPr>
          <w:rStyle w:val="VerbatimChar"/>
        </w:rPr>
        <w:t xml:space="preserve">PrincipalsAllowedToDelegateToAccount</w:t>
      </w:r>
      <w:r>
        <w:t xml:space="preserve"> </w:t>
      </w:r>
      <w:r>
        <w:t xml:space="preserve">is the ActiveDirectory module’s name for the resource-based delegation attribute,</w:t>
      </w:r>
      <w:r>
        <w:t xml:space="preserve"> </w:t>
      </w:r>
      <w:r>
        <w:rPr>
          <w:rStyle w:val="VerbatimChar"/>
        </w:rPr>
        <w:t xml:space="preserve">msDS-AllowedToActOnBehalfOfOtherIdentity</w:t>
      </w:r>
      <w:r>
        <w:t xml:space="preserve">.</w:t>
      </w:r>
      <w:r>
        <w:rPr>
          <w:rStyle w:val="FootnoteReference"/>
        </w:rPr>
        <w:footnoteReference w:id="1272"/>
      </w:r>
      <w:r>
        <w:t xml:space="preserve"> </w:t>
      </w:r>
      <w:r>
        <w:t xml:space="preserve">Domain controllers carry</w:t>
      </w:r>
      <w:r>
        <w:t xml:space="preserve"> </w:t>
      </w:r>
      <w:r>
        <w:rPr>
          <w:rStyle w:val="VerbatimChar"/>
        </w:rPr>
        <w:t xml:space="preserve">TrustedForDelegation</w:t>
      </w:r>
      <w:r>
        <w:t xml:space="preserve"> </w:t>
      </w:r>
      <w:r>
        <w:t xml:space="preserve">by design, so</w:t>
      </w:r>
      <w:r>
        <w:t xml:space="preserve"> </w:t>
      </w:r>
      <w:r>
        <w:rPr>
          <w:rStyle w:val="VerbatimChar"/>
        </w:rPr>
        <w:t xml:space="preserve">IsDomainController</w:t>
      </w:r>
      <w:r>
        <w:t xml:space="preserve"> </w:t>
      </w:r>
      <w:r>
        <w:t xml:space="preserve">lets the finding step exclude them.</w:t>
      </w:r>
    </w:p>
    <w:bookmarkEnd w:id="1273"/>
    <w:bookmarkStart w:id="1280" w:name="users-groups-and-service-accounts-1"/>
    <w:p>
      <w:pPr>
        <w:pStyle w:val="Heading3"/>
      </w:pPr>
      <w:r>
        <w:t xml:space="preserve">Users, groups and service accounts</w:t>
      </w:r>
    </w:p>
    <w:p>
      <w:pPr>
        <w:pStyle w:val="SourceCode"/>
      </w:pPr>
      <w:r>
        <w:rPr>
          <w:rStyle w:val="VariableTok"/>
        </w:rPr>
        <w:t xml:space="preserve">$script</w:t>
      </w:r>
      <w:r>
        <w:rPr>
          <w:rStyle w:val="OperatorTok"/>
        </w:rPr>
        <w:t xml:space="preserve">:</w:t>
      </w:r>
      <w:r>
        <w:rPr>
          <w:rStyle w:val="VariableTok"/>
        </w:rPr>
        <w:t xml:space="preserve">FMPPrivilegedGroups</w:t>
      </w:r>
      <w:r>
        <w:rPr>
          <w:rStyle w:val="NormalTok"/>
        </w:rPr>
        <w:t xml:space="preserve"> </w:t>
      </w:r>
      <w:r>
        <w:rPr>
          <w:rStyle w:val="OperatorTok"/>
        </w:rPr>
        <w:t xml:space="preserve">=</w:t>
      </w:r>
      <w:r>
        <w:rPr>
          <w:rStyle w:val="NormalTok"/>
        </w:rPr>
        <w:t xml:space="preserve"> </w:t>
      </w:r>
      <w:r>
        <w:rPr>
          <w:rStyle w:val="StringTok"/>
        </w:rPr>
        <w:t xml:space="preserve">'Domain Admins'</w:t>
      </w:r>
      <w:r>
        <w:rPr>
          <w:rStyle w:val="OperatorTok"/>
        </w:rPr>
        <w:t xml:space="preserve">,</w:t>
      </w:r>
      <w:r>
        <w:rPr>
          <w:rStyle w:val="NormalTok"/>
        </w:rPr>
        <w:t xml:space="preserve"> </w:t>
      </w:r>
      <w:r>
        <w:rPr>
          <w:rStyle w:val="StringTok"/>
        </w:rPr>
        <w:t xml:space="preserve">'Enterprise Admins'</w:t>
      </w:r>
      <w:r>
        <w:rPr>
          <w:rStyle w:val="OperatorTok"/>
        </w:rPr>
        <w:t xml:space="preserve">,</w:t>
      </w:r>
      <w:r>
        <w:rPr>
          <w:rStyle w:val="NormalTok"/>
        </w:rPr>
        <w:t xml:space="preserve"> </w:t>
      </w:r>
      <w:r>
        <w:rPr>
          <w:rStyle w:val="StringTok"/>
        </w:rPr>
        <w:t xml:space="preserve">'Schema Admins'</w:t>
      </w:r>
      <w:r>
        <w:rPr>
          <w:rStyle w:val="OperatorTok"/>
        </w:rPr>
        <w:t xml:space="preserve">,</w:t>
      </w:r>
      <w:r>
        <w:rPr>
          <w:rStyle w:val="NormalTok"/>
        </w:rPr>
        <w:t xml:space="preserve"> </w:t>
      </w:r>
      <w:r>
        <w:rPr>
          <w:rStyle w:val="StringTok"/>
        </w:rPr>
        <w:t xml:space="preserve">'Administrators'</w:t>
      </w:r>
      <w:r>
        <w:rPr>
          <w:rStyle w:val="OperatorTok"/>
        </w:rPr>
        <w:t xml:space="preserve">,</w:t>
      </w:r>
      <w:r>
        <w:br/>
      </w:r>
      <w:r>
        <w:rPr>
          <w:rStyle w:val="NormalTok"/>
        </w:rPr>
        <w:t xml:space="preserve">                              </w:t>
      </w:r>
      <w:r>
        <w:rPr>
          <w:rStyle w:val="StringTok"/>
        </w:rPr>
        <w:t xml:space="preserve">'Account Operators'</w:t>
      </w:r>
      <w:r>
        <w:rPr>
          <w:rStyle w:val="OperatorTok"/>
        </w:rPr>
        <w:t xml:space="preserve">,</w:t>
      </w:r>
      <w:r>
        <w:rPr>
          <w:rStyle w:val="NormalTok"/>
        </w:rPr>
        <w:t xml:space="preserve"> </w:t>
      </w:r>
      <w:r>
        <w:rPr>
          <w:rStyle w:val="StringTok"/>
        </w:rPr>
        <w:t xml:space="preserve">'Server Operators'</w:t>
      </w:r>
      <w:r>
        <w:rPr>
          <w:rStyle w:val="OperatorTok"/>
        </w:rPr>
        <w:t xml:space="preserve">,</w:t>
      </w:r>
      <w:r>
        <w:rPr>
          <w:rStyle w:val="NormalTok"/>
        </w:rPr>
        <w:t xml:space="preserve"> </w:t>
      </w:r>
      <w:r>
        <w:rPr>
          <w:rStyle w:val="StringTok"/>
        </w:rPr>
        <w:t xml:space="preserve">'Backup Operators'</w:t>
      </w:r>
      <w:r>
        <w:rPr>
          <w:rStyle w:val="OperatorTok"/>
        </w:rPr>
        <w:t xml:space="preserve">,</w:t>
      </w:r>
      <w:r>
        <w:rPr>
          <w:rStyle w:val="NormalTok"/>
        </w:rPr>
        <w:t xml:space="preserve"> </w:t>
      </w:r>
      <w:r>
        <w:rPr>
          <w:rStyle w:val="StringTok"/>
        </w:rPr>
        <w:t xml:space="preserve">'Print Operators'</w:t>
      </w:r>
      <w:r>
        <w:br/>
      </w:r>
      <w:r>
        <w:br/>
      </w:r>
      <w:r>
        <w:rPr>
          <w:rStyle w:val="KeywordTok"/>
        </w:rPr>
        <w:t xml:space="preserve">function</w:t>
      </w:r>
      <w:r>
        <w:rPr>
          <w:rStyle w:val="NormalTok"/>
        </w:rPr>
        <w:t xml:space="preserve"> Find-CircularGroupNesting </w:t>
      </w:r>
      <w:r>
        <w:rPr>
          <w:rStyle w:val="OperatorTok"/>
        </w:rPr>
        <w:t xml:space="preserve">{</w:t>
      </w:r>
      <w:r>
        <w:br/>
      </w:r>
      <w:r>
        <w:rPr>
          <w:rStyle w:val="NormalTok"/>
        </w:rPr>
        <w:t xml:space="preserve">    </w:t>
      </w:r>
      <w:r>
        <w:rPr>
          <w:rStyle w:val="CommentTok"/>
        </w:rPr>
        <w:t xml:space="preserve"># Groups that are members of themselves through nesting.</w:t>
      </w:r>
      <w:r>
        <w:br/>
      </w:r>
      <w:r>
        <w:rPr>
          <w:rStyle w:val="NormalTok"/>
        </w:rPr>
        <w:t xml:space="preserve">    </w:t>
      </w:r>
      <w:r>
        <w:rPr>
          <w:rStyle w:val="KeywordTok"/>
        </w:rPr>
        <w:t xml:space="preserve">param</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$Server</w:t>
      </w:r>
      <w:r>
        <w:rPr>
          <w:rStyle w:val="OperatorTok"/>
        </w:rPr>
        <w:t xml:space="preserve">)</w:t>
      </w:r>
      <w:r>
        <w:br/>
      </w:r>
      <w:r>
        <w:rPr>
          <w:rStyle w:val="NormalTok"/>
        </w:rPr>
        <w:t xml:space="preserve">    </w:t>
      </w:r>
      <w:r>
        <w:rPr>
          <w:rStyle w:val="VariableTok"/>
        </w:rPr>
        <w:t xml:space="preserve">$groups</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Get-ADGroup</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$Server</w:t>
      </w:r>
      <w:r>
        <w:rPr>
          <w:rStyle w:val="NormalTok"/>
        </w:rPr>
        <w:t xml:space="preserve"> </w:t>
      </w:r>
      <w:r>
        <w:rPr>
          <w:rStyle w:val="OperatorTok"/>
        </w:rPr>
        <w:t xml:space="preserve">-</w:t>
      </w:r>
      <w:r>
        <w:rPr>
          <w:rStyle w:val="NormalTok"/>
        </w:rPr>
        <w:t xml:space="preserve">Properties MemberOf</w:t>
      </w:r>
      <w:r>
        <w:rPr>
          <w:rStyle w:val="OperatorTok"/>
        </w:rPr>
        <w:t xml:space="preserve">)</w:t>
      </w:r>
      <w:r>
        <w:br/>
      </w:r>
      <w:r>
        <w:rPr>
          <w:rStyle w:val="NormalTok"/>
        </w:rPr>
        <w:t xml:space="preserve">    </w:t>
      </w:r>
      <w:r>
        <w:rPr>
          <w:rStyle w:val="VariableTok"/>
        </w:rPr>
        <w:t xml:space="preserve">$parents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$g</w:t>
      </w:r>
      <w:r>
        <w:rPr>
          <w:rStyle w:val="NormalTok"/>
        </w:rPr>
        <w:t xml:space="preserve"> </w:t>
      </w:r>
      <w:r>
        <w:rPr>
          <w:rStyle w:val="KeywordTok"/>
        </w:rPr>
        <w:t xml:space="preserve">in</w:t>
      </w:r>
      <w:r>
        <w:rPr>
          <w:rStyle w:val="NormalTok"/>
        </w:rPr>
        <w:t xml:space="preserve"> </w:t>
      </w:r>
      <w:r>
        <w:rPr>
          <w:rStyle w:val="VariableTok"/>
        </w:rPr>
        <w:t xml:space="preserve">$groups</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$parents</w:t>
      </w:r>
      <w:r>
        <w:rPr>
          <w:rStyle w:val="OperatorTok"/>
        </w:rPr>
        <w:t xml:space="preserve">[</w:t>
      </w:r>
      <w:r>
        <w:rPr>
          <w:rStyle w:val="VariableTok"/>
        </w:rPr>
        <w:t xml:space="preserve">$g</w:t>
      </w:r>
      <w:r>
        <w:rPr>
          <w:rStyle w:val="OperatorTok"/>
        </w:rPr>
        <w:t xml:space="preserve">.</w:t>
      </w:r>
      <w:r>
        <w:rPr>
          <w:rStyle w:val="FunctionTok"/>
        </w:rPr>
        <w:t xml:space="preserve">DistinguishedName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$g</w:t>
      </w:r>
      <w:r>
        <w:rPr>
          <w:rStyle w:val="OperatorTok"/>
        </w:rPr>
        <w:t xml:space="preserve">.</w:t>
      </w:r>
      <w:r>
        <w:rPr>
          <w:rStyle w:val="FunctionTok"/>
        </w:rPr>
        <w:t xml:space="preserve">MemberOf</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$g</w:t>
      </w:r>
      <w:r>
        <w:rPr>
          <w:rStyle w:val="NormalTok"/>
        </w:rPr>
        <w:t xml:space="preserve"> </w:t>
      </w:r>
      <w:r>
        <w:rPr>
          <w:rStyle w:val="KeywordTok"/>
        </w:rPr>
        <w:t xml:space="preserve">in</w:t>
      </w:r>
      <w:r>
        <w:rPr>
          <w:rStyle w:val="NormalTok"/>
        </w:rPr>
        <w:t xml:space="preserve"> </w:t>
      </w:r>
      <w:r>
        <w:rPr>
          <w:rStyle w:val="VariableTok"/>
        </w:rPr>
        <w:t xml:space="preserve">$groups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$start</w:t>
      </w:r>
      <w:r>
        <w:rPr>
          <w:rStyle w:val="NormalTok"/>
        </w:rPr>
        <w:t xml:space="preserve"> </w:t>
      </w:r>
      <w:r>
        <w:rPr>
          <w:rStyle w:val="OperatorTok"/>
        </w:rPr>
        <w:t xml:space="preserve">=</w:t>
      </w:r>
      <w:r>
        <w:rPr>
          <w:rStyle w:val="NormalTok"/>
        </w:rPr>
        <w:t xml:space="preserve"> </w:t>
      </w:r>
      <w:r>
        <w:rPr>
          <w:rStyle w:val="VariableTok"/>
        </w:rPr>
        <w:t xml:space="preserve">$g</w:t>
      </w:r>
      <w:r>
        <w:rPr>
          <w:rStyle w:val="OperatorTok"/>
        </w:rPr>
        <w:t xml:space="preserve">.</w:t>
      </w:r>
      <w:r>
        <w:rPr>
          <w:rStyle w:val="FunctionTok"/>
        </w:rPr>
        <w:t xml:space="preserve">DistinguishedName</w:t>
      </w:r>
      <w:r>
        <w:br/>
      </w:r>
      <w:r>
        <w:rPr>
          <w:rStyle w:val="NormalTok"/>
        </w:rPr>
        <w:t xml:space="preserve">        </w:t>
      </w:r>
      <w:r>
        <w:rPr>
          <w:rStyle w:val="VariableTok"/>
        </w:rPr>
        <w:t xml:space="preserve">$seen</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$queue</w:t>
      </w:r>
      <w:r>
        <w:rPr>
          <w:rStyle w:val="NormalTok"/>
        </w:rPr>
        <w:t xml:space="preserve"> </w:t>
      </w:r>
      <w:r>
        <w:rPr>
          <w:rStyle w:val="OperatorTok"/>
        </w:rPr>
        <w:t xml:space="preserve">=</w:t>
      </w:r>
      <w:r>
        <w:rPr>
          <w:rStyle w:val="NormalTok"/>
        </w:rPr>
        <w:t xml:space="preserve"> </w:t>
      </w:r>
      <w:r>
        <w:rPr>
          <w:rStyle w:val="FunctionTok"/>
        </w:rPr>
        <w:t xml:space="preserve">New-Object</w:t>
      </w:r>
      <w:r>
        <w:rPr>
          <w:rStyle w:val="NormalTok"/>
        </w:rPr>
        <w:t xml:space="preserve"> System</w:t>
      </w:r>
      <w:r>
        <w:rPr>
          <w:rStyle w:val="OperatorTok"/>
        </w:rPr>
        <w:t xml:space="preserve">.</w:t>
      </w:r>
      <w:r>
        <w:rPr>
          <w:rStyle w:val="FunctionTok"/>
        </w:rPr>
        <w:t xml:space="preserve">Collections</w:t>
      </w:r>
      <w:r>
        <w:rPr>
          <w:rStyle w:val="OperatorTok"/>
        </w:rPr>
        <w:t xml:space="preserve">.</w:t>
      </w:r>
      <w:r>
        <w:rPr>
          <w:rStyle w:val="FunctionTok"/>
        </w:rPr>
        <w:t xml:space="preserve">Queue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$p</w:t>
      </w:r>
      <w:r>
        <w:rPr>
          <w:rStyle w:val="NormalTok"/>
        </w:rPr>
        <w:t xml:space="preserve"> </w:t>
      </w:r>
      <w:r>
        <w:rPr>
          <w:rStyle w:val="KeywordTok"/>
        </w:rPr>
        <w:t xml:space="preserve">in</w:t>
      </w:r>
      <w:r>
        <w:rPr>
          <w:rStyle w:val="NormalTok"/>
        </w:rPr>
        <w:t xml:space="preserve"> </w:t>
      </w:r>
      <w:r>
        <w:rPr>
          <w:rStyle w:val="VariableTok"/>
        </w:rPr>
        <w:t xml:space="preserve">$parents</w:t>
      </w:r>
      <w:r>
        <w:rPr>
          <w:rStyle w:val="OperatorTok"/>
        </w:rPr>
        <w:t xml:space="preserve">[</w:t>
      </w:r>
      <w:r>
        <w:rPr>
          <w:rStyle w:val="VariableTok"/>
        </w:rPr>
        <w:t xml:space="preserve">$start</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$queue</w:t>
      </w:r>
      <w:r>
        <w:rPr>
          <w:rStyle w:val="OperatorTok"/>
        </w:rPr>
        <w:t xml:space="preserve">.</w:t>
      </w:r>
      <w:r>
        <w:rPr>
          <w:rStyle w:val="FunctionTok"/>
        </w:rPr>
        <w:t xml:space="preserve">Enqueue</w:t>
      </w:r>
      <w:r>
        <w:rPr>
          <w:rStyle w:val="OperatorTok"/>
        </w:rPr>
        <w:t xml:space="preserve">(</w:t>
      </w:r>
      <w:r>
        <w:rPr>
          <w:rStyle w:val="VariableTok"/>
        </w:rPr>
        <w:t xml:space="preserve">$p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VariableTok"/>
        </w:rPr>
        <w:t xml:space="preserve">$queue</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$current</w:t>
      </w:r>
      <w:r>
        <w:rPr>
          <w:rStyle w:val="NormalTok"/>
        </w:rPr>
        <w:t xml:space="preserve"> </w:t>
      </w:r>
      <w:r>
        <w:rPr>
          <w:rStyle w:val="OperatorTok"/>
        </w:rPr>
        <w:t xml:space="preserve">=</w:t>
      </w:r>
      <w:r>
        <w:rPr>
          <w:rStyle w:val="NormalTok"/>
        </w:rPr>
        <w:t xml:space="preserve"> </w:t>
      </w:r>
      <w:r>
        <w:rPr>
          <w:rStyle w:val="VariableTok"/>
        </w:rPr>
        <w:t xml:space="preserve">$queue</w:t>
      </w:r>
      <w:r>
        <w:rPr>
          <w:rStyle w:val="OperatorTok"/>
        </w:rPr>
        <w:t xml:space="preserve">.</w:t>
      </w:r>
      <w:r>
        <w:rPr>
          <w:rStyle w:val="FunctionTok"/>
        </w:rPr>
        <w:t xml:space="preserve">Dequeue</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$current</w:t>
      </w:r>
      <w:r>
        <w:rPr>
          <w:rStyle w:val="NormalTok"/>
        </w:rPr>
        <w:t xml:space="preserve"> </w:t>
      </w:r>
      <w:r>
        <w:rPr>
          <w:rStyle w:val="OperatorTok"/>
        </w:rPr>
        <w:t xml:space="preserve">-eq</w:t>
      </w:r>
      <w:r>
        <w:rPr>
          <w:rStyle w:val="NormalTok"/>
        </w:rPr>
        <w:t xml:space="preserve"> </w:t>
      </w:r>
      <w:r>
        <w:rPr>
          <w:rStyle w:val="VariableTok"/>
        </w:rPr>
        <w:t xml:space="preserve">$start</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w:t>
      </w:r>
      <w:r>
        <w:rPr>
          <w:rStyle w:val="FunctionTok"/>
        </w:rPr>
        <w:t xml:space="preserve">Group</w:t>
      </w:r>
      <w:r>
        <w:rPr>
          <w:rStyle w:val="NormalTok"/>
        </w:rPr>
        <w:t xml:space="preserve"> </w:t>
      </w:r>
      <w:r>
        <w:rPr>
          <w:rStyle w:val="OperatorTok"/>
        </w:rPr>
        <w:t xml:space="preserve">=</w:t>
      </w:r>
      <w:r>
        <w:rPr>
          <w:rStyle w:val="NormalTok"/>
        </w:rPr>
        <w:t xml:space="preserve"> </w:t>
      </w:r>
      <w:r>
        <w:rPr>
          <w:rStyle w:val="VariableTok"/>
        </w:rPr>
        <w:t xml:space="preserve">$g</w:t>
      </w:r>
      <w:r>
        <w:rPr>
          <w:rStyle w:val="OperatorTok"/>
        </w:rPr>
        <w:t xml:space="preserve">.</w:t>
      </w:r>
      <w:r>
        <w:rPr>
          <w:rStyle w:val="FunctionTok"/>
        </w:rPr>
        <w:t xml:space="preserve">SamAccountName</w:t>
      </w:r>
      <w:r>
        <w:rPr>
          <w:rStyle w:val="OperatorTok"/>
        </w:rPr>
        <w:t xml:space="preserve">;</w:t>
      </w:r>
      <w:r>
        <w:rPr>
          <w:rStyle w:val="NormalTok"/>
        </w:rPr>
        <w:t xml:space="preserve"> DN </w:t>
      </w:r>
      <w:r>
        <w:rPr>
          <w:rStyle w:val="OperatorTok"/>
        </w:rPr>
        <w:t xml:space="preserve">=</w:t>
      </w:r>
      <w:r>
        <w:rPr>
          <w:rStyle w:val="NormalTok"/>
        </w:rPr>
        <w:t xml:space="preserve"> </w:t>
      </w:r>
      <w:r>
        <w:rPr>
          <w:rStyle w:val="VariableTok"/>
        </w:rPr>
        <w:t xml:space="preserve">$start</w:t>
      </w:r>
      <w:r>
        <w:rPr>
          <w:rStyle w:val="NormalTok"/>
        </w:rPr>
        <w:t xml:space="preserve"> </w:t>
      </w:r>
      <w:r>
        <w:rPr>
          <w:rStyle w:val="OperatorTok"/>
        </w:rPr>
        <w:t xml:space="preserve">}</w:t>
      </w:r>
      <w:r>
        <w:br/>
      </w:r>
      <w:r>
        <w:rPr>
          <w:rStyle w:val="NormalTok"/>
        </w:rPr>
        <w:t xml:space="preserve">                </w:t>
      </w:r>
      <w:r>
        <w:rPr>
          <w:rStyle w:val="ControlFlowTok"/>
        </w:rPr>
        <w:t xml:space="preserve">break</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$seen</w:t>
      </w:r>
      <w:r>
        <w:rPr>
          <w:rStyle w:val="OperatorTok"/>
        </w:rPr>
        <w:t xml:space="preserve">.</w:t>
      </w:r>
      <w:r>
        <w:rPr>
          <w:rStyle w:val="FunctionTok"/>
        </w:rPr>
        <w:t xml:space="preserve">ContainsKey</w:t>
      </w:r>
      <w:r>
        <w:rPr>
          <w:rStyle w:val="OperatorTok"/>
        </w:rPr>
        <w:t xml:space="preserve">(</w:t>
      </w:r>
      <w:r>
        <w:rPr>
          <w:rStyle w:val="VariableTok"/>
        </w:rPr>
        <w:t xml:space="preserve">$current</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continue</w:t>
      </w:r>
      <w:r>
        <w:rPr>
          <w:rStyle w:val="NormalTok"/>
        </w:rPr>
        <w:t xml:space="preserve"> </w:t>
      </w:r>
      <w:r>
        <w:rPr>
          <w:rStyle w:val="OperatorTok"/>
        </w:rPr>
        <w:t xml:space="preserve">}</w:t>
      </w:r>
      <w:r>
        <w:br/>
      </w:r>
      <w:r>
        <w:rPr>
          <w:rStyle w:val="NormalTok"/>
        </w:rPr>
        <w:t xml:space="preserve">            </w:t>
      </w:r>
      <w:r>
        <w:rPr>
          <w:rStyle w:val="VariableTok"/>
        </w:rPr>
        <w:t xml:space="preserve">$seen</w:t>
      </w:r>
      <w:r>
        <w:rPr>
          <w:rStyle w:val="OperatorTok"/>
        </w:rPr>
        <w:t xml:space="preserve">[</w:t>
      </w:r>
      <w:r>
        <w:rPr>
          <w:rStyle w:val="VariableTok"/>
        </w:rPr>
        <w:t xml:space="preserve">$current</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$true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$parents</w:t>
      </w:r>
      <w:r>
        <w:rPr>
          <w:rStyle w:val="OperatorTok"/>
        </w:rPr>
        <w:t xml:space="preserve">.</w:t>
      </w:r>
      <w:r>
        <w:rPr>
          <w:rStyle w:val="FunctionTok"/>
        </w:rPr>
        <w:t xml:space="preserve">ContainsKey</w:t>
      </w:r>
      <w:r>
        <w:rPr>
          <w:rStyle w:val="OperatorTok"/>
        </w:rPr>
        <w:t xml:space="preserve">(</w:t>
      </w:r>
      <w:r>
        <w:rPr>
          <w:rStyle w:val="VariableTok"/>
        </w:rPr>
        <w:t xml:space="preserve">$current</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$p</w:t>
      </w:r>
      <w:r>
        <w:rPr>
          <w:rStyle w:val="NormalTok"/>
        </w:rPr>
        <w:t xml:space="preserve"> </w:t>
      </w:r>
      <w:r>
        <w:rPr>
          <w:rStyle w:val="KeywordTok"/>
        </w:rPr>
        <w:t xml:space="preserve">in</w:t>
      </w:r>
      <w:r>
        <w:rPr>
          <w:rStyle w:val="NormalTok"/>
        </w:rPr>
        <w:t xml:space="preserve"> </w:t>
      </w:r>
      <w:r>
        <w:rPr>
          <w:rStyle w:val="VariableTok"/>
        </w:rPr>
        <w:t xml:space="preserve">$parents</w:t>
      </w:r>
      <w:r>
        <w:rPr>
          <w:rStyle w:val="OperatorTok"/>
        </w:rPr>
        <w:t xml:space="preserve">[</w:t>
      </w:r>
      <w:r>
        <w:rPr>
          <w:rStyle w:val="VariableTok"/>
        </w:rPr>
        <w:t xml:space="preserve">$current</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$queue</w:t>
      </w:r>
      <w:r>
        <w:rPr>
          <w:rStyle w:val="OperatorTok"/>
        </w:rPr>
        <w:t xml:space="preserve">.</w:t>
      </w:r>
      <w:r>
        <w:rPr>
          <w:rStyle w:val="FunctionTok"/>
        </w:rPr>
        <w:t xml:space="preserve">Enqueue</w:t>
      </w:r>
      <w:r>
        <w:rPr>
          <w:rStyle w:val="OperatorTok"/>
        </w:rPr>
        <w:t xml:space="preserve">(</w:t>
      </w:r>
      <w:r>
        <w:rPr>
          <w:rStyle w:val="VariableTok"/>
        </w:rPr>
        <w:t xml:space="preserve">$p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KeywordTok"/>
        </w:rPr>
        <w:t xml:space="preserve">function</w:t>
      </w:r>
      <w:r>
        <w:rPr>
          <w:rStyle w:val="NormalTok"/>
        </w:rPr>
        <w:t xml:space="preserve"> Get-FMPUserInventory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Users, privileged membership, AdminSDHolder-protected and orphaned accounts, and service accounts.</w:t>
      </w:r>
      <w:r>
        <w:br/>
      </w:r>
      <w:r>
        <w:rPr>
          <w:rStyle w:val="CommentTok"/>
        </w:rPr>
        <w:t xml:space="preserve">    .OUTPUTS</w:t>
      </w:r>
      <w:r>
        <w:br/>
      </w:r>
      <w:r>
        <w:rPr>
          <w:rStyle w:val="CommentTok"/>
        </w:rPr>
        <w:t xml:space="preserve">        UserInventory.json, PrivilegedUsers.csv, AdminCountReport.csv, ServiceAccounts.csv,</w:t>
      </w:r>
      <w:r>
        <w:br/>
      </w:r>
      <w:r>
        <w:rPr>
          <w:rStyle w:val="CommentTok"/>
        </w:rPr>
        <w:t xml:space="preserve">        ServiceAccounts\MSAInventory.json, ServiceAccounts\gMSAInventory.json</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DNSRoot</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'D:\FMP\Assessment'</w:t>
      </w:r>
      <w:r>
        <w:rPr>
          <w:rStyle w:val="OperatorTok"/>
        </w:rPr>
        <w:t xml:space="preserve">,</w:t>
      </w:r>
      <w:r>
        <w:br/>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$StaleThresholdDays</w:t>
      </w:r>
      <w:r>
        <w:rPr>
          <w:rStyle w:val="NormalTok"/>
        </w:rPr>
        <w:t xml:space="preserve"> </w:t>
      </w:r>
      <w:r>
        <w:rPr>
          <w:rStyle w:val="OperatorTok"/>
        </w:rPr>
        <w:t xml:space="preserve">=</w:t>
      </w:r>
      <w:r>
        <w:rPr>
          <w:rStyle w:val="NormalTok"/>
        </w:rPr>
        <w:t xml:space="preserve"> </w:t>
      </w:r>
      <w:r>
        <w:rPr>
          <w:rStyle w:val="DecValTok"/>
        </w:rPr>
        <w:t xml:space="preserve">90</w:t>
      </w:r>
      <w:r>
        <w:br/>
      </w:r>
      <w:r>
        <w:rPr>
          <w:rStyle w:val="NormalTok"/>
        </w:rPr>
        <w:t xml:space="preserve">    </w:t>
      </w:r>
      <w:r>
        <w:rPr>
          <w:rStyle w:val="OperatorTok"/>
        </w:rPr>
        <w:t xml:space="preserve">)</w:t>
      </w:r>
      <w:r>
        <w:br/>
      </w:r>
      <w:r>
        <w:rPr>
          <w:rStyle w:val="NormalTok"/>
        </w:rPr>
        <w:t xml:space="preserve">    </w:t>
      </w:r>
      <w:r>
        <w:rPr>
          <w:rStyle w:val="VariableTok"/>
        </w:rPr>
        <w:t xml:space="preserve">$objPath</w:t>
      </w:r>
      <w:r>
        <w:rPr>
          <w:rStyle w:val="NormalTok"/>
        </w:rPr>
        <w:t xml:space="preserve"> </w:t>
      </w:r>
      <w:r>
        <w:rPr>
          <w:rStyle w:val="OperatorTok"/>
        </w:rPr>
        <w:t xml:space="preserve">=</w:t>
      </w:r>
      <w:r>
        <w:rPr>
          <w:rStyle w:val="NormalTok"/>
        </w:rPr>
        <w:t xml:space="preserve"> Get-FMPDomainPath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Area </w:t>
      </w:r>
      <w:r>
        <w:rPr>
          <w:rStyle w:val="StringTok"/>
        </w:rPr>
        <w:t xml:space="preserve">'Objects'</w:t>
      </w:r>
      <w:r>
        <w:br/>
      </w:r>
      <w:r>
        <w:rPr>
          <w:rStyle w:val="NormalTok"/>
        </w:rPr>
        <w:t xml:space="preserve">    </w:t>
      </w:r>
      <w:r>
        <w:rPr>
          <w:rStyle w:val="VariableTok"/>
        </w:rPr>
        <w:t xml:space="preserve">$saPath</w:t>
      </w:r>
      <w:r>
        <w:rPr>
          <w:rStyle w:val="NormalTok"/>
        </w:rPr>
        <w:t xml:space="preserve">  </w:t>
      </w:r>
      <w:r>
        <w:rPr>
          <w:rStyle w:val="OperatorTok"/>
        </w:rPr>
        <w:t xml:space="preserve">=</w:t>
      </w:r>
      <w:r>
        <w:rPr>
          <w:rStyle w:val="NormalTok"/>
        </w:rPr>
        <w:t xml:space="preserve"> Get-FMPDomainPath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Area </w:t>
      </w:r>
      <w:r>
        <w:rPr>
          <w:rStyle w:val="StringTok"/>
        </w:rPr>
        <w:t xml:space="preserve">'ServiceAccounts'</w:t>
      </w:r>
      <w:r>
        <w:br/>
      </w:r>
      <w:r>
        <w:rPr>
          <w:rStyle w:val="NormalTok"/>
        </w:rPr>
        <w:t xml:space="preserve">    </w:t>
      </w:r>
      <w:r>
        <w:rPr>
          <w:rStyle w:val="VariableTok"/>
        </w:rPr>
        <w:t xml:space="preserve">$staleDate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AddDays</w:t>
      </w:r>
      <w:r>
        <w:rPr>
          <w:rStyle w:val="OperatorTok"/>
        </w:rPr>
        <w:t xml:space="preserve">(-</w:t>
      </w:r>
      <w:r>
        <w:rPr>
          <w:rStyle w:val="VariableTok"/>
        </w:rPr>
        <w:t xml:space="preserve">$StaleThresholdDays</w:t>
      </w:r>
      <w:r>
        <w:rPr>
          <w:rStyle w:val="OperatorTok"/>
        </w:rPr>
        <w:t xml:space="preserve">)</w:t>
      </w:r>
      <w:r>
        <w:br/>
      </w:r>
      <w:r>
        <w:br/>
      </w:r>
      <w:r>
        <w:rPr>
          <w:rStyle w:val="NormalTok"/>
        </w:rPr>
        <w:t xml:space="preserve">    </w:t>
      </w:r>
      <w:r>
        <w:rPr>
          <w:rStyle w:val="VariableTok"/>
        </w:rPr>
        <w:t xml:space="preserve">$users</w:t>
      </w:r>
      <w:r>
        <w:rPr>
          <w:rStyle w:val="NormalTok"/>
        </w:rPr>
        <w:t xml:space="preserve"> </w:t>
      </w:r>
      <w:r>
        <w:rPr>
          <w:rStyle w:val="OperatorTok"/>
        </w:rPr>
        <w:t xml:space="preserve">=</w:t>
      </w:r>
      <w:r>
        <w:rPr>
          <w:rStyle w:val="NormalTok"/>
        </w:rPr>
        <w:t xml:space="preserve"> </w:t>
      </w:r>
      <w:r>
        <w:rPr>
          <w:rStyle w:val="FunctionTok"/>
        </w:rPr>
        <w:t xml:space="preserve">Get-ADUser</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Properties UserPrincipalName</w:t>
      </w:r>
      <w:r>
        <w:rPr>
          <w:rStyle w:val="OperatorTok"/>
        </w:rPr>
        <w:t xml:space="preserve">,</w:t>
      </w:r>
      <w:r>
        <w:rPr>
          <w:rStyle w:val="NormalTok"/>
        </w:rPr>
        <w:t xml:space="preserve"> DisplayName</w:t>
      </w:r>
      <w:r>
        <w:rPr>
          <w:rStyle w:val="OperatorTok"/>
        </w:rPr>
        <w:t xml:space="preserve">,</w:t>
      </w:r>
      <w:r>
        <w:rPr>
          <w:rStyle w:val="NormalTok"/>
        </w:rPr>
        <w:t xml:space="preserve"> Enabled</w:t>
      </w:r>
      <w:r>
        <w:rPr>
          <w:rStyle w:val="OperatorTok"/>
        </w:rPr>
        <w:t xml:space="preserve">,</w:t>
      </w:r>
      <w:r>
        <w:br/>
      </w:r>
      <w:r>
        <w:rPr>
          <w:rStyle w:val="NormalTok"/>
        </w:rPr>
        <w:t xml:space="preserve">        LastLogonDate</w:t>
      </w:r>
      <w:r>
        <w:rPr>
          <w:rStyle w:val="OperatorTok"/>
        </w:rPr>
        <w:t xml:space="preserve">,</w:t>
      </w:r>
      <w:r>
        <w:rPr>
          <w:rStyle w:val="NormalTok"/>
        </w:rPr>
        <w:t xml:space="preserve"> PasswordLastSet</w:t>
      </w:r>
      <w:r>
        <w:rPr>
          <w:rStyle w:val="OperatorTok"/>
        </w:rPr>
        <w:t xml:space="preserve">,</w:t>
      </w:r>
      <w:r>
        <w:rPr>
          <w:rStyle w:val="NormalTok"/>
        </w:rPr>
        <w:t xml:space="preserve"> PasswordNeverExpires</w:t>
      </w:r>
      <w:r>
        <w:rPr>
          <w:rStyle w:val="OperatorTok"/>
        </w:rPr>
        <w:t xml:space="preserve">,</w:t>
      </w:r>
      <w:r>
        <w:rPr>
          <w:rStyle w:val="NormalTok"/>
        </w:rPr>
        <w:t xml:space="preserve"> PasswordExpired</w:t>
      </w:r>
      <w:r>
        <w:rPr>
          <w:rStyle w:val="OperatorTok"/>
        </w:rPr>
        <w:t xml:space="preserve">,</w:t>
      </w:r>
      <w:r>
        <w:rPr>
          <w:rStyle w:val="NormalTok"/>
        </w:rPr>
        <w:t xml:space="preserve"> LockedOut</w:t>
      </w:r>
      <w:r>
        <w:rPr>
          <w:rStyle w:val="OperatorTok"/>
        </w:rPr>
        <w:t xml:space="preserve">,</w:t>
      </w:r>
      <w:r>
        <w:rPr>
          <w:rStyle w:val="NormalTok"/>
        </w:rPr>
        <w:t xml:space="preserve"> AccountExpirationDate</w:t>
      </w:r>
      <w:r>
        <w:rPr>
          <w:rStyle w:val="OperatorTok"/>
        </w:rPr>
        <w:t xml:space="preserve">,</w:t>
      </w:r>
      <w:r>
        <w:br/>
      </w:r>
      <w:r>
        <w:rPr>
          <w:rStyle w:val="NormalTok"/>
        </w:rPr>
        <w:t xml:space="preserve">        MemberOf</w:t>
      </w:r>
      <w:r>
        <w:rPr>
          <w:rStyle w:val="OperatorTok"/>
        </w:rPr>
        <w:t xml:space="preserve">,</w:t>
      </w:r>
      <w:r>
        <w:rPr>
          <w:rStyle w:val="NormalTok"/>
        </w:rPr>
        <w:t xml:space="preserve"> AdminCount</w:t>
      </w:r>
      <w:r>
        <w:rPr>
          <w:rStyle w:val="OperatorTok"/>
        </w:rPr>
        <w:t xml:space="preserve">,</w:t>
      </w:r>
      <w:r>
        <w:rPr>
          <w:rStyle w:val="NormalTok"/>
        </w:rPr>
        <w:t xml:space="preserve"> TrustedForDelegation</w:t>
      </w:r>
      <w:r>
        <w:rPr>
          <w:rStyle w:val="OperatorTok"/>
        </w:rPr>
        <w:t xml:space="preserve">,</w:t>
      </w:r>
      <w:r>
        <w:rPr>
          <w:rStyle w:val="NormalTok"/>
        </w:rPr>
        <w:t xml:space="preserve"> ServicePrincipalName</w:t>
      </w:r>
      <w:r>
        <w:rPr>
          <w:rStyle w:val="OperatorTok"/>
        </w:rPr>
        <w:t xml:space="preserve">,</w:t>
      </w:r>
      <w:r>
        <w:rPr>
          <w:rStyle w:val="NormalTok"/>
        </w:rPr>
        <w:t xml:space="preserve"> Created</w:t>
      </w:r>
      <w:r>
        <w:rPr>
          <w:rStyle w:val="OperatorTok"/>
        </w:rPr>
        <w:t xml:space="preserve">,</w:t>
      </w:r>
      <w:r>
        <w:rPr>
          <w:rStyle w:val="NormalTok"/>
        </w:rPr>
        <w:t xml:space="preserve"> Modified</w:t>
      </w:r>
      <w:r>
        <w:rPr>
          <w:rStyle w:val="OperatorTok"/>
        </w:rPr>
        <w:t xml:space="preserve">,</w:t>
      </w:r>
      <w:r>
        <w:rPr>
          <w:rStyle w:val="NormalTok"/>
        </w:rPr>
        <w:t xml:space="preserve"> Description</w:t>
      </w:r>
      <w:r>
        <w:rPr>
          <w:rStyle w:val="OperatorTok"/>
        </w:rPr>
        <w:t xml:space="preserve">,</w:t>
      </w:r>
      <w:r>
        <w:rPr>
          <w:rStyle w:val="NormalTok"/>
        </w:rPr>
        <w:t xml:space="preserve"> Department</w:t>
      </w:r>
      <w:r>
        <w:rPr>
          <w:rStyle w:val="OperatorTok"/>
        </w:rPr>
        <w:t xml:space="preserve">,</w:t>
      </w:r>
      <w:r>
        <w:rPr>
          <w:rStyle w:val="NormalTok"/>
        </w:rPr>
        <w:t xml:space="preserve"> Title </w:t>
      </w:r>
      <w:r>
        <w:rPr>
          <w:rStyle w:val="OperatorTok"/>
        </w:rPr>
        <w:t xml:space="preserve">|</w:t>
      </w:r>
      <w:r>
        <w:br/>
      </w:r>
      <w:r>
        <w:rPr>
          <w:rStyle w:val="NormalTok"/>
        </w:rPr>
        <w:t xml:space="preserve">        </w:t>
      </w:r>
      <w:r>
        <w:rPr>
          <w:rStyle w:val="FunctionTok"/>
        </w:rPr>
        <w:t xml:space="preserve">Select-Object</w:t>
      </w:r>
      <w:r>
        <w:rPr>
          <w:rStyle w:val="NormalTok"/>
        </w:rPr>
        <w:t xml:space="preserve"> SamAccountName</w:t>
      </w:r>
      <w:r>
        <w:rPr>
          <w:rStyle w:val="OperatorTok"/>
        </w:rPr>
        <w:t xml:space="preserve">,</w:t>
      </w:r>
      <w:r>
        <w:rPr>
          <w:rStyle w:val="NormalTok"/>
        </w:rPr>
        <w:t xml:space="preserve"> UserPrincipalName</w:t>
      </w:r>
      <w:r>
        <w:rPr>
          <w:rStyle w:val="OperatorTok"/>
        </w:rPr>
        <w:t xml:space="preserve">,</w:t>
      </w:r>
      <w:r>
        <w:rPr>
          <w:rStyle w:val="NormalTok"/>
        </w:rPr>
        <w:t xml:space="preserve"> DisplayName</w:t>
      </w:r>
      <w:r>
        <w:rPr>
          <w:rStyle w:val="OperatorTok"/>
        </w:rPr>
        <w:t xml:space="preserve">,</w:t>
      </w:r>
      <w:r>
        <w:rPr>
          <w:rStyle w:val="NormalTok"/>
        </w:rPr>
        <w:t xml:space="preserve"> Enabled</w:t>
      </w:r>
      <w:r>
        <w:rPr>
          <w:rStyle w:val="OperatorTok"/>
        </w:rPr>
        <w:t xml:space="preserve">,</w:t>
      </w:r>
      <w:r>
        <w:rPr>
          <w:rStyle w:val="NormalTok"/>
        </w:rPr>
        <w:t xml:space="preserve"> LastLogonDate</w:t>
      </w:r>
      <w:r>
        <w:rPr>
          <w:rStyle w:val="OperatorTok"/>
        </w:rPr>
        <w:t xml:space="preserve">,</w:t>
      </w:r>
      <w:r>
        <w:rPr>
          <w:rStyle w:val="NormalTok"/>
        </w:rPr>
        <w:t xml:space="preserve"> PasswordLastSet</w:t>
      </w:r>
      <w:r>
        <w:rPr>
          <w:rStyle w:val="OperatorTok"/>
        </w:rPr>
        <w:t xml:space="preserve">,</w:t>
      </w:r>
      <w:r>
        <w:br/>
      </w:r>
      <w:r>
        <w:rPr>
          <w:rStyle w:val="NormalTok"/>
        </w:rPr>
        <w:t xml:space="preserve">            PasswordNeverExpires</w:t>
      </w:r>
      <w:r>
        <w:rPr>
          <w:rStyle w:val="OperatorTok"/>
        </w:rPr>
        <w:t xml:space="preserve">,</w:t>
      </w:r>
      <w:r>
        <w:rPr>
          <w:rStyle w:val="NormalTok"/>
        </w:rPr>
        <w:t xml:space="preserve"> PasswordExpired</w:t>
      </w:r>
      <w:r>
        <w:rPr>
          <w:rStyle w:val="OperatorTok"/>
        </w:rPr>
        <w:t xml:space="preserve">,</w:t>
      </w:r>
      <w:r>
        <w:rPr>
          <w:rStyle w:val="NormalTok"/>
        </w:rPr>
        <w:t xml:space="preserve"> LockedOut</w:t>
      </w:r>
      <w:r>
        <w:rPr>
          <w:rStyle w:val="OperatorTok"/>
        </w:rPr>
        <w:t xml:space="preserve">,</w:t>
      </w:r>
      <w:r>
        <w:rPr>
          <w:rStyle w:val="NormalTok"/>
        </w:rPr>
        <w:t xml:space="preserve"> AccountExpirationDate</w:t>
      </w:r>
      <w:r>
        <w:rPr>
          <w:rStyle w:val="OperatorTok"/>
        </w:rPr>
        <w:t xml:space="preserve">,</w:t>
      </w:r>
      <w:r>
        <w:rPr>
          <w:rStyle w:val="NormalTok"/>
        </w:rPr>
        <w:t xml:space="preserve"> AdminCount</w:t>
      </w:r>
      <w:r>
        <w:rPr>
          <w:rStyle w:val="OperatorTok"/>
        </w:rPr>
        <w:t xml:space="preserve">,</w:t>
      </w:r>
      <w:r>
        <w:rPr>
          <w:rStyle w:val="NormalTok"/>
        </w:rPr>
        <w:t xml:space="preserve"> TrustedForDelegation</w:t>
      </w:r>
      <w:r>
        <w:rPr>
          <w:rStyle w:val="OperatorTok"/>
        </w:rPr>
        <w:t xml:space="preserve">,</w:t>
      </w:r>
      <w:r>
        <w:br/>
      </w:r>
      <w:r>
        <w:rPr>
          <w:rStyle w:val="NormalTok"/>
        </w:rPr>
        <w:t xml:space="preserve">            Created</w:t>
      </w:r>
      <w:r>
        <w:rPr>
          <w:rStyle w:val="OperatorTok"/>
        </w:rPr>
        <w:t xml:space="preserve">,</w:t>
      </w:r>
      <w:r>
        <w:rPr>
          <w:rStyle w:val="NormalTok"/>
        </w:rPr>
        <w:t xml:space="preserve"> Modified</w:t>
      </w:r>
      <w:r>
        <w:rPr>
          <w:rStyle w:val="OperatorTok"/>
        </w:rPr>
        <w:t xml:space="preserve">,</w:t>
      </w:r>
      <w:r>
        <w:rPr>
          <w:rStyle w:val="NormalTok"/>
        </w:rPr>
        <w:t xml:space="preserve"> DistinguishedName</w:t>
      </w:r>
      <w:r>
        <w:rPr>
          <w:rStyle w:val="OperatorTok"/>
        </w:rPr>
        <w:t xml:space="preserve">,</w:t>
      </w:r>
      <w:r>
        <w:rPr>
          <w:rStyle w:val="NormalTok"/>
        </w:rPr>
        <w:t xml:space="preserve"> Description</w:t>
      </w:r>
      <w:r>
        <w:rPr>
          <w:rStyle w:val="OperatorTok"/>
        </w:rPr>
        <w:t xml:space="preserve">,</w:t>
      </w:r>
      <w:r>
        <w:rPr>
          <w:rStyle w:val="NormalTok"/>
        </w:rPr>
        <w:t xml:space="preserve"> Department</w:t>
      </w:r>
      <w:r>
        <w:rPr>
          <w:rStyle w:val="OperatorTok"/>
        </w:rPr>
        <w:t xml:space="preserve">,</w:t>
      </w:r>
      <w:r>
        <w:rPr>
          <w:rStyle w:val="NormalTok"/>
        </w:rPr>
        <w:t xml:space="preserve"> Title</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'SID'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SID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'IsStale'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(-not</w:t>
      </w:r>
      <w:r>
        <w:rPr>
          <w:rStyle w:val="NormalTok"/>
        </w:rPr>
        <w:t xml:space="preserve"> </w:t>
      </w:r>
      <w:r>
        <w:rPr>
          <w:rStyle w:val="VariableTok"/>
        </w:rPr>
        <w:t xml:space="preserve">$_</w:t>
      </w:r>
      <w:r>
        <w:rPr>
          <w:rStyle w:val="OperatorTok"/>
        </w:rPr>
        <w:t xml:space="preserve">.</w:t>
      </w:r>
      <w:r>
        <w:rPr>
          <w:rStyle w:val="FunctionTok"/>
        </w:rPr>
        <w:t xml:space="preserve">LastLogonDate</w:t>
      </w:r>
      <w:r>
        <w:rPr>
          <w:rStyle w:val="OperatorTok"/>
        </w:rPr>
        <w:t xml:space="preserve">)</w:t>
      </w:r>
      <w:r>
        <w:rPr>
          <w:rStyle w:val="NormalTok"/>
        </w:rPr>
        <w:t xml:space="preserve"> </w:t>
      </w:r>
      <w:r>
        <w:rPr>
          <w:rStyle w:val="OperatorTok"/>
        </w:rPr>
        <w:t xml:space="preserve">-or</w:t>
      </w:r>
      <w:r>
        <w:rPr>
          <w:rStyle w:val="NormalTok"/>
        </w:rPr>
        <w:t xml:space="preserve"> </w:t>
      </w:r>
      <w:r>
        <w:rPr>
          <w:rStyle w:val="VariableTok"/>
        </w:rPr>
        <w:t xml:space="preserve">$_</w:t>
      </w:r>
      <w:r>
        <w:rPr>
          <w:rStyle w:val="OperatorTok"/>
        </w:rPr>
        <w:t xml:space="preserve">.</w:t>
      </w:r>
      <w:r>
        <w:rPr>
          <w:rStyle w:val="FunctionTok"/>
        </w:rPr>
        <w:t xml:space="preserve">LastLogonDate</w:t>
      </w:r>
      <w:r>
        <w:rPr>
          <w:rStyle w:val="NormalTok"/>
        </w:rPr>
        <w:t xml:space="preserve"> </w:t>
      </w:r>
      <w:r>
        <w:rPr>
          <w:rStyle w:val="OperatorTok"/>
        </w:rPr>
        <w:t xml:space="preserve">-lt</w:t>
      </w:r>
      <w:r>
        <w:rPr>
          <w:rStyle w:val="NormalTok"/>
        </w:rPr>
        <w:t xml:space="preserve"> </w:t>
      </w:r>
      <w:r>
        <w:rPr>
          <w:rStyle w:val="VariableTok"/>
        </w:rPr>
        <w:t xml:space="preserve">$staleDate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'MemberOfCount'</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MemberOf</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'MemberOf'</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MemberOf</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'SPNs'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ServicePrincipalName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$users</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$objPath</w:t>
      </w:r>
      <w:r>
        <w:rPr>
          <w:rStyle w:val="NormalTok"/>
        </w:rPr>
        <w:t xml:space="preserve"> </w:t>
      </w:r>
      <w:r>
        <w:rPr>
          <w:rStyle w:val="StringTok"/>
        </w:rPr>
        <w:t xml:space="preserve">'UserInventory.json'</w:t>
      </w:r>
      <w:r>
        <w:rPr>
          <w:rStyle w:val="OperatorTok"/>
        </w:rPr>
        <w:t xml:space="preserve">)</w:t>
      </w:r>
      <w:r>
        <w:br/>
      </w:r>
      <w:r>
        <w:br/>
      </w:r>
      <w:r>
        <w:rPr>
          <w:rStyle w:val="NormalTok"/>
        </w:rPr>
        <w:t xml:space="preserve">    </w:t>
      </w:r>
      <w:r>
        <w:rPr>
          <w:rStyle w:val="CommentTok"/>
        </w:rPr>
        <w:t xml:space="preserve"># Recursive membership of each privileged group.</w:t>
      </w:r>
      <w:r>
        <w:br/>
      </w:r>
      <w:r>
        <w:rPr>
          <w:rStyle w:val="NormalTok"/>
        </w:rPr>
        <w:t xml:space="preserve">    </w:t>
      </w:r>
      <w:r>
        <w:rPr>
          <w:rStyle w:val="VariableTok"/>
        </w:rPr>
        <w:t xml:space="preserve">$privileged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$privRows</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$groupName</w:t>
      </w:r>
      <w:r>
        <w:rPr>
          <w:rStyle w:val="NormalTok"/>
        </w:rPr>
        <w:t xml:space="preserve"> </w:t>
      </w:r>
      <w:r>
        <w:rPr>
          <w:rStyle w:val="KeywordTok"/>
        </w:rPr>
        <w:t xml:space="preserve">in</w:t>
      </w:r>
      <w:r>
        <w:rPr>
          <w:rStyle w:val="NormalTok"/>
        </w:rPr>
        <w:t xml:space="preserve"> </w:t>
      </w:r>
      <w:r>
        <w:rPr>
          <w:rStyle w:val="VariableTok"/>
        </w:rPr>
        <w:t xml:space="preserve">$script</w:t>
      </w:r>
      <w:r>
        <w:rPr>
          <w:rStyle w:val="OperatorTok"/>
        </w:rPr>
        <w:t xml:space="preserve">:</w:t>
      </w:r>
      <w:r>
        <w:rPr>
          <w:rStyle w:val="VariableTok"/>
        </w:rPr>
        <w:t xml:space="preserve">FMPPrivilegedGroups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try</w:t>
      </w:r>
      <w:r>
        <w:rPr>
          <w:rStyle w:val="NormalTok"/>
        </w:rPr>
        <w:t xml:space="preserve"> </w:t>
      </w:r>
      <w:r>
        <w:rPr>
          <w:rStyle w:val="OperatorTok"/>
        </w:rPr>
        <w:t xml:space="preserve">{</w:t>
      </w:r>
      <w:r>
        <w:br/>
      </w:r>
      <w:r>
        <w:rPr>
          <w:rStyle w:val="NormalTok"/>
        </w:rPr>
        <w:t xml:space="preserve">            </w:t>
      </w:r>
      <w:r>
        <w:rPr>
          <w:rStyle w:val="FunctionTok"/>
        </w:rPr>
        <w:t xml:space="preserve">Get-ADGroupMember</w:t>
      </w:r>
      <w:r>
        <w:rPr>
          <w:rStyle w:val="NormalTok"/>
        </w:rPr>
        <w:t xml:space="preserve"> </w:t>
      </w:r>
      <w:r>
        <w:rPr>
          <w:rStyle w:val="OperatorTok"/>
        </w:rPr>
        <w:t xml:space="preserve">-</w:t>
      </w:r>
      <w:r>
        <w:rPr>
          <w:rStyle w:val="NormalTok"/>
        </w:rPr>
        <w:t xml:space="preserve">Identity </w:t>
      </w:r>
      <w:r>
        <w:rPr>
          <w:rStyle w:val="VariableTok"/>
        </w:rPr>
        <w:t xml:space="preserve">$groupName</w:t>
      </w:r>
      <w:r>
        <w:rPr>
          <w:rStyle w:val="NormalTok"/>
        </w:rPr>
        <w:t xml:space="preserve"> </w:t>
      </w:r>
      <w:r>
        <w:rPr>
          <w:rStyle w:val="OperatorTok"/>
        </w:rPr>
        <w:t xml:space="preserve">-</w:t>
      </w:r>
      <w:r>
        <w:rPr>
          <w:rStyle w:val="NormalTok"/>
        </w:rPr>
        <w:t xml:space="preserve">Recursive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ErrorAction Stop </w:t>
      </w:r>
      <w:r>
        <w:rPr>
          <w:rStyle w:val="OperatorTok"/>
        </w:rPr>
        <w:t xml:space="preserve">|</w:t>
      </w:r>
      <w:r>
        <w:br/>
      </w:r>
      <w:r>
        <w:rPr>
          <w:rStyle w:val="NormalTok"/>
        </w:rPr>
        <w:t xml:space="preserve">                </w:t>
      </w:r>
      <w:r>
        <w:rPr>
          <w:rStyle w:val="FunctionTok"/>
        </w:rPr>
        <w:t xml:space="preserve">Where-Object</w:t>
      </w:r>
      <w:r>
        <w:rPr>
          <w:rStyle w:val="NormalTok"/>
        </w:rPr>
        <w:t xml:space="preserve"> objectClass </w:t>
      </w:r>
      <w:r>
        <w:rPr>
          <w:rStyle w:val="OperatorTok"/>
        </w:rPr>
        <w:t xml:space="preserve">-eq</w:t>
      </w:r>
      <w:r>
        <w:rPr>
          <w:rStyle w:val="NormalTok"/>
        </w:rPr>
        <w:t xml:space="preserve"> </w:t>
      </w:r>
      <w:r>
        <w:rPr>
          <w:rStyle w:val="StringTok"/>
        </w:rPr>
        <w:t xml:space="preserve">'user'</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w:t>
      </w:r>
      <w:r>
        <w:rPr>
          <w:rStyle w:val="VariableTok"/>
        </w:rPr>
        <w:t xml:space="preserve">$privileged</w:t>
      </w:r>
      <w:r>
        <w:rPr>
          <w:rStyle w:val="OperatorTok"/>
        </w:rPr>
        <w:t xml:space="preserve">[</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SID</w:t>
      </w:r>
      <w:r>
        <w:rPr>
          <w:rStyle w:val="OperatorTok"/>
        </w:rPr>
        <w:t xml:space="preserve">)</w:t>
      </w:r>
      <w:r>
        <w:rPr>
          <w:rStyle w:val="StringTok"/>
        </w:rPr>
        <w:t xml:space="preserve">"</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$true</w:t>
      </w:r>
      <w:r>
        <w:br/>
      </w:r>
      <w:r>
        <w:rPr>
          <w:rStyle w:val="NormalTok"/>
        </w:rPr>
        <w:t xml:space="preserve">                    </w:t>
      </w:r>
      <w:r>
        <w:rPr>
          <w:rStyle w:val="VariableTok"/>
        </w:rPr>
        <w:t xml:space="preserve">$u</w:t>
      </w:r>
      <w:r>
        <w:rPr>
          <w:rStyle w:val="NormalTok"/>
        </w:rPr>
        <w:t xml:space="preserve"> </w:t>
      </w:r>
      <w:r>
        <w:rPr>
          <w:rStyle w:val="OperatorTok"/>
        </w:rPr>
        <w:t xml:space="preserve">=</w:t>
      </w:r>
      <w:r>
        <w:rPr>
          <w:rStyle w:val="NormalTok"/>
        </w:rPr>
        <w:t xml:space="preserve"> </w:t>
      </w:r>
      <w:r>
        <w:rPr>
          <w:rStyle w:val="FunctionTok"/>
        </w:rPr>
        <w:t xml:space="preserve">Get-ADUser</w:t>
      </w:r>
      <w:r>
        <w:rPr>
          <w:rStyle w:val="NormalTok"/>
        </w:rPr>
        <w:t xml:space="preserve"> </w:t>
      </w:r>
      <w:r>
        <w:rPr>
          <w:rStyle w:val="OperatorTok"/>
        </w:rPr>
        <w:t xml:space="preserve">-</w:t>
      </w:r>
      <w:r>
        <w:rPr>
          <w:rStyle w:val="NormalTok"/>
        </w:rPr>
        <w:t xml:space="preserve">Identity </w:t>
      </w:r>
      <w:r>
        <w:rPr>
          <w:rStyle w:val="VariableTok"/>
        </w:rPr>
        <w:t xml:space="preserve">$_</w:t>
      </w:r>
      <w:r>
        <w:rPr>
          <w:rStyle w:val="OperatorTok"/>
        </w:rPr>
        <w:t xml:space="preserve">.</w:t>
      </w:r>
      <w:r>
        <w:rPr>
          <w:rStyle w:val="FunctionTok"/>
        </w:rPr>
        <w:t xml:space="preserve">SID</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Properties LastLogonDate</w:t>
      </w:r>
      <w:r>
        <w:rPr>
          <w:rStyle w:val="OperatorTok"/>
        </w:rPr>
        <w:t xml:space="preserve">,</w:t>
      </w:r>
      <w:r>
        <w:rPr>
          <w:rStyle w:val="NormalTok"/>
        </w:rPr>
        <w:t xml:space="preserve"> PasswordLastSet</w:t>
      </w:r>
      <w:r>
        <w:rPr>
          <w:rStyle w:val="OperatorTok"/>
        </w:rPr>
        <w:t xml:space="preserve">,</w:t>
      </w:r>
      <w:r>
        <w:rPr>
          <w:rStyle w:val="NormalTok"/>
        </w:rPr>
        <w:t xml:space="preserve"> Enabled</w:t>
      </w:r>
      <w:r>
        <w:rPr>
          <w:rStyle w:val="OperatorTok"/>
        </w:rPr>
        <w:t xml:space="preserve">,</w:t>
      </w:r>
      <w:r>
        <w:rPr>
          <w:rStyle w:val="NormalTok"/>
        </w:rPr>
        <w:t xml:space="preserve"> AdminCount</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PrivilegedGroup </w:t>
      </w:r>
      <w:r>
        <w:rPr>
          <w:rStyle w:val="OperatorTok"/>
        </w:rPr>
        <w:t xml:space="preserve">=</w:t>
      </w:r>
      <w:r>
        <w:rPr>
          <w:rStyle w:val="NormalTok"/>
        </w:rPr>
        <w:t xml:space="preserve"> </w:t>
      </w:r>
      <w:r>
        <w:rPr>
          <w:rStyle w:val="VariableTok"/>
        </w:rPr>
        <w:t xml:space="preserve">$groupName</w:t>
      </w:r>
      <w:r>
        <w:br/>
      </w:r>
      <w:r>
        <w:rPr>
          <w:rStyle w:val="NormalTok"/>
        </w:rPr>
        <w:t xml:space="preserve">                        SamAccountName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SamAccountName</w:t>
      </w:r>
      <w:r>
        <w:br/>
      </w:r>
      <w:r>
        <w:rPr>
          <w:rStyle w:val="NormalTok"/>
        </w:rPr>
        <w:t xml:space="preserve">                        Enabled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Enabled</w:t>
      </w:r>
      <w:r>
        <w:br/>
      </w:r>
      <w:r>
        <w:rPr>
          <w:rStyle w:val="NormalTok"/>
        </w:rPr>
        <w:t xml:space="preserve">                        LastLogonDate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LastLogonDate</w:t>
      </w:r>
      <w:r>
        <w:br/>
      </w:r>
      <w:r>
        <w:rPr>
          <w:rStyle w:val="NormalTok"/>
        </w:rPr>
        <w:t xml:space="preserve">                        PasswordLastSet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PasswordLastSet</w:t>
      </w:r>
      <w:r>
        <w:br/>
      </w:r>
      <w:r>
        <w:rPr>
          <w:rStyle w:val="NormalTok"/>
        </w:rPr>
        <w:t xml:space="preserve">                        AdminCount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AdminCount</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ControlFlowTok"/>
        </w:rPr>
        <w:t xml:space="preserve">catch</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"Unable to enumerate </w:t>
      </w:r>
      <w:r>
        <w:rPr>
          <w:rStyle w:val="PreprocessorTok"/>
        </w:rPr>
        <w:t xml:space="preserve">${</w:t>
      </w:r>
      <w:r>
        <w:rPr>
          <w:rStyle w:val="VariableTok"/>
        </w:rPr>
        <w:t xml:space="preserve">groupName</w:t>
      </w:r>
      <w:r>
        <w:rPr>
          <w:rStyle w:val="PreprocessorTok"/>
        </w:rPr>
        <w:t xml:space="preserve">}</w:t>
      </w:r>
      <w:r>
        <w:rPr>
          <w:rStyle w:val="StringTok"/>
        </w:rPr>
        <w:t xml:space="preserve">: </w:t>
      </w:r>
      <w:r>
        <w:rPr>
          <w:rStyle w:val="OperatorTok"/>
        </w:rPr>
        <w:t xml:space="preserve">$(</w:t>
      </w:r>
      <w:r>
        <w:rPr>
          <w:rStyle w:val="VariableTok"/>
        </w:rPr>
        <w:t xml:space="preserve">$_</w:t>
      </w:r>
      <w:r>
        <w:rPr>
          <w:rStyle w:val="OperatorTok"/>
        </w:rPr>
        <w:t xml:space="preserve">.</w:t>
      </w:r>
      <w:r>
        <w:rPr>
          <w:rStyle w:val="FunctionTok"/>
        </w:rPr>
        <w:t xml:space="preserve">Exception</w:t>
      </w:r>
      <w:r>
        <w:rPr>
          <w:rStyle w:val="OperatorTok"/>
        </w:rPr>
        <w:t xml:space="preserve">.</w:t>
      </w:r>
      <w:r>
        <w:rPr>
          <w:rStyle w:val="FunctionTok"/>
        </w:rPr>
        <w:t xml:space="preserve">Message</w:t>
      </w:r>
      <w:r>
        <w:rPr>
          <w:rStyle w:val="OperatorTok"/>
        </w:rPr>
        <w:t xml:space="preserve">)</w:t>
      </w:r>
      <w:r>
        <w:rPr>
          <w:rStyle w:val="String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$privRows</w:t>
      </w:r>
      <w:r>
        <w:rPr>
          <w:rStyle w:val="NormalTok"/>
        </w:rPr>
        <w:t xml:space="preserve"> </w:t>
      </w:r>
      <w:r>
        <w:rPr>
          <w:rStyle w:val="OperatorTok"/>
        </w:rPr>
        <w:t xml:space="preserve">|</w:t>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$objPath</w:t>
      </w:r>
      <w:r>
        <w:rPr>
          <w:rStyle w:val="NormalTok"/>
        </w:rPr>
        <w:t xml:space="preserve"> </w:t>
      </w:r>
      <w:r>
        <w:rPr>
          <w:rStyle w:val="StringTok"/>
        </w:rPr>
        <w:t xml:space="preserve">'PrivilegedUsers.csv'</w:t>
      </w:r>
      <w:r>
        <w:rPr>
          <w:rStyle w:val="OperatorTok"/>
        </w:rPr>
        <w:t xml:space="preserve">)</w:t>
      </w:r>
      <w:r>
        <w:rPr>
          <w:rStyle w:val="NormalTok"/>
        </w:rPr>
        <w:t xml:space="preserve"> </w:t>
      </w:r>
      <w:r>
        <w:rPr>
          <w:rStyle w:val="OperatorTok"/>
        </w:rPr>
        <w:t xml:space="preserve">-</w:t>
      </w:r>
      <w:r>
        <w:rPr>
          <w:rStyle w:val="NormalTok"/>
        </w:rPr>
        <w:t xml:space="preserve">NoTypeInformation </w:t>
      </w:r>
      <w:r>
        <w:rPr>
          <w:rStyle w:val="OperatorTok"/>
        </w:rPr>
        <w:t xml:space="preserve">-</w:t>
      </w:r>
      <w:r>
        <w:rPr>
          <w:rStyle w:val="NormalTok"/>
        </w:rPr>
        <w:t xml:space="preserve">Encoding UTF8</w:t>
      </w:r>
      <w:r>
        <w:br/>
      </w:r>
      <w:r>
        <w:br/>
      </w:r>
      <w:r>
        <w:rPr>
          <w:rStyle w:val="NormalTok"/>
        </w:rPr>
        <w:t xml:space="preserve">    </w:t>
      </w:r>
      <w:r>
        <w:rPr>
          <w:rStyle w:val="CommentTok"/>
        </w:rPr>
        <w:t xml:space="preserve"># adminCount=1 but no longer in any protected group (recursively) = orphaned.</w:t>
      </w:r>
      <w:r>
        <w:br/>
      </w:r>
      <w:r>
        <w:rPr>
          <w:rStyle w:val="NormalTok"/>
        </w:rPr>
        <w:t xml:space="preserve">    </w:t>
      </w:r>
      <w:r>
        <w:rPr>
          <w:rStyle w:val="VariableTok"/>
        </w:rPr>
        <w:t xml:space="preserve">$users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AdminCount</w:t>
      </w:r>
      <w:r>
        <w:rPr>
          <w:rStyle w:val="NormalTok"/>
        </w:rPr>
        <w:t xml:space="preserve"> </w:t>
      </w:r>
      <w:r>
        <w:rPr>
          <w:rStyle w:val="OperatorTok"/>
        </w:rPr>
        <w:t xml:space="preserve">-eq</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SamAccountName</w:t>
      </w:r>
      <w:r>
        <w:rPr>
          <w:rStyle w:val="OperatorTok"/>
        </w:rPr>
        <w:t xml:space="preserve">,</w:t>
      </w:r>
      <w:r>
        <w:rPr>
          <w:rStyle w:val="NormalTok"/>
        </w:rPr>
        <w:t xml:space="preserve"> Enabled</w:t>
      </w:r>
      <w:r>
        <w:rPr>
          <w:rStyle w:val="OperatorTok"/>
        </w:rPr>
        <w:t xml:space="preserve">,</w:t>
      </w:r>
      <w:r>
        <w:rPr>
          <w:rStyle w:val="NormalTok"/>
        </w:rPr>
        <w:t xml:space="preserve"> LastLogonDate</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'InPrivilegedGroup'</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$privileged</w:t>
      </w:r>
      <w:r>
        <w:rPr>
          <w:rStyle w:val="OperatorTok"/>
        </w:rPr>
        <w:t xml:space="preserve">.</w:t>
      </w:r>
      <w:r>
        <w:rPr>
          <w:rStyle w:val="FunctionTok"/>
        </w:rPr>
        <w:t xml:space="preserve">ContainsKey</w:t>
      </w:r>
      <w:r>
        <w:rPr>
          <w:rStyle w:val="OperatorTok"/>
        </w:rPr>
        <w:t xml:space="preserve">(</w:t>
      </w:r>
      <w:r>
        <w:rPr>
          <w:rStyle w:val="VariableTok"/>
        </w:rPr>
        <w:t xml:space="preserve">$_</w:t>
      </w:r>
      <w:r>
        <w:rPr>
          <w:rStyle w:val="OperatorTok"/>
        </w:rPr>
        <w:t xml:space="preserve">.</w:t>
      </w:r>
      <w:r>
        <w:rPr>
          <w:rStyle w:val="FunctionTok"/>
        </w:rPr>
        <w:t xml:space="preserve">SID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'OrphanedAdminCount'</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-not</w:t>
      </w:r>
      <w:r>
        <w:rPr>
          <w:rStyle w:val="NormalTok"/>
        </w:rPr>
        <w:t xml:space="preserve"> </w:t>
      </w:r>
      <w:r>
        <w:rPr>
          <w:rStyle w:val="VariableTok"/>
        </w:rPr>
        <w:t xml:space="preserve">$privileged</w:t>
      </w:r>
      <w:r>
        <w:rPr>
          <w:rStyle w:val="OperatorTok"/>
        </w:rPr>
        <w:t xml:space="preserve">.</w:t>
      </w:r>
      <w:r>
        <w:rPr>
          <w:rStyle w:val="FunctionTok"/>
        </w:rPr>
        <w:t xml:space="preserve">ContainsKey</w:t>
      </w:r>
      <w:r>
        <w:rPr>
          <w:rStyle w:val="OperatorTok"/>
        </w:rPr>
        <w:t xml:space="preserve">(</w:t>
      </w:r>
      <w:r>
        <w:rPr>
          <w:rStyle w:val="VariableTok"/>
        </w:rPr>
        <w:t xml:space="preserve">$_</w:t>
      </w:r>
      <w:r>
        <w:rPr>
          <w:rStyle w:val="OperatorTok"/>
        </w:rPr>
        <w:t xml:space="preserve">.</w:t>
      </w:r>
      <w:r>
        <w:rPr>
          <w:rStyle w:val="FunctionTok"/>
        </w:rPr>
        <w:t xml:space="preserve">SID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$objPath</w:t>
      </w:r>
      <w:r>
        <w:rPr>
          <w:rStyle w:val="NormalTok"/>
        </w:rPr>
        <w:t xml:space="preserve"> </w:t>
      </w:r>
      <w:r>
        <w:rPr>
          <w:rStyle w:val="StringTok"/>
        </w:rPr>
        <w:t xml:space="preserve">'AdminCountReport.csv'</w:t>
      </w:r>
      <w:r>
        <w:rPr>
          <w:rStyle w:val="OperatorTok"/>
        </w:rPr>
        <w:t xml:space="preserve">)</w:t>
      </w:r>
      <w:r>
        <w:rPr>
          <w:rStyle w:val="NormalTok"/>
        </w:rPr>
        <w:t xml:space="preserve"> </w:t>
      </w:r>
      <w:r>
        <w:rPr>
          <w:rStyle w:val="OperatorTok"/>
        </w:rPr>
        <w:t xml:space="preserve">-</w:t>
      </w:r>
      <w:r>
        <w:rPr>
          <w:rStyle w:val="NormalTok"/>
        </w:rPr>
        <w:t xml:space="preserve">NoTypeInformation </w:t>
      </w:r>
      <w:r>
        <w:rPr>
          <w:rStyle w:val="OperatorTok"/>
        </w:rPr>
        <w:t xml:space="preserve">-</w:t>
      </w:r>
      <w:r>
        <w:rPr>
          <w:rStyle w:val="NormalTok"/>
        </w:rPr>
        <w:t xml:space="preserve">Encoding UTF8</w:t>
      </w:r>
      <w:r>
        <w:br/>
      </w:r>
      <w:r>
        <w:br/>
      </w:r>
      <w:r>
        <w:rPr>
          <w:rStyle w:val="NormalTok"/>
        </w:rPr>
        <w:t xml:space="preserve">    </w:t>
      </w:r>
      <w:r>
        <w:rPr>
          <w:rStyle w:val="VariableTok"/>
        </w:rPr>
        <w:t xml:space="preserve">$managed</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Get-ADServiceAccount</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Properties Enabled</w:t>
      </w:r>
      <w:r>
        <w:rPr>
          <w:rStyle w:val="OperatorTok"/>
        </w:rPr>
        <w:t xml:space="preserve">,</w:t>
      </w:r>
      <w:r>
        <w:rPr>
          <w:rStyle w:val="NormalTok"/>
        </w:rPr>
        <w:t xml:space="preserve"> Created</w:t>
      </w:r>
      <w:r>
        <w:rPr>
          <w:rStyle w:val="OperatorTok"/>
        </w:rPr>
        <w:t xml:space="preserve">,</w:t>
      </w:r>
      <w:r>
        <w:rPr>
          <w:rStyle w:val="NormalTok"/>
        </w:rPr>
        <w:t xml:space="preserve"> PasswordLastSet</w:t>
      </w:r>
      <w:r>
        <w:rPr>
          <w:rStyle w:val="OperatorTok"/>
        </w:rPr>
        <w:t xml:space="preserve">,</w:t>
      </w:r>
      <w:r>
        <w:rPr>
          <w:rStyle w:val="NormalTok"/>
        </w:rPr>
        <w:t xml:space="preserve"> ServicePrincipalName </w:t>
      </w:r>
      <w:r>
        <w:rPr>
          <w:rStyle w:val="OperatorTok"/>
        </w:rPr>
        <w:t xml:space="preserve">|</w:t>
      </w:r>
      <w:r>
        <w:br/>
      </w:r>
      <w:r>
        <w:rPr>
          <w:rStyle w:val="NormalTok"/>
        </w:rPr>
        <w:t xml:space="preserve">        </w:t>
      </w:r>
      <w:r>
        <w:rPr>
          <w:rStyle w:val="FunctionTok"/>
        </w:rPr>
        <w:t xml:space="preserve">Select-Object</w:t>
      </w:r>
      <w:r>
        <w:rPr>
          <w:rStyle w:val="NormalTok"/>
        </w:rPr>
        <w:t xml:space="preserve"> SamAccountName</w:t>
      </w:r>
      <w:r>
        <w:rPr>
          <w:rStyle w:val="OperatorTok"/>
        </w:rPr>
        <w:t xml:space="preserve">,</w:t>
      </w:r>
      <w:r>
        <w:rPr>
          <w:rStyle w:val="NormalTok"/>
        </w:rPr>
        <w:t xml:space="preserve"> Enabled</w:t>
      </w:r>
      <w:r>
        <w:rPr>
          <w:rStyle w:val="OperatorTok"/>
        </w:rPr>
        <w:t xml:space="preserve">,</w:t>
      </w:r>
      <w:r>
        <w:rPr>
          <w:rStyle w:val="NormalTok"/>
        </w:rPr>
        <w:t xml:space="preserve"> Created</w:t>
      </w:r>
      <w:r>
        <w:rPr>
          <w:rStyle w:val="OperatorTok"/>
        </w:rPr>
        <w:t xml:space="preserve">,</w:t>
      </w:r>
      <w:r>
        <w:rPr>
          <w:rStyle w:val="NormalTok"/>
        </w:rPr>
        <w:t xml:space="preserve"> PasswordLastSet</w:t>
      </w:r>
      <w:r>
        <w:rPr>
          <w:rStyle w:val="OperatorTok"/>
        </w:rPr>
        <w:t xml:space="preserve">,</w:t>
      </w:r>
      <w:r>
        <w:rPr>
          <w:rStyle w:val="NormalTok"/>
        </w:rPr>
        <w:t xml:space="preserve"> DistinguishedName</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'ObjectClass'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ObjectClass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'SPNs'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ServicePrincipalName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$managed</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ObjectClass </w:t>
      </w:r>
      <w:r>
        <w:rPr>
          <w:rStyle w:val="OperatorTok"/>
        </w:rPr>
        <w:t xml:space="preserve">-eq</w:t>
      </w:r>
      <w:r>
        <w:rPr>
          <w:rStyle w:val="NormalTok"/>
        </w:rPr>
        <w:t xml:space="preserve"> </w:t>
      </w:r>
      <w:r>
        <w:rPr>
          <w:rStyle w:val="StringTok"/>
        </w:rPr>
        <w:t xml:space="preserve">'msDS-ManagedServiceAccount'</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$saPath</w:t>
      </w:r>
      <w:r>
        <w:rPr>
          <w:rStyle w:val="NormalTok"/>
        </w:rPr>
        <w:t xml:space="preserve"> </w:t>
      </w:r>
      <w:r>
        <w:rPr>
          <w:rStyle w:val="StringTok"/>
        </w:rPr>
        <w:t xml:space="preserve">'MSAInventory.json'</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$managed</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ObjectClass </w:t>
      </w:r>
      <w:r>
        <w:rPr>
          <w:rStyle w:val="OperatorTok"/>
        </w:rPr>
        <w:t xml:space="preserve">-eq</w:t>
      </w:r>
      <w:r>
        <w:rPr>
          <w:rStyle w:val="NormalTok"/>
        </w:rPr>
        <w:t xml:space="preserve"> </w:t>
      </w:r>
      <w:r>
        <w:rPr>
          <w:rStyle w:val="StringTok"/>
        </w:rPr>
        <w:t xml:space="preserve">'msDS-GroupManagedServiceAccount'</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$saPath</w:t>
      </w:r>
      <w:r>
        <w:rPr>
          <w:rStyle w:val="NormalTok"/>
        </w:rPr>
        <w:t xml:space="preserve"> </w:t>
      </w:r>
      <w:r>
        <w:rPr>
          <w:rStyle w:val="StringTok"/>
        </w:rPr>
        <w:t xml:space="preserve">'gMSAInventory.json'</w:t>
      </w:r>
      <w:r>
        <w:rPr>
          <w:rStyle w:val="OperatorTok"/>
        </w:rPr>
        <w:t xml:space="preserve">)</w:t>
      </w:r>
      <w:r>
        <w:br/>
      </w:r>
      <w:r>
        <w:br/>
      </w:r>
      <w:r>
        <w:rPr>
          <w:rStyle w:val="NormalTok"/>
        </w:rPr>
        <w:t xml:space="preserve">    </w:t>
      </w:r>
      <w:r>
        <w:rPr>
          <w:rStyle w:val="VariableTok"/>
        </w:rPr>
        <w:t xml:space="preserve">$service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$service</w:t>
      </w:r>
      <w:r>
        <w:rPr>
          <w:rStyle w:val="NormalTok"/>
        </w:rPr>
        <w:t xml:space="preserve"> </w:t>
      </w:r>
      <w:r>
        <w:rPr>
          <w:rStyle w:val="OperatorTok"/>
        </w:rPr>
        <w:t xml:space="preserve">+=</w:t>
      </w:r>
      <w:r>
        <w:rPr>
          <w:rStyle w:val="NormalTok"/>
        </w:rPr>
        <w:t xml:space="preserve"> </w:t>
      </w:r>
      <w:r>
        <w:rPr>
          <w:rStyle w:val="VariableTok"/>
        </w:rPr>
        <w:t xml:space="preserve">$users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SPNs</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SamAccountName</w:t>
      </w:r>
      <w:r>
        <w:rPr>
          <w:rStyle w:val="OperatorTok"/>
        </w:rPr>
        <w:t xml:space="preserve">,</w:t>
      </w:r>
      <w:r>
        <w:rPr>
          <w:rStyle w:val="NormalTok"/>
        </w:rPr>
        <w:t xml:space="preserve"> Enabled</w:t>
      </w:r>
      <w:r>
        <w:rPr>
          <w:rStyle w:val="OperatorTok"/>
        </w:rPr>
        <w:t xml:space="preserve">,</w:t>
      </w:r>
      <w:r>
        <w:rPr>
          <w:rStyle w:val="NormalTok"/>
        </w:rPr>
        <w:t xml:space="preserve"> PasswordNeverExpires</w:t>
      </w:r>
      <w:r>
        <w:rPr>
          <w:rStyle w:val="OperatorTok"/>
        </w:rPr>
        <w:t xml:space="preserve">,</w:t>
      </w:r>
      <w:r>
        <w:rPr>
          <w:rStyle w:val="NormalTok"/>
        </w:rPr>
        <w:t xml:space="preserve"> LastLogonDate</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'Type'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'User with SPN'</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'SPNs'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SPNs</w:t>
      </w:r>
      <w:r>
        <w:rPr>
          <w:rStyle w:val="NormalTok"/>
        </w:rPr>
        <w:t xml:space="preserve"> </w:t>
      </w:r>
      <w:r>
        <w:rPr>
          <w:rStyle w:val="OperatorTok"/>
        </w:rPr>
        <w:t xml:space="preserve">-join</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$service</w:t>
      </w:r>
      <w:r>
        <w:rPr>
          <w:rStyle w:val="NormalTok"/>
        </w:rPr>
        <w:t xml:space="preserve"> </w:t>
      </w:r>
      <w:r>
        <w:rPr>
          <w:rStyle w:val="OperatorTok"/>
        </w:rPr>
        <w:t xml:space="preserve">+=</w:t>
      </w:r>
      <w:r>
        <w:rPr>
          <w:rStyle w:val="NormalTok"/>
        </w:rPr>
        <w:t xml:space="preserve"> </w:t>
      </w:r>
      <w:r>
        <w:rPr>
          <w:rStyle w:val="VariableTok"/>
        </w:rPr>
        <w:t xml:space="preserve">$managed</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SamAccountName</w:t>
      </w:r>
      <w:r>
        <w:rPr>
          <w:rStyle w:val="OperatorTok"/>
        </w:rPr>
        <w:t xml:space="preserve">,</w:t>
      </w:r>
      <w:r>
        <w:rPr>
          <w:rStyle w:val="NormalTok"/>
        </w:rPr>
        <w:t xml:space="preserve"> Enabled</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'PasswordNeverExpires'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$null</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'LastLogonDate'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$null</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'Type'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ObjectClass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'SPNs'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SPNs</w:t>
      </w:r>
      <w:r>
        <w:rPr>
          <w:rStyle w:val="NormalTok"/>
        </w:rPr>
        <w:t xml:space="preserve"> </w:t>
      </w:r>
      <w:r>
        <w:rPr>
          <w:rStyle w:val="OperatorTok"/>
        </w:rPr>
        <w:t xml:space="preserve">-join</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$service</w:t>
      </w:r>
      <w:r>
        <w:rPr>
          <w:rStyle w:val="NormalTok"/>
        </w:rPr>
        <w:t xml:space="preserve"> </w:t>
      </w:r>
      <w:r>
        <w:rPr>
          <w:rStyle w:val="OperatorTok"/>
        </w:rPr>
        <w:t xml:space="preserve">|</w:t>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$objPath</w:t>
      </w:r>
      <w:r>
        <w:rPr>
          <w:rStyle w:val="NormalTok"/>
        </w:rPr>
        <w:t xml:space="preserve"> </w:t>
      </w:r>
      <w:r>
        <w:rPr>
          <w:rStyle w:val="StringTok"/>
        </w:rPr>
        <w:t xml:space="preserve">'ServiceAccounts.csv'</w:t>
      </w:r>
      <w:r>
        <w:rPr>
          <w:rStyle w:val="OperatorTok"/>
        </w:rPr>
        <w:t xml:space="preserve">)</w:t>
      </w:r>
      <w:r>
        <w:rPr>
          <w:rStyle w:val="NormalTok"/>
        </w:rPr>
        <w:t xml:space="preserve"> </w:t>
      </w:r>
      <w:r>
        <w:rPr>
          <w:rStyle w:val="OperatorTok"/>
        </w:rPr>
        <w:t xml:space="preserve">-</w:t>
      </w:r>
      <w:r>
        <w:rPr>
          <w:rStyle w:val="NormalTok"/>
        </w:rPr>
        <w:t xml:space="preserve">NoTypeInformation </w:t>
      </w:r>
      <w:r>
        <w:rPr>
          <w:rStyle w:val="OperatorTok"/>
        </w:rPr>
        <w:t xml:space="preserve">-</w:t>
      </w:r>
      <w:r>
        <w:rPr>
          <w:rStyle w:val="NormalTok"/>
        </w:rPr>
        <w:t xml:space="preserve">Encoding UTF8</w:t>
      </w:r>
      <w:r>
        <w:br/>
      </w:r>
      <w:r>
        <w:br/>
      </w:r>
      <w:r>
        <w:rPr>
          <w:rStyle w:val="NormalTok"/>
        </w:rPr>
        <w:t xml:space="preserve">    </w:t>
      </w:r>
      <w:r>
        <w:rPr>
          <w:rStyle w:val="FunctionTok"/>
        </w:rPr>
        <w:t xml:space="preserve">Write-Verbose</w:t>
      </w:r>
      <w:r>
        <w:rPr>
          <w:rStyle w:val="NormalTok"/>
        </w:rPr>
        <w:t xml:space="preserve"> </w:t>
      </w:r>
      <w:r>
        <w:rPr>
          <w:rStyle w:val="StringTok"/>
        </w:rPr>
        <w:t xml:space="preserve">"User inventory: </w:t>
      </w:r>
      <w:r>
        <w:rPr>
          <w:rStyle w:val="OperatorTok"/>
        </w:rPr>
        <w:t xml:space="preserve">$(@(</w:t>
      </w:r>
      <w:r>
        <w:rPr>
          <w:rStyle w:val="VariableTok"/>
        </w:rPr>
        <w:t xml:space="preserve">$users</w:t>
      </w:r>
      <w:r>
        <w:rPr>
          <w:rStyle w:val="OperatorTok"/>
        </w:rPr>
        <w:t xml:space="preserve">)</w:t>
      </w:r>
      <w:r>
        <w:rPr>
          <w:rStyle w:val="StringTok"/>
        </w:rPr>
        <w:t xml:space="preserve">.Count) users, </w:t>
      </w:r>
      <w:r>
        <w:rPr>
          <w:rStyle w:val="OperatorTok"/>
        </w:rPr>
        <w:t xml:space="preserve">$(@(</w:t>
      </w:r>
      <w:r>
        <w:rPr>
          <w:rStyle w:val="VariableTok"/>
        </w:rPr>
        <w:t xml:space="preserve">$privRows</w:t>
      </w:r>
      <w:r>
        <w:rPr>
          <w:rStyle w:val="OperatorTok"/>
        </w:rPr>
        <w:t xml:space="preserve">)</w:t>
      </w:r>
      <w:r>
        <w:rPr>
          <w:rStyle w:val="StringTok"/>
        </w:rPr>
        <w:t xml:space="preserve">.Count) privileged memberships."</w:t>
      </w:r>
      <w:r>
        <w:br/>
      </w:r>
      <w:r>
        <w:rPr>
          <w:rStyle w:val="OperatorTok"/>
        </w:rPr>
        <w:t xml:space="preserve">}</w:t>
      </w:r>
      <w:r>
        <w:br/>
      </w:r>
      <w:r>
        <w:br/>
      </w:r>
      <w:r>
        <w:rPr>
          <w:rStyle w:val="KeywordTok"/>
        </w:rPr>
        <w:t xml:space="preserve">function</w:t>
      </w:r>
      <w:r>
        <w:rPr>
          <w:rStyle w:val="NormalTok"/>
        </w:rPr>
        <w:t xml:space="preserve"> Get-FMPGroupInventory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Groups with category, scope, member counts, empty flag and circular nesting.</w:t>
      </w:r>
      <w:r>
        <w:br/>
      </w:r>
      <w:r>
        <w:rPr>
          <w:rStyle w:val="CommentTok"/>
        </w:rPr>
        <w:t xml:space="preserve">    .OUTPUTS</w:t>
      </w:r>
      <w:r>
        <w:br/>
      </w:r>
      <w:r>
        <w:rPr>
          <w:rStyle w:val="CommentTok"/>
        </w:rPr>
        <w:t xml:space="preserve">        GroupInventory.json, CircularGroups.json</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DNSRoot</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'D:\FMP\Assessment'</w:t>
      </w:r>
      <w:r>
        <w:br/>
      </w:r>
      <w:r>
        <w:rPr>
          <w:rStyle w:val="NormalTok"/>
        </w:rPr>
        <w:t xml:space="preserve">    </w:t>
      </w:r>
      <w:r>
        <w:rPr>
          <w:rStyle w:val="OperatorTok"/>
        </w:rPr>
        <w:t xml:space="preserve">)</w:t>
      </w:r>
      <w:r>
        <w:br/>
      </w:r>
      <w:r>
        <w:rPr>
          <w:rStyle w:val="NormalTok"/>
        </w:rPr>
        <w:t xml:space="preserve">    </w:t>
      </w:r>
      <w:r>
        <w:rPr>
          <w:rStyle w:val="VariableTok"/>
        </w:rPr>
        <w:t xml:space="preserve">$objPath</w:t>
      </w:r>
      <w:r>
        <w:rPr>
          <w:rStyle w:val="NormalTok"/>
        </w:rPr>
        <w:t xml:space="preserve"> </w:t>
      </w:r>
      <w:r>
        <w:rPr>
          <w:rStyle w:val="OperatorTok"/>
        </w:rPr>
        <w:t xml:space="preserve">=</w:t>
      </w:r>
      <w:r>
        <w:rPr>
          <w:rStyle w:val="NormalTok"/>
        </w:rPr>
        <w:t xml:space="preserve"> Get-FMPDomainPath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Area </w:t>
      </w:r>
      <w:r>
        <w:rPr>
          <w:rStyle w:val="StringTok"/>
        </w:rPr>
        <w:t xml:space="preserve">'Objects'</w:t>
      </w:r>
      <w:r>
        <w:br/>
      </w:r>
      <w:r>
        <w:rPr>
          <w:rStyle w:val="NormalTok"/>
        </w:rPr>
        <w:t xml:space="preserve">    </w:t>
      </w:r>
      <w:r>
        <w:rPr>
          <w:rStyle w:val="VariableTok"/>
        </w:rPr>
        <w:t xml:space="preserve">$groups</w:t>
      </w:r>
      <w:r>
        <w:rPr>
          <w:rStyle w:val="NormalTok"/>
        </w:rPr>
        <w:t xml:space="preserve"> </w:t>
      </w:r>
      <w:r>
        <w:rPr>
          <w:rStyle w:val="OperatorTok"/>
        </w:rPr>
        <w:t xml:space="preserve">=</w:t>
      </w:r>
      <w:r>
        <w:rPr>
          <w:rStyle w:val="NormalTok"/>
        </w:rPr>
        <w:t xml:space="preserve"> </w:t>
      </w:r>
      <w:r>
        <w:rPr>
          <w:rStyle w:val="FunctionTok"/>
        </w:rPr>
        <w:t xml:space="preserve">Get-ADGroup</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Properties DisplayName</w:t>
      </w:r>
      <w:r>
        <w:rPr>
          <w:rStyle w:val="OperatorTok"/>
        </w:rPr>
        <w:t xml:space="preserve">,</w:t>
      </w:r>
      <w:r>
        <w:rPr>
          <w:rStyle w:val="NormalTok"/>
        </w:rPr>
        <w:t xml:space="preserve"> Description</w:t>
      </w:r>
      <w:r>
        <w:rPr>
          <w:rStyle w:val="OperatorTok"/>
        </w:rPr>
        <w:t xml:space="preserve">,</w:t>
      </w:r>
      <w:r>
        <w:rPr>
          <w:rStyle w:val="NormalTok"/>
        </w:rPr>
        <w:t xml:space="preserve"> Members</w:t>
      </w:r>
      <w:r>
        <w:rPr>
          <w:rStyle w:val="OperatorTok"/>
        </w:rPr>
        <w:t xml:space="preserve">,</w:t>
      </w:r>
      <w:r>
        <w:rPr>
          <w:rStyle w:val="NormalTok"/>
        </w:rPr>
        <w:t xml:space="preserve"> MemberOf</w:t>
      </w:r>
      <w:r>
        <w:rPr>
          <w:rStyle w:val="OperatorTok"/>
        </w:rPr>
        <w:t xml:space="preserve">,</w:t>
      </w:r>
      <w:r>
        <w:br/>
      </w:r>
      <w:r>
        <w:rPr>
          <w:rStyle w:val="NormalTok"/>
        </w:rPr>
        <w:t xml:space="preserve">        ManagedBy</w:t>
      </w:r>
      <w:r>
        <w:rPr>
          <w:rStyle w:val="OperatorTok"/>
        </w:rPr>
        <w:t xml:space="preserve">,</w:t>
      </w:r>
      <w:r>
        <w:rPr>
          <w:rStyle w:val="NormalTok"/>
        </w:rPr>
        <w:t xml:space="preserve"> Created</w:t>
      </w:r>
      <w:r>
        <w:rPr>
          <w:rStyle w:val="OperatorTok"/>
        </w:rPr>
        <w:t xml:space="preserve">,</w:t>
      </w:r>
      <w:r>
        <w:rPr>
          <w:rStyle w:val="NormalTok"/>
        </w:rPr>
        <w:t xml:space="preserve"> Modified</w:t>
      </w:r>
      <w:r>
        <w:rPr>
          <w:rStyle w:val="OperatorTok"/>
        </w:rPr>
        <w:t xml:space="preserve">,</w:t>
      </w:r>
      <w:r>
        <w:rPr>
          <w:rStyle w:val="NormalTok"/>
        </w:rPr>
        <w:t xml:space="preserve"> AdminCount </w:t>
      </w:r>
      <w:r>
        <w:rPr>
          <w:rStyle w:val="OperatorTok"/>
        </w:rPr>
        <w:t xml:space="preserve">|</w:t>
      </w:r>
      <w:r>
        <w:br/>
      </w:r>
      <w:r>
        <w:rPr>
          <w:rStyle w:val="NormalTok"/>
        </w:rPr>
        <w:t xml:space="preserve">        </w:t>
      </w:r>
      <w:r>
        <w:rPr>
          <w:rStyle w:val="FunctionTok"/>
        </w:rPr>
        <w:t xml:space="preserve">Select-Object</w:t>
      </w:r>
      <w:r>
        <w:rPr>
          <w:rStyle w:val="NormalTok"/>
        </w:rPr>
        <w:t xml:space="preserve"> SamAccountName</w:t>
      </w:r>
      <w:r>
        <w:rPr>
          <w:rStyle w:val="OperatorTok"/>
        </w:rPr>
        <w:t xml:space="preserve">,</w:t>
      </w:r>
      <w:r>
        <w:rPr>
          <w:rStyle w:val="NormalTok"/>
        </w:rPr>
        <w:t xml:space="preserve"> DisplayName</w:t>
      </w:r>
      <w:r>
        <w:rPr>
          <w:rStyle w:val="OperatorTok"/>
        </w:rPr>
        <w:t xml:space="preserve">,</w:t>
      </w:r>
      <w:r>
        <w:rPr>
          <w:rStyle w:val="NormalTok"/>
        </w:rPr>
        <w:t xml:space="preserve"> Description</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'Category'</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GroupCategory</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'Scope'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GroupScope</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ManagedBy</w:t>
      </w:r>
      <w:r>
        <w:rPr>
          <w:rStyle w:val="OperatorTok"/>
        </w:rPr>
        <w:t xml:space="preserve">,</w:t>
      </w:r>
      <w:r>
        <w:rPr>
          <w:rStyle w:val="NormalTok"/>
        </w:rPr>
        <w:t xml:space="preserve"> Created</w:t>
      </w:r>
      <w:r>
        <w:rPr>
          <w:rStyle w:val="OperatorTok"/>
        </w:rPr>
        <w:t xml:space="preserve">,</w:t>
      </w:r>
      <w:r>
        <w:rPr>
          <w:rStyle w:val="NormalTok"/>
        </w:rPr>
        <w:t xml:space="preserve"> Modified</w:t>
      </w:r>
      <w:r>
        <w:rPr>
          <w:rStyle w:val="OperatorTok"/>
        </w:rPr>
        <w:t xml:space="preserve">,</w:t>
      </w:r>
      <w:r>
        <w:rPr>
          <w:rStyle w:val="NormalTok"/>
        </w:rPr>
        <w:t xml:space="preserve"> DistinguishedName</w:t>
      </w:r>
      <w:r>
        <w:rPr>
          <w:rStyle w:val="OperatorTok"/>
        </w:rPr>
        <w:t xml:space="preserve">,</w:t>
      </w:r>
      <w:r>
        <w:rPr>
          <w:rStyle w:val="NormalTok"/>
        </w:rPr>
        <w:t xml:space="preserve"> AdminCount</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'SID'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SID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'DirectMemberCount'</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Members</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'IsEmpty'</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Members</w:t>
      </w:r>
      <w:r>
        <w:rPr>
          <w:rStyle w:val="OperatorTok"/>
        </w:rPr>
        <w:t xml:space="preserve">).</w:t>
      </w:r>
      <w:r>
        <w:rPr>
          <w:rStyle w:val="FunctionTok"/>
        </w:rPr>
        <w:t xml:space="preserve">Count</w:t>
      </w:r>
      <w:r>
        <w:rPr>
          <w:rStyle w:val="NormalTok"/>
        </w:rPr>
        <w:t xml:space="preserve"> </w:t>
      </w:r>
      <w:r>
        <w:rPr>
          <w:rStyle w:val="OperatorTok"/>
        </w:rPr>
        <w:t xml:space="preserve">-eq</w:t>
      </w:r>
      <w:r>
        <w:rPr>
          <w:rStyle w:val="NormalTok"/>
        </w:rPr>
        <w:t xml:space="preserve"> </w:t>
      </w:r>
      <w:r>
        <w:rPr>
          <w:rStyle w:val="DecValTok"/>
        </w:rPr>
        <w:t xml:space="preserve">0</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'CountMayBeCapped'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Members</w:t>
      </w:r>
      <w:r>
        <w:rPr>
          <w:rStyle w:val="OperatorTok"/>
        </w:rPr>
        <w:t xml:space="preserve">).</w:t>
      </w:r>
      <w:r>
        <w:rPr>
          <w:rStyle w:val="FunctionTok"/>
        </w:rPr>
        <w:t xml:space="preserve">Count</w:t>
      </w:r>
      <w:r>
        <w:rPr>
          <w:rStyle w:val="NormalTok"/>
        </w:rPr>
        <w:t xml:space="preserve"> </w:t>
      </w:r>
      <w:r>
        <w:rPr>
          <w:rStyle w:val="OperatorTok"/>
        </w:rPr>
        <w:t xml:space="preserve">-ge</w:t>
      </w:r>
      <w:r>
        <w:rPr>
          <w:rStyle w:val="NormalTok"/>
        </w:rPr>
        <w:t xml:space="preserve"> </w:t>
      </w:r>
      <w:r>
        <w:rPr>
          <w:rStyle w:val="DecValTok"/>
        </w:rPr>
        <w:t xml:space="preserve">5000</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$groups</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$objPath</w:t>
      </w:r>
      <w:r>
        <w:rPr>
          <w:rStyle w:val="NormalTok"/>
        </w:rPr>
        <w:t xml:space="preserve"> </w:t>
      </w:r>
      <w:r>
        <w:rPr>
          <w:rStyle w:val="StringTok"/>
        </w:rPr>
        <w:t xml:space="preserve">'GroupInventory.json'</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NormalTok"/>
        </w:rPr>
        <w:t xml:space="preserve">Find-CircularGroupNesting </w:t>
      </w:r>
      <w:r>
        <w:rPr>
          <w:rStyle w:val="OperatorTok"/>
        </w:rPr>
        <w:t xml:space="preserve">-</w:t>
      </w:r>
      <w:r>
        <w:rPr>
          <w:rStyle w:val="NormalTok"/>
        </w:rPr>
        <w:t xml:space="preserve">Server </w:t>
      </w:r>
      <w:r>
        <w:rPr>
          <w:rStyle w:val="VariableTok"/>
        </w:rPr>
        <w:t xml:space="preserve">$Domain</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$objPath</w:t>
      </w:r>
      <w:r>
        <w:rPr>
          <w:rStyle w:val="NormalTok"/>
        </w:rPr>
        <w:t xml:space="preserve"> </w:t>
      </w:r>
      <w:r>
        <w:rPr>
          <w:rStyle w:val="StringTok"/>
        </w:rPr>
        <w:t xml:space="preserve">'CircularGroups.json'</w:t>
      </w:r>
      <w:r>
        <w:rPr>
          <w:rStyle w:val="OperatorTok"/>
        </w:rPr>
        <w:t xml:space="preserve">)</w:t>
      </w:r>
      <w:r>
        <w:br/>
      </w:r>
      <w:r>
        <w:rPr>
          <w:rStyle w:val="NormalTok"/>
        </w:rPr>
        <w:t xml:space="preserve">    </w:t>
      </w:r>
      <w:r>
        <w:rPr>
          <w:rStyle w:val="FunctionTok"/>
        </w:rPr>
        <w:t xml:space="preserve">Write-Verbose</w:t>
      </w:r>
      <w:r>
        <w:rPr>
          <w:rStyle w:val="NormalTok"/>
        </w:rPr>
        <w:t xml:space="preserve"> </w:t>
      </w:r>
      <w:r>
        <w:rPr>
          <w:rStyle w:val="StringTok"/>
        </w:rPr>
        <w:t xml:space="preserve">"Group inventory: </w:t>
      </w:r>
      <w:r>
        <w:rPr>
          <w:rStyle w:val="OperatorTok"/>
        </w:rPr>
        <w:t xml:space="preserve">$(@(</w:t>
      </w:r>
      <w:r>
        <w:rPr>
          <w:rStyle w:val="VariableTok"/>
        </w:rPr>
        <w:t xml:space="preserve">$groups</w:t>
      </w:r>
      <w:r>
        <w:rPr>
          <w:rStyle w:val="OperatorTok"/>
        </w:rPr>
        <w:t xml:space="preserve">)</w:t>
      </w:r>
      <w:r>
        <w:rPr>
          <w:rStyle w:val="StringTok"/>
        </w:rPr>
        <w:t xml:space="preserve">.Count) groups."</w:t>
      </w:r>
      <w:r>
        <w:br/>
      </w:r>
      <w:r>
        <w:rPr>
          <w:rStyle w:val="OperatorTok"/>
        </w:rPr>
        <w:t xml:space="preserve">}</w:t>
      </w:r>
    </w:p>
    <w:p>
      <w:pPr>
        <w:pStyle w:val="FirstParagraph"/>
      </w:pPr>
      <w:r>
        <w:t xml:space="preserve">The privileged group list is Microsoft’s list of on-premises groups whose members are privileged.</w:t>
      </w:r>
      <w:r>
        <w:rPr>
          <w:rStyle w:val="FootnoteReference"/>
        </w:rPr>
        <w:footnoteReference w:id="1274"/>
      </w:r>
      <w:r>
        <w:t xml:space="preserve"> </w:t>
      </w:r>
      <w:r>
        <w:t xml:space="preserve">SDProp doesn’t clear</w:t>
      </w:r>
      <w:r>
        <w:t xml:space="preserve"> </w:t>
      </w:r>
      <w:r>
        <w:rPr>
          <w:rStyle w:val="VerbatimChar"/>
        </w:rPr>
        <w:t xml:space="preserve">adminCount</w:t>
      </w:r>
      <w:r>
        <w:t xml:space="preserve"> </w:t>
      </w:r>
      <w:r>
        <w:t xml:space="preserve">when an account leaves a protected group, which is what the orphan report finds.</w:t>
      </w:r>
      <w:r>
        <w:rPr>
          <w:rStyle w:val="FootnoteReference"/>
        </w:rPr>
        <w:footnoteReference w:id="1275"/>
      </w:r>
      <w:r>
        <w:t xml:space="preserve"> </w:t>
      </w:r>
      <w:r>
        <w:rPr>
          <w:rStyle w:val="VerbatimChar"/>
        </w:rPr>
        <w:t xml:space="preserve">CountMayBeCapped</w:t>
      </w:r>
      <w:r>
        <w:t xml:space="preserve"> </w:t>
      </w:r>
      <w:r>
        <w:t xml:space="preserve">marks groups at the 5,000-value LDAP response limit, whose direct count should be checked another way.</w:t>
      </w:r>
      <w:r>
        <w:rPr>
          <w:rStyle w:val="FootnoteReference"/>
        </w:rPr>
        <w:footnoteReference w:id="1276"/>
      </w:r>
      <w:r>
        <w:t xml:space="preserve"> </w:t>
      </w:r>
      <w:r>
        <w:t xml:space="preserve">The</w:t>
      </w:r>
      <w:r>
        <w:t xml:space="preserve"> </w:t>
      </w:r>
      <w:r>
        <w:rPr>
          <w:rStyle w:val="VerbatimChar"/>
        </w:rPr>
        <w:t xml:space="preserve">ObjectClass</w:t>
      </w:r>
      <w:r>
        <w:t xml:space="preserve"> </w:t>
      </w:r>
      <w:r>
        <w:t xml:space="preserve">filters for the MSA and gMSA files use the schema class names, such as</w:t>
      </w:r>
      <w:r>
        <w:t xml:space="preserve"> </w:t>
      </w:r>
      <w:r>
        <w:rPr>
          <w:rStyle w:val="VerbatimChar"/>
        </w:rPr>
        <w:t xml:space="preserve">msDS-GroupManagedServiceAccount</w:t>
      </w:r>
      <w:r>
        <w:t xml:space="preserve"> </w:t>
      </w:r>
      <w:r>
        <w:t xml:space="preserve">for a gMSA;</w:t>
      </w:r>
      <w:r>
        <w:rPr>
          <w:rStyle w:val="FootnoteReference"/>
        </w:rPr>
        <w:footnoteReference w:id="1277"/>
      </w:r>
      <w:r>
        <w:t xml:space="preserve"> </w:t>
      </w:r>
      <w:r>
        <w:t xml:space="preserve">a dMSA on a Windows Server 2025 domain appears in</w:t>
      </w:r>
      <w:r>
        <w:t xml:space="preserve"> </w:t>
      </w:r>
      <w:r>
        <w:rPr>
          <w:rStyle w:val="VerbatimChar"/>
        </w:rPr>
        <w:t xml:space="preserve">ServiceAccounts.csv</w:t>
      </w:r>
      <w:r>
        <w:t xml:space="preserve"> </w:t>
      </w:r>
      <w:r>
        <w:t xml:space="preserve">with its own class name.</w:t>
      </w:r>
      <w:r>
        <w:rPr>
          <w:rStyle w:val="FootnoteReference"/>
        </w:rPr>
        <w:footnoteReference w:id="1279"/>
      </w:r>
    </w:p>
    <w:bookmarkEnd w:id="1280"/>
    <w:bookmarkStart w:id="1283" w:name="trusts"/>
    <w:p>
      <w:pPr>
        <w:pStyle w:val="Heading3"/>
      </w:pPr>
      <w:r>
        <w:t xml:space="preserve">Trusts</w:t>
      </w:r>
    </w:p>
    <w:p>
      <w:pPr>
        <w:pStyle w:val="SourceCode"/>
      </w:pPr>
      <w:r>
        <w:rPr>
          <w:rStyle w:val="VariableTok"/>
        </w:rPr>
        <w:t xml:space="preserve">$script</w:t>
      </w:r>
      <w:r>
        <w:rPr>
          <w:rStyle w:val="OperatorTok"/>
        </w:rPr>
        <w:t xml:space="preserve">:</w:t>
      </w:r>
      <w:r>
        <w:rPr>
          <w:rStyle w:val="VariableTok"/>
        </w:rPr>
        <w:t xml:space="preserve">FMPTrustBits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ordered</w:t>
      </w:r>
      <w:r>
        <w:rPr>
          <w:rStyle w:val="OperatorTok"/>
        </w:rPr>
        <w:t xml:space="preserve">]</w:t>
      </w:r>
      <w:r>
        <w:rPr>
          <w:rStyle w:val="NormalTok"/>
        </w:rPr>
        <w:t xml:space="preserve">@</w:t>
      </w:r>
      <w:r>
        <w:rPr>
          <w:rStyle w:val="OperatorTok"/>
        </w:rPr>
        <w:t xml:space="preserve">{</w:t>
      </w:r>
      <w:r>
        <w:br/>
      </w:r>
      <w:r>
        <w:rPr>
          <w:rStyle w:val="NormalTok"/>
        </w:rPr>
        <w:t xml:space="preserve">    </w:t>
      </w:r>
      <w:r>
        <w:rPr>
          <w:rStyle w:val="DecValTok"/>
        </w:rPr>
        <w:t xml:space="preserve">0x1</w:t>
      </w:r>
      <w:r>
        <w:rPr>
          <w:rStyle w:val="NormalTok"/>
        </w:rPr>
        <w:t xml:space="preserve">  </w:t>
      </w:r>
      <w:r>
        <w:rPr>
          <w:rStyle w:val="OperatorTok"/>
        </w:rPr>
        <w:t xml:space="preserve">=</w:t>
      </w:r>
      <w:r>
        <w:rPr>
          <w:rStyle w:val="NormalTok"/>
        </w:rPr>
        <w:t xml:space="preserve"> </w:t>
      </w:r>
      <w:r>
        <w:rPr>
          <w:rStyle w:val="StringTok"/>
        </w:rPr>
        <w:t xml:space="preserve">'NonTransitive'</w:t>
      </w:r>
      <w:r>
        <w:br/>
      </w:r>
      <w:r>
        <w:rPr>
          <w:rStyle w:val="NormalTok"/>
        </w:rPr>
        <w:t xml:space="preserve">    </w:t>
      </w:r>
      <w:r>
        <w:rPr>
          <w:rStyle w:val="DecValTok"/>
        </w:rPr>
        <w:t xml:space="preserve">0x2</w:t>
      </w:r>
      <w:r>
        <w:rPr>
          <w:rStyle w:val="NormalTok"/>
        </w:rPr>
        <w:t xml:space="preserve">  </w:t>
      </w:r>
      <w:r>
        <w:rPr>
          <w:rStyle w:val="OperatorTok"/>
        </w:rPr>
        <w:t xml:space="preserve">=</w:t>
      </w:r>
      <w:r>
        <w:rPr>
          <w:rStyle w:val="NormalTok"/>
        </w:rPr>
        <w:t xml:space="preserve"> </w:t>
      </w:r>
      <w:r>
        <w:rPr>
          <w:rStyle w:val="StringTok"/>
        </w:rPr>
        <w:t xml:space="preserve">'UplevelOnly'</w:t>
      </w:r>
      <w:r>
        <w:br/>
      </w:r>
      <w:r>
        <w:rPr>
          <w:rStyle w:val="NormalTok"/>
        </w:rPr>
        <w:t xml:space="preserve">    </w:t>
      </w:r>
      <w:r>
        <w:rPr>
          <w:rStyle w:val="DecValTok"/>
        </w:rPr>
        <w:t xml:space="preserve">0x4</w:t>
      </w:r>
      <w:r>
        <w:rPr>
          <w:rStyle w:val="NormalTok"/>
        </w:rPr>
        <w:t xml:space="preserve">  </w:t>
      </w:r>
      <w:r>
        <w:rPr>
          <w:rStyle w:val="OperatorTok"/>
        </w:rPr>
        <w:t xml:space="preserve">=</w:t>
      </w:r>
      <w:r>
        <w:rPr>
          <w:rStyle w:val="NormalTok"/>
        </w:rPr>
        <w:t xml:space="preserve"> </w:t>
      </w:r>
      <w:r>
        <w:rPr>
          <w:rStyle w:val="StringTok"/>
        </w:rPr>
        <w:t xml:space="preserve">'QuarantinedDomain'</w:t>
      </w:r>
      <w:r>
        <w:br/>
      </w:r>
      <w:r>
        <w:rPr>
          <w:rStyle w:val="NormalTok"/>
        </w:rPr>
        <w:t xml:space="preserve">    </w:t>
      </w:r>
      <w:r>
        <w:rPr>
          <w:rStyle w:val="DecValTok"/>
        </w:rPr>
        <w:t xml:space="preserve">0x8</w:t>
      </w:r>
      <w:r>
        <w:rPr>
          <w:rStyle w:val="NormalTok"/>
        </w:rPr>
        <w:t xml:space="preserve">  </w:t>
      </w:r>
      <w:r>
        <w:rPr>
          <w:rStyle w:val="OperatorTok"/>
        </w:rPr>
        <w:t xml:space="preserve">=</w:t>
      </w:r>
      <w:r>
        <w:rPr>
          <w:rStyle w:val="NormalTok"/>
        </w:rPr>
        <w:t xml:space="preserve"> </w:t>
      </w:r>
      <w:r>
        <w:rPr>
          <w:rStyle w:val="StringTok"/>
        </w:rPr>
        <w:t xml:space="preserve">'ForestTransitive'</w:t>
      </w:r>
      <w:r>
        <w:br/>
      </w:r>
      <w:r>
        <w:rPr>
          <w:rStyle w:val="NormalTok"/>
        </w:rPr>
        <w:t xml:space="preserve">    </w:t>
      </w:r>
      <w:r>
        <w:rPr>
          <w:rStyle w:val="DecValTok"/>
        </w:rPr>
        <w:t xml:space="preserve">0x10</w:t>
      </w:r>
      <w:r>
        <w:rPr>
          <w:rStyle w:val="NormalTok"/>
        </w:rPr>
        <w:t xml:space="preserve"> </w:t>
      </w:r>
      <w:r>
        <w:rPr>
          <w:rStyle w:val="OperatorTok"/>
        </w:rPr>
        <w:t xml:space="preserve">=</w:t>
      </w:r>
      <w:r>
        <w:rPr>
          <w:rStyle w:val="NormalTok"/>
        </w:rPr>
        <w:t xml:space="preserve"> </w:t>
      </w:r>
      <w:r>
        <w:rPr>
          <w:rStyle w:val="StringTok"/>
        </w:rPr>
        <w:t xml:space="preserve">'CrossOrganization'</w:t>
      </w:r>
      <w:r>
        <w:br/>
      </w:r>
      <w:r>
        <w:rPr>
          <w:rStyle w:val="NormalTok"/>
        </w:rPr>
        <w:t xml:space="preserve">    </w:t>
      </w:r>
      <w:r>
        <w:rPr>
          <w:rStyle w:val="DecValTok"/>
        </w:rPr>
        <w:t xml:space="preserve">0x20</w:t>
      </w:r>
      <w:r>
        <w:rPr>
          <w:rStyle w:val="NormalTok"/>
        </w:rPr>
        <w:t xml:space="preserve"> </w:t>
      </w:r>
      <w:r>
        <w:rPr>
          <w:rStyle w:val="OperatorTok"/>
        </w:rPr>
        <w:t xml:space="preserve">=</w:t>
      </w:r>
      <w:r>
        <w:rPr>
          <w:rStyle w:val="NormalTok"/>
        </w:rPr>
        <w:t xml:space="preserve"> </w:t>
      </w:r>
      <w:r>
        <w:rPr>
          <w:rStyle w:val="StringTok"/>
        </w:rPr>
        <w:t xml:space="preserve">'WithinForest'</w:t>
      </w:r>
      <w:r>
        <w:br/>
      </w:r>
      <w:r>
        <w:rPr>
          <w:rStyle w:val="NormalTok"/>
        </w:rPr>
        <w:t xml:space="preserve">    </w:t>
      </w:r>
      <w:r>
        <w:rPr>
          <w:rStyle w:val="DecValTok"/>
        </w:rPr>
        <w:t xml:space="preserve">0x40</w:t>
      </w:r>
      <w:r>
        <w:rPr>
          <w:rStyle w:val="NormalTok"/>
        </w:rPr>
        <w:t xml:space="preserve"> </w:t>
      </w:r>
      <w:r>
        <w:rPr>
          <w:rStyle w:val="OperatorTok"/>
        </w:rPr>
        <w:t xml:space="preserve">=</w:t>
      </w:r>
      <w:r>
        <w:rPr>
          <w:rStyle w:val="NormalTok"/>
        </w:rPr>
        <w:t xml:space="preserve"> </w:t>
      </w:r>
      <w:r>
        <w:rPr>
          <w:rStyle w:val="StringTok"/>
        </w:rPr>
        <w:t xml:space="preserve">'TreatAsExternal'</w:t>
      </w:r>
      <w:r>
        <w:br/>
      </w:r>
      <w:r>
        <w:rPr>
          <w:rStyle w:val="NormalTok"/>
        </w:rPr>
        <w:t xml:space="preserve">    </w:t>
      </w:r>
      <w:r>
        <w:rPr>
          <w:rStyle w:val="DecValTok"/>
        </w:rPr>
        <w:t xml:space="preserve">0x80</w:t>
      </w:r>
      <w:r>
        <w:rPr>
          <w:rStyle w:val="NormalTok"/>
        </w:rPr>
        <w:t xml:space="preserve"> </w:t>
      </w:r>
      <w:r>
        <w:rPr>
          <w:rStyle w:val="OperatorTok"/>
        </w:rPr>
        <w:t xml:space="preserve">=</w:t>
      </w:r>
      <w:r>
        <w:rPr>
          <w:rStyle w:val="NormalTok"/>
        </w:rPr>
        <w:t xml:space="preserve"> </w:t>
      </w:r>
      <w:r>
        <w:rPr>
          <w:rStyle w:val="StringTok"/>
        </w:rPr>
        <w:t xml:space="preserve">'UsesRC4Encryption'</w:t>
      </w:r>
      <w:r>
        <w:br/>
      </w:r>
      <w:r>
        <w:rPr>
          <w:rStyle w:val="NormalTok"/>
        </w:rPr>
        <w:t xml:space="preserve">    </w:t>
      </w:r>
      <w:r>
        <w:rPr>
          <w:rStyle w:val="DecValTok"/>
        </w:rPr>
        <w:t xml:space="preserve">0x100</w:t>
      </w:r>
      <w:r>
        <w:rPr>
          <w:rStyle w:val="NormalTok"/>
        </w:rPr>
        <w:t xml:space="preserve"> </w:t>
      </w:r>
      <w:r>
        <w:rPr>
          <w:rStyle w:val="OperatorTok"/>
        </w:rPr>
        <w:t xml:space="preserve">=</w:t>
      </w:r>
      <w:r>
        <w:rPr>
          <w:rStyle w:val="NormalTok"/>
        </w:rPr>
        <w:t xml:space="preserve"> </w:t>
      </w:r>
      <w:r>
        <w:rPr>
          <w:rStyle w:val="StringTok"/>
        </w:rPr>
        <w:t xml:space="preserve">'UsesAESKeys'</w:t>
      </w:r>
      <w:r>
        <w:br/>
      </w:r>
      <w:r>
        <w:rPr>
          <w:rStyle w:val="NormalTok"/>
        </w:rPr>
        <w:t xml:space="preserve">    </w:t>
      </w:r>
      <w:r>
        <w:rPr>
          <w:rStyle w:val="DecValTok"/>
        </w:rPr>
        <w:t xml:space="preserve">0x200</w:t>
      </w:r>
      <w:r>
        <w:rPr>
          <w:rStyle w:val="NormalTok"/>
        </w:rPr>
        <w:t xml:space="preserve"> </w:t>
      </w:r>
      <w:r>
        <w:rPr>
          <w:rStyle w:val="OperatorTok"/>
        </w:rPr>
        <w:t xml:space="preserve">=</w:t>
      </w:r>
      <w:r>
        <w:rPr>
          <w:rStyle w:val="NormalTok"/>
        </w:rPr>
        <w:t xml:space="preserve"> </w:t>
      </w:r>
      <w:r>
        <w:rPr>
          <w:rStyle w:val="StringTok"/>
        </w:rPr>
        <w:t xml:space="preserve">'CrossOrganizationNoTGTDelegation'</w:t>
      </w:r>
      <w:r>
        <w:br/>
      </w:r>
      <w:r>
        <w:rPr>
          <w:rStyle w:val="NormalTok"/>
        </w:rPr>
        <w:t xml:space="preserve">    </w:t>
      </w:r>
      <w:r>
        <w:rPr>
          <w:rStyle w:val="DecValTok"/>
        </w:rPr>
        <w:t xml:space="preserve">0x400</w:t>
      </w:r>
      <w:r>
        <w:rPr>
          <w:rStyle w:val="NormalTok"/>
        </w:rPr>
        <w:t xml:space="preserve"> </w:t>
      </w:r>
      <w:r>
        <w:rPr>
          <w:rStyle w:val="OperatorTok"/>
        </w:rPr>
        <w:t xml:space="preserve">=</w:t>
      </w:r>
      <w:r>
        <w:rPr>
          <w:rStyle w:val="NormalTok"/>
        </w:rPr>
        <w:t xml:space="preserve"> </w:t>
      </w:r>
      <w:r>
        <w:rPr>
          <w:rStyle w:val="StringTok"/>
        </w:rPr>
        <w:t xml:space="preserve">'PIMTrust'</w:t>
      </w:r>
      <w:r>
        <w:br/>
      </w:r>
      <w:r>
        <w:rPr>
          <w:rStyle w:val="NormalTok"/>
        </w:rPr>
        <w:t xml:space="preserve">    </w:t>
      </w:r>
      <w:r>
        <w:rPr>
          <w:rStyle w:val="DecValTok"/>
        </w:rPr>
        <w:t xml:space="preserve">0x800</w:t>
      </w:r>
      <w:r>
        <w:rPr>
          <w:rStyle w:val="NormalTok"/>
        </w:rPr>
        <w:t xml:space="preserve"> </w:t>
      </w:r>
      <w:r>
        <w:rPr>
          <w:rStyle w:val="OperatorTok"/>
        </w:rPr>
        <w:t xml:space="preserve">=</w:t>
      </w:r>
      <w:r>
        <w:rPr>
          <w:rStyle w:val="NormalTok"/>
        </w:rPr>
        <w:t xml:space="preserve"> </w:t>
      </w:r>
      <w:r>
        <w:rPr>
          <w:rStyle w:val="StringTok"/>
        </w:rPr>
        <w:t xml:space="preserve">'CrossOrganizationEnableTGTDelegation'</w:t>
      </w:r>
      <w:r>
        <w:br/>
      </w:r>
      <w:r>
        <w:rPr>
          <w:rStyle w:val="OperatorTok"/>
        </w:rPr>
        <w:t xml:space="preserve">}</w:t>
      </w:r>
      <w:r>
        <w:br/>
      </w:r>
      <w:r>
        <w:br/>
      </w:r>
      <w:r>
        <w:rPr>
          <w:rStyle w:val="KeywordTok"/>
        </w:rPr>
        <w:t xml:space="preserve">function</w:t>
      </w:r>
      <w:r>
        <w:rPr>
          <w:rStyle w:val="NormalTok"/>
        </w:rPr>
        <w:t xml:space="preserve"> Get-FMPTrustMap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Trusts with decoded attributes, access direction and posture. Enumeration only.</w:t>
      </w:r>
      <w:r>
        <w:br/>
      </w:r>
      <w:r>
        <w:rPr>
          <w:rStyle w:val="CommentTok"/>
        </w:rPr>
        <w:t xml:space="preserve">    .OUTPUTS</w:t>
      </w:r>
      <w:r>
        <w:br/>
      </w:r>
      <w:r>
        <w:rPr>
          <w:rStyle w:val="CommentTok"/>
        </w:rPr>
        <w:t xml:space="preserve">        TrustMap.json</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DNSRoot</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'D:\FMP\Assessment'</w:t>
      </w:r>
      <w:r>
        <w:br/>
      </w:r>
      <w:r>
        <w:rPr>
          <w:rStyle w:val="NormalTok"/>
        </w:rPr>
        <w:t xml:space="preserve">    </w:t>
      </w:r>
      <w:r>
        <w:rPr>
          <w:rStyle w:val="OperatorTok"/>
        </w:rPr>
        <w:t xml:space="preserve">)</w:t>
      </w:r>
      <w:r>
        <w:br/>
      </w:r>
      <w:r>
        <w:rPr>
          <w:rStyle w:val="NormalTok"/>
        </w:rPr>
        <w:t xml:space="preserve">    </w:t>
      </w:r>
      <w:r>
        <w:rPr>
          <w:rStyle w:val="VariableTok"/>
        </w:rPr>
        <w:t xml:space="preserve">$trustPath</w:t>
      </w:r>
      <w:r>
        <w:rPr>
          <w:rStyle w:val="NormalTok"/>
        </w:rPr>
        <w:t xml:space="preserve"> </w:t>
      </w:r>
      <w:r>
        <w:rPr>
          <w:rStyle w:val="OperatorTok"/>
        </w:rPr>
        <w:t xml:space="preserve">=</w:t>
      </w:r>
      <w:r>
        <w:rPr>
          <w:rStyle w:val="NormalTok"/>
        </w:rPr>
        <w:t xml:space="preserve"> Get-FMPDomainPath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Area </w:t>
      </w:r>
      <w:r>
        <w:rPr>
          <w:rStyle w:val="StringTok"/>
        </w:rPr>
        <w:t xml:space="preserve">'Trusts'</w:t>
      </w:r>
      <w:r>
        <w:br/>
      </w:r>
      <w:r>
        <w:rPr>
          <w:rStyle w:val="NormalTok"/>
        </w:rPr>
        <w:t xml:space="preserve">    </w:t>
      </w:r>
      <w:r>
        <w:rPr>
          <w:rStyle w:val="VariableTok"/>
        </w:rPr>
        <w:t xml:space="preserve">$trusts</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$t</w:t>
      </w:r>
      <w:r>
        <w:rPr>
          <w:rStyle w:val="NormalTok"/>
        </w:rPr>
        <w:t xml:space="preserve"> </w:t>
      </w:r>
      <w:r>
        <w:rPr>
          <w:rStyle w:val="KeywordTok"/>
        </w:rPr>
        <w:t xml:space="preserve">in</w:t>
      </w:r>
      <w:r>
        <w:rPr>
          <w:rStyle w:val="NormalTok"/>
        </w:rPr>
        <w:t xml:space="preserve"> Get-ADTrust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Properties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$attr</w:t>
      </w:r>
      <w:r>
        <w:rPr>
          <w:rStyle w:val="NormalTok"/>
        </w:rPr>
        <w:t xml:space="preserve"> </w:t>
      </w:r>
      <w:r>
        <w:rPr>
          <w:rStyle w:val="OperatorTok"/>
        </w:rPr>
        <w:t xml:space="preserve">=</w:t>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$t</w:t>
      </w:r>
      <w:r>
        <w:rPr>
          <w:rStyle w:val="OperatorTok"/>
        </w:rPr>
        <w:t xml:space="preserve">.</w:t>
      </w:r>
      <w:r>
        <w:rPr>
          <w:rStyle w:val="FunctionTok"/>
        </w:rPr>
        <w:t xml:space="preserve">TrustAttributes</w:t>
      </w:r>
      <w:r>
        <w:br/>
      </w:r>
      <w:r>
        <w:rPr>
          <w:rStyle w:val="NormalTok"/>
        </w:rPr>
        <w:t xml:space="preserve">        </w:t>
      </w:r>
      <w:r>
        <w:rPr>
          <w:rStyle w:val="VariableTok"/>
        </w:rPr>
        <w:t xml:space="preserve">$decoded</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$script</w:t>
      </w:r>
      <w:r>
        <w:rPr>
          <w:rStyle w:val="OperatorTok"/>
        </w:rPr>
        <w:t xml:space="preserve">:</w:t>
      </w:r>
      <w:r>
        <w:rPr>
          <w:rStyle w:val="VariableTok"/>
        </w:rPr>
        <w:t xml:space="preserve">FMPTrustBits</w:t>
      </w:r>
      <w:r>
        <w:rPr>
          <w:rStyle w:val="OperatorTok"/>
        </w:rPr>
        <w:t xml:space="preserve">.</w:t>
      </w:r>
      <w:r>
        <w:rPr>
          <w:rStyle w:val="FunctionTok"/>
        </w:rPr>
        <w:t xml:space="preserve">Keys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$attr</w:t>
      </w:r>
      <w:r>
        <w:rPr>
          <w:rStyle w:val="NormalTok"/>
        </w:rPr>
        <w:t xml:space="preserve"> </w:t>
      </w:r>
      <w:r>
        <w:rPr>
          <w:rStyle w:val="OperatorTok"/>
        </w:rPr>
        <w:t xml:space="preserve">-band</w:t>
      </w:r>
      <w:r>
        <w:rPr>
          <w:rStyle w:val="NormalTok"/>
        </w:rPr>
        <w:t xml:space="preserve"> </w:t>
      </w:r>
      <w:r>
        <w:rPr>
          <w:rStyle w:val="VariableTok"/>
        </w:rPr>
        <w:t xml:space="preserve">$_</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VariableTok"/>
        </w:rPr>
        <w:t xml:space="preserve">$script</w:t>
      </w:r>
      <w:r>
        <w:rPr>
          <w:rStyle w:val="OperatorTok"/>
        </w:rPr>
        <w:t xml:space="preserve">:</w:t>
      </w:r>
      <w:r>
        <w:rPr>
          <w:rStyle w:val="VariableTok"/>
        </w:rPr>
        <w:t xml:space="preserve">FMPTrustBits</w:t>
      </w:r>
      <w:r>
        <w:rPr>
          <w:rStyle w:val="OperatorTok"/>
        </w:rPr>
        <w:t xml:space="preserve">[</w:t>
      </w:r>
      <w:r>
        <w:rPr>
          <w:rStyle w:val="VariableTok"/>
        </w:rPr>
        <w:t xml:space="preserve">$_</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$direction</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$t</w:t>
      </w:r>
      <w:r>
        <w:rPr>
          <w:rStyle w:val="OperatorTok"/>
        </w:rPr>
        <w:t xml:space="preserve">.</w:t>
      </w:r>
      <w:r>
        <w:rPr>
          <w:rStyle w:val="FunctionTok"/>
        </w:rPr>
        <w:t xml:space="preserve">Direction</w:t>
      </w:r>
      <w:r>
        <w:rPr>
          <w:rStyle w:val="OperatorTok"/>
        </w:rPr>
        <w:t xml:space="preserve">)</w:t>
      </w:r>
      <w:r>
        <w:rPr>
          <w:rStyle w:val="String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Name                    </w:t>
      </w:r>
      <w:r>
        <w:rPr>
          <w:rStyle w:val="OperatorTok"/>
        </w:rPr>
        <w:t xml:space="preserve">=</w:t>
      </w:r>
      <w:r>
        <w:rPr>
          <w:rStyle w:val="NormalTok"/>
        </w:rPr>
        <w:t xml:space="preserve"> </w:t>
      </w:r>
      <w:r>
        <w:rPr>
          <w:rStyle w:val="VariableTok"/>
        </w:rPr>
        <w:t xml:space="preserve">$t</w:t>
      </w:r>
      <w:r>
        <w:rPr>
          <w:rStyle w:val="OperatorTok"/>
        </w:rPr>
        <w:t xml:space="preserve">.</w:t>
      </w:r>
      <w:r>
        <w:rPr>
          <w:rStyle w:val="FunctionTok"/>
        </w:rPr>
        <w:t xml:space="preserve">Name</w:t>
      </w:r>
      <w:r>
        <w:br/>
      </w:r>
      <w:r>
        <w:rPr>
          <w:rStyle w:val="NormalTok"/>
        </w:rPr>
        <w:t xml:space="preserve">            Source                  </w:t>
      </w:r>
      <w:r>
        <w:rPr>
          <w:rStyle w:val="OperatorTok"/>
        </w:rPr>
        <w:t xml:space="preserve">=</w:t>
      </w:r>
      <w:r>
        <w:rPr>
          <w:rStyle w:val="NormalTok"/>
        </w:rPr>
        <w:t xml:space="preserve"> </w:t>
      </w:r>
      <w:r>
        <w:rPr>
          <w:rStyle w:val="VariableTok"/>
        </w:rPr>
        <w:t xml:space="preserve">$t</w:t>
      </w:r>
      <w:r>
        <w:rPr>
          <w:rStyle w:val="OperatorTok"/>
        </w:rPr>
        <w:t xml:space="preserve">.</w:t>
      </w:r>
      <w:r>
        <w:rPr>
          <w:rStyle w:val="FunctionTok"/>
        </w:rPr>
        <w:t xml:space="preserve">Source</w:t>
      </w:r>
      <w:r>
        <w:br/>
      </w:r>
      <w:r>
        <w:rPr>
          <w:rStyle w:val="NormalTok"/>
        </w:rPr>
        <w:t xml:space="preserve">            Target                  </w:t>
      </w:r>
      <w:r>
        <w:rPr>
          <w:rStyle w:val="OperatorTok"/>
        </w:rPr>
        <w:t xml:space="preserve">=</w:t>
      </w:r>
      <w:r>
        <w:rPr>
          <w:rStyle w:val="NormalTok"/>
        </w:rPr>
        <w:t xml:space="preserve"> </w:t>
      </w:r>
      <w:r>
        <w:rPr>
          <w:rStyle w:val="VariableTok"/>
        </w:rPr>
        <w:t xml:space="preserve">$t</w:t>
      </w:r>
      <w:r>
        <w:rPr>
          <w:rStyle w:val="OperatorTok"/>
        </w:rPr>
        <w:t xml:space="preserve">.</w:t>
      </w:r>
      <w:r>
        <w:rPr>
          <w:rStyle w:val="FunctionTok"/>
        </w:rPr>
        <w:t xml:space="preserve">Target</w:t>
      </w:r>
      <w:r>
        <w:br/>
      </w:r>
      <w:r>
        <w:rPr>
          <w:rStyle w:val="NormalTok"/>
        </w:rPr>
        <w:t xml:space="preserve">            Direction               </w:t>
      </w:r>
      <w:r>
        <w:rPr>
          <w:rStyle w:val="OperatorTok"/>
        </w:rPr>
        <w:t xml:space="preserve">=</w:t>
      </w:r>
      <w:r>
        <w:rPr>
          <w:rStyle w:val="NormalTok"/>
        </w:rPr>
        <w:t xml:space="preserve"> </w:t>
      </w:r>
      <w:r>
        <w:rPr>
          <w:rStyle w:val="VariableTok"/>
        </w:rPr>
        <w:t xml:space="preserve">$direction</w:t>
      </w:r>
      <w:r>
        <w:br/>
      </w:r>
      <w:r>
        <w:rPr>
          <w:rStyle w:val="NormalTok"/>
        </w:rPr>
        <w:t xml:space="preserve">            TrustType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$t</w:t>
      </w:r>
      <w:r>
        <w:rPr>
          <w:rStyle w:val="OperatorTok"/>
        </w:rPr>
        <w:t xml:space="preserve">.</w:t>
      </w:r>
      <w:r>
        <w:rPr>
          <w:rStyle w:val="FunctionTok"/>
        </w:rPr>
        <w:t xml:space="preserve">TrustType</w:t>
      </w:r>
      <w:r>
        <w:rPr>
          <w:rStyle w:val="OperatorTok"/>
        </w:rPr>
        <w:t xml:space="preserve">)</w:t>
      </w:r>
      <w:r>
        <w:rPr>
          <w:rStyle w:val="StringTok"/>
        </w:rPr>
        <w:t xml:space="preserve">"</w:t>
      </w:r>
      <w:r>
        <w:br/>
      </w:r>
      <w:r>
        <w:rPr>
          <w:rStyle w:val="NormalTok"/>
        </w:rPr>
        <w:t xml:space="preserve">            TrustAttributesRaw      </w:t>
      </w:r>
      <w:r>
        <w:rPr>
          <w:rStyle w:val="OperatorTok"/>
        </w:rPr>
        <w:t xml:space="preserve">=</w:t>
      </w:r>
      <w:r>
        <w:rPr>
          <w:rStyle w:val="NormalTok"/>
        </w:rPr>
        <w:t xml:space="preserve"> </w:t>
      </w:r>
      <w:r>
        <w:rPr>
          <w:rStyle w:val="VariableTok"/>
        </w:rPr>
        <w:t xml:space="preserve">$attr</w:t>
      </w:r>
      <w:r>
        <w:br/>
      </w:r>
      <w:r>
        <w:rPr>
          <w:rStyle w:val="NormalTok"/>
        </w:rPr>
        <w:t xml:space="preserve">            TrustAttributes         </w:t>
      </w:r>
      <w:r>
        <w:rPr>
          <w:rStyle w:val="OperatorTok"/>
        </w:rPr>
        <w:t xml:space="preserve">=</w:t>
      </w:r>
      <w:r>
        <w:rPr>
          <w:rStyle w:val="NormalTok"/>
        </w:rPr>
        <w:t xml:space="preserve"> </w:t>
      </w:r>
      <w:r>
        <w:rPr>
          <w:rStyle w:val="VariableTok"/>
        </w:rPr>
        <w:t xml:space="preserve">$decoded</w:t>
      </w:r>
      <w:r>
        <w:br/>
      </w:r>
      <w:r>
        <w:rPr>
          <w:rStyle w:val="NormalTok"/>
        </w:rPr>
        <w:t xml:space="preserve">            IntraForest             </w:t>
      </w:r>
      <w:r>
        <w:rPr>
          <w:rStyle w:val="OperatorTok"/>
        </w:rPr>
        <w:t xml:space="preserve">=</w:t>
      </w:r>
      <w:r>
        <w:rPr>
          <w:rStyle w:val="NormalTok"/>
        </w:rPr>
        <w:t xml:space="preserve"> </w:t>
      </w:r>
      <w:r>
        <w:rPr>
          <w:rStyle w:val="VariableTok"/>
        </w:rPr>
        <w:t xml:space="preserve">$t</w:t>
      </w:r>
      <w:r>
        <w:rPr>
          <w:rStyle w:val="OperatorTok"/>
        </w:rPr>
        <w:t xml:space="preserve">.</w:t>
      </w:r>
      <w:r>
        <w:rPr>
          <w:rStyle w:val="FunctionTok"/>
        </w:rPr>
        <w:t xml:space="preserve">IntraForest</w:t>
      </w:r>
      <w:r>
        <w:br/>
      </w:r>
      <w:r>
        <w:rPr>
          <w:rStyle w:val="NormalTok"/>
        </w:rPr>
        <w:t xml:space="preserve">            ForestTransitive        </w:t>
      </w:r>
      <w:r>
        <w:rPr>
          <w:rStyle w:val="OperatorTok"/>
        </w:rPr>
        <w:t xml:space="preserve">=</w:t>
      </w:r>
      <w:r>
        <w:rPr>
          <w:rStyle w:val="NormalTok"/>
        </w:rPr>
        <w:t xml:space="preserve"> </w:t>
      </w:r>
      <w:r>
        <w:rPr>
          <w:rStyle w:val="VariableTok"/>
        </w:rPr>
        <w:t xml:space="preserve">$t</w:t>
      </w:r>
      <w:r>
        <w:rPr>
          <w:rStyle w:val="OperatorTok"/>
        </w:rPr>
        <w:t xml:space="preserve">.</w:t>
      </w:r>
      <w:r>
        <w:rPr>
          <w:rStyle w:val="FunctionTok"/>
        </w:rPr>
        <w:t xml:space="preserve">ForestTransitive</w:t>
      </w:r>
      <w:r>
        <w:br/>
      </w:r>
      <w:r>
        <w:rPr>
          <w:rStyle w:val="NormalTok"/>
        </w:rPr>
        <w:t xml:space="preserve">            SelectiveAuthentication </w:t>
      </w:r>
      <w:r>
        <w:rPr>
          <w:rStyle w:val="OperatorTok"/>
        </w:rPr>
        <w:t xml:space="preserve">=</w:t>
      </w:r>
      <w:r>
        <w:rPr>
          <w:rStyle w:val="NormalTok"/>
        </w:rPr>
        <w:t xml:space="preserve"> </w:t>
      </w:r>
      <w:r>
        <w:rPr>
          <w:rStyle w:val="VariableTok"/>
        </w:rPr>
        <w:t xml:space="preserve">$t</w:t>
      </w:r>
      <w:r>
        <w:rPr>
          <w:rStyle w:val="OperatorTok"/>
        </w:rPr>
        <w:t xml:space="preserve">.</w:t>
      </w:r>
      <w:r>
        <w:rPr>
          <w:rStyle w:val="FunctionTok"/>
        </w:rPr>
        <w:t xml:space="preserve">SelectiveAuthentication</w:t>
      </w:r>
      <w:r>
        <w:br/>
      </w:r>
      <w:r>
        <w:rPr>
          <w:rStyle w:val="NormalTok"/>
        </w:rPr>
        <w:t xml:space="preserve">            SIDFilteringQuarantined </w:t>
      </w:r>
      <w:r>
        <w:rPr>
          <w:rStyle w:val="OperatorTok"/>
        </w:rPr>
        <w:t xml:space="preserve">=</w:t>
      </w:r>
      <w:r>
        <w:rPr>
          <w:rStyle w:val="NormalTok"/>
        </w:rPr>
        <w:t xml:space="preserve"> </w:t>
      </w:r>
      <w:r>
        <w:rPr>
          <w:rStyle w:val="VariableTok"/>
        </w:rPr>
        <w:t xml:space="preserve">$t</w:t>
      </w:r>
      <w:r>
        <w:rPr>
          <w:rStyle w:val="OperatorTok"/>
        </w:rPr>
        <w:t xml:space="preserve">.</w:t>
      </w:r>
      <w:r>
        <w:rPr>
          <w:rStyle w:val="FunctionTok"/>
        </w:rPr>
        <w:t xml:space="preserve">SIDFilteringQuarantined</w:t>
      </w:r>
      <w:r>
        <w:br/>
      </w:r>
      <w:r>
        <w:rPr>
          <w:rStyle w:val="NormalTok"/>
        </w:rPr>
        <w:t xml:space="preserve">            SIDFilteringForestAware </w:t>
      </w:r>
      <w:r>
        <w:rPr>
          <w:rStyle w:val="OperatorTok"/>
        </w:rPr>
        <w:t xml:space="preserve">=</w:t>
      </w:r>
      <w:r>
        <w:rPr>
          <w:rStyle w:val="NormalTok"/>
        </w:rPr>
        <w:t xml:space="preserve"> </w:t>
      </w:r>
      <w:r>
        <w:rPr>
          <w:rStyle w:val="VariableTok"/>
        </w:rPr>
        <w:t xml:space="preserve">$t</w:t>
      </w:r>
      <w:r>
        <w:rPr>
          <w:rStyle w:val="OperatorTok"/>
        </w:rPr>
        <w:t xml:space="preserve">.</w:t>
      </w:r>
      <w:r>
        <w:rPr>
          <w:rStyle w:val="FunctionTok"/>
        </w:rPr>
        <w:t xml:space="preserve">SIDFilteringForestAware</w:t>
      </w:r>
      <w:r>
        <w:br/>
      </w:r>
      <w:r>
        <w:rPr>
          <w:rStyle w:val="NormalTok"/>
        </w:rPr>
        <w:t xml:space="preserve">            </w:t>
      </w:r>
      <w:r>
        <w:rPr>
          <w:rStyle w:val="CommentTok"/>
        </w:rPr>
        <w:t xml:space="preserve"># Members of the trusted domain reach resources in the trusting domain.</w:t>
      </w:r>
      <w:r>
        <w:br/>
      </w:r>
      <w:r>
        <w:rPr>
          <w:rStyle w:val="NormalTok"/>
        </w:rPr>
        <w:t xml:space="preserve">            Access </w:t>
      </w:r>
      <w:r>
        <w:rPr>
          <w:rStyle w:val="OperatorTok"/>
        </w:rPr>
        <w:t xml:space="preserve">=</w:t>
      </w:r>
      <w:r>
        <w:rPr>
          <w:rStyle w:val="NormalTok"/>
        </w:rPr>
        <w:t xml:space="preserve"> </w:t>
      </w:r>
      <w:r>
        <w:rPr>
          <w:rStyle w:val="ControlFlowTok"/>
        </w:rPr>
        <w:t xml:space="preserve">switch</w:t>
      </w:r>
      <w:r>
        <w:rPr>
          <w:rStyle w:val="NormalTok"/>
        </w:rPr>
        <w:t xml:space="preserve"> </w:t>
      </w:r>
      <w:r>
        <w:rPr>
          <w:rStyle w:val="OperatorTok"/>
        </w:rPr>
        <w:t xml:space="preserve">(</w:t>
      </w:r>
      <w:r>
        <w:rPr>
          <w:rStyle w:val="VariableTok"/>
        </w:rPr>
        <w:t xml:space="preserve">$direction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'Inbound'</w:t>
      </w:r>
      <w:r>
        <w:rPr>
          <w:rStyle w:val="NormalTok"/>
        </w:rPr>
        <w:t xml:space="preserve">       </w:t>
      </w:r>
      <w:r>
        <w:rPr>
          <w:rStyle w:val="OperatorTok"/>
        </w:rPr>
        <w:t xml:space="preserve">{</w:t>
      </w:r>
      <w:r>
        <w:rPr>
          <w:rStyle w:val="NormalTok"/>
        </w:rPr>
        <w:t xml:space="preserve"> </w:t>
      </w:r>
      <w:r>
        <w:rPr>
          <w:rStyle w:val="StringTok"/>
        </w:rPr>
        <w:t xml:space="preserve">"Users in </w:t>
      </w:r>
      <w:r>
        <w:rPr>
          <w:rStyle w:val="VariableTok"/>
        </w:rPr>
        <w:t xml:space="preserve">$Domain</w:t>
      </w:r>
      <w:r>
        <w:rPr>
          <w:rStyle w:val="StringTok"/>
        </w:rPr>
        <w:t xml:space="preserve"> can reach resources in </w:t>
      </w:r>
      <w:r>
        <w:rPr>
          <w:rStyle w:val="OperatorTok"/>
        </w:rPr>
        <w:t xml:space="preserve">$(</w:t>
      </w:r>
      <w:r>
        <w:rPr>
          <w:rStyle w:val="VariableTok"/>
        </w:rPr>
        <w:t xml:space="preserve">$t</w:t>
      </w:r>
      <w:r>
        <w:rPr>
          <w:rStyle w:val="OperatorTok"/>
        </w:rPr>
        <w:t xml:space="preserve">.</w:t>
      </w:r>
      <w:r>
        <w:rPr>
          <w:rStyle w:val="FunctionTok"/>
        </w:rPr>
        <w:t xml:space="preserve">Name</w:t>
      </w:r>
      <w:r>
        <w:rPr>
          <w:rStyle w:val="OperatorTok"/>
        </w:rPr>
        <w:t xml:space="preserve">)</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'Outbound'</w:t>
      </w:r>
      <w:r>
        <w:rPr>
          <w:rStyle w:val="NormalTok"/>
        </w:rPr>
        <w:t xml:space="preserve">      </w:t>
      </w:r>
      <w:r>
        <w:rPr>
          <w:rStyle w:val="OperatorTok"/>
        </w:rPr>
        <w:t xml:space="preserve">{</w:t>
      </w:r>
      <w:r>
        <w:rPr>
          <w:rStyle w:val="NormalTok"/>
        </w:rPr>
        <w:t xml:space="preserve"> </w:t>
      </w:r>
      <w:r>
        <w:rPr>
          <w:rStyle w:val="StringTok"/>
        </w:rPr>
        <w:t xml:space="preserve">"Users in </w:t>
      </w:r>
      <w:r>
        <w:rPr>
          <w:rStyle w:val="OperatorTok"/>
        </w:rPr>
        <w:t xml:space="preserve">$(</w:t>
      </w:r>
      <w:r>
        <w:rPr>
          <w:rStyle w:val="VariableTok"/>
        </w:rPr>
        <w:t xml:space="preserve">$t</w:t>
      </w:r>
      <w:r>
        <w:rPr>
          <w:rStyle w:val="OperatorTok"/>
        </w:rPr>
        <w:t xml:space="preserve">.</w:t>
      </w:r>
      <w:r>
        <w:rPr>
          <w:rStyle w:val="FunctionTok"/>
        </w:rPr>
        <w:t xml:space="preserve">Name</w:t>
      </w:r>
      <w:r>
        <w:rPr>
          <w:rStyle w:val="OperatorTok"/>
        </w:rPr>
        <w:t xml:space="preserve">)</w:t>
      </w:r>
      <w:r>
        <w:rPr>
          <w:rStyle w:val="StringTok"/>
        </w:rPr>
        <w:t xml:space="preserve"> can reach resources in </w:t>
      </w:r>
      <w:r>
        <w:rPr>
          <w:rStyle w:val="VariableTok"/>
        </w:rPr>
        <w:t xml:space="preserve">$Domain</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'BiDirectional'</w:t>
      </w:r>
      <w:r>
        <w:rPr>
          <w:rStyle w:val="NormalTok"/>
        </w:rPr>
        <w:t xml:space="preserve"> </w:t>
      </w:r>
      <w:r>
        <w:rPr>
          <w:rStyle w:val="OperatorTok"/>
        </w:rPr>
        <w:t xml:space="preserve">{</w:t>
      </w:r>
      <w:r>
        <w:rPr>
          <w:rStyle w:val="NormalTok"/>
        </w:rPr>
        <w:t xml:space="preserve"> </w:t>
      </w:r>
      <w:r>
        <w:rPr>
          <w:rStyle w:val="StringTok"/>
        </w:rPr>
        <w:t xml:space="preserve">'Users in each domain can reach resources in the other'</w:t>
      </w:r>
      <w:r>
        <w:rPr>
          <w:rStyle w:val="NormalTok"/>
        </w:rPr>
        <w:t xml:space="preserve"> </w:t>
      </w:r>
      <w:r>
        <w:rPr>
          <w:rStyle w:val="OperatorTok"/>
        </w:rPr>
        <w:t xml:space="preserve">}</w:t>
      </w:r>
      <w:r>
        <w:br/>
      </w:r>
      <w:r>
        <w:rPr>
          <w:rStyle w:val="NormalTok"/>
        </w:rPr>
        <w:t xml:space="preserve">                default         </w:t>
      </w:r>
      <w:r>
        <w:rPr>
          <w:rStyle w:val="OperatorTok"/>
        </w:rPr>
        <w:t xml:space="preserve">{</w:t>
      </w:r>
      <w:r>
        <w:rPr>
          <w:rStyle w:val="NormalTok"/>
        </w:rPr>
        <w:t xml:space="preserve"> </w:t>
      </w:r>
      <w:r>
        <w:rPr>
          <w:rStyle w:val="StringTok"/>
        </w:rPr>
        <w:t xml:space="preserve">'Disabled'</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Posture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$t</w:t>
      </w:r>
      <w:r>
        <w:rPr>
          <w:rStyle w:val="OperatorTok"/>
        </w:rPr>
        <w:t xml:space="preserve">.</w:t>
      </w:r>
      <w:r>
        <w:rPr>
          <w:rStyle w:val="FunctionTok"/>
        </w:rPr>
        <w:t xml:space="preserve">IntraForest</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'Intra-forest'</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$t</w:t>
      </w:r>
      <w:r>
        <w:rPr>
          <w:rStyle w:val="OperatorTok"/>
        </w:rPr>
        <w:t xml:space="preserve">.</w:t>
      </w:r>
      <w:r>
        <w:rPr>
          <w:rStyle w:val="FunctionTok"/>
        </w:rPr>
        <w:t xml:space="preserve">SelectiveAuthentication</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'Hardened'</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$t</w:t>
      </w:r>
      <w:r>
        <w:rPr>
          <w:rStyle w:val="OperatorTok"/>
        </w:rPr>
        <w:t xml:space="preserve">.</w:t>
      </w:r>
      <w:r>
        <w:rPr>
          <w:rStyle w:val="FunctionTok"/>
        </w:rPr>
        <w:t xml:space="preserve">SIDFilteringQuarantined</w:t>
      </w:r>
      <w:r>
        <w:rPr>
          <w:rStyle w:val="NormalTok"/>
        </w:rPr>
        <w:t xml:space="preserve"> </w:t>
      </w:r>
      <w:r>
        <w:rPr>
          <w:rStyle w:val="OperatorTok"/>
        </w:rPr>
        <w:t xml:space="preserve">-or</w:t>
      </w:r>
      <w:r>
        <w:rPr>
          <w:rStyle w:val="NormalTok"/>
        </w:rPr>
        <w:t xml:space="preserve"> </w:t>
      </w:r>
      <w:r>
        <w:rPr>
          <w:rStyle w:val="OperatorTok"/>
        </w:rPr>
        <w:t xml:space="preserve">(</w:t>
      </w:r>
      <w:r>
        <w:rPr>
          <w:rStyle w:val="VariableTok"/>
        </w:rPr>
        <w:t xml:space="preserve">$attr</w:t>
      </w:r>
      <w:r>
        <w:rPr>
          <w:rStyle w:val="NormalTok"/>
        </w:rPr>
        <w:t xml:space="preserve"> </w:t>
      </w:r>
      <w:r>
        <w:rPr>
          <w:rStyle w:val="OperatorTok"/>
        </w:rPr>
        <w:t xml:space="preserve">-band</w:t>
      </w:r>
      <w:r>
        <w:rPr>
          <w:rStyle w:val="NormalTok"/>
        </w:rPr>
        <w:t xml:space="preserve"> </w:t>
      </w:r>
      <w:r>
        <w:rPr>
          <w:rStyle w:val="DecValTok"/>
        </w:rPr>
        <w:t xml:space="preserve">0x8</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'Standard'</w:t>
      </w:r>
      <w:r>
        <w:rPr>
          <w:rStyle w:val="NormalTok"/>
        </w:rPr>
        <w:t xml:space="preserve"> </w:t>
      </w:r>
      <w:r>
        <w:rPr>
          <w:rStyle w:val="OperatorTok"/>
        </w:rPr>
        <w:t xml:space="preserve">}</w:t>
      </w:r>
      <w:r>
        <w:br/>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'Review required'</w:t>
      </w:r>
      <w:r>
        <w:rPr>
          <w:rStyle w:val="NormalTok"/>
        </w:rPr>
        <w:t xml:space="preserve"> </w:t>
      </w:r>
      <w:r>
        <w:rPr>
          <w:rStyle w:val="OperatorTok"/>
        </w:rPr>
        <w:t xml:space="preserve">}</w:t>
      </w:r>
      <w:r>
        <w:br/>
      </w:r>
      <w:r>
        <w:rPr>
          <w:rStyle w:val="NormalTok"/>
        </w:rPr>
        <w:t xml:space="preserve">            Created  </w:t>
      </w:r>
      <w:r>
        <w:rPr>
          <w:rStyle w:val="OperatorTok"/>
        </w:rPr>
        <w:t xml:space="preserve">=</w:t>
      </w:r>
      <w:r>
        <w:rPr>
          <w:rStyle w:val="NormalTok"/>
        </w:rPr>
        <w:t xml:space="preserve"> </w:t>
      </w:r>
      <w:r>
        <w:rPr>
          <w:rStyle w:val="VariableTok"/>
        </w:rPr>
        <w:t xml:space="preserve">$t</w:t>
      </w:r>
      <w:r>
        <w:rPr>
          <w:rStyle w:val="OperatorTok"/>
        </w:rPr>
        <w:t xml:space="preserve">.</w:t>
      </w:r>
      <w:r>
        <w:rPr>
          <w:rStyle w:val="FunctionTok"/>
        </w:rPr>
        <w:t xml:space="preserve">Created</w:t>
      </w:r>
      <w:r>
        <w:br/>
      </w:r>
      <w:r>
        <w:rPr>
          <w:rStyle w:val="NormalTok"/>
        </w:rPr>
        <w:t xml:space="preserve">            Modified </w:t>
      </w:r>
      <w:r>
        <w:rPr>
          <w:rStyle w:val="OperatorTok"/>
        </w:rPr>
        <w:t xml:space="preserve">=</w:t>
      </w:r>
      <w:r>
        <w:rPr>
          <w:rStyle w:val="NormalTok"/>
        </w:rPr>
        <w:t xml:space="preserve"> </w:t>
      </w:r>
      <w:r>
        <w:rPr>
          <w:rStyle w:val="VariableTok"/>
        </w:rPr>
        <w:t xml:space="preserve">$t</w:t>
      </w:r>
      <w:r>
        <w:rPr>
          <w:rStyle w:val="OperatorTok"/>
        </w:rPr>
        <w:t xml:space="preserve">.</w:t>
      </w:r>
      <w:r>
        <w:rPr>
          <w:rStyle w:val="FunctionTok"/>
        </w:rPr>
        <w:t xml:space="preserve">Modified</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$map</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AssessmentTimestamp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'o'</w:t>
      </w:r>
      <w:r>
        <w:rPr>
          <w:rStyle w:val="OperatorTok"/>
        </w:rPr>
        <w:t xml:space="preserve">)</w:t>
      </w:r>
      <w:r>
        <w:br/>
      </w:r>
      <w:r>
        <w:rPr>
          <w:rStyle w:val="NormalTok"/>
        </w:rPr>
        <w:t xml:space="preserve">        Domain              </w:t>
      </w:r>
      <w:r>
        <w:rPr>
          <w:rStyle w:val="OperatorTok"/>
        </w:rPr>
        <w:t xml:space="preserve">=</w:t>
      </w:r>
      <w:r>
        <w:rPr>
          <w:rStyle w:val="NormalTok"/>
        </w:rPr>
        <w:t xml:space="preserve"> </w:t>
      </w:r>
      <w:r>
        <w:rPr>
          <w:rStyle w:val="VariableTok"/>
        </w:rPr>
        <w:t xml:space="preserve">$Domain</w:t>
      </w:r>
      <w:r>
        <w:br/>
      </w:r>
      <w:r>
        <w:rPr>
          <w:rStyle w:val="NormalTok"/>
        </w:rPr>
        <w:t xml:space="preserve">        TrustCount          </w:t>
      </w:r>
      <w:r>
        <w:rPr>
          <w:rStyle w:val="OperatorTok"/>
        </w:rPr>
        <w:t xml:space="preserve">=</w:t>
      </w:r>
      <w:r>
        <w:rPr>
          <w:rStyle w:val="NormalTok"/>
        </w:rPr>
        <w:t xml:space="preserve"> </w:t>
      </w:r>
      <w:r>
        <w:rPr>
          <w:rStyle w:val="OperatorTok"/>
        </w:rPr>
        <w:t xml:space="preserve">@(</w:t>
      </w:r>
      <w:r>
        <w:rPr>
          <w:rStyle w:val="VariableTok"/>
        </w:rPr>
        <w:t xml:space="preserve">$trusts</w:t>
      </w:r>
      <w:r>
        <w:rPr>
          <w:rStyle w:val="OperatorTok"/>
        </w:rPr>
        <w:t xml:space="preserve">).</w:t>
      </w:r>
      <w:r>
        <w:rPr>
          <w:rStyle w:val="FunctionTok"/>
        </w:rPr>
        <w:t xml:space="preserve">Count</w:t>
      </w:r>
      <w:r>
        <w:br/>
      </w:r>
      <w:r>
        <w:rPr>
          <w:rStyle w:val="NormalTok"/>
        </w:rPr>
        <w:t xml:space="preserve">        Trusts              </w:t>
      </w:r>
      <w:r>
        <w:rPr>
          <w:rStyle w:val="OperatorTok"/>
        </w:rPr>
        <w:t xml:space="preserve">=</w:t>
      </w:r>
      <w:r>
        <w:rPr>
          <w:rStyle w:val="NormalTok"/>
        </w:rPr>
        <w:t xml:space="preserve"> </w:t>
      </w:r>
      <w:r>
        <w:rPr>
          <w:rStyle w:val="OperatorTok"/>
        </w:rPr>
        <w:t xml:space="preserve">@(</w:t>
      </w:r>
      <w:r>
        <w:rPr>
          <w:rStyle w:val="VariableTok"/>
        </w:rPr>
        <w:t xml:space="preserve">$trusts</w:t>
      </w:r>
      <w:r>
        <w:rPr>
          <w:rStyle w:val="OperatorTok"/>
        </w:rPr>
        <w:t xml:space="preserve">)</w:t>
      </w:r>
      <w:r>
        <w:br/>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VariableTok"/>
        </w:rPr>
        <w:t xml:space="preserve">$map</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$trustPath</w:t>
      </w:r>
      <w:r>
        <w:rPr>
          <w:rStyle w:val="NormalTok"/>
        </w:rPr>
        <w:t xml:space="preserve"> </w:t>
      </w:r>
      <w:r>
        <w:rPr>
          <w:rStyle w:val="StringTok"/>
        </w:rPr>
        <w:t xml:space="preserve">'TrustMap.json'</w:t>
      </w:r>
      <w:r>
        <w:rPr>
          <w:rStyle w:val="OperatorTok"/>
        </w:rPr>
        <w:t xml:space="preserve">)</w:t>
      </w:r>
      <w:r>
        <w:rPr>
          <w:rStyle w:val="NormalTok"/>
        </w:rPr>
        <w:t xml:space="preserve"> </w:t>
      </w:r>
      <w:r>
        <w:rPr>
          <w:rStyle w:val="OperatorTok"/>
        </w:rPr>
        <w:t xml:space="preserve">-</w:t>
      </w:r>
      <w:r>
        <w:rPr>
          <w:rStyle w:val="NormalTok"/>
        </w:rPr>
        <w:t xml:space="preserve">Depth </w:t>
      </w:r>
      <w:r>
        <w:rPr>
          <w:rStyle w:val="DecValTok"/>
        </w:rPr>
        <w:t xml:space="preserve">6</w:t>
      </w:r>
      <w:r>
        <w:br/>
      </w:r>
      <w:r>
        <w:rPr>
          <w:rStyle w:val="NormalTok"/>
        </w:rPr>
        <w:t xml:space="preserve">    </w:t>
      </w:r>
      <w:r>
        <w:rPr>
          <w:rStyle w:val="VariableTok"/>
        </w:rPr>
        <w:t xml:space="preserve">$map</w:t>
      </w:r>
      <w:r>
        <w:br/>
      </w:r>
      <w:r>
        <w:rPr>
          <w:rStyle w:val="OperatorTok"/>
        </w:rPr>
        <w:t xml:space="preserve">}</w:t>
      </w:r>
      <w:r>
        <w:br/>
      </w:r>
      <w:r>
        <w:br/>
      </w:r>
      <w:r>
        <w:rPr>
          <w:rStyle w:val="KeywordTok"/>
        </w:rPr>
        <w:t xml:space="preserve">function</w:t>
      </w:r>
      <w:r>
        <w:rPr>
          <w:rStyle w:val="NormalTok"/>
        </w:rPr>
        <w:t xml:space="preserve"> Test-FMPTrust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Verifies each outbound trust's secure channel with netdom. Run separately, elevated.</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DNSRoot</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$t</w:t>
      </w:r>
      <w:r>
        <w:rPr>
          <w:rStyle w:val="NormalTok"/>
        </w:rPr>
        <w:t xml:space="preserve"> </w:t>
      </w:r>
      <w:r>
        <w:rPr>
          <w:rStyle w:val="KeywordTok"/>
        </w:rPr>
        <w:t xml:space="preserve">in</w:t>
      </w:r>
      <w:r>
        <w:rPr>
          <w:rStyle w:val="NormalTok"/>
        </w:rPr>
        <w:t xml:space="preserve"> Get-ADTrust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$out</w:t>
      </w:r>
      <w:r>
        <w:rPr>
          <w:rStyle w:val="NormalTok"/>
        </w:rPr>
        <w:t xml:space="preserve"> </w:t>
      </w:r>
      <w:r>
        <w:rPr>
          <w:rStyle w:val="OperatorTok"/>
        </w:rPr>
        <w:t xml:space="preserve">=</w:t>
      </w:r>
      <w:r>
        <w:rPr>
          <w:rStyle w:val="NormalTok"/>
        </w:rPr>
        <w:t xml:space="preserve"> </w:t>
      </w:r>
      <w:r>
        <w:rPr>
          <w:rStyle w:val="OperatorTok"/>
        </w:rPr>
        <w:t xml:space="preserve">&amp;</w:t>
      </w:r>
      <w:r>
        <w:rPr>
          <w:rStyle w:val="NormalTok"/>
        </w:rPr>
        <w:t xml:space="preserve"> netdom</w:t>
      </w:r>
      <w:r>
        <w:rPr>
          <w:rStyle w:val="OperatorTok"/>
        </w:rPr>
        <w:t xml:space="preserve">.</w:t>
      </w:r>
      <w:r>
        <w:rPr>
          <w:rStyle w:val="FunctionTok"/>
        </w:rPr>
        <w:t xml:space="preserve">exe</w:t>
      </w:r>
      <w:r>
        <w:rPr>
          <w:rStyle w:val="NormalTok"/>
        </w:rPr>
        <w:t xml:space="preserve"> trust </w:t>
      </w:r>
      <w:r>
        <w:rPr>
          <w:rStyle w:val="VariableTok"/>
        </w:rPr>
        <w:t xml:space="preserve">$Domain</w:t>
      </w:r>
      <w:r>
        <w:rPr>
          <w:rStyle w:val="NormalTok"/>
        </w:rPr>
        <w:t xml:space="preserve"> </w:t>
      </w:r>
      <w:r>
        <w:rPr>
          <w:rStyle w:val="StringTok"/>
        </w:rPr>
        <w:t xml:space="preserve">"/domain:</w:t>
      </w:r>
      <w:r>
        <w:rPr>
          <w:rStyle w:val="OperatorTok"/>
        </w:rPr>
        <w:t xml:space="preserve">$(</w:t>
      </w:r>
      <w:r>
        <w:rPr>
          <w:rStyle w:val="VariableTok"/>
        </w:rPr>
        <w:t xml:space="preserve">$t</w:t>
      </w:r>
      <w:r>
        <w:rPr>
          <w:rStyle w:val="OperatorTok"/>
        </w:rPr>
        <w:t xml:space="preserve">.</w:t>
      </w:r>
      <w:r>
        <w:rPr>
          <w:rStyle w:val="FunctionTok"/>
        </w:rPr>
        <w:t xml:space="preserve">Name</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verify </w:t>
      </w:r>
      <w:r>
        <w:rPr>
          <w:rStyle w:val="DecValTok"/>
        </w:rPr>
        <w:t xml:space="preserve">2</w:t>
      </w:r>
      <w:r>
        <w:rPr>
          <w:rStyle w:val="OperatorTok"/>
        </w:rPr>
        <w:t xml:space="preserve">&gt;&amp;</w:t>
      </w:r>
      <w:r>
        <w:rPr>
          <w:rStyle w:val="DecValTok"/>
        </w:rPr>
        <w:t xml:space="preserve">1</w:t>
      </w:r>
      <w:r>
        <w:rPr>
          <w:rStyle w:val="NormalTok"/>
        </w:rPr>
        <w:t xml:space="preserve"> </w:t>
      </w:r>
      <w:r>
        <w:rPr>
          <w:rStyle w:val="OperatorTok"/>
        </w:rPr>
        <w:t xml:space="preserve">|</w:t>
      </w:r>
      <w:r>
        <w:rPr>
          <w:rStyle w:val="NormalTok"/>
        </w:rPr>
        <w:t xml:space="preserve"> </w:t>
      </w:r>
      <w:r>
        <w:rPr>
          <w:rStyle w:val="FunctionTok"/>
        </w:rPr>
        <w:t xml:space="preserve">Out-String</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TrustPartner </w:t>
      </w:r>
      <w:r>
        <w:rPr>
          <w:rStyle w:val="OperatorTok"/>
        </w:rPr>
        <w:t xml:space="preserve">=</w:t>
      </w:r>
      <w:r>
        <w:rPr>
          <w:rStyle w:val="NormalTok"/>
        </w:rPr>
        <w:t xml:space="preserve"> </w:t>
      </w:r>
      <w:r>
        <w:rPr>
          <w:rStyle w:val="VariableTok"/>
        </w:rPr>
        <w:t xml:space="preserve">$t</w:t>
      </w:r>
      <w:r>
        <w:rPr>
          <w:rStyle w:val="OperatorTok"/>
        </w:rPr>
        <w:t xml:space="preserve">.</w:t>
      </w:r>
      <w:r>
        <w:rPr>
          <w:rStyle w:val="FunctionTok"/>
        </w:rPr>
        <w:t xml:space="preserve">Name</w:t>
      </w:r>
      <w:r>
        <w:br/>
      </w:r>
      <w:r>
        <w:rPr>
          <w:rStyle w:val="NormalTok"/>
        </w:rPr>
        <w:t xml:space="preserve">            Direction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$t</w:t>
      </w:r>
      <w:r>
        <w:rPr>
          <w:rStyle w:val="OperatorTok"/>
        </w:rPr>
        <w:t xml:space="preserve">.</w:t>
      </w:r>
      <w:r>
        <w:rPr>
          <w:rStyle w:val="FunctionTok"/>
        </w:rPr>
        <w:t xml:space="preserve">Direction</w:t>
      </w:r>
      <w:r>
        <w:rPr>
          <w:rStyle w:val="OperatorTok"/>
        </w:rPr>
        <w:t xml:space="preserve">)</w:t>
      </w:r>
      <w:r>
        <w:rPr>
          <w:rStyle w:val="StringTok"/>
        </w:rPr>
        <w:t xml:space="preserve">"</w:t>
      </w:r>
      <w:r>
        <w:br/>
      </w:r>
      <w:r>
        <w:rPr>
          <w:rStyle w:val="NormalTok"/>
        </w:rPr>
        <w:t xml:space="preserve">            Status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$LASTEXITCODE</w:t>
      </w:r>
      <w:r>
        <w:rPr>
          <w:rStyle w:val="NormalTok"/>
        </w:rPr>
        <w:t xml:space="preserve"> </w:t>
      </w:r>
      <w:r>
        <w:rPr>
          <w:rStyle w:val="OperatorTok"/>
        </w:rPr>
        <w:t xml:space="preserve">-eq</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'Verified'</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'Failed'</w:t>
      </w:r>
      <w:r>
        <w:rPr>
          <w:rStyle w:val="NormalTok"/>
        </w:rPr>
        <w:t xml:space="preserve"> </w:t>
      </w:r>
      <w:r>
        <w:rPr>
          <w:rStyle w:val="OperatorTok"/>
        </w:rPr>
        <w:t xml:space="preserve">}</w:t>
      </w:r>
      <w:r>
        <w:br/>
      </w:r>
      <w:r>
        <w:rPr>
          <w:rStyle w:val="NormalTok"/>
        </w:rPr>
        <w:t xml:space="preserve">            Output       </w:t>
      </w:r>
      <w:r>
        <w:rPr>
          <w:rStyle w:val="OperatorTok"/>
        </w:rPr>
        <w:t xml:space="preserve">=</w:t>
      </w:r>
      <w:r>
        <w:rPr>
          <w:rStyle w:val="NormalTok"/>
        </w:rPr>
        <w:t xml:space="preserve"> </w:t>
      </w:r>
      <w:r>
        <w:rPr>
          <w:rStyle w:val="VariableTok"/>
        </w:rPr>
        <w:t xml:space="preserve">$out</w:t>
      </w:r>
      <w:r>
        <w:rPr>
          <w:rStyle w:val="OperatorTok"/>
        </w:rPr>
        <w:t xml:space="preserve">.</w:t>
      </w:r>
      <w:r>
        <w:rPr>
          <w:rStyle w:val="FunctionTok"/>
        </w:rPr>
        <w:t xml:space="preserve">Trim</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t xml:space="preserve">The bit values are from the Active Directory technical specification.</w:t>
      </w:r>
      <w:r>
        <w:rPr>
          <w:rStyle w:val="FootnoteReference"/>
        </w:rPr>
        <w:footnoteReference w:id="1281"/>
      </w:r>
      <w:r>
        <w:t xml:space="preserve"> </w:t>
      </w:r>
      <w:r>
        <w:rPr>
          <w:rStyle w:val="VerbatimChar"/>
        </w:rPr>
        <w:t xml:space="preserve">netdom trust &lt;trusting&gt; /domain:&lt;trusted&gt; /verify</w:t>
      </w:r>
      <w:r>
        <w:t xml:space="preserve"> </w:t>
      </w:r>
      <w:r>
        <w:t xml:space="preserve">verifies the secure channel secrets for one trust; Microsoft notes that accurate verification needs domain administrator credentials.</w:t>
      </w:r>
      <w:r>
        <w:rPr>
          <w:rStyle w:val="FootnoteReference"/>
        </w:rPr>
        <w:footnoteReference w:id="1282"/>
      </w:r>
    </w:p>
    <w:bookmarkEnd w:id="1283"/>
    <w:bookmarkStart w:id="1284" w:name="orchestrator-and-manifest"/>
    <w:p>
      <w:pPr>
        <w:pStyle w:val="Heading3"/>
      </w:pPr>
      <w:r>
        <w:t xml:space="preserve">Orchestrator and manifest</w:t>
      </w:r>
    </w:p>
    <w:p>
      <w:pPr>
        <w:pStyle w:val="SourceCode"/>
      </w:pPr>
      <w:r>
        <w:rPr>
          <w:rStyle w:val="KeywordTok"/>
        </w:rPr>
        <w:t xml:space="preserve">function</w:t>
      </w:r>
      <w:r>
        <w:rPr>
          <w:rStyle w:val="NormalTok"/>
        </w:rPr>
        <w:t xml:space="preserve"> Invoke-FMPADAssessment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Runs every collector and writes AssessmentManifest.json with a SHA-256 hash per file.</w:t>
      </w:r>
      <w:r>
        <w:br/>
      </w:r>
      <w:r>
        <w:rPr>
          <w:rStyle w:val="CommentTok"/>
        </w:rPr>
        <w:t xml:space="preserve">    .EXAMPLE</w:t>
      </w:r>
      <w:r>
        <w:br/>
      </w:r>
      <w:r>
        <w:rPr>
          <w:rStyle w:val="CommentTok"/>
        </w:rPr>
        <w:t xml:space="preserve">        Invoke-FMPADAssessment -Domain 'contoso.com' -OutputPath 'D:\FMP\Assessment' -StaleThresholdDays 90</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DNSRoot</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'D:\FMP\Assessment'</w:t>
      </w:r>
      <w:r>
        <w:rPr>
          <w:rStyle w:val="OperatorTok"/>
        </w:rPr>
        <w:t xml:space="preserve">,</w:t>
      </w:r>
      <w:r>
        <w:br/>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$StaleThresholdDays</w:t>
      </w:r>
      <w:r>
        <w:rPr>
          <w:rStyle w:val="NormalTok"/>
        </w:rPr>
        <w:t xml:space="preserve"> </w:t>
      </w:r>
      <w:r>
        <w:rPr>
          <w:rStyle w:val="OperatorTok"/>
        </w:rPr>
        <w:t xml:space="preserve">=</w:t>
      </w:r>
      <w:r>
        <w:rPr>
          <w:rStyle w:val="NormalTok"/>
        </w:rPr>
        <w:t xml:space="preserve"> </w:t>
      </w:r>
      <w:r>
        <w:rPr>
          <w:rStyle w:val="DecValTok"/>
        </w:rPr>
        <w:t xml:space="preserve">90</w:t>
      </w:r>
      <w:r>
        <w:rPr>
          <w:rStyle w:val="OperatorTok"/>
        </w:rPr>
        <w:t xml:space="preserve">,</w:t>
      </w:r>
      <w:r>
        <w:br/>
      </w:r>
      <w:r>
        <w:rPr>
          <w:rStyle w:val="NormalTok"/>
        </w:rPr>
        <w:t xml:space="preserve">        </w:t>
      </w:r>
      <w:r>
        <w:rPr>
          <w:rStyle w:val="OperatorTok"/>
        </w:rPr>
        <w:t xml:space="preserve">[</w:t>
      </w:r>
      <w:r>
        <w:rPr>
          <w:rStyle w:val="DataTypeTok"/>
        </w:rPr>
        <w:t xml:space="preserve">switch</w:t>
      </w:r>
      <w:r>
        <w:rPr>
          <w:rStyle w:val="OperatorTok"/>
        </w:rPr>
        <w:t xml:space="preserve">]</w:t>
      </w:r>
      <w:r>
        <w:rPr>
          <w:rStyle w:val="VariableTok"/>
        </w:rPr>
        <w:t xml:space="preserve">$SkipGpoBackup</w:t>
      </w:r>
      <w:r>
        <w:br/>
      </w:r>
      <w:r>
        <w:rPr>
          <w:rStyle w:val="NormalTok"/>
        </w:rPr>
        <w:t xml:space="preserve">    </w:t>
      </w:r>
      <w:r>
        <w:rPr>
          <w:rStyle w:val="OperatorTok"/>
        </w:rPr>
        <w:t xml:space="preserve">)</w:t>
      </w:r>
      <w:r>
        <w:br/>
      </w:r>
      <w:r>
        <w:rPr>
          <w:rStyle w:val="NormalTok"/>
        </w:rPr>
        <w:t xml:space="preserve">    </w:t>
      </w:r>
      <w:r>
        <w:rPr>
          <w:rStyle w:val="VariableTok"/>
        </w:rPr>
        <w:t xml:space="preserve">$start</w:t>
      </w:r>
      <w:r>
        <w:rPr>
          <w:rStyle w:val="NormalTok"/>
        </w:rPr>
        <w:t xml:space="preserve"> </w:t>
      </w:r>
      <w:r>
        <w:rPr>
          <w:rStyle w:val="OperatorTok"/>
        </w:rPr>
        <w:t xml:space="preserve">=</w:t>
      </w:r>
      <w:r>
        <w:rPr>
          <w:rStyle w:val="NormalTok"/>
        </w:rPr>
        <w:t xml:space="preserve"> </w:t>
      </w:r>
      <w:r>
        <w:rPr>
          <w:rStyle w:val="FunctionTok"/>
        </w:rPr>
        <w:t xml:space="preserve">Get-Date</w:t>
      </w:r>
      <w:r>
        <w:br/>
      </w:r>
      <w:r>
        <w:rPr>
          <w:rStyle w:val="NormalTok"/>
        </w:rPr>
        <w:t xml:space="preserve">    </w:t>
      </w:r>
      <w:r>
        <w:rPr>
          <w:rStyle w:val="FunctionTok"/>
        </w:rPr>
        <w:t xml:space="preserve">Write-Host</w:t>
      </w:r>
      <w:r>
        <w:rPr>
          <w:rStyle w:val="NormalTok"/>
        </w:rPr>
        <w:t xml:space="preserve"> </w:t>
      </w:r>
      <w:r>
        <w:rPr>
          <w:rStyle w:val="StringTok"/>
        </w:rPr>
        <w:t xml:space="preserve">"FMP Active Directory assessment: </w:t>
      </w:r>
      <w:r>
        <w:rPr>
          <w:rStyle w:val="VariableTok"/>
        </w:rPr>
        <w:t xml:space="preserve">$Domain</w:t>
      </w:r>
      <w:r>
        <w:rPr>
          <w:rStyle w:val="StringTok"/>
        </w:rPr>
        <w:t xml:space="preserve">, started </w:t>
      </w:r>
      <w:r>
        <w:rPr>
          <w:rStyle w:val="OperatorTok"/>
        </w:rPr>
        <w:t xml:space="preserve">$(</w:t>
      </w:r>
      <w:r>
        <w:rPr>
          <w:rStyle w:val="VariableTok"/>
        </w:rPr>
        <w:t xml:space="preserve">$start</w:t>
      </w:r>
      <w:r>
        <w:rPr>
          <w:rStyle w:val="OperatorTok"/>
        </w:rPr>
        <w:t xml:space="preserve">.</w:t>
      </w:r>
      <w:r>
        <w:rPr>
          <w:rStyle w:val="FunctionTok"/>
        </w:rPr>
        <w:t xml:space="preserve">ToString</w:t>
      </w:r>
      <w:r>
        <w:rPr>
          <w:rStyle w:val="OperatorTok"/>
        </w:rPr>
        <w:t xml:space="preserve">(</w:t>
      </w:r>
      <w:r>
        <w:rPr>
          <w:rStyle w:val="StringTok"/>
        </w:rPr>
        <w:t xml:space="preserve">'o'</w:t>
      </w:r>
      <w:r>
        <w:rPr>
          <w:rStyle w:val="OperatorTok"/>
        </w:rPr>
        <w:t xml:space="preserve">)</w:t>
      </w:r>
      <w:r>
        <w:rPr>
          <w:rStyle w:val="StringTok"/>
        </w:rPr>
        <w:t xml:space="preserve">)"</w:t>
      </w:r>
      <w:r>
        <w:br/>
      </w:r>
      <w:r>
        <w:br/>
      </w:r>
      <w:r>
        <w:rPr>
          <w:rStyle w:val="NormalTok"/>
        </w:rPr>
        <w:t xml:space="preserve">    </w:t>
      </w:r>
      <w:r>
        <w:rPr>
          <w:rStyle w:val="VariableTok"/>
        </w:rPr>
        <w:t xml:space="preserve">$steps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'Forest topology'</w:t>
      </w:r>
      <w:r>
        <w:rPr>
          <w:rStyle w:val="OperatorTok"/>
        </w:rPr>
        <w:t xml:space="preserve">;</w:t>
      </w:r>
      <w:r>
        <w:rPr>
          <w:rStyle w:val="NormalTok"/>
        </w:rPr>
        <w:t xml:space="preserve">      Run </w:t>
      </w:r>
      <w:r>
        <w:rPr>
          <w:rStyle w:val="OperatorTok"/>
        </w:rPr>
        <w:t xml:space="preserve">=</w:t>
      </w:r>
      <w:r>
        <w:rPr>
          <w:rStyle w:val="NormalTok"/>
        </w:rPr>
        <w:t xml:space="preserve"> </w:t>
      </w:r>
      <w:r>
        <w:rPr>
          <w:rStyle w:val="OperatorTok"/>
        </w:rPr>
        <w:t xml:space="preserve">{</w:t>
      </w:r>
      <w:r>
        <w:rPr>
          <w:rStyle w:val="NormalTok"/>
        </w:rPr>
        <w:t xml:space="preserve"> Get-FMPForestTopology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FunctionTok"/>
        </w:rPr>
        <w:t xml:space="preserve">Out-Null</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'OU hierarchy'</w:t>
      </w:r>
      <w:r>
        <w:rPr>
          <w:rStyle w:val="OperatorTok"/>
        </w:rPr>
        <w:t xml:space="preserve">;</w:t>
      </w:r>
      <w:r>
        <w:rPr>
          <w:rStyle w:val="NormalTok"/>
        </w:rPr>
        <w:t xml:space="preserve">         Run </w:t>
      </w:r>
      <w:r>
        <w:rPr>
          <w:rStyle w:val="OperatorTok"/>
        </w:rPr>
        <w:t xml:space="preserve">=</w:t>
      </w:r>
      <w:r>
        <w:rPr>
          <w:rStyle w:val="NormalTok"/>
        </w:rPr>
        <w:t xml:space="preserve"> </w:t>
      </w:r>
      <w:r>
        <w:rPr>
          <w:rStyle w:val="OperatorTok"/>
        </w:rPr>
        <w:t xml:space="preserve">{</w:t>
      </w:r>
      <w:r>
        <w:rPr>
          <w:rStyle w:val="NormalTok"/>
        </w:rPr>
        <w:t xml:space="preserve"> Get-FMPOUHierarchy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'Group Policy'</w:t>
      </w:r>
      <w:r>
        <w:rPr>
          <w:rStyle w:val="OperatorTok"/>
        </w:rPr>
        <w:t xml:space="preserve">;</w:t>
      </w:r>
      <w:r>
        <w:rPr>
          <w:rStyle w:val="NormalTok"/>
        </w:rPr>
        <w:t xml:space="preserve">         Run </w:t>
      </w:r>
      <w:r>
        <w:rPr>
          <w:rStyle w:val="OperatorTok"/>
        </w:rPr>
        <w:t xml:space="preserve">=</w:t>
      </w:r>
      <w:r>
        <w:rPr>
          <w:rStyle w:val="NormalTok"/>
        </w:rPr>
        <w:t xml:space="preserve"> </w:t>
      </w:r>
      <w:r>
        <w:rPr>
          <w:rStyle w:val="OperatorTok"/>
        </w:rPr>
        <w:t xml:space="preserve">{</w:t>
      </w:r>
      <w:r>
        <w:rPr>
          <w:rStyle w:val="NormalTok"/>
        </w:rPr>
        <w:t xml:space="preserve"> Get-FMPGPOInventory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SkipBackup</w:t>
      </w:r>
      <w:r>
        <w:rPr>
          <w:rStyle w:val="OperatorTok"/>
        </w:rPr>
        <w:t xml:space="preserve">:</w:t>
      </w:r>
      <w:r>
        <w:rPr>
          <w:rStyle w:val="VariableTok"/>
        </w:rPr>
        <w:t xml:space="preserve">$SkipGpoBackup</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'DNS'</w:t>
      </w:r>
      <w:r>
        <w:rPr>
          <w:rStyle w:val="OperatorTok"/>
        </w:rPr>
        <w:t xml:space="preserve">;</w:t>
      </w:r>
      <w:r>
        <w:rPr>
          <w:rStyle w:val="NormalTok"/>
        </w:rPr>
        <w:t xml:space="preserve">                  Run </w:t>
      </w:r>
      <w:r>
        <w:rPr>
          <w:rStyle w:val="OperatorTok"/>
        </w:rPr>
        <w:t xml:space="preserve">=</w:t>
      </w:r>
      <w:r>
        <w:rPr>
          <w:rStyle w:val="NormalTok"/>
        </w:rPr>
        <w:t xml:space="preserve"> </w:t>
      </w:r>
      <w:r>
        <w:rPr>
          <w:rStyle w:val="OperatorTok"/>
        </w:rPr>
        <w:t xml:space="preserve">{</w:t>
      </w:r>
      <w:r>
        <w:rPr>
          <w:rStyle w:val="NormalTok"/>
        </w:rPr>
        <w:t xml:space="preserve"> Get-FMPDNSAssessment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StaleThresholdDays </w:t>
      </w:r>
      <w:r>
        <w:rPr>
          <w:rStyle w:val="VariableTok"/>
        </w:rPr>
        <w:t xml:space="preserve">$StaleThresholdDays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'Certificate Services'</w:t>
      </w:r>
      <w:r>
        <w:rPr>
          <w:rStyle w:val="OperatorTok"/>
        </w:rPr>
        <w:t xml:space="preserve">;</w:t>
      </w:r>
      <w:r>
        <w:rPr>
          <w:rStyle w:val="NormalTok"/>
        </w:rPr>
        <w:t xml:space="preserve"> Run </w:t>
      </w:r>
      <w:r>
        <w:rPr>
          <w:rStyle w:val="OperatorTok"/>
        </w:rPr>
        <w:t xml:space="preserve">=</w:t>
      </w:r>
      <w:r>
        <w:rPr>
          <w:rStyle w:val="NormalTok"/>
        </w:rPr>
        <w:t xml:space="preserve"> </w:t>
      </w:r>
      <w:r>
        <w:rPr>
          <w:rStyle w:val="OperatorTok"/>
        </w:rPr>
        <w:t xml:space="preserve">{</w:t>
      </w:r>
      <w:r>
        <w:rPr>
          <w:rStyle w:val="NormalTok"/>
        </w:rPr>
        <w:t xml:space="preserve"> Get-FMPPKIAssessment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'Computers'</w:t>
      </w:r>
      <w:r>
        <w:rPr>
          <w:rStyle w:val="OperatorTok"/>
        </w:rPr>
        <w:t xml:space="preserve">;</w:t>
      </w:r>
      <w:r>
        <w:rPr>
          <w:rStyle w:val="NormalTok"/>
        </w:rPr>
        <w:t xml:space="preserve">            Run </w:t>
      </w:r>
      <w:r>
        <w:rPr>
          <w:rStyle w:val="OperatorTok"/>
        </w:rPr>
        <w:t xml:space="preserve">=</w:t>
      </w:r>
      <w:r>
        <w:rPr>
          <w:rStyle w:val="NormalTok"/>
        </w:rPr>
        <w:t xml:space="preserve"> </w:t>
      </w:r>
      <w:r>
        <w:rPr>
          <w:rStyle w:val="OperatorTok"/>
        </w:rPr>
        <w:t xml:space="preserve">{</w:t>
      </w:r>
      <w:r>
        <w:rPr>
          <w:rStyle w:val="NormalTok"/>
        </w:rPr>
        <w:t xml:space="preserve"> Get-FMPComputerInventory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StaleThresholdDays </w:t>
      </w:r>
      <w:r>
        <w:rPr>
          <w:rStyle w:val="VariableTok"/>
        </w:rPr>
        <w:t xml:space="preserve">$StaleThresholdDays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'Users and groups'</w:t>
      </w:r>
      <w:r>
        <w:rPr>
          <w:rStyle w:val="OperatorTok"/>
        </w:rPr>
        <w:t xml:space="preserve">;</w:t>
      </w:r>
      <w:r>
        <w:rPr>
          <w:rStyle w:val="NormalTok"/>
        </w:rPr>
        <w:t xml:space="preserve">     Run </w:t>
      </w:r>
      <w:r>
        <w:rPr>
          <w:rStyle w:val="OperatorTok"/>
        </w:rPr>
        <w:t xml:space="preserve">=</w:t>
      </w:r>
      <w:r>
        <w:rPr>
          <w:rStyle w:val="NormalTok"/>
        </w:rPr>
        <w:t xml:space="preserve"> </w:t>
      </w:r>
      <w:r>
        <w:rPr>
          <w:rStyle w:val="OperatorTok"/>
        </w:rPr>
        <w:t xml:space="preserve">{</w:t>
      </w:r>
      <w:r>
        <w:rPr>
          <w:rStyle w:val="NormalTok"/>
        </w:rPr>
        <w:t xml:space="preserve"> Get-FMPUserInventory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StaleThresholdDays </w:t>
      </w:r>
      <w:r>
        <w:rPr>
          <w:rStyle w:val="VariableTok"/>
        </w:rPr>
        <w:t xml:space="preserve">$StaleThresholdDays</w:t>
      </w:r>
      <w:r>
        <w:br/>
      </w:r>
      <w:r>
        <w:rPr>
          <w:rStyle w:val="NormalTok"/>
        </w:rPr>
        <w:t xml:space="preserve">                                                  Get-FMPGroupInventory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'Trusts'</w:t>
      </w:r>
      <w:r>
        <w:rPr>
          <w:rStyle w:val="OperatorTok"/>
        </w:rPr>
        <w:t xml:space="preserve">;</w:t>
      </w:r>
      <w:r>
        <w:rPr>
          <w:rStyle w:val="NormalTok"/>
        </w:rPr>
        <w:t xml:space="preserve">               Run </w:t>
      </w:r>
      <w:r>
        <w:rPr>
          <w:rStyle w:val="OperatorTok"/>
        </w:rPr>
        <w:t xml:space="preserve">=</w:t>
      </w:r>
      <w:r>
        <w:rPr>
          <w:rStyle w:val="NormalTok"/>
        </w:rPr>
        <w:t xml:space="preserve"> </w:t>
      </w:r>
      <w:r>
        <w:rPr>
          <w:rStyle w:val="OperatorTok"/>
        </w:rPr>
        <w:t xml:space="preserve">{</w:t>
      </w:r>
      <w:r>
        <w:rPr>
          <w:rStyle w:val="NormalTok"/>
        </w:rPr>
        <w:t xml:space="preserve"> Get-FMPTrustMap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FunctionTok"/>
        </w:rPr>
        <w:t xml:space="preserve">Out-Null</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$stepResults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$i</w:t>
      </w:r>
      <w:r>
        <w:rPr>
          <w:rStyle w:val="NormalTok"/>
        </w:rPr>
        <w:t xml:space="preserve"> </w:t>
      </w:r>
      <w:r>
        <w:rPr>
          <w:rStyle w:val="OperatorTok"/>
        </w:rPr>
        <w:t xml:space="preserve">=</w:t>
      </w:r>
      <w:r>
        <w:rPr>
          <w:rStyle w:val="NormalTok"/>
        </w:rPr>
        <w:t xml:space="preserve"> </w:t>
      </w:r>
      <w:r>
        <w:rPr>
          <w:rStyle w:val="DecValTok"/>
        </w:rPr>
        <w:t xml:space="preserve">0</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$s</w:t>
      </w:r>
      <w:r>
        <w:rPr>
          <w:rStyle w:val="NormalTok"/>
        </w:rPr>
        <w:t xml:space="preserve"> </w:t>
      </w:r>
      <w:r>
        <w:rPr>
          <w:rStyle w:val="KeywordTok"/>
        </w:rPr>
        <w:t xml:space="preserve">in</w:t>
      </w:r>
      <w:r>
        <w:rPr>
          <w:rStyle w:val="NormalTok"/>
        </w:rPr>
        <w:t xml:space="preserve"> </w:t>
      </w:r>
      <w:r>
        <w:rPr>
          <w:rStyle w:val="VariableTok"/>
        </w:rPr>
        <w:t xml:space="preserve">$steps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$i</w:t>
      </w:r>
      <w:r>
        <w:rPr>
          <w:rStyle w:val="OperatorTok"/>
        </w:rPr>
        <w:t xml:space="preserve">++</w:t>
      </w:r>
      <w:r>
        <w:br/>
      </w:r>
      <w:r>
        <w:rPr>
          <w:rStyle w:val="NormalTok"/>
        </w:rPr>
        <w:t xml:space="preserve">        </w:t>
      </w:r>
      <w:r>
        <w:rPr>
          <w:rStyle w:val="FunctionTok"/>
        </w:rPr>
        <w:t xml:space="preserve">Write-Host</w:t>
      </w:r>
      <w:r>
        <w:rPr>
          <w:rStyle w:val="NormalTok"/>
        </w:rPr>
        <w:t xml:space="preserve"> </w:t>
      </w:r>
      <w:r>
        <w:rPr>
          <w:rStyle w:val="OperatorTok"/>
        </w:rPr>
        <w:t xml:space="preserve">(</w:t>
      </w:r>
      <w:r>
        <w:rPr>
          <w:rStyle w:val="StringTok"/>
        </w:rPr>
        <w:t xml:space="preserve">"[{0}/{1}] {2}"</w:t>
      </w:r>
      <w:r>
        <w:rPr>
          <w:rStyle w:val="NormalTok"/>
        </w:rPr>
        <w:t xml:space="preserve"> </w:t>
      </w:r>
      <w:r>
        <w:rPr>
          <w:rStyle w:val="OperatorTok"/>
        </w:rPr>
        <w:t xml:space="preserve">-</w:t>
      </w:r>
      <w:r>
        <w:rPr>
          <w:rStyle w:val="NormalTok"/>
        </w:rPr>
        <w:t xml:space="preserve">f </w:t>
      </w:r>
      <w:r>
        <w:rPr>
          <w:rStyle w:val="VariableTok"/>
        </w:rPr>
        <w:t xml:space="preserve">$i</w:t>
      </w:r>
      <w:r>
        <w:rPr>
          <w:rStyle w:val="OperatorTok"/>
        </w:rPr>
        <w:t xml:space="preserve">,</w:t>
      </w:r>
      <w:r>
        <w:rPr>
          <w:rStyle w:val="NormalTok"/>
        </w:rPr>
        <w:t xml:space="preserve"> </w:t>
      </w:r>
      <w:r>
        <w:rPr>
          <w:rStyle w:val="VariableTok"/>
        </w:rPr>
        <w:t xml:space="preserve">$steps</w:t>
      </w:r>
      <w:r>
        <w:rPr>
          <w:rStyle w:val="OperatorTok"/>
        </w:rPr>
        <w:t xml:space="preserve">.</w:t>
      </w:r>
      <w:r>
        <w:rPr>
          <w:rStyle w:val="FunctionTok"/>
        </w:rPr>
        <w:t xml:space="preserve">Count</w:t>
      </w:r>
      <w:r>
        <w:rPr>
          <w:rStyle w:val="OperatorTok"/>
        </w:rPr>
        <w:t xml:space="preserve">,</w:t>
      </w:r>
      <w:r>
        <w:rPr>
          <w:rStyle w:val="NormalTok"/>
        </w:rPr>
        <w:t xml:space="preserve"> </w:t>
      </w:r>
      <w:r>
        <w:rPr>
          <w:rStyle w:val="VariableTok"/>
        </w:rPr>
        <w:t xml:space="preserve">$s</w:t>
      </w:r>
      <w:r>
        <w:rPr>
          <w:rStyle w:val="OperatorTok"/>
        </w:rPr>
        <w:t xml:space="preserve">.</w:t>
      </w:r>
      <w:r>
        <w:rPr>
          <w:rStyle w:val="FunctionTok"/>
        </w:rPr>
        <w:t xml:space="preserve">Name</w:t>
      </w:r>
      <w:r>
        <w:rPr>
          <w:rStyle w:val="OperatorTok"/>
        </w:rPr>
        <w:t xml:space="preserve">)</w:t>
      </w:r>
      <w:r>
        <w:br/>
      </w:r>
      <w:r>
        <w:rPr>
          <w:rStyle w:val="NormalTok"/>
        </w:rPr>
        <w:t xml:space="preserve">        </w:t>
      </w:r>
      <w:r>
        <w:rPr>
          <w:rStyle w:val="ControlFlowTok"/>
        </w:rPr>
        <w:t xml:space="preserve">try</w:t>
      </w:r>
      <w:r>
        <w:rPr>
          <w:rStyle w:val="NormalTok"/>
        </w:rPr>
        <w:t xml:space="preserve"> </w:t>
      </w:r>
      <w:r>
        <w:rPr>
          <w:rStyle w:val="OperatorTok"/>
        </w:rPr>
        <w:t xml:space="preserve">{</w:t>
      </w:r>
      <w:r>
        <w:br/>
      </w:r>
      <w:r>
        <w:rPr>
          <w:rStyle w:val="NormalTok"/>
        </w:rPr>
        <w:t xml:space="preserve">            </w:t>
      </w:r>
      <w:r>
        <w:rPr>
          <w:rStyle w:val="OperatorTok"/>
        </w:rPr>
        <w:t xml:space="preserve">&amp;</w:t>
      </w:r>
      <w:r>
        <w:rPr>
          <w:rStyle w:val="NormalTok"/>
        </w:rPr>
        <w:t xml:space="preserve"> </w:t>
      </w:r>
      <w:r>
        <w:rPr>
          <w:rStyle w:val="VariableTok"/>
        </w:rPr>
        <w:t xml:space="preserve">$s</w:t>
      </w:r>
      <w:r>
        <w:rPr>
          <w:rStyle w:val="OperatorTok"/>
        </w:rPr>
        <w:t xml:space="preserve">.</w:t>
      </w:r>
      <w:r>
        <w:rPr>
          <w:rStyle w:val="FunctionTok"/>
        </w:rPr>
        <w:t xml:space="preserve">Run</w:t>
      </w:r>
      <w:r>
        <w:br/>
      </w:r>
      <w:r>
        <w:rPr>
          <w:rStyle w:val="NormalTok"/>
        </w:rPr>
        <w:t xml:space="preserve">            </w:t>
      </w:r>
      <w:r>
        <w:rPr>
          <w:rStyle w:val="VariableTok"/>
        </w:rPr>
        <w:t xml:space="preserve">$stepResults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Step </w:t>
      </w:r>
      <w:r>
        <w:rPr>
          <w:rStyle w:val="OperatorTok"/>
        </w:rPr>
        <w:t xml:space="preserve">=</w:t>
      </w:r>
      <w:r>
        <w:rPr>
          <w:rStyle w:val="NormalTok"/>
        </w:rPr>
        <w:t xml:space="preserve"> </w:t>
      </w:r>
      <w:r>
        <w:rPr>
          <w:rStyle w:val="VariableTok"/>
        </w:rPr>
        <w:t xml:space="preserve">$s</w:t>
      </w:r>
      <w:r>
        <w:rPr>
          <w:rStyle w:val="OperatorTok"/>
        </w:rPr>
        <w:t xml:space="preserve">.</w:t>
      </w:r>
      <w:r>
        <w:rPr>
          <w:rStyle w:val="FunctionTok"/>
        </w:rPr>
        <w:t xml:space="preserve">Name</w:t>
      </w:r>
      <w:r>
        <w:rPr>
          <w:rStyle w:val="OperatorTok"/>
        </w:rPr>
        <w:t xml:space="preserve">;</w:t>
      </w:r>
      <w:r>
        <w:rPr>
          <w:rStyle w:val="NormalTok"/>
        </w:rPr>
        <w:t xml:space="preserve"> Status </w:t>
      </w:r>
      <w:r>
        <w:rPr>
          <w:rStyle w:val="OperatorTok"/>
        </w:rPr>
        <w:t xml:space="preserve">=</w:t>
      </w:r>
      <w:r>
        <w:rPr>
          <w:rStyle w:val="NormalTok"/>
        </w:rPr>
        <w:t xml:space="preserve"> </w:t>
      </w:r>
      <w:r>
        <w:rPr>
          <w:rStyle w:val="StringTok"/>
        </w:rPr>
        <w:t xml:space="preserve">'Completed'</w:t>
      </w:r>
      <w:r>
        <w:rPr>
          <w:rStyle w:val="OperatorTok"/>
        </w:rPr>
        <w:t xml:space="preserve">;</w:t>
      </w:r>
      <w:r>
        <w:rPr>
          <w:rStyle w:val="NormalTok"/>
        </w:rPr>
        <w:t xml:space="preserve"> Error </w:t>
      </w:r>
      <w:r>
        <w:rPr>
          <w:rStyle w:val="OperatorTok"/>
        </w:rPr>
        <w:t xml:space="preserve">=</w:t>
      </w:r>
      <w:r>
        <w:rPr>
          <w:rStyle w:val="NormalTok"/>
        </w:rPr>
        <w:t xml:space="preserve"> </w:t>
      </w:r>
      <w:r>
        <w:rPr>
          <w:rStyle w:val="VariableTok"/>
        </w:rPr>
        <w:t xml:space="preserve">$null</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ControlFlowTok"/>
        </w:rPr>
        <w:t xml:space="preserve">catch</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w:t>
      </w:r>
      <w:r>
        <w:rPr>
          <w:rStyle w:val="OperatorTok"/>
        </w:rPr>
        <w:t xml:space="preserve">$(</w:t>
      </w:r>
      <w:r>
        <w:rPr>
          <w:rStyle w:val="VariableTok"/>
        </w:rPr>
        <w:t xml:space="preserve">$s</w:t>
      </w:r>
      <w:r>
        <w:rPr>
          <w:rStyle w:val="OperatorTok"/>
        </w:rPr>
        <w:t xml:space="preserve">.</w:t>
      </w:r>
      <w:r>
        <w:rPr>
          <w:rStyle w:val="FunctionTok"/>
        </w:rPr>
        <w:t xml:space="preserve">Name</w:t>
      </w:r>
      <w:r>
        <w:rPr>
          <w:rStyle w:val="OperatorTok"/>
        </w:rPr>
        <w:t xml:space="preserve">)</w:t>
      </w:r>
      <w:r>
        <w:rPr>
          <w:rStyle w:val="StringTok"/>
        </w:rPr>
        <w:t xml:space="preserve"> failed: </w:t>
      </w:r>
      <w:r>
        <w:rPr>
          <w:rStyle w:val="OperatorTok"/>
        </w:rPr>
        <w:t xml:space="preserve">$(</w:t>
      </w:r>
      <w:r>
        <w:rPr>
          <w:rStyle w:val="VariableTok"/>
        </w:rPr>
        <w:t xml:space="preserve">$_</w:t>
      </w:r>
      <w:r>
        <w:rPr>
          <w:rStyle w:val="OperatorTok"/>
        </w:rPr>
        <w:t xml:space="preserve">.</w:t>
      </w:r>
      <w:r>
        <w:rPr>
          <w:rStyle w:val="FunctionTok"/>
        </w:rPr>
        <w:t xml:space="preserve">Exception</w:t>
      </w:r>
      <w:r>
        <w:rPr>
          <w:rStyle w:val="OperatorTok"/>
        </w:rPr>
        <w:t xml:space="preserve">.</w:t>
      </w:r>
      <w:r>
        <w:rPr>
          <w:rStyle w:val="FunctionTok"/>
        </w:rPr>
        <w:t xml:space="preserve">Message</w:t>
      </w:r>
      <w:r>
        <w:rPr>
          <w:rStyle w:val="OperatorTok"/>
        </w:rPr>
        <w:t xml:space="preserve">)</w:t>
      </w:r>
      <w:r>
        <w:rPr>
          <w:rStyle w:val="StringTok"/>
        </w:rPr>
        <w:t xml:space="preserve">"</w:t>
      </w:r>
      <w:r>
        <w:br/>
      </w:r>
      <w:r>
        <w:rPr>
          <w:rStyle w:val="NormalTok"/>
        </w:rPr>
        <w:t xml:space="preserve">            </w:t>
      </w:r>
      <w:r>
        <w:rPr>
          <w:rStyle w:val="VariableTok"/>
        </w:rPr>
        <w:t xml:space="preserve">$stepResults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Step </w:t>
      </w:r>
      <w:r>
        <w:rPr>
          <w:rStyle w:val="OperatorTok"/>
        </w:rPr>
        <w:t xml:space="preserve">=</w:t>
      </w:r>
      <w:r>
        <w:rPr>
          <w:rStyle w:val="NormalTok"/>
        </w:rPr>
        <w:t xml:space="preserve"> </w:t>
      </w:r>
      <w:r>
        <w:rPr>
          <w:rStyle w:val="VariableTok"/>
        </w:rPr>
        <w:t xml:space="preserve">$s</w:t>
      </w:r>
      <w:r>
        <w:rPr>
          <w:rStyle w:val="OperatorTok"/>
        </w:rPr>
        <w:t xml:space="preserve">.</w:t>
      </w:r>
      <w:r>
        <w:rPr>
          <w:rStyle w:val="FunctionTok"/>
        </w:rPr>
        <w:t xml:space="preserve">Name</w:t>
      </w:r>
      <w:r>
        <w:rPr>
          <w:rStyle w:val="OperatorTok"/>
        </w:rPr>
        <w:t xml:space="preserve">;</w:t>
      </w:r>
      <w:r>
        <w:rPr>
          <w:rStyle w:val="NormalTok"/>
        </w:rPr>
        <w:t xml:space="preserve"> Status </w:t>
      </w:r>
      <w:r>
        <w:rPr>
          <w:rStyle w:val="OperatorTok"/>
        </w:rPr>
        <w:t xml:space="preserve">=</w:t>
      </w:r>
      <w:r>
        <w:rPr>
          <w:rStyle w:val="NormalTok"/>
        </w:rPr>
        <w:t xml:space="preserve"> </w:t>
      </w:r>
      <w:r>
        <w:rPr>
          <w:rStyle w:val="StringTok"/>
        </w:rPr>
        <w:t xml:space="preserve">'Failed'</w:t>
      </w:r>
      <w:r>
        <w:rPr>
          <w:rStyle w:val="OperatorTok"/>
        </w:rPr>
        <w:t xml:space="preserve">;</w:t>
      </w:r>
      <w:r>
        <w:rPr>
          <w:rStyle w:val="NormalTok"/>
        </w:rPr>
        <w:t xml:space="preserve"> Error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Exception</w:t>
      </w:r>
      <w:r>
        <w:rPr>
          <w:rStyle w:val="OperatorTok"/>
        </w:rPr>
        <w:t xml:space="preserve">.</w:t>
      </w:r>
      <w:r>
        <w:rPr>
          <w:rStyle w:val="FunctionTok"/>
        </w:rPr>
        <w:t xml:space="preserve">Message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$end</w:t>
      </w:r>
      <w:r>
        <w:rPr>
          <w:rStyle w:val="NormalTok"/>
        </w:rPr>
        <w:t xml:space="preserve">      </w:t>
      </w:r>
      <w:r>
        <w:rPr>
          <w:rStyle w:val="OperatorTok"/>
        </w:rPr>
        <w:t xml:space="preserve">=</w:t>
      </w:r>
      <w:r>
        <w:rPr>
          <w:rStyle w:val="NormalTok"/>
        </w:rPr>
        <w:t xml:space="preserve"> </w:t>
      </w:r>
      <w:r>
        <w:rPr>
          <w:rStyle w:val="FunctionTok"/>
        </w:rPr>
        <w:t xml:space="preserve">Get-Date</w:t>
      </w:r>
      <w:r>
        <w:br/>
      </w:r>
      <w:r>
        <w:rPr>
          <w:rStyle w:val="NormalTok"/>
        </w:rPr>
        <w:t xml:space="preserve">    </w:t>
      </w:r>
      <w:r>
        <w:rPr>
          <w:rStyle w:val="VariableTok"/>
        </w:rPr>
        <w:t xml:space="preserve">$basePath</w:t>
      </w:r>
      <w:r>
        <w:rPr>
          <w:rStyle w:val="NormalTok"/>
        </w:rPr>
        <w:t xml:space="preserve"> </w:t>
      </w:r>
      <w:r>
        <w:rPr>
          <w:rStyle w:val="OperatorTok"/>
        </w:rPr>
        <w:t xml:space="preserve">=</w:t>
      </w:r>
      <w:r>
        <w:rPr>
          <w:rStyle w:val="NormalTok"/>
        </w:rPr>
        <w:t xml:space="preserve"> </w:t>
      </w:r>
      <w:r>
        <w:rPr>
          <w:rStyle w:val="FunctionTok"/>
        </w:rPr>
        <w:t xml:space="preserve">Join-Path</w:t>
      </w:r>
      <w:r>
        <w:rPr>
          <w:rStyle w:val="NormalTok"/>
        </w:rPr>
        <w:t xml:space="preserve"> </w:t>
      </w:r>
      <w:r>
        <w:rPr>
          <w:rStyle w:val="VariableTok"/>
        </w:rPr>
        <w:t xml:space="preserve">$OutputPath</w:t>
      </w:r>
      <w:r>
        <w:rPr>
          <w:rStyle w:val="NormalTok"/>
        </w:rPr>
        <w:t xml:space="preserve"> </w:t>
      </w:r>
      <w:r>
        <w:rPr>
          <w:rStyle w:val="VariableTok"/>
        </w:rPr>
        <w:t xml:space="preserve">$Domain</w:t>
      </w:r>
      <w:r>
        <w:br/>
      </w:r>
      <w:r>
        <w:rPr>
          <w:rStyle w:val="NormalTok"/>
        </w:rPr>
        <w:t xml:space="preserve">    </w:t>
      </w:r>
      <w:r>
        <w:rPr>
          <w:rStyle w:val="VariableTok"/>
        </w:rPr>
        <w:t xml:space="preserve">$files</w:t>
      </w:r>
      <w:r>
        <w:rPr>
          <w:rStyle w:val="NormalTok"/>
        </w:rPr>
        <w:t xml:space="preserve"> </w:t>
      </w:r>
      <w:r>
        <w:rPr>
          <w:rStyle w:val="OperatorTok"/>
        </w:rPr>
        <w:t xml:space="preserve">=</w:t>
      </w:r>
      <w:r>
        <w:rPr>
          <w:rStyle w:val="NormalTok"/>
        </w:rPr>
        <w:t xml:space="preserve"> </w:t>
      </w:r>
      <w:r>
        <w:rPr>
          <w:rStyle w:val="FunctionTok"/>
        </w:rPr>
        <w:t xml:space="preserve">Get-ChildItem</w:t>
      </w:r>
      <w:r>
        <w:rPr>
          <w:rStyle w:val="NormalTok"/>
        </w:rPr>
        <w:t xml:space="preserve"> </w:t>
      </w:r>
      <w:r>
        <w:rPr>
          <w:rStyle w:val="OperatorTok"/>
        </w:rPr>
        <w:t xml:space="preserve">-</w:t>
      </w:r>
      <w:r>
        <w:rPr>
          <w:rStyle w:val="NormalTok"/>
        </w:rPr>
        <w:t xml:space="preserve">Path </w:t>
      </w:r>
      <w:r>
        <w:rPr>
          <w:rStyle w:val="VariableTok"/>
        </w:rPr>
        <w:t xml:space="preserve">$basePath</w:t>
      </w:r>
      <w:r>
        <w:rPr>
          <w:rStyle w:val="NormalTok"/>
        </w:rPr>
        <w:t xml:space="preserve"> </w:t>
      </w:r>
      <w:r>
        <w:rPr>
          <w:rStyle w:val="OperatorTok"/>
        </w:rPr>
        <w:t xml:space="preserve">-</w:t>
      </w:r>
      <w:r>
        <w:rPr>
          <w:rStyle w:val="NormalTok"/>
        </w:rPr>
        <w:t xml:space="preserve">Recurse </w:t>
      </w:r>
      <w:r>
        <w:rPr>
          <w:rStyle w:val="OperatorTok"/>
        </w:rPr>
        <w:t xml:space="preserve">-</w:t>
      </w:r>
      <w:r>
        <w:rPr>
          <w:rStyle w:val="NormalTok"/>
        </w:rPr>
        <w:t xml:space="preserve">File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-ne</w:t>
      </w:r>
      <w:r>
        <w:rPr>
          <w:rStyle w:val="NormalTok"/>
        </w:rPr>
        <w:t xml:space="preserve"> </w:t>
      </w:r>
      <w:r>
        <w:rPr>
          <w:rStyle w:val="StringTok"/>
        </w:rPr>
        <w:t xml:space="preserve">'AssessmentManifest.json'</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RelativePath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FullName</w:t>
      </w:r>
      <w:r>
        <w:rPr>
          <w:rStyle w:val="OperatorTok"/>
        </w:rPr>
        <w:t xml:space="preserve">.</w:t>
      </w:r>
      <w:r>
        <w:rPr>
          <w:rStyle w:val="FunctionTok"/>
        </w:rPr>
        <w:t xml:space="preserve">Substring</w:t>
      </w:r>
      <w:r>
        <w:rPr>
          <w:rStyle w:val="OperatorTok"/>
        </w:rPr>
        <w:t xml:space="preserve">(</w:t>
      </w:r>
      <w:r>
        <w:rPr>
          <w:rStyle w:val="VariableTok"/>
        </w:rPr>
        <w:t xml:space="preserve">$basePath</w:t>
      </w:r>
      <w:r>
        <w:rPr>
          <w:rStyle w:val="OperatorTok"/>
        </w:rPr>
        <w:t xml:space="preserve">.</w:t>
      </w:r>
      <w:r>
        <w:rPr>
          <w:rStyle w:val="FunctionTok"/>
        </w:rPr>
        <w:t xml:space="preserve">Length</w:t>
      </w:r>
      <w:r>
        <w:rPr>
          <w:rStyle w:val="OperatorTok"/>
        </w:rPr>
        <w:t xml:space="preserve">).</w:t>
      </w:r>
      <w:r>
        <w:rPr>
          <w:rStyle w:val="FunctionTok"/>
        </w:rPr>
        <w:t xml:space="preserve">TrimStart</w:t>
      </w:r>
      <w:r>
        <w:rPr>
          <w:rStyle w:val="OperatorTok"/>
        </w:rPr>
        <w:t xml:space="preserve">(</w:t>
      </w:r>
      <w:r>
        <w:rPr>
          <w:rStyle w:val="StringTok"/>
        </w:rPr>
        <w:t xml:space="preserve">'\'</w:t>
      </w:r>
      <w:r>
        <w:rPr>
          <w:rStyle w:val="OperatorTok"/>
        </w:rPr>
        <w:t xml:space="preserve">)</w:t>
      </w:r>
      <w:r>
        <w:br/>
      </w:r>
      <w:r>
        <w:rPr>
          <w:rStyle w:val="NormalTok"/>
        </w:rPr>
        <w:t xml:space="preserve">                SizeBytes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Length</w:t>
      </w:r>
      <w:r>
        <w:br/>
      </w:r>
      <w:r>
        <w:rPr>
          <w:rStyle w:val="NormalTok"/>
        </w:rPr>
        <w:t xml:space="preserve">                LastModified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LastWriteTime</w:t>
      </w:r>
      <w:r>
        <w:rPr>
          <w:rStyle w:val="OperatorTok"/>
        </w:rPr>
        <w:t xml:space="preserve">.</w:t>
      </w:r>
      <w:r>
        <w:rPr>
          <w:rStyle w:val="FunctionTok"/>
        </w:rPr>
        <w:t xml:space="preserve">ToString</w:t>
      </w:r>
      <w:r>
        <w:rPr>
          <w:rStyle w:val="OperatorTok"/>
        </w:rPr>
        <w:t xml:space="preserve">(</w:t>
      </w:r>
      <w:r>
        <w:rPr>
          <w:rStyle w:val="StringTok"/>
        </w:rPr>
        <w:t xml:space="preserve">'o'</w:t>
      </w:r>
      <w:r>
        <w:rPr>
          <w:rStyle w:val="OperatorTok"/>
        </w:rPr>
        <w:t xml:space="preserve">)</w:t>
      </w:r>
      <w:r>
        <w:br/>
      </w:r>
      <w:r>
        <w:rPr>
          <w:rStyle w:val="NormalTok"/>
        </w:rPr>
        <w:t xml:space="preserve">                SHA256       </w:t>
      </w:r>
      <w:r>
        <w:rPr>
          <w:rStyle w:val="OperatorTok"/>
        </w:rPr>
        <w:t xml:space="preserve">=</w:t>
      </w:r>
      <w:r>
        <w:rPr>
          <w:rStyle w:val="NormalTok"/>
        </w:rPr>
        <w:t xml:space="preserve"> </w:t>
      </w:r>
      <w:r>
        <w:rPr>
          <w:rStyle w:val="OperatorTok"/>
        </w:rPr>
        <w:t xml:space="preserve">(</w:t>
      </w:r>
      <w:r>
        <w:rPr>
          <w:rStyle w:val="NormalTok"/>
        </w:rPr>
        <w:t xml:space="preserve">Get-FileHash </w:t>
      </w:r>
      <w:r>
        <w:rPr>
          <w:rStyle w:val="OperatorTok"/>
        </w:rPr>
        <w:t xml:space="preserve">-</w:t>
      </w:r>
      <w:r>
        <w:rPr>
          <w:rStyle w:val="NormalTok"/>
        </w:rPr>
        <w:t xml:space="preserve">Path </w:t>
      </w:r>
      <w:r>
        <w:rPr>
          <w:rStyle w:val="VariableTok"/>
        </w:rPr>
        <w:t xml:space="preserve">$_</w:t>
      </w:r>
      <w:r>
        <w:rPr>
          <w:rStyle w:val="OperatorTok"/>
        </w:rPr>
        <w:t xml:space="preserve">.</w:t>
      </w:r>
      <w:r>
        <w:rPr>
          <w:rStyle w:val="FunctionTok"/>
        </w:rPr>
        <w:t xml:space="preserve">FullName</w:t>
      </w:r>
      <w:r>
        <w:rPr>
          <w:rStyle w:val="NormalTok"/>
        </w:rPr>
        <w:t xml:space="preserve"> </w:t>
      </w:r>
      <w:r>
        <w:rPr>
          <w:rStyle w:val="OperatorTok"/>
        </w:rPr>
        <w:t xml:space="preserve">-</w:t>
      </w:r>
      <w:r>
        <w:rPr>
          <w:rStyle w:val="NormalTok"/>
        </w:rPr>
        <w:t xml:space="preserve">Algorithm SHA256</w:t>
      </w:r>
      <w:r>
        <w:rPr>
          <w:rStyle w:val="OperatorTok"/>
        </w:rPr>
        <w:t xml:space="preserve">).</w:t>
      </w:r>
      <w:r>
        <w:rPr>
          <w:rStyle w:val="FunctionTok"/>
        </w:rPr>
        <w:t xml:space="preserve">Hash</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$manifest</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AssessmentId       </w:t>
      </w:r>
      <w:r>
        <w:rPr>
          <w:rStyle w:val="OperatorTok"/>
        </w:rPr>
        <w:t xml:space="preserve">=</w:t>
      </w:r>
      <w:r>
        <w:rPr>
          <w:rStyle w:val="NormalTok"/>
        </w:rPr>
        <w:t xml:space="preserve"> </w:t>
      </w:r>
      <w:r>
        <w:rPr>
          <w:rStyle w:val="OperatorTok"/>
        </w:rPr>
        <w:t xml:space="preserve">[</w:t>
      </w:r>
      <w:r>
        <w:rPr>
          <w:rStyle w:val="NormalTok"/>
        </w:rPr>
        <w:t xml:space="preserve">guid</w:t>
      </w:r>
      <w:r>
        <w:rPr>
          <w:rStyle w:val="OperatorTok"/>
        </w:rPr>
        <w:t xml:space="preserve">]::</w:t>
      </w:r>
      <w:r>
        <w:rPr>
          <w:rStyle w:val="NormalTok"/>
        </w:rPr>
        <w:t xml:space="preserve">NewGuid</w:t>
      </w:r>
      <w:r>
        <w:rPr>
          <w:rStyle w:val="OperatorTok"/>
        </w:rPr>
        <w:t xml:space="preserve">().</w:t>
      </w:r>
      <w:r>
        <w:rPr>
          <w:rStyle w:val="FunctionTok"/>
        </w:rPr>
        <w:t xml:space="preserve">ToString</w:t>
      </w:r>
      <w:r>
        <w:rPr>
          <w:rStyle w:val="OperatorTok"/>
        </w:rPr>
        <w:t xml:space="preserve">()</w:t>
      </w:r>
      <w:r>
        <w:br/>
      </w:r>
      <w:r>
        <w:rPr>
          <w:rStyle w:val="NormalTok"/>
        </w:rPr>
        <w:t xml:space="preserve">        Domain             </w:t>
      </w:r>
      <w:r>
        <w:rPr>
          <w:rStyle w:val="OperatorTok"/>
        </w:rPr>
        <w:t xml:space="preserve">=</w:t>
      </w:r>
      <w:r>
        <w:rPr>
          <w:rStyle w:val="NormalTok"/>
        </w:rPr>
        <w:t xml:space="preserve"> </w:t>
      </w:r>
      <w:r>
        <w:rPr>
          <w:rStyle w:val="VariableTok"/>
        </w:rPr>
        <w:t xml:space="preserve">$Domain</w:t>
      </w:r>
      <w:r>
        <w:br/>
      </w:r>
      <w:r>
        <w:rPr>
          <w:rStyle w:val="NormalTok"/>
        </w:rPr>
        <w:t xml:space="preserve">        StartTime          </w:t>
      </w:r>
      <w:r>
        <w:rPr>
          <w:rStyle w:val="OperatorTok"/>
        </w:rPr>
        <w:t xml:space="preserve">=</w:t>
      </w:r>
      <w:r>
        <w:rPr>
          <w:rStyle w:val="NormalTok"/>
        </w:rPr>
        <w:t xml:space="preserve"> </w:t>
      </w:r>
      <w:r>
        <w:rPr>
          <w:rStyle w:val="VariableTok"/>
        </w:rPr>
        <w:t xml:space="preserve">$start</w:t>
      </w:r>
      <w:r>
        <w:rPr>
          <w:rStyle w:val="OperatorTok"/>
        </w:rPr>
        <w:t xml:space="preserve">.</w:t>
      </w:r>
      <w:r>
        <w:rPr>
          <w:rStyle w:val="FunctionTok"/>
        </w:rPr>
        <w:t xml:space="preserve">ToString</w:t>
      </w:r>
      <w:r>
        <w:rPr>
          <w:rStyle w:val="OperatorTok"/>
        </w:rPr>
        <w:t xml:space="preserve">(</w:t>
      </w:r>
      <w:r>
        <w:rPr>
          <w:rStyle w:val="StringTok"/>
        </w:rPr>
        <w:t xml:space="preserve">'o'</w:t>
      </w:r>
      <w:r>
        <w:rPr>
          <w:rStyle w:val="OperatorTok"/>
        </w:rPr>
        <w:t xml:space="preserve">)</w:t>
      </w:r>
      <w:r>
        <w:br/>
      </w:r>
      <w:r>
        <w:rPr>
          <w:rStyle w:val="NormalTok"/>
        </w:rPr>
        <w:t xml:space="preserve">        EndTime            </w:t>
      </w:r>
      <w:r>
        <w:rPr>
          <w:rStyle w:val="OperatorTok"/>
        </w:rPr>
        <w:t xml:space="preserve">=</w:t>
      </w:r>
      <w:r>
        <w:rPr>
          <w:rStyle w:val="NormalTok"/>
        </w:rPr>
        <w:t xml:space="preserve"> </w:t>
      </w:r>
      <w:r>
        <w:rPr>
          <w:rStyle w:val="VariableTok"/>
        </w:rPr>
        <w:t xml:space="preserve">$end</w:t>
      </w:r>
      <w:r>
        <w:rPr>
          <w:rStyle w:val="OperatorTok"/>
        </w:rPr>
        <w:t xml:space="preserve">.</w:t>
      </w:r>
      <w:r>
        <w:rPr>
          <w:rStyle w:val="FunctionTok"/>
        </w:rPr>
        <w:t xml:space="preserve">ToString</w:t>
      </w:r>
      <w:r>
        <w:rPr>
          <w:rStyle w:val="OperatorTok"/>
        </w:rPr>
        <w:t xml:space="preserve">(</w:t>
      </w:r>
      <w:r>
        <w:rPr>
          <w:rStyle w:val="StringTok"/>
        </w:rPr>
        <w:t xml:space="preserve">'o'</w:t>
      </w:r>
      <w:r>
        <w:rPr>
          <w:rStyle w:val="OperatorTok"/>
        </w:rPr>
        <w:t xml:space="preserve">)</w:t>
      </w:r>
      <w:r>
        <w:br/>
      </w:r>
      <w:r>
        <w:rPr>
          <w:rStyle w:val="NormalTok"/>
        </w:rPr>
        <w:t xml:space="preserve">        DurationMinutes    </w:t>
      </w:r>
      <w:r>
        <w:rPr>
          <w:rStyle w:val="OperatorTok"/>
        </w:rPr>
        <w:t xml:space="preserve">=</w:t>
      </w:r>
      <w:r>
        <w:rPr>
          <w:rStyle w:val="NormalTok"/>
        </w:rPr>
        <w:t xml:space="preserve"> </w:t>
      </w:r>
      <w:r>
        <w:rPr>
          <w:rStyle w:val="OperatorTok"/>
        </w:rPr>
        <w:t xml:space="preserve">[</w:t>
      </w:r>
      <w:r>
        <w:rPr>
          <w:rStyle w:val="NormalTok"/>
        </w:rPr>
        <w:t xml:space="preserve">math</w:t>
      </w:r>
      <w:r>
        <w:rPr>
          <w:rStyle w:val="OperatorTok"/>
        </w:rPr>
        <w:t xml:space="preserve">]::</w:t>
      </w:r>
      <w:r>
        <w:rPr>
          <w:rStyle w:val="NormalTok"/>
        </w:rPr>
        <w:t xml:space="preserve">Round</w:t>
      </w:r>
      <w:r>
        <w:rPr>
          <w:rStyle w:val="OperatorTok"/>
        </w:rPr>
        <w:t xml:space="preserve">((</w:t>
      </w:r>
      <w:r>
        <w:rPr>
          <w:rStyle w:val="VariableTok"/>
        </w:rPr>
        <w:t xml:space="preserve">$end</w:t>
      </w:r>
      <w:r>
        <w:rPr>
          <w:rStyle w:val="NormalTok"/>
        </w:rPr>
        <w:t xml:space="preserve"> </w:t>
      </w:r>
      <w:r>
        <w:rPr>
          <w:rStyle w:val="OperatorTok"/>
        </w:rPr>
        <w:t xml:space="preserve">-</w:t>
      </w:r>
      <w:r>
        <w:rPr>
          <w:rStyle w:val="NormalTok"/>
        </w:rPr>
        <w:t xml:space="preserve"> </w:t>
      </w:r>
      <w:r>
        <w:rPr>
          <w:rStyle w:val="VariableTok"/>
        </w:rPr>
        <w:t xml:space="preserve">$start</w:t>
      </w:r>
      <w:r>
        <w:rPr>
          <w:rStyle w:val="OperatorTok"/>
        </w:rPr>
        <w:t xml:space="preserve">).</w:t>
      </w:r>
      <w:r>
        <w:rPr>
          <w:rStyle w:val="FunctionTok"/>
        </w:rPr>
        <w:t xml:space="preserve">TotalMinutes</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NormalTok"/>
        </w:rPr>
        <w:t xml:space="preserve">        ExecutedBy         </w:t>
      </w:r>
      <w:r>
        <w:rPr>
          <w:rStyle w:val="OperatorTok"/>
        </w:rPr>
        <w:t xml:space="preserve">=</w:t>
      </w:r>
      <w:r>
        <w:rPr>
          <w:rStyle w:val="NormalTok"/>
        </w:rPr>
        <w:t xml:space="preserve"> </w:t>
      </w:r>
      <w:r>
        <w:rPr>
          <w:rStyle w:val="StringTok"/>
        </w:rPr>
        <w:t xml:space="preserve">"</w:t>
      </w:r>
      <w:r>
        <w:rPr>
          <w:rStyle w:val="VariableTok"/>
        </w:rPr>
        <w:t xml:space="preserve">$env</w:t>
      </w:r>
      <w:r>
        <w:rPr>
          <w:rStyle w:val="OperatorTok"/>
        </w:rPr>
        <w:t xml:space="preserve">:</w:t>
      </w:r>
      <w:r>
        <w:rPr>
          <w:rStyle w:val="VariableTok"/>
        </w:rPr>
        <w:t xml:space="preserve">USERDOMAIN</w:t>
      </w:r>
      <w:r>
        <w:rPr>
          <w:rStyle w:val="StringTok"/>
        </w:rPr>
        <w:t xml:space="preserve">\</w:t>
      </w:r>
      <w:r>
        <w:rPr>
          <w:rStyle w:val="VariableTok"/>
        </w:rPr>
        <w:t xml:space="preserve">$env</w:t>
      </w:r>
      <w:r>
        <w:rPr>
          <w:rStyle w:val="OperatorTok"/>
        </w:rPr>
        <w:t xml:space="preserve">:</w:t>
      </w:r>
      <w:r>
        <w:rPr>
          <w:rStyle w:val="VariableTok"/>
        </w:rPr>
        <w:t xml:space="preserve">USERNAME</w:t>
      </w:r>
      <w:r>
        <w:rPr>
          <w:rStyle w:val="StringTok"/>
        </w:rPr>
        <w:t xml:space="preserve">"</w:t>
      </w:r>
      <w:r>
        <w:br/>
      </w:r>
      <w:r>
        <w:rPr>
          <w:rStyle w:val="NormalTok"/>
        </w:rPr>
        <w:t xml:space="preserve">        ComputerName       </w:t>
      </w:r>
      <w:r>
        <w:rPr>
          <w:rStyle w:val="OperatorTok"/>
        </w:rPr>
        <w:t xml:space="preserve">=</w:t>
      </w:r>
      <w:r>
        <w:rPr>
          <w:rStyle w:val="NormalTok"/>
        </w:rPr>
        <w:t xml:space="preserve"> </w:t>
      </w:r>
      <w:r>
        <w:rPr>
          <w:rStyle w:val="VariableTok"/>
        </w:rPr>
        <w:t xml:space="preserve">$env</w:t>
      </w:r>
      <w:r>
        <w:rPr>
          <w:rStyle w:val="OperatorTok"/>
        </w:rPr>
        <w:t xml:space="preserve">:</w:t>
      </w:r>
      <w:r>
        <w:rPr>
          <w:rStyle w:val="VariableTok"/>
        </w:rPr>
        <w:t xml:space="preserve">COMPUTERNAME</w:t>
      </w:r>
      <w:r>
        <w:br/>
      </w:r>
      <w:r>
        <w:rPr>
          <w:rStyle w:val="NormalTok"/>
        </w:rPr>
        <w:t xml:space="preserve">        StaleThresholdDays </w:t>
      </w:r>
      <w:r>
        <w:rPr>
          <w:rStyle w:val="OperatorTok"/>
        </w:rPr>
        <w:t xml:space="preserve">=</w:t>
      </w:r>
      <w:r>
        <w:rPr>
          <w:rStyle w:val="NormalTok"/>
        </w:rPr>
        <w:t xml:space="preserve"> </w:t>
      </w:r>
      <w:r>
        <w:rPr>
          <w:rStyle w:val="VariableTok"/>
        </w:rPr>
        <w:t xml:space="preserve">$StaleThresholdDays</w:t>
      </w:r>
      <w:r>
        <w:br/>
      </w:r>
      <w:r>
        <w:rPr>
          <w:rStyle w:val="NormalTok"/>
        </w:rPr>
        <w:t xml:space="preserve">        Steps              </w:t>
      </w:r>
      <w:r>
        <w:rPr>
          <w:rStyle w:val="OperatorTok"/>
        </w:rPr>
        <w:t xml:space="preserve">=</w:t>
      </w:r>
      <w:r>
        <w:rPr>
          <w:rStyle w:val="NormalTok"/>
        </w:rPr>
        <w:t xml:space="preserve"> </w:t>
      </w:r>
      <w:r>
        <w:rPr>
          <w:rStyle w:val="VariableTok"/>
        </w:rPr>
        <w:t xml:space="preserve">$stepResults</w:t>
      </w:r>
      <w:r>
        <w:br/>
      </w:r>
      <w:r>
        <w:rPr>
          <w:rStyle w:val="NormalTok"/>
        </w:rPr>
        <w:t xml:space="preserve">        FileCount          </w:t>
      </w:r>
      <w:r>
        <w:rPr>
          <w:rStyle w:val="OperatorTok"/>
        </w:rPr>
        <w:t xml:space="preserve">=</w:t>
      </w:r>
      <w:r>
        <w:rPr>
          <w:rStyle w:val="NormalTok"/>
        </w:rPr>
        <w:t xml:space="preserve"> </w:t>
      </w:r>
      <w:r>
        <w:rPr>
          <w:rStyle w:val="OperatorTok"/>
        </w:rPr>
        <w:t xml:space="preserve">@(</w:t>
      </w:r>
      <w:r>
        <w:rPr>
          <w:rStyle w:val="VariableTok"/>
        </w:rPr>
        <w:t xml:space="preserve">$files</w:t>
      </w:r>
      <w:r>
        <w:rPr>
          <w:rStyle w:val="OperatorTok"/>
        </w:rPr>
        <w:t xml:space="preserve">).</w:t>
      </w:r>
      <w:r>
        <w:rPr>
          <w:rStyle w:val="FunctionTok"/>
        </w:rPr>
        <w:t xml:space="preserve">Count</w:t>
      </w:r>
      <w:r>
        <w:br/>
      </w:r>
      <w:r>
        <w:rPr>
          <w:rStyle w:val="NormalTok"/>
        </w:rPr>
        <w:t xml:space="preserve">        Files              </w:t>
      </w:r>
      <w:r>
        <w:rPr>
          <w:rStyle w:val="OperatorTok"/>
        </w:rPr>
        <w:t xml:space="preserve">=</w:t>
      </w:r>
      <w:r>
        <w:rPr>
          <w:rStyle w:val="NormalTok"/>
        </w:rPr>
        <w:t xml:space="preserve"> </w:t>
      </w:r>
      <w:r>
        <w:rPr>
          <w:rStyle w:val="OperatorTok"/>
        </w:rPr>
        <w:t xml:space="preserve">@(</w:t>
      </w:r>
      <w:r>
        <w:rPr>
          <w:rStyle w:val="VariableTok"/>
        </w:rPr>
        <w:t xml:space="preserve">$files</w:t>
      </w:r>
      <w:r>
        <w:rPr>
          <w:rStyle w:val="OperatorTok"/>
        </w:rPr>
        <w:t xml:space="preserve">)</w:t>
      </w:r>
      <w:r>
        <w:br/>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VariableTok"/>
        </w:rPr>
        <w:t xml:space="preserve">$manifest</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$basePath</w:t>
      </w:r>
      <w:r>
        <w:rPr>
          <w:rStyle w:val="NormalTok"/>
        </w:rPr>
        <w:t xml:space="preserve"> </w:t>
      </w:r>
      <w:r>
        <w:rPr>
          <w:rStyle w:val="StringTok"/>
        </w:rPr>
        <w:t xml:space="preserve">'AssessmentManifest.json'</w:t>
      </w:r>
      <w:r>
        <w:rPr>
          <w:rStyle w:val="OperatorTok"/>
        </w:rPr>
        <w:t xml:space="preserve">)</w:t>
      </w:r>
      <w:r>
        <w:rPr>
          <w:rStyle w:val="NormalTok"/>
        </w:rPr>
        <w:t xml:space="preserve"> </w:t>
      </w:r>
      <w:r>
        <w:rPr>
          <w:rStyle w:val="OperatorTok"/>
        </w:rPr>
        <w:t xml:space="preserve">-</w:t>
      </w:r>
      <w:r>
        <w:rPr>
          <w:rStyle w:val="NormalTok"/>
        </w:rPr>
        <w:t xml:space="preserve">Depth </w:t>
      </w:r>
      <w:r>
        <w:rPr>
          <w:rStyle w:val="DecValTok"/>
        </w:rPr>
        <w:t xml:space="preserve">5</w:t>
      </w:r>
      <w:r>
        <w:br/>
      </w:r>
      <w:r>
        <w:rPr>
          <w:rStyle w:val="NormalTok"/>
        </w:rPr>
        <w:t xml:space="preserve">    </w:t>
      </w:r>
      <w:r>
        <w:rPr>
          <w:rStyle w:val="FunctionTok"/>
        </w:rPr>
        <w:t xml:space="preserve">Write-Host</w:t>
      </w:r>
      <w:r>
        <w:rPr>
          <w:rStyle w:val="NormalTok"/>
        </w:rPr>
        <w:t xml:space="preserve"> </w:t>
      </w:r>
      <w:r>
        <w:rPr>
          <w:rStyle w:val="OperatorTok"/>
        </w:rPr>
        <w:t xml:space="preserve">(</w:t>
      </w:r>
      <w:r>
        <w:rPr>
          <w:rStyle w:val="StringTok"/>
        </w:rPr>
        <w:t xml:space="preserve">"Assessment complete: {0} files in {1} minutes. Output: {2}"</w:t>
      </w:r>
      <w:r>
        <w:rPr>
          <w:rStyle w:val="NormalTok"/>
        </w:rPr>
        <w:t xml:space="preserve"> </w:t>
      </w:r>
      <w:r>
        <w:rPr>
          <w:rStyle w:val="OperatorTok"/>
        </w:rPr>
        <w:t xml:space="preserve">-</w:t>
      </w:r>
      <w:r>
        <w:rPr>
          <w:rStyle w:val="NormalTok"/>
        </w:rPr>
        <w:t xml:space="preserve">f </w:t>
      </w:r>
      <w:r>
        <w:rPr>
          <w:rStyle w:val="VariableTok"/>
        </w:rPr>
        <w:t xml:space="preserve">$manifest</w:t>
      </w:r>
      <w:r>
        <w:rPr>
          <w:rStyle w:val="OperatorTok"/>
        </w:rPr>
        <w:t xml:space="preserve">.</w:t>
      </w:r>
      <w:r>
        <w:rPr>
          <w:rStyle w:val="FunctionTok"/>
        </w:rPr>
        <w:t xml:space="preserve">FileCount</w:t>
      </w:r>
      <w:r>
        <w:rPr>
          <w:rStyle w:val="OperatorTok"/>
        </w:rPr>
        <w:t xml:space="preserve">,</w:t>
      </w:r>
      <w:r>
        <w:rPr>
          <w:rStyle w:val="NormalTok"/>
        </w:rPr>
        <w:t xml:space="preserve"> </w:t>
      </w:r>
      <w:r>
        <w:rPr>
          <w:rStyle w:val="VariableTok"/>
        </w:rPr>
        <w:t xml:space="preserve">$manifest</w:t>
      </w:r>
      <w:r>
        <w:rPr>
          <w:rStyle w:val="OperatorTok"/>
        </w:rPr>
        <w:t xml:space="preserve">.</w:t>
      </w:r>
      <w:r>
        <w:rPr>
          <w:rStyle w:val="FunctionTok"/>
        </w:rPr>
        <w:t xml:space="preserve">DurationMinutes</w:t>
      </w:r>
      <w:r>
        <w:rPr>
          <w:rStyle w:val="OperatorTok"/>
        </w:rPr>
        <w:t xml:space="preserve">,</w:t>
      </w:r>
      <w:r>
        <w:rPr>
          <w:rStyle w:val="NormalTok"/>
        </w:rPr>
        <w:t xml:space="preserve"> </w:t>
      </w:r>
      <w:r>
        <w:rPr>
          <w:rStyle w:val="VariableTok"/>
        </w:rPr>
        <w:t xml:space="preserve">$basePath</w:t>
      </w:r>
      <w:r>
        <w:rPr>
          <w:rStyle w:val="OperatorTok"/>
        </w:rPr>
        <w:t xml:space="preserve">)</w:t>
      </w:r>
      <w:r>
        <w:br/>
      </w:r>
      <w:r>
        <w:rPr>
          <w:rStyle w:val="NormalTok"/>
        </w:rPr>
        <w:t xml:space="preserve">    </w:t>
      </w:r>
      <w:r>
        <w:rPr>
          <w:rStyle w:val="VariableTok"/>
        </w:rPr>
        <w:t xml:space="preserve">$manifest</w:t>
      </w:r>
      <w:r>
        <w:br/>
      </w:r>
      <w:r>
        <w:rPr>
          <w:rStyle w:val="OperatorTok"/>
        </w:rPr>
        <w:t xml:space="preserve">}</w:t>
      </w:r>
    </w:p>
    <w:p>
      <w:pPr>
        <w:pStyle w:val="FirstParagraph"/>
      </w:pPr>
      <w:r>
        <w:t xml:space="preserve">A failed step is recorded in the manifest rather than stopping the run, so a partial run is visible as partial.</w:t>
      </w:r>
    </w:p>
    <w:bookmarkEnd w:id="1284"/>
    <w:bookmarkStart w:id="1285" w:name="drift-comparison"/>
    <w:p>
      <w:pPr>
        <w:pStyle w:val="Heading3"/>
      </w:pPr>
      <w:r>
        <w:t xml:space="preserve">Drift comparison</w:t>
      </w:r>
    </w:p>
    <w:p>
      <w:pPr>
        <w:pStyle w:val="SourceCode"/>
      </w:pPr>
      <w:r>
        <w:rPr>
          <w:rStyle w:val="KeywordTok"/>
        </w:rPr>
        <w:t xml:space="preserve">function</w:t>
      </w:r>
      <w:r>
        <w:rPr>
          <w:rStyle w:val="NormalTok"/>
        </w:rPr>
        <w:t xml:space="preserve"> Compare-FMPAssessments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Compares two assessment runs: file hashes, then added and removed objects by stable key.</w:t>
      </w:r>
      <w:r>
        <w:br/>
      </w:r>
      <w:r>
        <w:rPr>
          <w:rStyle w:val="CommentTok"/>
        </w:rPr>
        <w:t xml:space="preserve">    .EXAMPLE</w:t>
      </w:r>
      <w:r>
        <w:br/>
      </w:r>
      <w:r>
        <w:rPr>
          <w:rStyle w:val="CommentTok"/>
        </w:rPr>
        <w:t xml:space="preserve">        Compare-FMPAssessments -BaselinePath 'E:\Repo\assessments\contoso.com\20261013-020000' `</w:t>
      </w:r>
      <w:r>
        <w:br/>
      </w:r>
      <w:r>
        <w:rPr>
          <w:rStyle w:val="CommentTok"/>
        </w:rPr>
        <w:t xml:space="preserve">                               -CurrentPath  'E:\Repo\assessments\contoso.com\20261020-020000'</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$BaselinePath</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$CurrentPath</w:t>
      </w:r>
      <w:r>
        <w:br/>
      </w:r>
      <w:r>
        <w:rPr>
          <w:rStyle w:val="NormalTok"/>
        </w:rPr>
        <w:t xml:space="preserve">    </w:t>
      </w:r>
      <w:r>
        <w:rPr>
          <w:rStyle w:val="OperatorTok"/>
        </w:rPr>
        <w:t xml:space="preserve">)</w:t>
      </w:r>
      <w:r>
        <w:br/>
      </w:r>
      <w:r>
        <w:rPr>
          <w:rStyle w:val="NormalTok"/>
        </w:rPr>
        <w:t xml:space="preserve">    </w:t>
      </w:r>
      <w:r>
        <w:rPr>
          <w:rStyle w:val="VariableTok"/>
        </w:rPr>
        <w:t xml:space="preserve">$keyed</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ordered</w:t>
      </w:r>
      <w:r>
        <w:rPr>
          <w:rStyle w:val="OperatorTok"/>
        </w:rPr>
        <w:t xml:space="preserve">]</w:t>
      </w:r>
      <w:r>
        <w:rPr>
          <w:rStyle w:val="NormalTok"/>
        </w:rPr>
        <w:t xml:space="preserve">@</w:t>
      </w:r>
      <w:r>
        <w:rPr>
          <w:rStyle w:val="OperatorTok"/>
        </w:rPr>
        <w:t xml:space="preserve">{</w:t>
      </w:r>
      <w:r>
        <w:br/>
      </w:r>
      <w:r>
        <w:rPr>
          <w:rStyle w:val="NormalTok"/>
        </w:rPr>
        <w:t xml:space="preserve">        </w:t>
      </w:r>
      <w:r>
        <w:rPr>
          <w:rStyle w:val="StringTok"/>
        </w:rPr>
        <w:t xml:space="preserve">'Objects\ComputerInventory.json'</w:t>
      </w:r>
      <w:r>
        <w:rPr>
          <w:rStyle w:val="NormalTok"/>
        </w:rPr>
        <w:t xml:space="preserve"> </w:t>
      </w:r>
      <w:r>
        <w:rPr>
          <w:rStyle w:val="OperatorTok"/>
        </w:rPr>
        <w:t xml:space="preserve">=</w:t>
      </w:r>
      <w:r>
        <w:rPr>
          <w:rStyle w:val="NormalTok"/>
        </w:rPr>
        <w:t xml:space="preserve"> </w:t>
      </w:r>
      <w:r>
        <w:rPr>
          <w:rStyle w:val="StringTok"/>
        </w:rPr>
        <w:t xml:space="preserve">'SID'</w:t>
      </w:r>
      <w:r>
        <w:br/>
      </w:r>
      <w:r>
        <w:rPr>
          <w:rStyle w:val="NormalTok"/>
        </w:rPr>
        <w:t xml:space="preserve">        </w:t>
      </w:r>
      <w:r>
        <w:rPr>
          <w:rStyle w:val="StringTok"/>
        </w:rPr>
        <w:t xml:space="preserve">'Objects\UserInventory.json'</w:t>
      </w:r>
      <w:r>
        <w:rPr>
          <w:rStyle w:val="NormalTok"/>
        </w:rPr>
        <w:t xml:space="preserve">     </w:t>
      </w:r>
      <w:r>
        <w:rPr>
          <w:rStyle w:val="OperatorTok"/>
        </w:rPr>
        <w:t xml:space="preserve">=</w:t>
      </w:r>
      <w:r>
        <w:rPr>
          <w:rStyle w:val="NormalTok"/>
        </w:rPr>
        <w:t xml:space="preserve"> </w:t>
      </w:r>
      <w:r>
        <w:rPr>
          <w:rStyle w:val="StringTok"/>
        </w:rPr>
        <w:t xml:space="preserve">'SID'</w:t>
      </w:r>
      <w:r>
        <w:br/>
      </w:r>
      <w:r>
        <w:rPr>
          <w:rStyle w:val="NormalTok"/>
        </w:rPr>
        <w:t xml:space="preserve">        </w:t>
      </w:r>
      <w:r>
        <w:rPr>
          <w:rStyle w:val="StringTok"/>
        </w:rPr>
        <w:t xml:space="preserve">'Objects\GroupInventory.json'</w:t>
      </w:r>
      <w:r>
        <w:rPr>
          <w:rStyle w:val="NormalTok"/>
        </w:rPr>
        <w:t xml:space="preserve">    </w:t>
      </w:r>
      <w:r>
        <w:rPr>
          <w:rStyle w:val="OperatorTok"/>
        </w:rPr>
        <w:t xml:space="preserve">=</w:t>
      </w:r>
      <w:r>
        <w:rPr>
          <w:rStyle w:val="NormalTok"/>
        </w:rPr>
        <w:t xml:space="preserve"> </w:t>
      </w:r>
      <w:r>
        <w:rPr>
          <w:rStyle w:val="StringTok"/>
        </w:rPr>
        <w:t xml:space="preserve">'SID'</w:t>
      </w:r>
      <w:r>
        <w:br/>
      </w:r>
      <w:r>
        <w:rPr>
          <w:rStyle w:val="NormalTok"/>
        </w:rPr>
        <w:t xml:space="preserve">        </w:t>
      </w:r>
      <w:r>
        <w:rPr>
          <w:rStyle w:val="StringTok"/>
        </w:rPr>
        <w:t xml:space="preserve">'GPOs\GPOInventory.json'</w:t>
      </w:r>
      <w:r>
        <w:rPr>
          <w:rStyle w:val="NormalTok"/>
        </w:rPr>
        <w:t xml:space="preserve">         </w:t>
      </w:r>
      <w:r>
        <w:rPr>
          <w:rStyle w:val="OperatorTok"/>
        </w:rPr>
        <w:t xml:space="preserve">=</w:t>
      </w:r>
      <w:r>
        <w:rPr>
          <w:rStyle w:val="NormalTok"/>
        </w:rPr>
        <w:t xml:space="preserve"> </w:t>
      </w:r>
      <w:r>
        <w:rPr>
          <w:rStyle w:val="StringTok"/>
        </w:rPr>
        <w:t xml:space="preserve">'Id'</w:t>
      </w:r>
      <w:r>
        <w:br/>
      </w:r>
      <w:r>
        <w:rPr>
          <w:rStyle w:val="NormalTok"/>
        </w:rPr>
        <w:t xml:space="preserve">    </w:t>
      </w:r>
      <w:r>
        <w:rPr>
          <w:rStyle w:val="OperatorTok"/>
        </w:rPr>
        <w:t xml:space="preserve">}</w:t>
      </w:r>
      <w:r>
        <w:br/>
      </w:r>
      <w:r>
        <w:rPr>
          <w:rStyle w:val="NormalTok"/>
        </w:rPr>
        <w:t xml:space="preserve">    </w:t>
      </w:r>
      <w:r>
        <w:rPr>
          <w:rStyle w:val="VariableTok"/>
        </w:rPr>
        <w:t xml:space="preserve">$hashOnly</w:t>
      </w:r>
      <w:r>
        <w:rPr>
          <w:rStyle w:val="NormalTok"/>
        </w:rPr>
        <w:t xml:space="preserve"> </w:t>
      </w:r>
      <w:r>
        <w:rPr>
          <w:rStyle w:val="OperatorTok"/>
        </w:rPr>
        <w:t xml:space="preserve">=</w:t>
      </w:r>
      <w:r>
        <w:rPr>
          <w:rStyle w:val="NormalTok"/>
        </w:rPr>
        <w:t xml:space="preserve"> </w:t>
      </w:r>
      <w:r>
        <w:rPr>
          <w:rStyle w:val="StringTok"/>
        </w:rPr>
        <w:t xml:space="preserve">'Forest\ForestTopology.json'</w:t>
      </w:r>
      <w:r>
        <w:rPr>
          <w:rStyle w:val="OperatorTok"/>
        </w:rPr>
        <w:t xml:space="preserve">,</w:t>
      </w:r>
      <w:r>
        <w:rPr>
          <w:rStyle w:val="NormalTok"/>
        </w:rPr>
        <w:t xml:space="preserve"> </w:t>
      </w:r>
      <w:r>
        <w:rPr>
          <w:rStyle w:val="StringTok"/>
        </w:rPr>
        <w:t xml:space="preserve">'Trusts\TrustMap.json'</w:t>
      </w:r>
      <w:r>
        <w:rPr>
          <w:rStyle w:val="OperatorTok"/>
        </w:rPr>
        <w:t xml:space="preserve">,</w:t>
      </w:r>
      <w:r>
        <w:rPr>
          <w:rStyle w:val="NormalTok"/>
        </w:rPr>
        <w:t xml:space="preserve"> </w:t>
      </w:r>
      <w:r>
        <w:rPr>
          <w:rStyle w:val="StringTok"/>
        </w:rPr>
        <w:t xml:space="preserve">'PKI\PKISecurityReport.json'</w:t>
      </w:r>
      <w:r>
        <w:br/>
      </w:r>
      <w:r>
        <w:br/>
      </w:r>
      <w:r>
        <w:rPr>
          <w:rStyle w:val="NormalTok"/>
        </w:rPr>
        <w:t xml:space="preserve">    </w:t>
      </w:r>
      <w:r>
        <w:rPr>
          <w:rStyle w:val="VariableTok"/>
        </w:rPr>
        <w:t xml:space="preserve">$drift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$file</w:t>
      </w:r>
      <w:r>
        <w:rPr>
          <w:rStyle w:val="NormalTok"/>
        </w:rPr>
        <w:t xml:space="preserve"> </w:t>
      </w:r>
      <w:r>
        <w:rPr>
          <w:rStyle w:val="KeywordTok"/>
        </w:rPr>
        <w:t xml:space="preserve">in</w:t>
      </w:r>
      <w:r>
        <w:rPr>
          <w:rStyle w:val="NormalTok"/>
        </w:rPr>
        <w:t xml:space="preserve"> </w:t>
      </w:r>
      <w:r>
        <w:rPr>
          <w:rStyle w:val="OperatorTok"/>
        </w:rPr>
        <w:t xml:space="preserve">@(</w:t>
      </w:r>
      <w:r>
        <w:rPr>
          <w:rStyle w:val="VariableTok"/>
        </w:rPr>
        <w:t xml:space="preserve">$keyed</w:t>
      </w:r>
      <w:r>
        <w:rPr>
          <w:rStyle w:val="OperatorTok"/>
        </w:rPr>
        <w:t xml:space="preserve">.</w:t>
      </w:r>
      <w:r>
        <w:rPr>
          <w:rStyle w:val="FunctionTok"/>
        </w:rPr>
        <w:t xml:space="preserve">Keys</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$hashOnly</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$b</w:t>
      </w:r>
      <w:r>
        <w:rPr>
          <w:rStyle w:val="NormalTok"/>
        </w:rPr>
        <w:t xml:space="preserve"> </w:t>
      </w:r>
      <w:r>
        <w:rPr>
          <w:rStyle w:val="OperatorTok"/>
        </w:rPr>
        <w:t xml:space="preserve">=</w:t>
      </w:r>
      <w:r>
        <w:rPr>
          <w:rStyle w:val="NormalTok"/>
        </w:rPr>
        <w:t xml:space="preserve"> </w:t>
      </w:r>
      <w:r>
        <w:rPr>
          <w:rStyle w:val="FunctionTok"/>
        </w:rPr>
        <w:t xml:space="preserve">Join-Path</w:t>
      </w:r>
      <w:r>
        <w:rPr>
          <w:rStyle w:val="NormalTok"/>
        </w:rPr>
        <w:t xml:space="preserve"> </w:t>
      </w:r>
      <w:r>
        <w:rPr>
          <w:rStyle w:val="VariableTok"/>
        </w:rPr>
        <w:t xml:space="preserve">$BaselinePath</w:t>
      </w:r>
      <w:r>
        <w:rPr>
          <w:rStyle w:val="NormalTok"/>
        </w:rPr>
        <w:t xml:space="preserve"> </w:t>
      </w:r>
      <w:r>
        <w:rPr>
          <w:rStyle w:val="VariableTok"/>
        </w:rPr>
        <w:t xml:space="preserve">$file</w:t>
      </w:r>
      <w:r>
        <w:br/>
      </w:r>
      <w:r>
        <w:rPr>
          <w:rStyle w:val="NormalTok"/>
        </w:rPr>
        <w:t xml:space="preserve">        </w:t>
      </w:r>
      <w:r>
        <w:rPr>
          <w:rStyle w:val="VariableTok"/>
        </w:rPr>
        <w:t xml:space="preserve">$c</w:t>
      </w:r>
      <w:r>
        <w:rPr>
          <w:rStyle w:val="NormalTok"/>
        </w:rPr>
        <w:t xml:space="preserve"> </w:t>
      </w:r>
      <w:r>
        <w:rPr>
          <w:rStyle w:val="OperatorTok"/>
        </w:rPr>
        <w:t xml:space="preserve">=</w:t>
      </w:r>
      <w:r>
        <w:rPr>
          <w:rStyle w:val="NormalTok"/>
        </w:rPr>
        <w:t xml:space="preserve"> </w:t>
      </w:r>
      <w:r>
        <w:rPr>
          <w:rStyle w:val="FunctionTok"/>
        </w:rPr>
        <w:t xml:space="preserve">Join-Path</w:t>
      </w:r>
      <w:r>
        <w:rPr>
          <w:rStyle w:val="NormalTok"/>
        </w:rPr>
        <w:t xml:space="preserve"> </w:t>
      </w:r>
      <w:r>
        <w:rPr>
          <w:rStyle w:val="VariableTok"/>
        </w:rPr>
        <w:t xml:space="preserve">$CurrentPath</w:t>
      </w:r>
      <w:r>
        <w:rPr>
          <w:rStyle w:val="NormalTok"/>
        </w:rPr>
        <w:t xml:space="preserve"> </w:t>
      </w:r>
      <w:r>
        <w:rPr>
          <w:rStyle w:val="VariableTok"/>
        </w:rPr>
        <w:t xml:space="preserve">$file</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OperatorTok"/>
        </w:rPr>
        <w:t xml:space="preserve">(</w:t>
      </w:r>
      <w:r>
        <w:rPr>
          <w:rStyle w:val="FunctionTok"/>
        </w:rPr>
        <w:t xml:space="preserve">Test-Path</w:t>
      </w:r>
      <w:r>
        <w:rPr>
          <w:rStyle w:val="NormalTok"/>
        </w:rPr>
        <w:t xml:space="preserve"> </w:t>
      </w:r>
      <w:r>
        <w:rPr>
          <w:rStyle w:val="VariableTok"/>
        </w:rPr>
        <w:t xml:space="preserve">$b</w:t>
      </w:r>
      <w:r>
        <w:rPr>
          <w:rStyle w:val="OperatorTok"/>
        </w:rPr>
        <w:t xml:space="preserve">)</w:t>
      </w:r>
      <w:r>
        <w:rPr>
          <w:rStyle w:val="NormalTok"/>
        </w:rPr>
        <w:t xml:space="preserve"> </w:t>
      </w:r>
      <w:r>
        <w:rPr>
          <w:rStyle w:val="OperatorTok"/>
        </w:rPr>
        <w:t xml:space="preserve">-or</w:t>
      </w:r>
      <w:r>
        <w:rPr>
          <w:rStyle w:val="NormalTok"/>
        </w:rPr>
        <w:t xml:space="preserve"> </w:t>
      </w:r>
      <w:r>
        <w:rPr>
          <w:rStyle w:val="OperatorTok"/>
        </w:rPr>
        <w:t xml:space="preserve">-not</w:t>
      </w:r>
      <w:r>
        <w:rPr>
          <w:rStyle w:val="NormalTok"/>
        </w:rPr>
        <w:t xml:space="preserve"> </w:t>
      </w:r>
      <w:r>
        <w:rPr>
          <w:rStyle w:val="OperatorTok"/>
        </w:rPr>
        <w:t xml:space="preserve">(</w:t>
      </w:r>
      <w:r>
        <w:rPr>
          <w:rStyle w:val="FunctionTok"/>
        </w:rPr>
        <w:t xml:space="preserve">Test-Path</w:t>
      </w:r>
      <w:r>
        <w:rPr>
          <w:rStyle w:val="NormalTok"/>
        </w:rPr>
        <w:t xml:space="preserve"> </w:t>
      </w:r>
      <w:r>
        <w:rPr>
          <w:rStyle w:val="VariableTok"/>
        </w:rPr>
        <w:t xml:space="preserve">$c</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$drift</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File </w:t>
      </w:r>
      <w:r>
        <w:rPr>
          <w:rStyle w:val="OperatorTok"/>
        </w:rPr>
        <w:t xml:space="preserve">=</w:t>
      </w:r>
      <w:r>
        <w:rPr>
          <w:rStyle w:val="NormalTok"/>
        </w:rPr>
        <w:t xml:space="preserve"> </w:t>
      </w:r>
      <w:r>
        <w:rPr>
          <w:rStyle w:val="VariableTok"/>
        </w:rPr>
        <w:t xml:space="preserve">$file</w:t>
      </w:r>
      <w:r>
        <w:rPr>
          <w:rStyle w:val="OperatorTok"/>
        </w:rPr>
        <w:t xml:space="preserve">;</w:t>
      </w:r>
      <w:r>
        <w:rPr>
          <w:rStyle w:val="NormalTok"/>
        </w:rPr>
        <w:t xml:space="preserve"> Status </w:t>
      </w:r>
      <w:r>
        <w:rPr>
          <w:rStyle w:val="OperatorTok"/>
        </w:rPr>
        <w:t xml:space="preserve">=</w:t>
      </w:r>
      <w:r>
        <w:rPr>
          <w:rStyle w:val="NormalTok"/>
        </w:rPr>
        <w:t xml:space="preserve"> </w:t>
      </w:r>
      <w:r>
        <w:rPr>
          <w:rStyle w:val="StringTok"/>
        </w:rPr>
        <w:t xml:space="preserve">'Missing in one run'</w:t>
      </w:r>
      <w:r>
        <w:rPr>
          <w:rStyle w:val="OperatorTok"/>
        </w:rPr>
        <w:t xml:space="preserve">;</w:t>
      </w:r>
      <w:r>
        <w:rPr>
          <w:rStyle w:val="NormalTok"/>
        </w:rPr>
        <w:t xml:space="preserve"> Added </w:t>
      </w:r>
      <w:r>
        <w:rPr>
          <w:rStyle w:val="OperatorTok"/>
        </w:rPr>
        <w:t xml:space="preserve">=</w:t>
      </w:r>
      <w:r>
        <w:rPr>
          <w:rStyle w:val="NormalTok"/>
        </w:rPr>
        <w:t xml:space="preserve"> </w:t>
      </w:r>
      <w:r>
        <w:rPr>
          <w:rStyle w:val="VariableTok"/>
        </w:rPr>
        <w:t xml:space="preserve">$null</w:t>
      </w:r>
      <w:r>
        <w:rPr>
          <w:rStyle w:val="OperatorTok"/>
        </w:rPr>
        <w:t xml:space="preserve">;</w:t>
      </w:r>
      <w:r>
        <w:rPr>
          <w:rStyle w:val="NormalTok"/>
        </w:rPr>
        <w:t xml:space="preserve"> Removed </w:t>
      </w:r>
      <w:r>
        <w:rPr>
          <w:rStyle w:val="OperatorTok"/>
        </w:rPr>
        <w:t xml:space="preserve">=</w:t>
      </w:r>
      <w:r>
        <w:rPr>
          <w:rStyle w:val="NormalTok"/>
        </w:rPr>
        <w:t xml:space="preserve"> </w:t>
      </w:r>
      <w:r>
        <w:rPr>
          <w:rStyle w:val="VariableTok"/>
        </w:rPr>
        <w:t xml:space="preserve">$null</w:t>
      </w:r>
      <w:r>
        <w:rPr>
          <w:rStyle w:val="NormalTok"/>
        </w:rPr>
        <w:t xml:space="preserve"> </w:t>
      </w:r>
      <w:r>
        <w:rPr>
          <w:rStyle w:val="OperatorTok"/>
        </w:rPr>
        <w:t xml:space="preserve">}</w:t>
      </w:r>
      <w:r>
        <w:br/>
      </w:r>
      <w:r>
        <w:rPr>
          <w:rStyle w:val="NormalTok"/>
        </w:rPr>
        <w:t xml:space="preserve">            </w:t>
      </w:r>
      <w:r>
        <w:rPr>
          <w:rStyle w:val="ControlFlowTok"/>
        </w:rPr>
        <w:t xml:space="preserve">continue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Get-FileHash </w:t>
      </w:r>
      <w:r>
        <w:rPr>
          <w:rStyle w:val="VariableTok"/>
        </w:rPr>
        <w:t xml:space="preserve">$b</w:t>
      </w:r>
      <w:r>
        <w:rPr>
          <w:rStyle w:val="NormalTok"/>
        </w:rPr>
        <w:t xml:space="preserve"> </w:t>
      </w:r>
      <w:r>
        <w:rPr>
          <w:rStyle w:val="OperatorTok"/>
        </w:rPr>
        <w:t xml:space="preserve">-</w:t>
      </w:r>
      <w:r>
        <w:rPr>
          <w:rStyle w:val="NormalTok"/>
        </w:rPr>
        <w:t xml:space="preserve">Algorithm SHA256</w:t>
      </w:r>
      <w:r>
        <w:rPr>
          <w:rStyle w:val="OperatorTok"/>
        </w:rPr>
        <w:t xml:space="preserve">).</w:t>
      </w:r>
      <w:r>
        <w:rPr>
          <w:rStyle w:val="FunctionTok"/>
        </w:rPr>
        <w:t xml:space="preserve">Hash</w:t>
      </w:r>
      <w:r>
        <w:rPr>
          <w:rStyle w:val="NormalTok"/>
        </w:rPr>
        <w:t xml:space="preserve"> </w:t>
      </w:r>
      <w:r>
        <w:rPr>
          <w:rStyle w:val="OperatorTok"/>
        </w:rPr>
        <w:t xml:space="preserve">-eq</w:t>
      </w:r>
      <w:r>
        <w:rPr>
          <w:rStyle w:val="NormalTok"/>
        </w:rPr>
        <w:t xml:space="preserve"> </w:t>
      </w:r>
      <w:r>
        <w:rPr>
          <w:rStyle w:val="OperatorTok"/>
        </w:rPr>
        <w:t xml:space="preserve">(</w:t>
      </w:r>
      <w:r>
        <w:rPr>
          <w:rStyle w:val="NormalTok"/>
        </w:rPr>
        <w:t xml:space="preserve">Get-FileHash </w:t>
      </w:r>
      <w:r>
        <w:rPr>
          <w:rStyle w:val="VariableTok"/>
        </w:rPr>
        <w:t xml:space="preserve">$c</w:t>
      </w:r>
      <w:r>
        <w:rPr>
          <w:rStyle w:val="NormalTok"/>
        </w:rPr>
        <w:t xml:space="preserve"> </w:t>
      </w:r>
      <w:r>
        <w:rPr>
          <w:rStyle w:val="OperatorTok"/>
        </w:rPr>
        <w:t xml:space="preserve">-</w:t>
      </w:r>
      <w:r>
        <w:rPr>
          <w:rStyle w:val="NormalTok"/>
        </w:rPr>
        <w:t xml:space="preserve">Algorithm SHA256</w:t>
      </w:r>
      <w:r>
        <w:rPr>
          <w:rStyle w:val="OperatorTok"/>
        </w:rPr>
        <w:t xml:space="preserve">).</w:t>
      </w:r>
      <w:r>
        <w:rPr>
          <w:rStyle w:val="FunctionTok"/>
        </w:rPr>
        <w:t xml:space="preserve">Hash</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continue</w:t>
      </w:r>
      <w:r>
        <w:rPr>
          <w:rStyle w:val="NormalTok"/>
        </w:rPr>
        <w:t xml:space="preserve"> </w:t>
      </w:r>
      <w:r>
        <w:rPr>
          <w:rStyle w:val="OperatorTok"/>
        </w:rPr>
        <w:t xml:space="preserve">}</w:t>
      </w:r>
      <w:r>
        <w:br/>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$keyed</w:t>
      </w:r>
      <w:r>
        <w:rPr>
          <w:rStyle w:val="OperatorTok"/>
        </w:rPr>
        <w:t xml:space="preserve">.</w:t>
      </w:r>
      <w:r>
        <w:rPr>
          <w:rStyle w:val="FunctionTok"/>
        </w:rPr>
        <w:t xml:space="preserve">Contains</w:t>
      </w:r>
      <w:r>
        <w:rPr>
          <w:rStyle w:val="OperatorTok"/>
        </w:rPr>
        <w:t xml:space="preserve">(</w:t>
      </w:r>
      <w:r>
        <w:rPr>
          <w:rStyle w:val="VariableTok"/>
        </w:rPr>
        <w:t xml:space="preserve">$file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$key</w:t>
      </w:r>
      <w:r>
        <w:rPr>
          <w:rStyle w:val="NormalTok"/>
        </w:rPr>
        <w:t xml:space="preserve"> </w:t>
      </w:r>
      <w:r>
        <w:rPr>
          <w:rStyle w:val="OperatorTok"/>
        </w:rPr>
        <w:t xml:space="preserve">=</w:t>
      </w:r>
      <w:r>
        <w:rPr>
          <w:rStyle w:val="NormalTok"/>
        </w:rPr>
        <w:t xml:space="preserve"> </w:t>
      </w:r>
      <w:r>
        <w:rPr>
          <w:rStyle w:val="VariableTok"/>
        </w:rPr>
        <w:t xml:space="preserve">$keyed</w:t>
      </w:r>
      <w:r>
        <w:rPr>
          <w:rStyle w:val="OperatorTok"/>
        </w:rPr>
        <w:t xml:space="preserve">[</w:t>
      </w:r>
      <w:r>
        <w:rPr>
          <w:rStyle w:val="VariableTok"/>
        </w:rPr>
        <w:t xml:space="preserve">$file</w:t>
      </w:r>
      <w:r>
        <w:rPr>
          <w:rStyle w:val="OperatorTok"/>
        </w:rPr>
        <w:t xml:space="preserve">]</w:t>
      </w:r>
      <w:r>
        <w:br/>
      </w:r>
      <w:r>
        <w:rPr>
          <w:rStyle w:val="NormalTok"/>
        </w:rPr>
        <w:t xml:space="preserve">            </w:t>
      </w:r>
      <w:r>
        <w:rPr>
          <w:rStyle w:val="VariableTok"/>
        </w:rPr>
        <w:t xml:space="preserve">$bKeys</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Get-Content</w:t>
      </w:r>
      <w:r>
        <w:rPr>
          <w:rStyle w:val="NormalTok"/>
        </w:rPr>
        <w:t xml:space="preserve"> </w:t>
      </w:r>
      <w:r>
        <w:rPr>
          <w:rStyle w:val="VariableTok"/>
        </w:rPr>
        <w:t xml:space="preserve">$b</w:t>
      </w:r>
      <w:r>
        <w:rPr>
          <w:rStyle w:val="NormalTok"/>
        </w:rPr>
        <w:t xml:space="preserve"> </w:t>
      </w:r>
      <w:r>
        <w:rPr>
          <w:rStyle w:val="OperatorTok"/>
        </w:rPr>
        <w:t xml:space="preserve">-</w:t>
      </w:r>
      <w:r>
        <w:rPr>
          <w:rStyle w:val="NormalTok"/>
        </w:rPr>
        <w:t xml:space="preserve">Raw </w:t>
      </w:r>
      <w:r>
        <w:rPr>
          <w:rStyle w:val="OperatorTok"/>
        </w:rPr>
        <w:t xml:space="preserve">|</w:t>
      </w:r>
      <w:r>
        <w:rPr>
          <w:rStyle w:val="NormalTok"/>
        </w:rPr>
        <w:t xml:space="preserve"> </w:t>
      </w:r>
      <w:r>
        <w:rPr>
          <w:rStyle w:val="FunctionTok"/>
        </w:rPr>
        <w:t xml:space="preserve">ConvertFrom-Json</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VariableTok"/>
        </w:rPr>
        <w:t xml:space="preserve">$key</w:t>
      </w:r>
      <w:r>
        <w:rPr>
          <w:rStyle w:val="NormalTok"/>
        </w:rPr>
        <w:t xml:space="preserve"> </w:t>
      </w:r>
      <w:r>
        <w:rPr>
          <w:rStyle w:val="OperatorTok"/>
        </w:rPr>
        <w:t xml:space="preserve">})</w:t>
      </w:r>
      <w:r>
        <w:br/>
      </w:r>
      <w:r>
        <w:rPr>
          <w:rStyle w:val="NormalTok"/>
        </w:rPr>
        <w:t xml:space="preserve">            </w:t>
      </w:r>
      <w:r>
        <w:rPr>
          <w:rStyle w:val="VariableTok"/>
        </w:rPr>
        <w:t xml:space="preserve">$cKeys</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Get-Content</w:t>
      </w:r>
      <w:r>
        <w:rPr>
          <w:rStyle w:val="NormalTok"/>
        </w:rPr>
        <w:t xml:space="preserve"> </w:t>
      </w:r>
      <w:r>
        <w:rPr>
          <w:rStyle w:val="VariableTok"/>
        </w:rPr>
        <w:t xml:space="preserve">$c</w:t>
      </w:r>
      <w:r>
        <w:rPr>
          <w:rStyle w:val="NormalTok"/>
        </w:rPr>
        <w:t xml:space="preserve"> </w:t>
      </w:r>
      <w:r>
        <w:rPr>
          <w:rStyle w:val="OperatorTok"/>
        </w:rPr>
        <w:t xml:space="preserve">-</w:t>
      </w:r>
      <w:r>
        <w:rPr>
          <w:rStyle w:val="NormalTok"/>
        </w:rPr>
        <w:t xml:space="preserve">Raw </w:t>
      </w:r>
      <w:r>
        <w:rPr>
          <w:rStyle w:val="OperatorTok"/>
        </w:rPr>
        <w:t xml:space="preserve">|</w:t>
      </w:r>
      <w:r>
        <w:rPr>
          <w:rStyle w:val="NormalTok"/>
        </w:rPr>
        <w:t xml:space="preserve"> </w:t>
      </w:r>
      <w:r>
        <w:rPr>
          <w:rStyle w:val="FunctionTok"/>
        </w:rPr>
        <w:t xml:space="preserve">ConvertFrom-Json</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VariableTok"/>
        </w:rPr>
        <w:t xml:space="preserve">$key</w:t>
      </w:r>
      <w:r>
        <w:rPr>
          <w:rStyle w:val="NormalTok"/>
        </w:rPr>
        <w:t xml:space="preserve"> </w:t>
      </w:r>
      <w:r>
        <w:rPr>
          <w:rStyle w:val="OperatorTok"/>
        </w:rPr>
        <w:t xml:space="preserve">})</w:t>
      </w:r>
      <w:r>
        <w:br/>
      </w:r>
      <w:r>
        <w:rPr>
          <w:rStyle w:val="NormalTok"/>
        </w:rPr>
        <w:t xml:space="preserve">            </w:t>
      </w:r>
      <w:r>
        <w:rPr>
          <w:rStyle w:val="VariableTok"/>
        </w:rPr>
        <w:t xml:space="preserve">$drift</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File    </w:t>
      </w:r>
      <w:r>
        <w:rPr>
          <w:rStyle w:val="OperatorTok"/>
        </w:rPr>
        <w:t xml:space="preserve">=</w:t>
      </w:r>
      <w:r>
        <w:rPr>
          <w:rStyle w:val="NormalTok"/>
        </w:rPr>
        <w:t xml:space="preserve"> </w:t>
      </w:r>
      <w:r>
        <w:rPr>
          <w:rStyle w:val="VariableTok"/>
        </w:rPr>
        <w:t xml:space="preserve">$file</w:t>
      </w:r>
      <w:r>
        <w:br/>
      </w:r>
      <w:r>
        <w:rPr>
          <w:rStyle w:val="NormalTok"/>
        </w:rPr>
        <w:t xml:space="preserve">                Status  </w:t>
      </w:r>
      <w:r>
        <w:rPr>
          <w:rStyle w:val="OperatorTok"/>
        </w:rPr>
        <w:t xml:space="preserve">=</w:t>
      </w:r>
      <w:r>
        <w:rPr>
          <w:rStyle w:val="NormalTok"/>
        </w:rPr>
        <w:t xml:space="preserve"> </w:t>
      </w:r>
      <w:r>
        <w:rPr>
          <w:rStyle w:val="StringTok"/>
        </w:rPr>
        <w:t xml:space="preserve">'Changed'</w:t>
      </w:r>
      <w:r>
        <w:br/>
      </w:r>
      <w:r>
        <w:rPr>
          <w:rStyle w:val="NormalTok"/>
        </w:rPr>
        <w:t xml:space="preserve">                Added   </w:t>
      </w:r>
      <w:r>
        <w:rPr>
          <w:rStyle w:val="OperatorTok"/>
        </w:rPr>
        <w:t xml:space="preserve">=</w:t>
      </w:r>
      <w:r>
        <w:rPr>
          <w:rStyle w:val="NormalTok"/>
        </w:rPr>
        <w:t xml:space="preserve"> </w:t>
      </w:r>
      <w:r>
        <w:rPr>
          <w:rStyle w:val="OperatorTok"/>
        </w:rPr>
        <w:t xml:space="preserve">@(</w:t>
      </w:r>
      <w:r>
        <w:rPr>
          <w:rStyle w:val="VariableTok"/>
        </w:rPr>
        <w:t xml:space="preserve">$cKeys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NormalTok"/>
        </w:rPr>
        <w:t xml:space="preserve"> </w:t>
      </w:r>
      <w:r>
        <w:rPr>
          <w:rStyle w:val="OperatorTok"/>
        </w:rPr>
        <w:t xml:space="preserve">-</w:t>
      </w:r>
      <w:r>
        <w:rPr>
          <w:rStyle w:val="NormalTok"/>
        </w:rPr>
        <w:t xml:space="preserve">notin </w:t>
      </w:r>
      <w:r>
        <w:rPr>
          <w:rStyle w:val="VariableTok"/>
        </w:rPr>
        <w:t xml:space="preserve">$bKeys</w:t>
      </w:r>
      <w:r>
        <w:rPr>
          <w:rStyle w:val="NormalTok"/>
        </w:rPr>
        <w:t xml:space="preserve"> </w:t>
      </w:r>
      <w:r>
        <w:rPr>
          <w:rStyle w:val="OperatorTok"/>
        </w:rPr>
        <w:t xml:space="preserve">})</w:t>
      </w:r>
      <w:r>
        <w:br/>
      </w:r>
      <w:r>
        <w:rPr>
          <w:rStyle w:val="NormalTok"/>
        </w:rPr>
        <w:t xml:space="preserve">                Removed </w:t>
      </w:r>
      <w:r>
        <w:rPr>
          <w:rStyle w:val="OperatorTok"/>
        </w:rPr>
        <w:t xml:space="preserve">=</w:t>
      </w:r>
      <w:r>
        <w:rPr>
          <w:rStyle w:val="NormalTok"/>
        </w:rPr>
        <w:t xml:space="preserve"> </w:t>
      </w:r>
      <w:r>
        <w:rPr>
          <w:rStyle w:val="OperatorTok"/>
        </w:rPr>
        <w:t xml:space="preserve">@(</w:t>
      </w:r>
      <w:r>
        <w:rPr>
          <w:rStyle w:val="VariableTok"/>
        </w:rPr>
        <w:t xml:space="preserve">$bKeys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NormalTok"/>
        </w:rPr>
        <w:t xml:space="preserve"> </w:t>
      </w:r>
      <w:r>
        <w:rPr>
          <w:rStyle w:val="OperatorTok"/>
        </w:rPr>
        <w:t xml:space="preserve">-</w:t>
      </w:r>
      <w:r>
        <w:rPr>
          <w:rStyle w:val="NormalTok"/>
        </w:rPr>
        <w:t xml:space="preserve">notin </w:t>
      </w:r>
      <w:r>
        <w:rPr>
          <w:rStyle w:val="VariableTok"/>
        </w:rPr>
        <w:t xml:space="preserve">$cKeys</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w:t>
      </w:r>
      <w:r>
        <w:rPr>
          <w:rStyle w:val="CommentTok"/>
        </w:rPr>
        <w:t xml:space="preserve"># Files with an embedded timestamp always differ by hash; review their content.</w:t>
      </w:r>
      <w:r>
        <w:br/>
      </w:r>
      <w:r>
        <w:rPr>
          <w:rStyle w:val="NormalTok"/>
        </w:rPr>
        <w:t xml:space="preserve">            </w:t>
      </w:r>
      <w:r>
        <w:rPr>
          <w:rStyle w:val="VariableTok"/>
        </w:rPr>
        <w:t xml:space="preserve">$drift</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File </w:t>
      </w:r>
      <w:r>
        <w:rPr>
          <w:rStyle w:val="OperatorTok"/>
        </w:rPr>
        <w:t xml:space="preserve">=</w:t>
      </w:r>
      <w:r>
        <w:rPr>
          <w:rStyle w:val="NormalTok"/>
        </w:rPr>
        <w:t xml:space="preserve"> </w:t>
      </w:r>
      <w:r>
        <w:rPr>
          <w:rStyle w:val="VariableTok"/>
        </w:rPr>
        <w:t xml:space="preserve">$file</w:t>
      </w:r>
      <w:r>
        <w:rPr>
          <w:rStyle w:val="OperatorTok"/>
        </w:rPr>
        <w:t xml:space="preserve">;</w:t>
      </w:r>
      <w:r>
        <w:rPr>
          <w:rStyle w:val="NormalTok"/>
        </w:rPr>
        <w:t xml:space="preserve"> Status </w:t>
      </w:r>
      <w:r>
        <w:rPr>
          <w:rStyle w:val="OperatorTok"/>
        </w:rPr>
        <w:t xml:space="preserve">=</w:t>
      </w:r>
      <w:r>
        <w:rPr>
          <w:rStyle w:val="NormalTok"/>
        </w:rPr>
        <w:t xml:space="preserve"> </w:t>
      </w:r>
      <w:r>
        <w:rPr>
          <w:rStyle w:val="StringTok"/>
        </w:rPr>
        <w:t xml:space="preserve">'Changed (review content)'</w:t>
      </w:r>
      <w:r>
        <w:rPr>
          <w:rStyle w:val="OperatorTok"/>
        </w:rPr>
        <w:t xml:space="preserve">;</w:t>
      </w:r>
      <w:r>
        <w:rPr>
          <w:rStyle w:val="NormalTok"/>
        </w:rPr>
        <w:t xml:space="preserve"> Added </w:t>
      </w:r>
      <w:r>
        <w:rPr>
          <w:rStyle w:val="OperatorTok"/>
        </w:rPr>
        <w:t xml:space="preserve">=</w:t>
      </w:r>
      <w:r>
        <w:rPr>
          <w:rStyle w:val="NormalTok"/>
        </w:rPr>
        <w:t xml:space="preserve"> </w:t>
      </w:r>
      <w:r>
        <w:rPr>
          <w:rStyle w:val="VariableTok"/>
        </w:rPr>
        <w:t xml:space="preserve">$null</w:t>
      </w:r>
      <w:r>
        <w:rPr>
          <w:rStyle w:val="OperatorTok"/>
        </w:rPr>
        <w:t xml:space="preserve">;</w:t>
      </w:r>
      <w:r>
        <w:rPr>
          <w:rStyle w:val="NormalTok"/>
        </w:rPr>
        <w:t xml:space="preserve"> Removed </w:t>
      </w:r>
      <w:r>
        <w:rPr>
          <w:rStyle w:val="OperatorTok"/>
        </w:rPr>
        <w:t xml:space="preserve">=</w:t>
      </w:r>
      <w:r>
        <w:rPr>
          <w:rStyle w:val="NormalTok"/>
        </w:rPr>
        <w:t xml:space="preserve"> </w:t>
      </w:r>
      <w:r>
        <w:rPr>
          <w:rStyle w:val="VariableTok"/>
        </w:rPr>
        <w:t xml:space="preserve">$null</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$drift</w:t>
      </w:r>
      <w:r>
        <w:br/>
      </w:r>
      <w:r>
        <w:rPr>
          <w:rStyle w:val="OperatorTok"/>
        </w:rPr>
        <w:t xml:space="preserve">}</w:t>
      </w:r>
    </w:p>
    <w:p>
      <w:pPr>
        <w:pStyle w:val="FirstParagraph"/>
      </w:pPr>
      <w:r>
        <w:t xml:space="preserve">For large inventories, replace the</w:t>
      </w:r>
      <w:r>
        <w:t xml:space="preserve"> </w:t>
      </w:r>
      <w:r>
        <w:rPr>
          <w:rStyle w:val="VerbatimChar"/>
        </w:rPr>
        <w:t xml:space="preserve">-notin</w:t>
      </w:r>
      <w:r>
        <w:t xml:space="preserve"> </w:t>
      </w:r>
      <w:r>
        <w:t xml:space="preserve">comparisons with hash sets; the version above favors readability.</w:t>
      </w:r>
    </w:p>
    <w:bookmarkEnd w:id="1285"/>
    <w:bookmarkStart w:id="1288" w:name="gitea-integration"/>
    <w:p>
      <w:pPr>
        <w:pStyle w:val="Heading3"/>
      </w:pPr>
      <w:r>
        <w:t xml:space="preserve">Gitea integration</w:t>
      </w:r>
    </w:p>
    <w:p>
      <w:pPr>
        <w:pStyle w:val="SourceCode"/>
      </w:pPr>
      <w:r>
        <w:rPr>
          <w:rStyle w:val="KeywordTok"/>
        </w:rPr>
        <w:t xml:space="preserve">function</w:t>
      </w:r>
      <w:r>
        <w:rPr>
          <w:rStyle w:val="NormalTok"/>
        </w:rPr>
        <w:t xml:space="preserve"> Get-FMPGiteaHeaders </w:t>
      </w:r>
      <w:r>
        <w:rPr>
          <w:rStyle w:val="OperatorTok"/>
        </w:rPr>
        <w:t xml:space="preserve">{</w:t>
      </w:r>
      <w:r>
        <w:br/>
      </w:r>
      <w:r>
        <w:rPr>
          <w:rStyle w:val="NormalTok"/>
        </w:rPr>
        <w:t xml:space="preserve">    </w:t>
      </w:r>
      <w:r>
        <w:rPr>
          <w:rStyle w:val="CommentTok"/>
        </w:rPr>
        <w:t xml:space="preserve"># The token comes from the Windows credential store or a vault; never from a text file.</w:t>
      </w:r>
      <w:r>
        <w:br/>
      </w:r>
      <w:r>
        <w:rPr>
          <w:rStyle w:val="NormalTok"/>
        </w:rPr>
        <w:t xml:space="preserve">    </w:t>
      </w:r>
      <w:r>
        <w:rPr>
          <w:rStyle w:val="KeywordTok"/>
        </w:rPr>
        <w:t xml:space="preserve">param</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NormalTok"/>
        </w:rPr>
        <w:t xml:space="preserve">securestring</w:t>
      </w:r>
      <w:r>
        <w:rPr>
          <w:rStyle w:val="OperatorTok"/>
        </w:rPr>
        <w:t xml:space="preserve">]</w:t>
      </w:r>
      <w:r>
        <w:rPr>
          <w:rStyle w:val="VariableTok"/>
        </w:rPr>
        <w:t xml:space="preserve">$Token</w:t>
      </w:r>
      <w:r>
        <w:rPr>
          <w:rStyle w:val="OperatorTok"/>
        </w:rPr>
        <w:t xml:space="preserve">)</w:t>
      </w:r>
      <w:r>
        <w:br/>
      </w:r>
      <w:r>
        <w:rPr>
          <w:rStyle w:val="NormalTok"/>
        </w:rPr>
        <w:t xml:space="preserve">    </w:t>
      </w:r>
      <w:r>
        <w:rPr>
          <w:rStyle w:val="VariableTok"/>
        </w:rPr>
        <w:t xml:space="preserve">$plain</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Runtime</w:t>
      </w:r>
      <w:r>
        <w:rPr>
          <w:rStyle w:val="OperatorTok"/>
        </w:rPr>
        <w:t xml:space="preserve">.</w:t>
      </w:r>
      <w:r>
        <w:rPr>
          <w:rStyle w:val="FunctionTok"/>
        </w:rPr>
        <w:t xml:space="preserve">InteropServices</w:t>
      </w:r>
      <w:r>
        <w:rPr>
          <w:rStyle w:val="OperatorTok"/>
        </w:rPr>
        <w:t xml:space="preserve">.</w:t>
      </w:r>
      <w:r>
        <w:rPr>
          <w:rStyle w:val="FunctionTok"/>
        </w:rPr>
        <w:t xml:space="preserve">Marshal</w:t>
      </w:r>
      <w:r>
        <w:rPr>
          <w:rStyle w:val="OperatorTok"/>
        </w:rPr>
        <w:t xml:space="preserve">]::</w:t>
      </w:r>
      <w:r>
        <w:rPr>
          <w:rStyle w:val="NormalTok"/>
        </w:rPr>
        <w:t xml:space="preserve">PtrToStringBSTR</w:t>
      </w:r>
      <w:r>
        <w:rPr>
          <w:rStyle w:val="OperatorTok"/>
        </w:rPr>
        <w:t xml:space="preserve">(</w:t>
      </w:r>
      <w:r>
        <w:br/>
      </w:r>
      <w:r>
        <w:rPr>
          <w:rStyle w:val="NormalTok"/>
        </w:rPr>
        <w:t xml:space="preserve">        </w:t>
      </w:r>
      <w:r>
        <w:rPr>
          <w:rStyle w:val="OperatorTok"/>
        </w:rPr>
        <w:t xml:space="preserve">[</w:t>
      </w:r>
      <w:r>
        <w:rPr>
          <w:rStyle w:val="NormalTok"/>
        </w:rPr>
        <w:t xml:space="preserve">Runtime</w:t>
      </w:r>
      <w:r>
        <w:rPr>
          <w:rStyle w:val="OperatorTok"/>
        </w:rPr>
        <w:t xml:space="preserve">.</w:t>
      </w:r>
      <w:r>
        <w:rPr>
          <w:rStyle w:val="FunctionTok"/>
        </w:rPr>
        <w:t xml:space="preserve">InteropServices</w:t>
      </w:r>
      <w:r>
        <w:rPr>
          <w:rStyle w:val="OperatorTok"/>
        </w:rPr>
        <w:t xml:space="preserve">.</w:t>
      </w:r>
      <w:r>
        <w:rPr>
          <w:rStyle w:val="FunctionTok"/>
        </w:rPr>
        <w:t xml:space="preserve">Marshal</w:t>
      </w:r>
      <w:r>
        <w:rPr>
          <w:rStyle w:val="OperatorTok"/>
        </w:rPr>
        <w:t xml:space="preserve">]::</w:t>
      </w:r>
      <w:r>
        <w:rPr>
          <w:rStyle w:val="NormalTok"/>
        </w:rPr>
        <w:t xml:space="preserve">SecureStringToBSTR</w:t>
      </w:r>
      <w:r>
        <w:rPr>
          <w:rStyle w:val="OperatorTok"/>
        </w:rPr>
        <w:t xml:space="preserve">(</w:t>
      </w:r>
      <w:r>
        <w:rPr>
          <w:rStyle w:val="VariableTok"/>
        </w:rPr>
        <w:t xml:space="preserve">$Token</w:t>
      </w:r>
      <w:r>
        <w:rPr>
          <w:rStyle w:val="OperatorTok"/>
        </w:rPr>
        <w:t xml:space="preserve">))</w:t>
      </w:r>
      <w:r>
        <w:br/>
      </w:r>
      <w:r>
        <w:rPr>
          <w:rStyle w:val="NormalTok"/>
        </w:rPr>
        <w:t xml:space="preserve">    @</w:t>
      </w:r>
      <w:r>
        <w:rPr>
          <w:rStyle w:val="OperatorTok"/>
        </w:rPr>
        <w:t xml:space="preserve">{</w:t>
      </w:r>
      <w:r>
        <w:rPr>
          <w:rStyle w:val="NormalTok"/>
        </w:rPr>
        <w:t xml:space="preserve"> Authorization </w:t>
      </w:r>
      <w:r>
        <w:rPr>
          <w:rStyle w:val="OperatorTok"/>
        </w:rPr>
        <w:t xml:space="preserve">=</w:t>
      </w:r>
      <w:r>
        <w:rPr>
          <w:rStyle w:val="NormalTok"/>
        </w:rPr>
        <w:t xml:space="preserve"> </w:t>
      </w:r>
      <w:r>
        <w:rPr>
          <w:rStyle w:val="StringTok"/>
        </w:rPr>
        <w:t xml:space="preserve">"token </w:t>
      </w:r>
      <w:r>
        <w:rPr>
          <w:rStyle w:val="VariableTok"/>
        </w:rPr>
        <w:t xml:space="preserve">$plain</w:t>
      </w:r>
      <w:r>
        <w:rPr>
          <w:rStyle w:val="StringTok"/>
        </w:rPr>
        <w:t xml:space="preserve">"</w:t>
      </w:r>
      <w:r>
        <w:rPr>
          <w:rStyle w:val="OperatorTok"/>
        </w:rPr>
        <w:t xml:space="preserve">;</w:t>
      </w:r>
      <w:r>
        <w:rPr>
          <w:rStyle w:val="NormalTok"/>
        </w:rPr>
        <w:t xml:space="preserve"> </w:t>
      </w:r>
      <w:r>
        <w:rPr>
          <w:rStyle w:val="StringTok"/>
        </w:rPr>
        <w:t xml:space="preserve">'Content-Type'</w:t>
      </w:r>
      <w:r>
        <w:rPr>
          <w:rStyle w:val="NormalTok"/>
        </w:rPr>
        <w:t xml:space="preserve"> </w:t>
      </w:r>
      <w:r>
        <w:rPr>
          <w:rStyle w:val="OperatorTok"/>
        </w:rPr>
        <w:t xml:space="preserve">=</w:t>
      </w:r>
      <w:r>
        <w:rPr>
          <w:rStyle w:val="NormalTok"/>
        </w:rPr>
        <w:t xml:space="preserve"> </w:t>
      </w:r>
      <w:r>
        <w:rPr>
          <w:rStyle w:val="StringTok"/>
        </w:rPr>
        <w:t xml:space="preserve">'application/json'</w:t>
      </w:r>
      <w:r>
        <w:rPr>
          <w:rStyle w:val="NormalTok"/>
        </w:rPr>
        <w:t xml:space="preserve"> </w:t>
      </w:r>
      <w:r>
        <w:rPr>
          <w:rStyle w:val="OperatorTok"/>
        </w:rPr>
        <w:t xml:space="preserve">}</w:t>
      </w:r>
      <w:r>
        <w:br/>
      </w:r>
      <w:r>
        <w:rPr>
          <w:rStyle w:val="OperatorTok"/>
        </w:rPr>
        <w:t xml:space="preserve">}</w:t>
      </w:r>
      <w:r>
        <w:br/>
      </w:r>
      <w:r>
        <w:br/>
      </w:r>
      <w:r>
        <w:rPr>
          <w:rStyle w:val="KeywordTok"/>
        </w:rPr>
        <w:t xml:space="preserve">function</w:t>
      </w:r>
      <w:r>
        <w:rPr>
          <w:rStyle w:val="NormalTok"/>
        </w:rPr>
        <w:t xml:space="preserve"> Push-FMPAssessmentToGitea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Commits a whole run, manifest included, as one commit on a new branch.</w:t>
      </w:r>
      <w:r>
        <w:br/>
      </w:r>
      <w:r>
        <w:rPr>
          <w:rStyle w:val="CommentTok"/>
        </w:rPr>
        <w:t xml:space="preserve">    .EXAMPLE</w:t>
      </w:r>
      <w:r>
        <w:br/>
      </w:r>
      <w:r>
        <w:rPr>
          <w:rStyle w:val="CommentTok"/>
        </w:rPr>
        <w:t xml:space="preserve">        Push-FMPAssessmentToGitea -BaseUrl 'https://gitea.example.internal/api/v1' -Owner 'fmp' -Repo 'fmp' `</w:t>
      </w:r>
      <w:r>
        <w:br/>
      </w:r>
      <w:r>
        <w:rPr>
          <w:rStyle w:val="CommentTok"/>
        </w:rPr>
        <w:t xml:space="preserve">            -Token $token -RunPath 'D:\FMP\Assessment\contoso.com' -Domain 'contoso.com'</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$BaseUrl</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$Owner</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$Repo</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NormalTok"/>
        </w:rPr>
        <w:t xml:space="preserve">securestring</w:t>
      </w:r>
      <w:r>
        <w:rPr>
          <w:rStyle w:val="OperatorTok"/>
        </w:rPr>
        <w:t xml:space="preserve">]</w:t>
      </w:r>
      <w:r>
        <w:rPr>
          <w:rStyle w:val="VariableTok"/>
        </w:rPr>
        <w:t xml:space="preserve">$Token</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$RunPath</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$BaseBranch</w:t>
      </w:r>
      <w:r>
        <w:rPr>
          <w:rStyle w:val="NormalTok"/>
        </w:rPr>
        <w:t xml:space="preserve"> </w:t>
      </w:r>
      <w:r>
        <w:rPr>
          <w:rStyle w:val="OperatorTok"/>
        </w:rPr>
        <w:t xml:space="preserve">=</w:t>
      </w:r>
      <w:r>
        <w:rPr>
          <w:rStyle w:val="NormalTok"/>
        </w:rPr>
        <w:t xml:space="preserve"> </w:t>
      </w:r>
      <w:r>
        <w:rPr>
          <w:rStyle w:val="StringTok"/>
        </w:rPr>
        <w:t xml:space="preserve">'main'</w:t>
      </w:r>
      <w:r>
        <w:br/>
      </w:r>
      <w:r>
        <w:rPr>
          <w:rStyle w:val="NormalTok"/>
        </w:rPr>
        <w:t xml:space="preserve">    </w:t>
      </w:r>
      <w:r>
        <w:rPr>
          <w:rStyle w:val="OperatorTok"/>
        </w:rPr>
        <w:t xml:space="preserve">)</w:t>
      </w:r>
      <w:r>
        <w:br/>
      </w:r>
      <w:r>
        <w:rPr>
          <w:rStyle w:val="NormalTok"/>
        </w:rPr>
        <w:t xml:space="preserve">    </w:t>
      </w:r>
      <w:r>
        <w:rPr>
          <w:rStyle w:val="VariableTok"/>
        </w:rPr>
        <w:t xml:space="preserve">$headers</w:t>
      </w:r>
      <w:r>
        <w:rPr>
          <w:rStyle w:val="NormalTok"/>
        </w:rPr>
        <w:t xml:space="preserve">   </w:t>
      </w:r>
      <w:r>
        <w:rPr>
          <w:rStyle w:val="OperatorTok"/>
        </w:rPr>
        <w:t xml:space="preserve">=</w:t>
      </w:r>
      <w:r>
        <w:rPr>
          <w:rStyle w:val="NormalTok"/>
        </w:rPr>
        <w:t xml:space="preserve"> Get-FMPGiteaHeaders </w:t>
      </w:r>
      <w:r>
        <w:rPr>
          <w:rStyle w:val="OperatorTok"/>
        </w:rPr>
        <w:t xml:space="preserve">-</w:t>
      </w:r>
      <w:r>
        <w:rPr>
          <w:rStyle w:val="NormalTok"/>
        </w:rPr>
        <w:t xml:space="preserve">Token </w:t>
      </w:r>
      <w:r>
        <w:rPr>
          <w:rStyle w:val="VariableTok"/>
        </w:rPr>
        <w:t xml:space="preserve">$Token</w:t>
      </w:r>
      <w:r>
        <w:br/>
      </w:r>
      <w:r>
        <w:rPr>
          <w:rStyle w:val="NormalTok"/>
        </w:rPr>
        <w:t xml:space="preserve">    </w:t>
      </w:r>
      <w:r>
        <w:rPr>
          <w:rStyle w:val="VariableTok"/>
        </w:rPr>
        <w:t xml:space="preserve">$timestamp</w:t>
      </w:r>
      <w:r>
        <w:rPr>
          <w:rStyle w:val="NormalTok"/>
        </w:rPr>
        <w:t xml:space="preserve"> </w:t>
      </w:r>
      <w:r>
        <w:rPr>
          <w:rStyle w:val="OperatorTok"/>
        </w:rPr>
        <w:t xml:space="preserve">=</w:t>
      </w:r>
      <w:r>
        <w:rPr>
          <w:rStyle w:val="NormalTok"/>
        </w:rPr>
        <w:t xml:space="preserve"> </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'yyyyMMdd-HHmmss'</w:t>
      </w:r>
      <w:r>
        <w:br/>
      </w:r>
      <w:r>
        <w:rPr>
          <w:rStyle w:val="NormalTok"/>
        </w:rPr>
        <w:t xml:space="preserve">    </w:t>
      </w:r>
      <w:r>
        <w:rPr>
          <w:rStyle w:val="VariableTok"/>
        </w:rPr>
        <w:t xml:space="preserve">$prefix</w:t>
      </w:r>
      <w:r>
        <w:rPr>
          <w:rStyle w:val="NormalTok"/>
        </w:rPr>
        <w:t xml:space="preserve">    </w:t>
      </w:r>
      <w:r>
        <w:rPr>
          <w:rStyle w:val="OperatorTok"/>
        </w:rPr>
        <w:t xml:space="preserve">=</w:t>
      </w:r>
      <w:r>
        <w:rPr>
          <w:rStyle w:val="NormalTok"/>
        </w:rPr>
        <w:t xml:space="preserve"> </w:t>
      </w:r>
      <w:r>
        <w:rPr>
          <w:rStyle w:val="StringTok"/>
        </w:rPr>
        <w:t xml:space="preserve">"assessments/</w:t>
      </w:r>
      <w:r>
        <w:rPr>
          <w:rStyle w:val="VariableTok"/>
        </w:rPr>
        <w:t xml:space="preserve">$Domain</w:t>
      </w:r>
      <w:r>
        <w:rPr>
          <w:rStyle w:val="StringTok"/>
        </w:rPr>
        <w:t xml:space="preserve">/</w:t>
      </w:r>
      <w:r>
        <w:rPr>
          <w:rStyle w:val="VariableTok"/>
        </w:rPr>
        <w:t xml:space="preserve">$timestamp</w:t>
      </w:r>
      <w:r>
        <w:rPr>
          <w:rStyle w:val="StringTok"/>
        </w:rPr>
        <w:t xml:space="preserve">"</w:t>
      </w:r>
      <w:r>
        <w:br/>
      </w:r>
      <w:r>
        <w:rPr>
          <w:rStyle w:val="NormalTok"/>
        </w:rPr>
        <w:t xml:space="preserve">    </w:t>
      </w:r>
      <w:r>
        <w:rPr>
          <w:rStyle w:val="VariableTok"/>
        </w:rPr>
        <w:t xml:space="preserve">$branch</w:t>
      </w:r>
      <w:r>
        <w:rPr>
          <w:rStyle w:val="NormalTok"/>
        </w:rPr>
        <w:t xml:space="preserve">    </w:t>
      </w:r>
      <w:r>
        <w:rPr>
          <w:rStyle w:val="OperatorTok"/>
        </w:rPr>
        <w:t xml:space="preserve">=</w:t>
      </w:r>
      <w:r>
        <w:rPr>
          <w:rStyle w:val="NormalTok"/>
        </w:rPr>
        <w:t xml:space="preserve"> </w:t>
      </w:r>
      <w:r>
        <w:rPr>
          <w:rStyle w:val="StringTok"/>
        </w:rPr>
        <w:t xml:space="preserve">"assessment/</w:t>
      </w:r>
      <w:r>
        <w:rPr>
          <w:rStyle w:val="VariableTok"/>
        </w:rPr>
        <w:t xml:space="preserve">$Domain</w:t>
      </w:r>
      <w:r>
        <w:rPr>
          <w:rStyle w:val="StringTok"/>
        </w:rPr>
        <w:t xml:space="preserve">/</w:t>
      </w:r>
      <w:r>
        <w:rPr>
          <w:rStyle w:val="VariableTok"/>
        </w:rPr>
        <w:t xml:space="preserve">$timestamp</w:t>
      </w:r>
      <w:r>
        <w:rPr>
          <w:rStyle w:val="StringTok"/>
        </w:rPr>
        <w:t xml:space="preserve">"</w:t>
      </w:r>
      <w:r>
        <w:br/>
      </w:r>
      <w:r>
        <w:br/>
      </w:r>
      <w:r>
        <w:rPr>
          <w:rStyle w:val="NormalTok"/>
        </w:rPr>
        <w:t xml:space="preserve">    </w:t>
      </w:r>
      <w:r>
        <w:rPr>
          <w:rStyle w:val="CommentTok"/>
        </w:rPr>
        <w:t xml:space="preserve"># Every path is new under a timestamped folder, so each operation is a create.</w:t>
      </w:r>
      <w:r>
        <w:br/>
      </w:r>
      <w:r>
        <w:rPr>
          <w:rStyle w:val="NormalTok"/>
        </w:rPr>
        <w:t xml:space="preserve">    </w:t>
      </w:r>
      <w:r>
        <w:rPr>
          <w:rStyle w:val="VariableTok"/>
        </w:rPr>
        <w:t xml:space="preserve">$files</w:t>
      </w:r>
      <w:r>
        <w:rPr>
          <w:rStyle w:val="NormalTok"/>
        </w:rPr>
        <w:t xml:space="preserve"> </w:t>
      </w:r>
      <w:r>
        <w:rPr>
          <w:rStyle w:val="OperatorTok"/>
        </w:rPr>
        <w:t xml:space="preserve">=</w:t>
      </w:r>
      <w:r>
        <w:rPr>
          <w:rStyle w:val="NormalTok"/>
        </w:rPr>
        <w:t xml:space="preserve"> </w:t>
      </w:r>
      <w:r>
        <w:rPr>
          <w:rStyle w:val="FunctionTok"/>
        </w:rPr>
        <w:t xml:space="preserve">Get-ChildItem</w:t>
      </w:r>
      <w:r>
        <w:rPr>
          <w:rStyle w:val="NormalTok"/>
        </w:rPr>
        <w:t xml:space="preserve"> </w:t>
      </w:r>
      <w:r>
        <w:rPr>
          <w:rStyle w:val="OperatorTok"/>
        </w:rPr>
        <w:t xml:space="preserve">-</w:t>
      </w:r>
      <w:r>
        <w:rPr>
          <w:rStyle w:val="NormalTok"/>
        </w:rPr>
        <w:t xml:space="preserve">Path </w:t>
      </w:r>
      <w:r>
        <w:rPr>
          <w:rStyle w:val="VariableTok"/>
        </w:rPr>
        <w:t xml:space="preserve">$RunPath</w:t>
      </w:r>
      <w:r>
        <w:rPr>
          <w:rStyle w:val="NormalTok"/>
        </w:rPr>
        <w:t xml:space="preserve"> </w:t>
      </w:r>
      <w:r>
        <w:rPr>
          <w:rStyle w:val="OperatorTok"/>
        </w:rPr>
        <w:t xml:space="preserve">-</w:t>
      </w:r>
      <w:r>
        <w:rPr>
          <w:rStyle w:val="NormalTok"/>
        </w:rPr>
        <w:t xml:space="preserve">Recurse </w:t>
      </w:r>
      <w:r>
        <w:rPr>
          <w:rStyle w:val="OperatorTok"/>
        </w:rPr>
        <w:t xml:space="preserve">-</w:t>
      </w:r>
      <w:r>
        <w:rPr>
          <w:rStyle w:val="NormalTok"/>
        </w:rPr>
        <w:t xml:space="preserve">File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operation </w:t>
      </w:r>
      <w:r>
        <w:rPr>
          <w:rStyle w:val="OperatorTok"/>
        </w:rPr>
        <w:t xml:space="preserve">=</w:t>
      </w:r>
      <w:r>
        <w:rPr>
          <w:rStyle w:val="NormalTok"/>
        </w:rPr>
        <w:t xml:space="preserve"> </w:t>
      </w:r>
      <w:r>
        <w:rPr>
          <w:rStyle w:val="StringTok"/>
        </w:rPr>
        <w:t xml:space="preserve">'create'</w:t>
      </w:r>
      <w:r>
        <w:br/>
      </w:r>
      <w:r>
        <w:rPr>
          <w:rStyle w:val="NormalTok"/>
        </w:rPr>
        <w:t xml:space="preserve">            path      </w:t>
      </w:r>
      <w:r>
        <w:rPr>
          <w:rStyle w:val="OperatorTok"/>
        </w:rPr>
        <w:t xml:space="preserve">=</w:t>
      </w:r>
      <w:r>
        <w:rPr>
          <w:rStyle w:val="NormalTok"/>
        </w:rPr>
        <w:t xml:space="preserve"> </w:t>
      </w:r>
      <w:r>
        <w:rPr>
          <w:rStyle w:val="StringTok"/>
        </w:rPr>
        <w:t xml:space="preserve">"</w:t>
      </w:r>
      <w:r>
        <w:rPr>
          <w:rStyle w:val="VariableTok"/>
        </w:rPr>
        <w:t xml:space="preserve">$prefix</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FullName</w:t>
      </w:r>
      <w:r>
        <w:rPr>
          <w:rStyle w:val="OperatorTok"/>
        </w:rPr>
        <w:t xml:space="preserve">.</w:t>
      </w:r>
      <w:r>
        <w:rPr>
          <w:rStyle w:val="FunctionTok"/>
        </w:rPr>
        <w:t xml:space="preserve">Substring</w:t>
      </w:r>
      <w:r>
        <w:rPr>
          <w:rStyle w:val="OperatorTok"/>
        </w:rPr>
        <w:t xml:space="preserve">(</w:t>
      </w:r>
      <w:r>
        <w:rPr>
          <w:rStyle w:val="VariableTok"/>
        </w:rPr>
        <w:t xml:space="preserve">$RunPath</w:t>
      </w:r>
      <w:r>
        <w:rPr>
          <w:rStyle w:val="OperatorTok"/>
        </w:rPr>
        <w:t xml:space="preserve">.</w:t>
      </w:r>
      <w:r>
        <w:rPr>
          <w:rStyle w:val="FunctionTok"/>
        </w:rPr>
        <w:t xml:space="preserve">Length</w:t>
      </w:r>
      <w:r>
        <w:rPr>
          <w:rStyle w:val="OperatorTok"/>
        </w:rPr>
        <w:t xml:space="preserve">).</w:t>
      </w:r>
      <w:r>
        <w:rPr>
          <w:rStyle w:val="FunctionTok"/>
        </w:rPr>
        <w:t xml:space="preserve">TrimStart</w:t>
      </w:r>
      <w:r>
        <w:rPr>
          <w:rStyle w:val="OperatorTok"/>
        </w:rPr>
        <w:t xml:space="preserve">(</w:t>
      </w:r>
      <w:r>
        <w:rPr>
          <w:rStyle w:val="StringTok"/>
        </w:rPr>
        <w:t xml:space="preserve">'\'</w:t>
      </w:r>
      <w:r>
        <w:rPr>
          <w:rStyle w:val="OperatorTok"/>
        </w:rPr>
        <w:t xml:space="preserve">)</w:t>
      </w:r>
      <w:r>
        <w:rPr>
          <w:rStyle w:val="NormalTok"/>
        </w:rPr>
        <w:t xml:space="preserve"> </w:t>
      </w:r>
      <w:r>
        <w:rPr>
          <w:rStyle w:val="OperatorTok"/>
        </w:rPr>
        <w:t xml:space="preserve">-replace</w:t>
      </w:r>
      <w:r>
        <w:rPr>
          <w:rStyle w:val="NormalTok"/>
        </w:rPr>
        <w:t xml:space="preserve"> </w:t>
      </w:r>
      <w:r>
        <w:rPr>
          <w:rStyle w:val="StringTok"/>
        </w:rPr>
        <w:t xml:space="preserve">'\\'</w:t>
      </w:r>
      <w:r>
        <w:rPr>
          <w:rStyle w:val="OperatorTok"/>
        </w:rPr>
        <w:t xml:space="preserve">,</w:t>
      </w:r>
      <w:r>
        <w:rPr>
          <w:rStyle w:val="NormalTok"/>
        </w:rPr>
        <w:t xml:space="preserve"> </w:t>
      </w:r>
      <w:r>
        <w:rPr>
          <w:rStyle w:val="StringTok"/>
        </w:rPr>
        <w:t xml:space="preserve">'/'</w:t>
      </w:r>
      <w:r>
        <w:rPr>
          <w:rStyle w:val="OperatorTok"/>
        </w:rPr>
        <w:t xml:space="preserve">)</w:t>
      </w:r>
      <w:r>
        <w:br/>
      </w:r>
      <w:r>
        <w:rPr>
          <w:rStyle w:val="NormalTok"/>
        </w:rPr>
        <w:t xml:space="preserve">            content   </w:t>
      </w:r>
      <w:r>
        <w:rPr>
          <w:rStyle w:val="OperatorTok"/>
        </w:rPr>
        <w:t xml:space="preserve">=</w:t>
      </w:r>
      <w:r>
        <w:rPr>
          <w:rStyle w:val="NormalTok"/>
        </w:rPr>
        <w:t xml:space="preserve"> </w:t>
      </w:r>
      <w:r>
        <w:rPr>
          <w:rStyle w:val="OperatorTok"/>
        </w:rPr>
        <w:t xml:space="preserve">[</w:t>
      </w:r>
      <w:r>
        <w:rPr>
          <w:rStyle w:val="NormalTok"/>
        </w:rPr>
        <w:t xml:space="preserve">Convert</w:t>
      </w:r>
      <w:r>
        <w:rPr>
          <w:rStyle w:val="OperatorTok"/>
        </w:rPr>
        <w:t xml:space="preserve">]::</w:t>
      </w:r>
      <w:r>
        <w:rPr>
          <w:rStyle w:val="NormalTok"/>
        </w:rPr>
        <w:t xml:space="preserve">ToBase64String</w:t>
      </w:r>
      <w:r>
        <w:rPr>
          <w:rStyle w:val="OperatorTok"/>
        </w:rPr>
        <w:t xml:space="preserve">([</w:t>
      </w:r>
      <w:r>
        <w:rPr>
          <w:rStyle w:val="NormalTok"/>
        </w:rPr>
        <w:t xml:space="preserve">IO</w:t>
      </w:r>
      <w:r>
        <w:rPr>
          <w:rStyle w:val="OperatorTok"/>
        </w:rPr>
        <w:t xml:space="preserve">.</w:t>
      </w:r>
      <w:r>
        <w:rPr>
          <w:rStyle w:val="FunctionTok"/>
        </w:rPr>
        <w:t xml:space="preserve">File</w:t>
      </w:r>
      <w:r>
        <w:rPr>
          <w:rStyle w:val="OperatorTok"/>
        </w:rPr>
        <w:t xml:space="preserve">]::</w:t>
      </w:r>
      <w:r>
        <w:rPr>
          <w:rStyle w:val="NormalTok"/>
        </w:rPr>
        <w:t xml:space="preserve">ReadAllBytes</w:t>
      </w:r>
      <w:r>
        <w:rPr>
          <w:rStyle w:val="OperatorTok"/>
        </w:rPr>
        <w:t xml:space="preserve">(</w:t>
      </w:r>
      <w:r>
        <w:rPr>
          <w:rStyle w:val="VariableTok"/>
        </w:rPr>
        <w:t xml:space="preserve">$_</w:t>
      </w:r>
      <w:r>
        <w:rPr>
          <w:rStyle w:val="OperatorTok"/>
        </w:rPr>
        <w:t xml:space="preserve">.</w:t>
      </w:r>
      <w:r>
        <w:rPr>
          <w:rStyle w:val="FunctionTok"/>
        </w:rPr>
        <w:t xml:space="preserve">FullName</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branch     </w:t>
      </w:r>
      <w:r>
        <w:rPr>
          <w:rStyle w:val="OperatorTok"/>
        </w:rPr>
        <w:t xml:space="preserve">=</w:t>
      </w:r>
      <w:r>
        <w:rPr>
          <w:rStyle w:val="NormalTok"/>
        </w:rPr>
        <w:t xml:space="preserve"> </w:t>
      </w:r>
      <w:r>
        <w:rPr>
          <w:rStyle w:val="VariableTok"/>
        </w:rPr>
        <w:t xml:space="preserve">$BaseBranch</w:t>
      </w:r>
      <w:r>
        <w:br/>
      </w:r>
      <w:r>
        <w:rPr>
          <w:rStyle w:val="NormalTok"/>
        </w:rPr>
        <w:t xml:space="preserve">        new_branch </w:t>
      </w:r>
      <w:r>
        <w:rPr>
          <w:rStyle w:val="OperatorTok"/>
        </w:rPr>
        <w:t xml:space="preserve">=</w:t>
      </w:r>
      <w:r>
        <w:rPr>
          <w:rStyle w:val="NormalTok"/>
        </w:rPr>
        <w:t xml:space="preserve"> </w:t>
      </w:r>
      <w:r>
        <w:rPr>
          <w:rStyle w:val="VariableTok"/>
        </w:rPr>
        <w:t xml:space="preserve">$branch</w:t>
      </w:r>
      <w:r>
        <w:br/>
      </w:r>
      <w:r>
        <w:rPr>
          <w:rStyle w:val="NormalTok"/>
        </w:rPr>
        <w:t xml:space="preserve">        message    </w:t>
      </w:r>
      <w:r>
        <w:rPr>
          <w:rStyle w:val="OperatorTok"/>
        </w:rPr>
        <w:t xml:space="preserve">=</w:t>
      </w:r>
      <w:r>
        <w:rPr>
          <w:rStyle w:val="NormalTok"/>
        </w:rPr>
        <w:t xml:space="preserve"> </w:t>
      </w:r>
      <w:r>
        <w:rPr>
          <w:rStyle w:val="StringTok"/>
        </w:rPr>
        <w:t xml:space="preserve">"Assessment: </w:t>
      </w:r>
      <w:r>
        <w:rPr>
          <w:rStyle w:val="VariableTok"/>
        </w:rPr>
        <w:t xml:space="preserve">$Domain</w:t>
      </w:r>
      <w:r>
        <w:rPr>
          <w:rStyle w:val="StringTok"/>
        </w:rPr>
        <w:t xml:space="preserve"> @ </w:t>
      </w:r>
      <w:r>
        <w:rPr>
          <w:rStyle w:val="VariableTok"/>
        </w:rPr>
        <w:t xml:space="preserve">$timestamp</w:t>
      </w:r>
      <w:r>
        <w:rPr>
          <w:rStyle w:val="StringTok"/>
        </w:rPr>
        <w:t xml:space="preserve">"</w:t>
      </w:r>
      <w:r>
        <w:br/>
      </w:r>
      <w:r>
        <w:rPr>
          <w:rStyle w:val="NormalTok"/>
        </w:rPr>
        <w:t xml:space="preserve">        files      </w:t>
      </w:r>
      <w:r>
        <w:rPr>
          <w:rStyle w:val="OperatorTok"/>
        </w:rPr>
        <w:t xml:space="preserve">=</w:t>
      </w:r>
      <w:r>
        <w:rPr>
          <w:rStyle w:val="NormalTok"/>
        </w:rPr>
        <w:t xml:space="preserve"> </w:t>
      </w:r>
      <w:r>
        <w:rPr>
          <w:rStyle w:val="OperatorTok"/>
        </w:rPr>
        <w:t xml:space="preserve">@(</w:t>
      </w:r>
      <w:r>
        <w:rPr>
          <w:rStyle w:val="VariableTok"/>
        </w:rPr>
        <w:t xml:space="preserve">$files</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br/>
      </w:r>
      <w:r>
        <w:br/>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StringTok"/>
        </w:rPr>
        <w:t xml:space="preserve">"</w:t>
      </w:r>
      <w:r>
        <w:rPr>
          <w:rStyle w:val="VariableTok"/>
        </w:rPr>
        <w:t xml:space="preserve">$BaseUrl</w:t>
      </w:r>
      <w:r>
        <w:rPr>
          <w:rStyle w:val="StringTok"/>
        </w:rPr>
        <w:t xml:space="preserve">/repos/</w:t>
      </w:r>
      <w:r>
        <w:rPr>
          <w:rStyle w:val="VariableTok"/>
        </w:rPr>
        <w:t xml:space="preserve">$Owner</w:t>
      </w:r>
      <w:r>
        <w:rPr>
          <w:rStyle w:val="StringTok"/>
        </w:rPr>
        <w:t xml:space="preserve">/</w:t>
      </w:r>
      <w:r>
        <w:rPr>
          <w:rStyle w:val="VariableTok"/>
        </w:rPr>
        <w:t xml:space="preserve">$Repo</w:t>
      </w:r>
      <w:r>
        <w:rPr>
          <w:rStyle w:val="StringTok"/>
        </w:rPr>
        <w:t xml:space="preserve">/contents"</w:t>
      </w:r>
      <w:r>
        <w:rPr>
          <w:rStyle w:val="NormalTok"/>
        </w:rPr>
        <w:t xml:space="preserve"> </w:t>
      </w:r>
      <w:r>
        <w:rPr>
          <w:rStyle w:val="OperatorTok"/>
        </w:rPr>
        <w:t xml:space="preserve">-</w:t>
      </w:r>
      <w:r>
        <w:rPr>
          <w:rStyle w:val="NormalTok"/>
        </w:rPr>
        <w:t xml:space="preserve">Method Post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Body </w:t>
      </w:r>
      <w:r>
        <w:rPr>
          <w:rStyle w:val="VariableTok"/>
        </w:rPr>
        <w:t xml:space="preserve">$body</w:t>
      </w:r>
      <w:r>
        <w:br/>
      </w:r>
      <w:r>
        <w:rPr>
          <w:rStyle w:val="OperatorTok"/>
        </w:rPr>
        <w:t xml:space="preserve">}</w:t>
      </w:r>
      <w:r>
        <w:br/>
      </w:r>
      <w:r>
        <w:br/>
      </w:r>
      <w:r>
        <w:rPr>
          <w:rStyle w:val="KeywordTok"/>
        </w:rPr>
        <w:t xml:space="preserve">function</w:t>
      </w:r>
      <w:r>
        <w:rPr>
          <w:rStyle w:val="NormalTok"/>
        </w:rPr>
        <w:t xml:space="preserve"> New-FMPSecurityIssue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Creates an issue for a critical finding. Label names are resolved to IDs first.</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$BaseUrl</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$Owner</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$Repo</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NormalTok"/>
        </w:rPr>
        <w:t xml:space="preserve">securestring</w:t>
      </w:r>
      <w:r>
        <w:rPr>
          <w:rStyle w:val="OperatorTok"/>
        </w:rPr>
        <w:t xml:space="preserve">]</w:t>
      </w:r>
      <w:r>
        <w:rPr>
          <w:rStyle w:val="VariableTok"/>
        </w:rPr>
        <w:t xml:space="preserve">$Token</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$Title</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$Body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$Labels</w:t>
      </w:r>
      <w:r>
        <w:rPr>
          <w:rStyle w:val="NormalTok"/>
        </w:rPr>
        <w:t xml:space="preserve"> </w:t>
      </w:r>
      <w:r>
        <w:rPr>
          <w:rStyle w:val="OperatorTok"/>
        </w:rPr>
        <w:t xml:space="preserve">=</w:t>
      </w:r>
      <w:r>
        <w:rPr>
          <w:rStyle w:val="NormalTok"/>
        </w:rPr>
        <w:t xml:space="preserve"> </w:t>
      </w:r>
      <w:r>
        <w:rPr>
          <w:rStyle w:val="OperatorTok"/>
        </w:rPr>
        <w:t xml:space="preserve">@(</w:t>
      </w:r>
      <w:r>
        <w:rPr>
          <w:rStyle w:val="StringTok"/>
        </w:rPr>
        <w:t xml:space="preserve">'security'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$headers</w:t>
      </w:r>
      <w:r>
        <w:rPr>
          <w:rStyle w:val="NormalTok"/>
        </w:rPr>
        <w:t xml:space="preserve"> </w:t>
      </w:r>
      <w:r>
        <w:rPr>
          <w:rStyle w:val="OperatorTok"/>
        </w:rPr>
        <w:t xml:space="preserve">=</w:t>
      </w:r>
      <w:r>
        <w:rPr>
          <w:rStyle w:val="NormalTok"/>
        </w:rPr>
        <w:t xml:space="preserve"> Get-FMPGiteaHeaders </w:t>
      </w:r>
      <w:r>
        <w:rPr>
          <w:rStyle w:val="OperatorTok"/>
        </w:rPr>
        <w:t xml:space="preserve">-</w:t>
      </w:r>
      <w:r>
        <w:rPr>
          <w:rStyle w:val="NormalTok"/>
        </w:rPr>
        <w:t xml:space="preserve">Token </w:t>
      </w:r>
      <w:r>
        <w:rPr>
          <w:rStyle w:val="VariableTok"/>
        </w:rPr>
        <w:t xml:space="preserve">$Token</w:t>
      </w:r>
      <w:r>
        <w:br/>
      </w:r>
      <w:r>
        <w:rPr>
          <w:rStyle w:val="NormalTok"/>
        </w:rPr>
        <w:t xml:space="preserve">    </w:t>
      </w:r>
      <w:r>
        <w:rPr>
          <w:rStyle w:val="VariableTok"/>
        </w:rPr>
        <w:t xml:space="preserve">$all</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StringTok"/>
        </w:rPr>
        <w:t xml:space="preserve">"</w:t>
      </w:r>
      <w:r>
        <w:rPr>
          <w:rStyle w:val="VariableTok"/>
        </w:rPr>
        <w:t xml:space="preserve">$BaseUrl</w:t>
      </w:r>
      <w:r>
        <w:rPr>
          <w:rStyle w:val="StringTok"/>
        </w:rPr>
        <w:t xml:space="preserve">/repos/</w:t>
      </w:r>
      <w:r>
        <w:rPr>
          <w:rStyle w:val="VariableTok"/>
        </w:rPr>
        <w:t xml:space="preserve">$Owner</w:t>
      </w:r>
      <w:r>
        <w:rPr>
          <w:rStyle w:val="StringTok"/>
        </w:rPr>
        <w:t xml:space="preserve">/</w:t>
      </w:r>
      <w:r>
        <w:rPr>
          <w:rStyle w:val="VariableTok"/>
        </w:rPr>
        <w:t xml:space="preserve">$Repo</w:t>
      </w:r>
      <w:r>
        <w:rPr>
          <w:rStyle w:val="StringTok"/>
        </w:rPr>
        <w:t xml:space="preserve">/labels"</w:t>
      </w:r>
      <w:r>
        <w:rPr>
          <w:rStyle w:val="NormalTok"/>
        </w:rPr>
        <w:t xml:space="preserve"> </w:t>
      </w:r>
      <w:r>
        <w:rPr>
          <w:rStyle w:val="OperatorTok"/>
        </w:rPr>
        <w:t xml:space="preserve">-</w:t>
      </w:r>
      <w:r>
        <w:rPr>
          <w:rStyle w:val="NormalTok"/>
        </w:rPr>
        <w:t xml:space="preserve">Method Get </w:t>
      </w:r>
      <w:r>
        <w:rPr>
          <w:rStyle w:val="OperatorTok"/>
        </w:rPr>
        <w:t xml:space="preserve">-</w:t>
      </w:r>
      <w:r>
        <w:rPr>
          <w:rStyle w:val="NormalTok"/>
        </w:rPr>
        <w:t xml:space="preserve">Headers </w:t>
      </w:r>
      <w:r>
        <w:rPr>
          <w:rStyle w:val="VariableTok"/>
        </w:rPr>
        <w:t xml:space="preserve">$headers</w:t>
      </w:r>
      <w:r>
        <w:br/>
      </w:r>
      <w:r>
        <w:rPr>
          <w:rStyle w:val="NormalTok"/>
        </w:rPr>
        <w:t xml:space="preserve">    </w:t>
      </w:r>
      <w:r>
        <w:rPr>
          <w:rStyle w:val="VariableTok"/>
        </w:rPr>
        <w:t xml:space="preserve">$ids</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$all</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w:t>
      </w:r>
      <w:r>
        <w:rPr>
          <w:rStyle w:val="NormalTok"/>
        </w:rPr>
        <w:t xml:space="preserve">in </w:t>
      </w:r>
      <w:r>
        <w:rPr>
          <w:rStyle w:val="VariableTok"/>
        </w:rPr>
        <w:t xml:space="preserve">$Labels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int64</w:t>
      </w:r>
      <w:r>
        <w:rPr>
          <w:rStyle w:val="OperatorTok"/>
        </w:rPr>
        <w:t xml:space="preserve">]</w:t>
      </w:r>
      <w:r>
        <w:rPr>
          <w:rStyle w:val="VariableTok"/>
        </w:rPr>
        <w:t xml:space="preserve">$_</w:t>
      </w:r>
      <w:r>
        <w:rPr>
          <w:rStyle w:val="OperatorTok"/>
        </w:rPr>
        <w:t xml:space="preserve">.</w:t>
      </w:r>
      <w:r>
        <w:rPr>
          <w:rStyle w:val="FunctionTok"/>
        </w:rPr>
        <w:t xml:space="preserve">id</w:t>
      </w:r>
      <w:r>
        <w:rPr>
          <w:rStyle w:val="NormalTok"/>
        </w:rPr>
        <w:t xml:space="preserve"> </w:t>
      </w:r>
      <w:r>
        <w:rPr>
          <w:rStyle w:val="OperatorTok"/>
        </w:rPr>
        <w:t xml:space="preserve">})</w:t>
      </w:r>
      <w:r>
        <w:br/>
      </w:r>
      <w:r>
        <w:rPr>
          <w:rStyle w:val="NormalTok"/>
        </w:rPr>
        <w:t xml:space="preserve">    </w:t>
      </w:r>
      <w:r>
        <w:rPr>
          <w:rStyle w:val="VariableTok"/>
        </w:rPr>
        <w:t xml:space="preserve">$missing</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$Labels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NormalTok"/>
        </w:rPr>
        <w:t xml:space="preserve"> </w:t>
      </w:r>
      <w:r>
        <w:rPr>
          <w:rStyle w:val="OperatorTok"/>
        </w:rPr>
        <w:t xml:space="preserve">-</w:t>
      </w:r>
      <w:r>
        <w:rPr>
          <w:rStyle w:val="NormalTok"/>
        </w:rPr>
        <w:t xml:space="preserve">notin </w:t>
      </w:r>
      <w:r>
        <w:rPr>
          <w:rStyle w:val="VariableTok"/>
        </w:rPr>
        <w:t xml:space="preserve">$all</w:t>
      </w:r>
      <w:r>
        <w:rPr>
          <w:rStyle w:val="OperatorTok"/>
        </w:rPr>
        <w:t xml:space="preserve">.</w:t>
      </w:r>
      <w:r>
        <w:rPr>
          <w:rStyle w:val="FunctionTok"/>
        </w:rPr>
        <w:t xml:space="preserve">name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$missing</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Write-Warning</w:t>
      </w:r>
      <w:r>
        <w:rPr>
          <w:rStyle w:val="NormalTok"/>
        </w:rPr>
        <w:t xml:space="preserve"> </w:t>
      </w:r>
      <w:r>
        <w:rPr>
          <w:rStyle w:val="StringTok"/>
        </w:rPr>
        <w:t xml:space="preserve">"Labels not found in </w:t>
      </w:r>
      <w:r>
        <w:rPr>
          <w:rStyle w:val="PreprocessorTok"/>
        </w:rPr>
        <w:t xml:space="preserve">${</w:t>
      </w:r>
      <w:r>
        <w:rPr>
          <w:rStyle w:val="VariableTok"/>
        </w:rPr>
        <w:t xml:space="preserve">Repo</w:t>
      </w:r>
      <w:r>
        <w:rPr>
          <w:rStyle w:val="PreprocessorTok"/>
        </w:rPr>
        <w:t xml:space="preserve">}</w:t>
      </w:r>
      <w:r>
        <w:rPr>
          <w:rStyle w:val="StringTok"/>
        </w:rPr>
        <w:t xml:space="preserve">: </w:t>
      </w:r>
      <w:r>
        <w:rPr>
          <w:rStyle w:val="OperatorTok"/>
        </w:rPr>
        <w:t xml:space="preserve">$(</w:t>
      </w:r>
      <w:r>
        <w:rPr>
          <w:rStyle w:val="VariableTok"/>
        </w:rPr>
        <w:t xml:space="preserve">$missing</w:t>
      </w:r>
      <w:r>
        <w:rPr>
          <w:rStyle w:val="NormalTok"/>
        </w:rPr>
        <w:t xml:space="preserve"> </w:t>
      </w:r>
      <w:r>
        <w:rPr>
          <w:rStyle w:val="OperatorTok"/>
        </w:rPr>
        <w:t xml:space="preserve">-join</w:t>
      </w:r>
      <w:r>
        <w:rPr>
          <w:rStyle w:val="NormalTok"/>
        </w:rPr>
        <w:t xml:space="preserve"> </w:t>
      </w:r>
      <w:r>
        <w:rPr>
          <w:rStyle w:val="StringTok"/>
        </w:rPr>
        <w:t xml:space="preserve">', '</w:t>
      </w:r>
      <w:r>
        <w:rPr>
          <w:rStyle w:val="OperatorTok"/>
        </w:rPr>
        <w:t xml:space="preserve">)</w:t>
      </w:r>
      <w:r>
        <w:rPr>
          <w:rStyle w:val="StringTok"/>
        </w:rPr>
        <w:t xml:space="preserve">"</w:t>
      </w:r>
      <w:r>
        <w:rPr>
          <w:rStyle w:val="NormalTok"/>
        </w:rPr>
        <w:t xml:space="preserve"> </w:t>
      </w:r>
      <w:r>
        <w:rPr>
          <w:rStyle w:val="OperatorTok"/>
        </w:rPr>
        <w:t xml:space="preserve">}</w:t>
      </w:r>
      <w:r>
        <w:br/>
      </w:r>
      <w:r>
        <w:br/>
      </w:r>
      <w:r>
        <w:rPr>
          <w:rStyle w:val="NormalTok"/>
        </w:rPr>
        <w:t xml:space="preserve">    </w:t>
      </w:r>
      <w:r>
        <w:rPr>
          <w:rStyle w:val="VariableTok"/>
        </w:rPr>
        <w:t xml:space="preserve">$payload</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title </w:t>
      </w:r>
      <w:r>
        <w:rPr>
          <w:rStyle w:val="OperatorTok"/>
        </w:rPr>
        <w:t xml:space="preserve">=</w:t>
      </w:r>
      <w:r>
        <w:rPr>
          <w:rStyle w:val="NormalTok"/>
        </w:rPr>
        <w:t xml:space="preserve"> </w:t>
      </w:r>
      <w:r>
        <w:rPr>
          <w:rStyle w:val="VariableTok"/>
        </w:rPr>
        <w:t xml:space="preserve">$Title</w:t>
      </w:r>
      <w:r>
        <w:rPr>
          <w:rStyle w:val="OperatorTok"/>
        </w:rPr>
        <w:t xml:space="preserve">;</w:t>
      </w:r>
      <w:r>
        <w:rPr>
          <w:rStyle w:val="NormalTok"/>
        </w:rPr>
        <w:t xml:space="preserve"> body </w:t>
      </w:r>
      <w:r>
        <w:rPr>
          <w:rStyle w:val="OperatorTok"/>
        </w:rPr>
        <w:t xml:space="preserve">=</w:t>
      </w:r>
      <w:r>
        <w:rPr>
          <w:rStyle w:val="NormalTok"/>
        </w:rPr>
        <w:t xml:space="preserve"> </w:t>
      </w:r>
      <w:r>
        <w:rPr>
          <w:rStyle w:val="VariableTok"/>
        </w:rPr>
        <w:t xml:space="preserve">$Body</w:t>
      </w:r>
      <w:r>
        <w:rPr>
          <w:rStyle w:val="OperatorTok"/>
        </w:rPr>
        <w:t xml:space="preserve">;</w:t>
      </w:r>
      <w:r>
        <w:rPr>
          <w:rStyle w:val="NormalTok"/>
        </w:rPr>
        <w:t xml:space="preserve"> labels </w:t>
      </w:r>
      <w:r>
        <w:rPr>
          <w:rStyle w:val="OperatorTok"/>
        </w:rPr>
        <w:t xml:space="preserve">=</w:t>
      </w:r>
      <w:r>
        <w:rPr>
          <w:rStyle w:val="NormalTok"/>
        </w:rPr>
        <w:t xml:space="preserve"> </w:t>
      </w:r>
      <w:r>
        <w:rPr>
          <w:rStyle w:val="VariableTok"/>
        </w:rPr>
        <w:t xml:space="preserve">$ids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3</w:t>
      </w:r>
      <w:r>
        <w:br/>
      </w:r>
      <w:r>
        <w:rPr>
          <w:rStyle w:val="NormalTok"/>
        </w:rPr>
        <w:t xml:space="preserve">    </w:t>
      </w:r>
      <w:r>
        <w:rPr>
          <w:rStyle w:val="VariableTok"/>
        </w:rPr>
        <w:t xml:space="preserve">$resp</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StringTok"/>
        </w:rPr>
        <w:t xml:space="preserve">"</w:t>
      </w:r>
      <w:r>
        <w:rPr>
          <w:rStyle w:val="VariableTok"/>
        </w:rPr>
        <w:t xml:space="preserve">$BaseUrl</w:t>
      </w:r>
      <w:r>
        <w:rPr>
          <w:rStyle w:val="StringTok"/>
        </w:rPr>
        <w:t xml:space="preserve">/repos/</w:t>
      </w:r>
      <w:r>
        <w:rPr>
          <w:rStyle w:val="VariableTok"/>
        </w:rPr>
        <w:t xml:space="preserve">$Owner</w:t>
      </w:r>
      <w:r>
        <w:rPr>
          <w:rStyle w:val="StringTok"/>
        </w:rPr>
        <w:t xml:space="preserve">/</w:t>
      </w:r>
      <w:r>
        <w:rPr>
          <w:rStyle w:val="VariableTok"/>
        </w:rPr>
        <w:t xml:space="preserve">$Repo</w:t>
      </w:r>
      <w:r>
        <w:rPr>
          <w:rStyle w:val="StringTok"/>
        </w:rPr>
        <w:t xml:space="preserve">/issues"</w:t>
      </w:r>
      <w:r>
        <w:rPr>
          <w:rStyle w:val="NormalTok"/>
        </w:rPr>
        <w:t xml:space="preserve"> </w:t>
      </w:r>
      <w:r>
        <w:rPr>
          <w:rStyle w:val="OperatorTok"/>
        </w:rPr>
        <w:t xml:space="preserve">-</w:t>
      </w:r>
      <w:r>
        <w:rPr>
          <w:rStyle w:val="NormalTok"/>
        </w:rPr>
        <w:t xml:space="preserve">Method Post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Body </w:t>
      </w:r>
      <w:r>
        <w:rPr>
          <w:rStyle w:val="VariableTok"/>
        </w:rPr>
        <w:t xml:space="preserve">$payload</w:t>
      </w:r>
      <w:r>
        <w:br/>
      </w:r>
      <w:r>
        <w:rPr>
          <w:rStyle w:val="NormalTok"/>
        </w:rPr>
        <w:t xml:space="preserve">    </w:t>
      </w:r>
      <w:r>
        <w:rPr>
          <w:rStyle w:val="FunctionTok"/>
        </w:rPr>
        <w:t xml:space="preserve">Write-Host</w:t>
      </w:r>
      <w:r>
        <w:rPr>
          <w:rStyle w:val="NormalTok"/>
        </w:rPr>
        <w:t xml:space="preserve"> </w:t>
      </w:r>
      <w:r>
        <w:rPr>
          <w:rStyle w:val="StringTok"/>
        </w:rPr>
        <w:t xml:space="preserve">"Issue created: </w:t>
      </w:r>
      <w:r>
        <w:rPr>
          <w:rStyle w:val="OperatorTok"/>
        </w:rPr>
        <w:t xml:space="preserve">$(</w:t>
      </w:r>
      <w:r>
        <w:rPr>
          <w:rStyle w:val="VariableTok"/>
        </w:rPr>
        <w:t xml:space="preserve">$resp</w:t>
      </w:r>
      <w:r>
        <w:rPr>
          <w:rStyle w:val="OperatorTok"/>
        </w:rPr>
        <w:t xml:space="preserve">.</w:t>
      </w:r>
      <w:r>
        <w:rPr>
          <w:rStyle w:val="FunctionTok"/>
        </w:rPr>
        <w:t xml:space="preserve">html_url</w:t>
      </w:r>
      <w:r>
        <w:rPr>
          <w:rStyle w:val="OperatorTok"/>
        </w:rPr>
        <w:t xml:space="preserve">)</w:t>
      </w:r>
      <w:r>
        <w:rPr>
          <w:rStyle w:val="StringTok"/>
        </w:rPr>
        <w:t xml:space="preserve">"</w:t>
      </w:r>
      <w:r>
        <w:br/>
      </w:r>
      <w:r>
        <w:rPr>
          <w:rStyle w:val="NormalTok"/>
        </w:rPr>
        <w:t xml:space="preserve">    </w:t>
      </w:r>
      <w:r>
        <w:rPr>
          <w:rStyle w:val="VariableTok"/>
        </w:rPr>
        <w:t xml:space="preserve">$resp</w:t>
      </w:r>
      <w:r>
        <w:br/>
      </w:r>
      <w:r>
        <w:rPr>
          <w:rStyle w:val="OperatorTok"/>
        </w:rPr>
        <w:t xml:space="preserve">}</w:t>
      </w:r>
      <w:r>
        <w:br/>
      </w:r>
      <w:r>
        <w:br/>
      </w:r>
      <w:r>
        <w:rPr>
          <w:rStyle w:val="KeywordTok"/>
        </w:rPr>
        <w:t xml:space="preserve">function</w:t>
      </w:r>
      <w:r>
        <w:rPr>
          <w:rStyle w:val="NormalTok"/>
        </w:rPr>
        <w:t xml:space="preserve"> Invoke-FMPFindingIssues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Raises issues for critical PKI findings and non-DC unconstrained delegation.</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$BaseUrl</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$Owner</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$Repo</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NormalTok"/>
        </w:rPr>
        <w:t xml:space="preserve">securestring</w:t>
      </w:r>
      <w:r>
        <w:rPr>
          <w:rStyle w:val="OperatorTok"/>
        </w:rPr>
        <w:t xml:space="preserve">]</w:t>
      </w:r>
      <w:r>
        <w:rPr>
          <w:rStyle w:val="VariableTok"/>
        </w:rPr>
        <w:t xml:space="preserve">$Token</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$RunPath</w:t>
      </w:r>
      <w:r>
        <w:br/>
      </w:r>
      <w:r>
        <w:rPr>
          <w:rStyle w:val="NormalTok"/>
        </w:rPr>
        <w:t xml:space="preserve">    </w:t>
      </w:r>
      <w:r>
        <w:rPr>
          <w:rStyle w:val="OperatorTok"/>
        </w:rPr>
        <w:t xml:space="preserve">)</w:t>
      </w:r>
      <w:r>
        <w:br/>
      </w:r>
      <w:r>
        <w:rPr>
          <w:rStyle w:val="NormalTok"/>
        </w:rPr>
        <w:t xml:space="preserve">    </w:t>
      </w:r>
      <w:r>
        <w:rPr>
          <w:rStyle w:val="VariableTok"/>
        </w:rPr>
        <w:t xml:space="preserve">$common</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BaseUrl </w:t>
      </w:r>
      <w:r>
        <w:rPr>
          <w:rStyle w:val="OperatorTok"/>
        </w:rPr>
        <w:t xml:space="preserve">=</w:t>
      </w:r>
      <w:r>
        <w:rPr>
          <w:rStyle w:val="NormalTok"/>
        </w:rPr>
        <w:t xml:space="preserve"> </w:t>
      </w:r>
      <w:r>
        <w:rPr>
          <w:rStyle w:val="VariableTok"/>
        </w:rPr>
        <w:t xml:space="preserve">$BaseUrl</w:t>
      </w:r>
      <w:r>
        <w:rPr>
          <w:rStyle w:val="OperatorTok"/>
        </w:rPr>
        <w:t xml:space="preserve">;</w:t>
      </w:r>
      <w:r>
        <w:rPr>
          <w:rStyle w:val="NormalTok"/>
        </w:rPr>
        <w:t xml:space="preserve"> Owner </w:t>
      </w:r>
      <w:r>
        <w:rPr>
          <w:rStyle w:val="OperatorTok"/>
        </w:rPr>
        <w:t xml:space="preserve">=</w:t>
      </w:r>
      <w:r>
        <w:rPr>
          <w:rStyle w:val="NormalTok"/>
        </w:rPr>
        <w:t xml:space="preserve"> </w:t>
      </w:r>
      <w:r>
        <w:rPr>
          <w:rStyle w:val="VariableTok"/>
        </w:rPr>
        <w:t xml:space="preserve">$Owner</w:t>
      </w:r>
      <w:r>
        <w:rPr>
          <w:rStyle w:val="OperatorTok"/>
        </w:rPr>
        <w:t xml:space="preserve">;</w:t>
      </w:r>
      <w:r>
        <w:rPr>
          <w:rStyle w:val="NormalTok"/>
        </w:rPr>
        <w:t xml:space="preserve"> Repo </w:t>
      </w:r>
      <w:r>
        <w:rPr>
          <w:rStyle w:val="OperatorTok"/>
        </w:rPr>
        <w:t xml:space="preserve">=</w:t>
      </w:r>
      <w:r>
        <w:rPr>
          <w:rStyle w:val="NormalTok"/>
        </w:rPr>
        <w:t xml:space="preserve"> </w:t>
      </w:r>
      <w:r>
        <w:rPr>
          <w:rStyle w:val="VariableTok"/>
        </w:rPr>
        <w:t xml:space="preserve">$Repo</w:t>
      </w:r>
      <w:r>
        <w:rPr>
          <w:rStyle w:val="OperatorTok"/>
        </w:rPr>
        <w:t xml:space="preserve">;</w:t>
      </w:r>
      <w:r>
        <w:rPr>
          <w:rStyle w:val="NormalTok"/>
        </w:rPr>
        <w:t xml:space="preserve"> Token </w:t>
      </w:r>
      <w:r>
        <w:rPr>
          <w:rStyle w:val="OperatorTok"/>
        </w:rPr>
        <w:t xml:space="preserve">=</w:t>
      </w:r>
      <w:r>
        <w:rPr>
          <w:rStyle w:val="NormalTok"/>
        </w:rPr>
        <w:t xml:space="preserve"> </w:t>
      </w:r>
      <w:r>
        <w:rPr>
          <w:rStyle w:val="VariableTok"/>
        </w:rPr>
        <w:t xml:space="preserve">$Token</w:t>
      </w:r>
      <w:r>
        <w:rPr>
          <w:rStyle w:val="NormalTok"/>
        </w:rPr>
        <w:t xml:space="preserve"> </w:t>
      </w:r>
      <w:r>
        <w:rPr>
          <w:rStyle w:val="OperatorTok"/>
        </w:rPr>
        <w:t xml:space="preserve">}</w:t>
      </w:r>
      <w:r>
        <w:br/>
      </w:r>
      <w:r>
        <w:br/>
      </w:r>
      <w:r>
        <w:rPr>
          <w:rStyle w:val="NormalTok"/>
        </w:rPr>
        <w:t xml:space="preserve">    </w:t>
      </w:r>
      <w:r>
        <w:rPr>
          <w:rStyle w:val="VariableTok"/>
        </w:rPr>
        <w:t xml:space="preserve">$pkiReport</w:t>
      </w:r>
      <w:r>
        <w:rPr>
          <w:rStyle w:val="NormalTok"/>
        </w:rPr>
        <w:t xml:space="preserve"> </w:t>
      </w:r>
      <w:r>
        <w:rPr>
          <w:rStyle w:val="OperatorTok"/>
        </w:rPr>
        <w:t xml:space="preserve">=</w:t>
      </w:r>
      <w:r>
        <w:rPr>
          <w:rStyle w:val="NormalTok"/>
        </w:rPr>
        <w:t xml:space="preserve"> </w:t>
      </w:r>
      <w:r>
        <w:rPr>
          <w:rStyle w:val="FunctionTok"/>
        </w:rPr>
        <w:t xml:space="preserve">Join-Path</w:t>
      </w:r>
      <w:r>
        <w:rPr>
          <w:rStyle w:val="NormalTok"/>
        </w:rPr>
        <w:t xml:space="preserve"> </w:t>
      </w:r>
      <w:r>
        <w:rPr>
          <w:rStyle w:val="VariableTok"/>
        </w:rPr>
        <w:t xml:space="preserve">$RunPath</w:t>
      </w:r>
      <w:r>
        <w:rPr>
          <w:rStyle w:val="NormalTok"/>
        </w:rPr>
        <w:t xml:space="preserve"> </w:t>
      </w:r>
      <w:r>
        <w:rPr>
          <w:rStyle w:val="StringTok"/>
        </w:rPr>
        <w:t xml:space="preserve">'PKI\PKISecurityReport.json'</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FunctionTok"/>
        </w:rPr>
        <w:t xml:space="preserve">Test-Path</w:t>
      </w:r>
      <w:r>
        <w:rPr>
          <w:rStyle w:val="NormalTok"/>
        </w:rPr>
        <w:t xml:space="preserve"> </w:t>
      </w:r>
      <w:r>
        <w:rPr>
          <w:rStyle w:val="VariableTok"/>
        </w:rPr>
        <w:t xml:space="preserve">$pkiReport</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$f</w:t>
      </w:r>
      <w:r>
        <w:rPr>
          <w:rStyle w:val="NormalTok"/>
        </w:rPr>
        <w:t xml:space="preserve"> </w:t>
      </w:r>
      <w:r>
        <w:rPr>
          <w:rStyle w:val="KeywordTok"/>
        </w:rPr>
        <w:t xml:space="preserve">in</w:t>
      </w:r>
      <w:r>
        <w:rPr>
          <w:rStyle w:val="NormalTok"/>
        </w:rPr>
        <w:t xml:space="preserve"> </w:t>
      </w:r>
      <w:r>
        <w:rPr>
          <w:rStyle w:val="OperatorTok"/>
        </w:rPr>
        <w:t xml:space="preserve">@(</w:t>
      </w:r>
      <w:r>
        <w:rPr>
          <w:rStyle w:val="FunctionTok"/>
        </w:rPr>
        <w:t xml:space="preserve">Get-Content</w:t>
      </w:r>
      <w:r>
        <w:rPr>
          <w:rStyle w:val="NormalTok"/>
        </w:rPr>
        <w:t xml:space="preserve"> </w:t>
      </w:r>
      <w:r>
        <w:rPr>
          <w:rStyle w:val="VariableTok"/>
        </w:rPr>
        <w:t xml:space="preserve">$pkiReport</w:t>
      </w:r>
      <w:r>
        <w:rPr>
          <w:rStyle w:val="NormalTok"/>
        </w:rPr>
        <w:t xml:space="preserve"> </w:t>
      </w:r>
      <w:r>
        <w:rPr>
          <w:rStyle w:val="OperatorTok"/>
        </w:rPr>
        <w:t xml:space="preserve">-</w:t>
      </w:r>
      <w:r>
        <w:rPr>
          <w:rStyle w:val="NormalTok"/>
        </w:rPr>
        <w:t xml:space="preserve">Raw </w:t>
      </w:r>
      <w:r>
        <w:rPr>
          <w:rStyle w:val="OperatorTok"/>
        </w:rPr>
        <w:t xml:space="preserve">|</w:t>
      </w:r>
      <w:r>
        <w:rPr>
          <w:rStyle w:val="NormalTok"/>
        </w:rPr>
        <w:t xml:space="preserve"> </w:t>
      </w:r>
      <w:r>
        <w:rPr>
          <w:rStyle w:val="FunctionTok"/>
        </w:rPr>
        <w:t xml:space="preserve">ConvertFrom-Json</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Severity </w:t>
      </w:r>
      <w:r>
        <w:rPr>
          <w:rStyle w:val="OperatorTok"/>
        </w:rPr>
        <w:t xml:space="preserve">-eq</w:t>
      </w:r>
      <w:r>
        <w:rPr>
          <w:rStyle w:val="NormalTok"/>
        </w:rPr>
        <w:t xml:space="preserve"> </w:t>
      </w:r>
      <w:r>
        <w:rPr>
          <w:rStyle w:val="StringTok"/>
        </w:rPr>
        <w:t xml:space="preserve">'Critical'</w:t>
      </w:r>
      <w:r>
        <w:rPr>
          <w:rStyle w:val="OperatorTok"/>
        </w:rPr>
        <w:t xml:space="preserve">)</w:t>
      </w:r>
      <w:r>
        <w:rPr>
          <w:rStyle w:val="NormalTok"/>
        </w:rPr>
        <w:t xml:space="preserve"> </w:t>
      </w:r>
      <w:r>
        <w:rPr>
          <w:rStyle w:val="OperatorTok"/>
        </w:rPr>
        <w:t xml:space="preserve">{</w:t>
      </w:r>
      <w:r>
        <w:br/>
      </w:r>
      <w:r>
        <w:rPr>
          <w:rStyle w:val="NormalTok"/>
        </w:rPr>
        <w:t xml:space="preserve">            New-FMPSecurityIssue @common </w:t>
      </w:r>
      <w:r>
        <w:rPr>
          <w:rStyle w:val="OperatorTok"/>
        </w:rPr>
        <w:t xml:space="preserve">-</w:t>
      </w:r>
      <w:r>
        <w:rPr>
          <w:rStyle w:val="NormalTok"/>
        </w:rPr>
        <w:t xml:space="preserve">Title </w:t>
      </w:r>
      <w:r>
        <w:rPr>
          <w:rStyle w:val="StringTok"/>
        </w:rPr>
        <w:t xml:space="preserve">"</w:t>
      </w:r>
      <w:r>
        <w:rPr>
          <w:rStyle w:val="OperatorTok"/>
        </w:rPr>
        <w:t xml:space="preserve">$(</w:t>
      </w:r>
      <w:r>
        <w:rPr>
          <w:rStyle w:val="VariableTok"/>
        </w:rPr>
        <w:t xml:space="preserve">$f</w:t>
      </w:r>
      <w:r>
        <w:rPr>
          <w:rStyle w:val="OperatorTok"/>
        </w:rPr>
        <w:t xml:space="preserve">.</w:t>
      </w:r>
      <w:r>
        <w:rPr>
          <w:rStyle w:val="FunctionTok"/>
        </w:rPr>
        <w:t xml:space="preserve">Finding</w:t>
      </w:r>
      <w:r>
        <w:rPr>
          <w:rStyle w:val="OperatorTok"/>
        </w:rPr>
        <w:t xml:space="preserve">)</w:t>
      </w:r>
      <w:r>
        <w:rPr>
          <w:rStyle w:val="StringTok"/>
        </w:rPr>
        <w:t xml:space="preserve">: </w:t>
      </w:r>
      <w:r>
        <w:rPr>
          <w:rStyle w:val="OperatorTok"/>
        </w:rPr>
        <w:t xml:space="preserve">$(</w:t>
      </w:r>
      <w:r>
        <w:rPr>
          <w:rStyle w:val="VariableTok"/>
        </w:rPr>
        <w:t xml:space="preserve">$f</w:t>
      </w:r>
      <w:r>
        <w:rPr>
          <w:rStyle w:val="OperatorTok"/>
        </w:rPr>
        <w:t xml:space="preserve">.</w:t>
      </w:r>
      <w:r>
        <w:rPr>
          <w:rStyle w:val="FunctionTok"/>
        </w:rPr>
        <w:t xml:space="preserve">Template</w:t>
      </w:r>
      <w:r>
        <w:rPr>
          <w:rStyle w:val="OperatorTok"/>
        </w:rPr>
        <w:t xml:space="preserve">)</w:t>
      </w:r>
      <w:r>
        <w:rPr>
          <w:rStyle w:val="String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Body </w:t>
      </w:r>
      <w:r>
        <w:rPr>
          <w:rStyle w:val="OperatorTok"/>
        </w:rPr>
        <w:t xml:space="preserve">(</w:t>
      </w:r>
      <w:r>
        <w:rPr>
          <w:rStyle w:val="StringTok"/>
        </w:rPr>
        <w:t xml:space="preserve">"**Severity:** {0}</w:t>
      </w:r>
      <w:r>
        <w:rPr>
          <w:rStyle w:val="CharTok"/>
        </w:rPr>
        <w:t xml:space="preserve">`n`n</w:t>
      </w:r>
      <w:r>
        <w:rPr>
          <w:rStyle w:val="StringTok"/>
        </w:rPr>
        <w:t xml:space="preserve">{1}</w:t>
      </w:r>
      <w:r>
        <w:rPr>
          <w:rStyle w:val="CharTok"/>
        </w:rPr>
        <w:t xml:space="preserve">`n`n</w:t>
      </w:r>
      <w:r>
        <w:rPr>
          <w:rStyle w:val="StringTok"/>
        </w:rPr>
        <w:t xml:space="preserve">**Remediation:** {2}"</w:t>
      </w:r>
      <w:r>
        <w:rPr>
          <w:rStyle w:val="NormalTok"/>
        </w:rPr>
        <w:t xml:space="preserve"> </w:t>
      </w:r>
      <w:r>
        <w:rPr>
          <w:rStyle w:val="OperatorTok"/>
        </w:rPr>
        <w:t xml:space="preserve">-</w:t>
      </w:r>
      <w:r>
        <w:rPr>
          <w:rStyle w:val="NormalTok"/>
        </w:rPr>
        <w:t xml:space="preserve">f </w:t>
      </w:r>
      <w:r>
        <w:rPr>
          <w:rStyle w:val="VariableTok"/>
        </w:rPr>
        <w:t xml:space="preserve">$f</w:t>
      </w:r>
      <w:r>
        <w:rPr>
          <w:rStyle w:val="OperatorTok"/>
        </w:rPr>
        <w:t xml:space="preserve">.</w:t>
      </w:r>
      <w:r>
        <w:rPr>
          <w:rStyle w:val="FunctionTok"/>
        </w:rPr>
        <w:t xml:space="preserve">Severity</w:t>
      </w:r>
      <w:r>
        <w:rPr>
          <w:rStyle w:val="OperatorTok"/>
        </w:rPr>
        <w:t xml:space="preserve">,</w:t>
      </w:r>
      <w:r>
        <w:rPr>
          <w:rStyle w:val="NormalTok"/>
        </w:rPr>
        <w:t xml:space="preserve"> </w:t>
      </w:r>
      <w:r>
        <w:rPr>
          <w:rStyle w:val="VariableTok"/>
        </w:rPr>
        <w:t xml:space="preserve">$f</w:t>
      </w:r>
      <w:r>
        <w:rPr>
          <w:rStyle w:val="OperatorTok"/>
        </w:rPr>
        <w:t xml:space="preserve">.</w:t>
      </w:r>
      <w:r>
        <w:rPr>
          <w:rStyle w:val="FunctionTok"/>
        </w:rPr>
        <w:t xml:space="preserve">Description</w:t>
      </w:r>
      <w:r>
        <w:rPr>
          <w:rStyle w:val="OperatorTok"/>
        </w:rPr>
        <w:t xml:space="preserve">,</w:t>
      </w:r>
      <w:r>
        <w:rPr>
          <w:rStyle w:val="NormalTok"/>
        </w:rPr>
        <w:t xml:space="preserve"> </w:t>
      </w:r>
      <w:r>
        <w:rPr>
          <w:rStyle w:val="VariableTok"/>
        </w:rPr>
        <w:t xml:space="preserve">$f</w:t>
      </w:r>
      <w:r>
        <w:rPr>
          <w:rStyle w:val="OperatorTok"/>
        </w:rPr>
        <w:t xml:space="preserve">.</w:t>
      </w:r>
      <w:r>
        <w:rPr>
          <w:rStyle w:val="FunctionTok"/>
        </w:rPr>
        <w:t xml:space="preserve">Remediation</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Labels </w:t>
      </w:r>
      <w:r>
        <w:rPr>
          <w:rStyle w:val="OperatorTok"/>
        </w:rPr>
        <w:t xml:space="preserve">@(</w:t>
      </w:r>
      <w:r>
        <w:rPr>
          <w:rStyle w:val="StringTok"/>
        </w:rPr>
        <w:t xml:space="preserve">'security'</w:t>
      </w:r>
      <w:r>
        <w:rPr>
          <w:rStyle w:val="OperatorTok"/>
        </w:rPr>
        <w:t xml:space="preserve">,</w:t>
      </w:r>
      <w:r>
        <w:rPr>
          <w:rStyle w:val="NormalTok"/>
        </w:rPr>
        <w:t xml:space="preserve"> </w:t>
      </w:r>
      <w:r>
        <w:rPr>
          <w:rStyle w:val="StringTok"/>
        </w:rPr>
        <w:t xml:space="preserve">'critical'</w:t>
      </w:r>
      <w:r>
        <w:rPr>
          <w:rStyle w:val="OperatorTok"/>
        </w:rPr>
        <w:t xml:space="preserve">,</w:t>
      </w:r>
      <w:r>
        <w:rPr>
          <w:rStyle w:val="NormalTok"/>
        </w:rPr>
        <w:t xml:space="preserve"> </w:t>
      </w:r>
      <w:r>
        <w:rPr>
          <w:rStyle w:val="StringTok"/>
        </w:rPr>
        <w:t xml:space="preserve">'pki'</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Out-Null</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$delegation</w:t>
      </w:r>
      <w:r>
        <w:rPr>
          <w:rStyle w:val="NormalTok"/>
        </w:rPr>
        <w:t xml:space="preserve"> </w:t>
      </w:r>
      <w:r>
        <w:rPr>
          <w:rStyle w:val="OperatorTok"/>
        </w:rPr>
        <w:t xml:space="preserve">=</w:t>
      </w:r>
      <w:r>
        <w:rPr>
          <w:rStyle w:val="NormalTok"/>
        </w:rPr>
        <w:t xml:space="preserve"> </w:t>
      </w:r>
      <w:r>
        <w:rPr>
          <w:rStyle w:val="FunctionTok"/>
        </w:rPr>
        <w:t xml:space="preserve">Join-Path</w:t>
      </w:r>
      <w:r>
        <w:rPr>
          <w:rStyle w:val="NormalTok"/>
        </w:rPr>
        <w:t xml:space="preserve"> </w:t>
      </w:r>
      <w:r>
        <w:rPr>
          <w:rStyle w:val="VariableTok"/>
        </w:rPr>
        <w:t xml:space="preserve">$RunPath</w:t>
      </w:r>
      <w:r>
        <w:rPr>
          <w:rStyle w:val="NormalTok"/>
        </w:rPr>
        <w:t xml:space="preserve"> </w:t>
      </w:r>
      <w:r>
        <w:rPr>
          <w:rStyle w:val="StringTok"/>
        </w:rPr>
        <w:t xml:space="preserve">'Objects\DelegationReport.csv'</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FunctionTok"/>
        </w:rPr>
        <w:t xml:space="preserve">Test-Path</w:t>
      </w:r>
      <w:r>
        <w:rPr>
          <w:rStyle w:val="NormalTok"/>
        </w:rPr>
        <w:t xml:space="preserve"> </w:t>
      </w:r>
      <w:r>
        <w:rPr>
          <w:rStyle w:val="VariableTok"/>
        </w:rPr>
        <w:t xml:space="preserve">$delegation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$hits</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Import-Csv</w:t>
      </w:r>
      <w:r>
        <w:rPr>
          <w:rStyle w:val="NormalTok"/>
        </w:rPr>
        <w:t xml:space="preserve"> </w:t>
      </w:r>
      <w:r>
        <w:rPr>
          <w:rStyle w:val="VariableTok"/>
        </w:rPr>
        <w:t xml:space="preserve">$delegation</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DelegationType</w:t>
      </w:r>
      <w:r>
        <w:rPr>
          <w:rStyle w:val="NormalTok"/>
        </w:rPr>
        <w:t xml:space="preserve"> </w:t>
      </w:r>
      <w:r>
        <w:rPr>
          <w:rStyle w:val="OperatorTok"/>
        </w:rPr>
        <w:t xml:space="preserve">-eq</w:t>
      </w:r>
      <w:r>
        <w:rPr>
          <w:rStyle w:val="NormalTok"/>
        </w:rPr>
        <w:t xml:space="preserve"> </w:t>
      </w:r>
      <w:r>
        <w:rPr>
          <w:rStyle w:val="StringTok"/>
        </w:rPr>
        <w:t xml:space="preserve">'Unconstrained'</w:t>
      </w:r>
      <w:r>
        <w:rPr>
          <w:rStyle w:val="NormalTok"/>
        </w:rPr>
        <w:t xml:space="preserve"> </w:t>
      </w:r>
      <w:r>
        <w:rPr>
          <w:rStyle w:val="OperatorTok"/>
        </w:rPr>
        <w:t xml:space="preserve">-and</w:t>
      </w:r>
      <w:r>
        <w:rPr>
          <w:rStyle w:val="NormalTok"/>
        </w:rPr>
        <w:t xml:space="preserve"> </w:t>
      </w:r>
      <w:r>
        <w:rPr>
          <w:rStyle w:val="VariableTok"/>
        </w:rPr>
        <w:t xml:space="preserve">$_</w:t>
      </w:r>
      <w:r>
        <w:rPr>
          <w:rStyle w:val="OperatorTok"/>
        </w:rPr>
        <w:t xml:space="preserve">.</w:t>
      </w:r>
      <w:r>
        <w:rPr>
          <w:rStyle w:val="FunctionTok"/>
        </w:rPr>
        <w:t xml:space="preserve">IsDomainController</w:t>
      </w:r>
      <w:r>
        <w:rPr>
          <w:rStyle w:val="NormalTok"/>
        </w:rPr>
        <w:t xml:space="preserve"> </w:t>
      </w:r>
      <w:r>
        <w:rPr>
          <w:rStyle w:val="OperatorTok"/>
        </w:rPr>
        <w:t xml:space="preserve">-ne</w:t>
      </w:r>
      <w:r>
        <w:rPr>
          <w:rStyle w:val="NormalTok"/>
        </w:rPr>
        <w:t xml:space="preserve"> </w:t>
      </w:r>
      <w:r>
        <w:rPr>
          <w:rStyle w:val="StringTok"/>
        </w:rPr>
        <w:t xml:space="preserve">'True'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$hits</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$lines</w:t>
      </w:r>
      <w:r>
        <w:rPr>
          <w:rStyle w:val="NormalTok"/>
        </w:rPr>
        <w:t xml:space="preserve"> </w:t>
      </w:r>
      <w:r>
        <w:rPr>
          <w:rStyle w:val="OperatorTok"/>
        </w:rPr>
        <w:t xml:space="preserve">=</w:t>
      </w:r>
      <w:r>
        <w:rPr>
          <w:rStyle w:val="NormalTok"/>
        </w:rPr>
        <w:t xml:space="preserve"> </w:t>
      </w:r>
      <w:r>
        <w:rPr>
          <w:rStyle w:val="VariableTok"/>
        </w:rPr>
        <w:t xml:space="preserve">$hits</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StringTok"/>
        </w:rPr>
        <w:t xml:space="preserve">"- </w:t>
      </w:r>
      <w:r>
        <w:rPr>
          <w:rStyle w:val="CharTok"/>
        </w:rPr>
        <w:t xml:space="preserve">``</w:t>
      </w:r>
      <w:r>
        <w:rPr>
          <w:rStyle w:val="OperatorTok"/>
        </w:rPr>
        <w:t xml:space="preserve">$(</w:t>
      </w:r>
      <w:r>
        <w:rPr>
          <w:rStyle w:val="VariableTok"/>
        </w:rPr>
        <w:t xml:space="preserve">$_</w:t>
      </w:r>
      <w:r>
        <w:rPr>
          <w:rStyle w:val="OperatorTok"/>
        </w:rPr>
        <w:t xml:space="preserve">.</w:t>
      </w:r>
      <w:r>
        <w:rPr>
          <w:rStyle w:val="FunctionTok"/>
        </w:rPr>
        <w:t xml:space="preserve">Name</w:t>
      </w:r>
      <w:r>
        <w:rPr>
          <w:rStyle w:val="OperatorTok"/>
        </w:rPr>
        <w:t xml:space="preserve">)</w:t>
      </w:r>
      <w:r>
        <w:rPr>
          <w:rStyle w:val="CharTok"/>
        </w:rPr>
        <w:t xml:space="preserve">``</w:t>
      </w:r>
      <w:r>
        <w:rPr>
          <w:rStyle w:val="StringTok"/>
        </w:rPr>
        <w:t xml:space="preserve"> (</w:t>
      </w:r>
      <w:r>
        <w:rPr>
          <w:rStyle w:val="OperatorTok"/>
        </w:rPr>
        <w:t xml:space="preserve">$(</w:t>
      </w:r>
      <w:r>
        <w:rPr>
          <w:rStyle w:val="VariableTok"/>
        </w:rPr>
        <w:t xml:space="preserve">$_</w:t>
      </w:r>
      <w:r>
        <w:rPr>
          <w:rStyle w:val="OperatorTok"/>
        </w:rPr>
        <w:t xml:space="preserve">.</w:t>
      </w:r>
      <w:r>
        <w:rPr>
          <w:rStyle w:val="FunctionTok"/>
        </w:rPr>
        <w:t xml:space="preserve">OperatingSystem</w:t>
      </w:r>
      <w:r>
        <w:rPr>
          <w:rStyle w:val="OperatorTok"/>
        </w:rPr>
        <w:t xml:space="preserve">)</w:t>
      </w:r>
      <w:r>
        <w:rPr>
          <w:rStyle w:val="StringTok"/>
        </w:rPr>
        <w:t xml:space="preserve">)"</w:t>
      </w:r>
      <w:r>
        <w:rPr>
          <w:rStyle w:val="NormalTok"/>
        </w:rPr>
        <w:t xml:space="preserve"> </w:t>
      </w:r>
      <w:r>
        <w:rPr>
          <w:rStyle w:val="OperatorTok"/>
        </w:rPr>
        <w:t xml:space="preserve">}</w:t>
      </w:r>
      <w:r>
        <w:br/>
      </w:r>
      <w:r>
        <w:rPr>
          <w:rStyle w:val="NormalTok"/>
        </w:rPr>
        <w:t xml:space="preserve">            New-FMPSecurityIssue @common </w:t>
      </w:r>
      <w:r>
        <w:rPr>
          <w:rStyle w:val="OperatorTok"/>
        </w:rPr>
        <w:t xml:space="preserve">-</w:t>
      </w:r>
      <w:r>
        <w:rPr>
          <w:rStyle w:val="NormalTok"/>
        </w:rPr>
        <w:t xml:space="preserve">Title </w:t>
      </w:r>
      <w:r>
        <w:rPr>
          <w:rStyle w:val="StringTok"/>
        </w:rPr>
        <w:t xml:space="preserve">"Unconstrained delegation: </w:t>
      </w:r>
      <w:r>
        <w:rPr>
          <w:rStyle w:val="OperatorTok"/>
        </w:rPr>
        <w:t xml:space="preserve">$(</w:t>
      </w:r>
      <w:r>
        <w:rPr>
          <w:rStyle w:val="VariableTok"/>
        </w:rPr>
        <w:t xml:space="preserve">$hits</w:t>
      </w:r>
      <w:r>
        <w:rPr>
          <w:rStyle w:val="OperatorTok"/>
        </w:rPr>
        <w:t xml:space="preserve">.</w:t>
      </w:r>
      <w:r>
        <w:rPr>
          <w:rStyle w:val="FunctionTok"/>
        </w:rPr>
        <w:t xml:space="preserve">Count</w:t>
      </w:r>
      <w:r>
        <w:rPr>
          <w:rStyle w:val="OperatorTok"/>
        </w:rPr>
        <w:t xml:space="preserve">)</w:t>
      </w:r>
      <w:r>
        <w:rPr>
          <w:rStyle w:val="StringTok"/>
        </w:rPr>
        <w:t xml:space="preserve"> non-DC computer(s)"</w:t>
      </w:r>
      <w:r>
        <w:rPr>
          <w:rStyle w:val="NormalTok"/>
        </w:rPr>
        <w:t xml:space="preserve"> `</w:t>
      </w:r>
      <w:r>
        <w:br/>
      </w:r>
      <w:r>
        <w:rPr>
          <w:rStyle w:val="NormalTok"/>
        </w:rPr>
        <w:t xml:space="preserve">                </w:t>
      </w:r>
      <w:r>
        <w:rPr>
          <w:rStyle w:val="OperatorTok"/>
        </w:rPr>
        <w:t xml:space="preserve">-</w:t>
      </w:r>
      <w:r>
        <w:rPr>
          <w:rStyle w:val="NormalTok"/>
        </w:rPr>
        <w:t xml:space="preserve">Body </w:t>
      </w:r>
      <w:r>
        <w:rPr>
          <w:rStyle w:val="OperatorTok"/>
        </w:rPr>
        <w:t xml:space="preserve">(</w:t>
      </w:r>
      <w:r>
        <w:rPr>
          <w:rStyle w:val="StringTok"/>
        </w:rPr>
        <w:t xml:space="preserve">"The following computers are trusted for unconstrained delegation:</w:t>
      </w:r>
      <w:r>
        <w:rPr>
          <w:rStyle w:val="CharTok"/>
        </w:rPr>
        <w:t xml:space="preserve">`n`n</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$lines</w:t>
      </w:r>
      <w:r>
        <w:rPr>
          <w:rStyle w:val="NormalTok"/>
        </w:rPr>
        <w:t xml:space="preserve"> </w:t>
      </w:r>
      <w:r>
        <w:rPr>
          <w:rStyle w:val="OperatorTok"/>
        </w:rPr>
        <w:t xml:space="preserve">-join</w:t>
      </w:r>
      <w:r>
        <w:rPr>
          <w:rStyle w:val="NormalTok"/>
        </w:rPr>
        <w:t xml:space="preserve"> </w:t>
      </w:r>
      <w:r>
        <w:rPr>
          <w:rStyle w:val="StringTok"/>
        </w:rPr>
        <w:t xml:space="preserve">"</w:t>
      </w:r>
      <w:r>
        <w:rPr>
          <w:rStyle w:val="CharTok"/>
        </w:rPr>
        <w:t xml:space="preserve">`n</w:t>
      </w:r>
      <w:r>
        <w:rPr>
          <w:rStyle w:val="StringTok"/>
        </w:rPr>
        <w:t xml:space="preserve">"</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Labels </w:t>
      </w:r>
      <w:r>
        <w:rPr>
          <w:rStyle w:val="OperatorTok"/>
        </w:rPr>
        <w:t xml:space="preserve">@(</w:t>
      </w:r>
      <w:r>
        <w:rPr>
          <w:rStyle w:val="StringTok"/>
        </w:rPr>
        <w:t xml:space="preserve">'security'</w:t>
      </w:r>
      <w:r>
        <w:rPr>
          <w:rStyle w:val="OperatorTok"/>
        </w:rPr>
        <w:t xml:space="preserve">,</w:t>
      </w:r>
      <w:r>
        <w:rPr>
          <w:rStyle w:val="NormalTok"/>
        </w:rPr>
        <w:t xml:space="preserve"> </w:t>
      </w:r>
      <w:r>
        <w:rPr>
          <w:rStyle w:val="StringTok"/>
        </w:rPr>
        <w:t xml:space="preserve">'critical'</w:t>
      </w:r>
      <w:r>
        <w:rPr>
          <w:rStyle w:val="OperatorTok"/>
        </w:rPr>
        <w:t xml:space="preserve">,</w:t>
      </w:r>
      <w:r>
        <w:rPr>
          <w:rStyle w:val="NormalTok"/>
        </w:rPr>
        <w:t xml:space="preserve"> </w:t>
      </w:r>
      <w:r>
        <w:rPr>
          <w:rStyle w:val="StringTok"/>
        </w:rPr>
        <w:t xml:space="preserve">'delegation'</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Out-Null</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FunctionTok"/>
        </w:rPr>
        <w:t xml:space="preserve">Export-ModuleMember</w:t>
      </w:r>
      <w:r>
        <w:rPr>
          <w:rStyle w:val="NormalTok"/>
        </w:rPr>
        <w:t xml:space="preserve"> </w:t>
      </w:r>
      <w:r>
        <w:rPr>
          <w:rStyle w:val="OperatorTok"/>
        </w:rPr>
        <w:t xml:space="preserve">-</w:t>
      </w:r>
      <w:r>
        <w:rPr>
          <w:rStyle w:val="NormalTok"/>
        </w:rPr>
        <w:t xml:space="preserve">Function </w:t>
      </w:r>
      <w:r>
        <w:rPr>
          <w:rStyle w:val="OperatorTok"/>
        </w:rPr>
        <w:t xml:space="preserve">@(</w:t>
      </w:r>
      <w:r>
        <w:br/>
      </w:r>
      <w:r>
        <w:rPr>
          <w:rStyle w:val="NormalTok"/>
        </w:rPr>
        <w:t xml:space="preserve">    </w:t>
      </w:r>
      <w:r>
        <w:rPr>
          <w:rStyle w:val="StringTok"/>
        </w:rPr>
        <w:t xml:space="preserve">'Test-FMPPrerequisites'</w:t>
      </w:r>
      <w:r>
        <w:rPr>
          <w:rStyle w:val="OperatorTok"/>
        </w:rPr>
        <w:t xml:space="preserve">,</w:t>
      </w:r>
      <w:r>
        <w:rPr>
          <w:rStyle w:val="NormalTok"/>
        </w:rPr>
        <w:t xml:space="preserve"> </w:t>
      </w:r>
      <w:r>
        <w:rPr>
          <w:rStyle w:val="StringTok"/>
        </w:rPr>
        <w:t xml:space="preserve">'Get-FMPForestTopology'</w:t>
      </w:r>
      <w:r>
        <w:rPr>
          <w:rStyle w:val="OperatorTok"/>
        </w:rPr>
        <w:t xml:space="preserve">,</w:t>
      </w:r>
      <w:r>
        <w:rPr>
          <w:rStyle w:val="NormalTok"/>
        </w:rPr>
        <w:t xml:space="preserve"> </w:t>
      </w:r>
      <w:r>
        <w:rPr>
          <w:rStyle w:val="StringTok"/>
        </w:rPr>
        <w:t xml:space="preserve">'Get-FMPOUHierarchy'</w:t>
      </w:r>
      <w:r>
        <w:rPr>
          <w:rStyle w:val="OperatorTok"/>
        </w:rPr>
        <w:t xml:space="preserve">,</w:t>
      </w:r>
      <w:r>
        <w:rPr>
          <w:rStyle w:val="NormalTok"/>
        </w:rPr>
        <w:t xml:space="preserve"> </w:t>
      </w:r>
      <w:r>
        <w:rPr>
          <w:rStyle w:val="StringTok"/>
        </w:rPr>
        <w:t xml:space="preserve">'Get-FMPGPOInventory'</w:t>
      </w:r>
      <w:r>
        <w:rPr>
          <w:rStyle w:val="OperatorTok"/>
        </w:rPr>
        <w:t xml:space="preserve">,</w:t>
      </w:r>
      <w:r>
        <w:br/>
      </w:r>
      <w:r>
        <w:rPr>
          <w:rStyle w:val="NormalTok"/>
        </w:rPr>
        <w:t xml:space="preserve">    </w:t>
      </w:r>
      <w:r>
        <w:rPr>
          <w:rStyle w:val="StringTok"/>
        </w:rPr>
        <w:t xml:space="preserve">'Export-FMPGPOSettings'</w:t>
      </w:r>
      <w:r>
        <w:rPr>
          <w:rStyle w:val="OperatorTok"/>
        </w:rPr>
        <w:t xml:space="preserve">,</w:t>
      </w:r>
      <w:r>
        <w:rPr>
          <w:rStyle w:val="NormalTok"/>
        </w:rPr>
        <w:t xml:space="preserve"> </w:t>
      </w:r>
      <w:r>
        <w:rPr>
          <w:rStyle w:val="StringTok"/>
        </w:rPr>
        <w:t xml:space="preserve">'Get-FMPDNSAssessment'</w:t>
      </w:r>
      <w:r>
        <w:rPr>
          <w:rStyle w:val="OperatorTok"/>
        </w:rPr>
        <w:t xml:space="preserve">,</w:t>
      </w:r>
      <w:r>
        <w:rPr>
          <w:rStyle w:val="NormalTok"/>
        </w:rPr>
        <w:t xml:space="preserve"> </w:t>
      </w:r>
      <w:r>
        <w:rPr>
          <w:rStyle w:val="StringTok"/>
        </w:rPr>
        <w:t xml:space="preserve">'Get-FMPPKIAssessment'</w:t>
      </w:r>
      <w:r>
        <w:rPr>
          <w:rStyle w:val="OperatorTok"/>
        </w:rPr>
        <w:t xml:space="preserve">,</w:t>
      </w:r>
      <w:r>
        <w:rPr>
          <w:rStyle w:val="NormalTok"/>
        </w:rPr>
        <w:t xml:space="preserve"> </w:t>
      </w:r>
      <w:r>
        <w:rPr>
          <w:rStyle w:val="StringTok"/>
        </w:rPr>
        <w:t xml:space="preserve">'Get-FMPComputerInventory'</w:t>
      </w:r>
      <w:r>
        <w:rPr>
          <w:rStyle w:val="OperatorTok"/>
        </w:rPr>
        <w:t xml:space="preserve">,</w:t>
      </w:r>
      <w:r>
        <w:br/>
      </w:r>
      <w:r>
        <w:rPr>
          <w:rStyle w:val="NormalTok"/>
        </w:rPr>
        <w:t xml:space="preserve">    </w:t>
      </w:r>
      <w:r>
        <w:rPr>
          <w:rStyle w:val="StringTok"/>
        </w:rPr>
        <w:t xml:space="preserve">'Get-FMPUserInventory'</w:t>
      </w:r>
      <w:r>
        <w:rPr>
          <w:rStyle w:val="OperatorTok"/>
        </w:rPr>
        <w:t xml:space="preserve">,</w:t>
      </w:r>
      <w:r>
        <w:rPr>
          <w:rStyle w:val="NormalTok"/>
        </w:rPr>
        <w:t xml:space="preserve"> </w:t>
      </w:r>
      <w:r>
        <w:rPr>
          <w:rStyle w:val="StringTok"/>
        </w:rPr>
        <w:t xml:space="preserve">'Get-FMPGroupInventory'</w:t>
      </w:r>
      <w:r>
        <w:rPr>
          <w:rStyle w:val="OperatorTok"/>
        </w:rPr>
        <w:t xml:space="preserve">,</w:t>
      </w:r>
      <w:r>
        <w:rPr>
          <w:rStyle w:val="NormalTok"/>
        </w:rPr>
        <w:t xml:space="preserve"> </w:t>
      </w:r>
      <w:r>
        <w:rPr>
          <w:rStyle w:val="StringTok"/>
        </w:rPr>
        <w:t xml:space="preserve">'Get-FMPTrustMap'</w:t>
      </w:r>
      <w:r>
        <w:rPr>
          <w:rStyle w:val="OperatorTok"/>
        </w:rPr>
        <w:t xml:space="preserve">,</w:t>
      </w:r>
      <w:r>
        <w:rPr>
          <w:rStyle w:val="NormalTok"/>
        </w:rPr>
        <w:t xml:space="preserve"> </w:t>
      </w:r>
      <w:r>
        <w:rPr>
          <w:rStyle w:val="StringTok"/>
        </w:rPr>
        <w:t xml:space="preserve">'Test-FMPTrust'</w:t>
      </w:r>
      <w:r>
        <w:rPr>
          <w:rStyle w:val="OperatorTok"/>
        </w:rPr>
        <w:t xml:space="preserve">,</w:t>
      </w:r>
      <w:r>
        <w:br/>
      </w:r>
      <w:r>
        <w:rPr>
          <w:rStyle w:val="NormalTok"/>
        </w:rPr>
        <w:t xml:space="preserve">    </w:t>
      </w:r>
      <w:r>
        <w:rPr>
          <w:rStyle w:val="StringTok"/>
        </w:rPr>
        <w:t xml:space="preserve">'Invoke-FMPADAssessment'</w:t>
      </w:r>
      <w:r>
        <w:rPr>
          <w:rStyle w:val="OperatorTok"/>
        </w:rPr>
        <w:t xml:space="preserve">,</w:t>
      </w:r>
      <w:r>
        <w:rPr>
          <w:rStyle w:val="NormalTok"/>
        </w:rPr>
        <w:t xml:space="preserve"> </w:t>
      </w:r>
      <w:r>
        <w:rPr>
          <w:rStyle w:val="StringTok"/>
        </w:rPr>
        <w:t xml:space="preserve">'Compare-FMPAssessments'</w:t>
      </w:r>
      <w:r>
        <w:rPr>
          <w:rStyle w:val="OperatorTok"/>
        </w:rPr>
        <w:t xml:space="preserve">,</w:t>
      </w:r>
      <w:r>
        <w:rPr>
          <w:rStyle w:val="NormalTok"/>
        </w:rPr>
        <w:t xml:space="preserve"> </w:t>
      </w:r>
      <w:r>
        <w:rPr>
          <w:rStyle w:val="StringTok"/>
        </w:rPr>
        <w:t xml:space="preserve">'Push-FMPAssessmentToGitea'</w:t>
      </w:r>
      <w:r>
        <w:rPr>
          <w:rStyle w:val="OperatorTok"/>
        </w:rPr>
        <w:t xml:space="preserve">,</w:t>
      </w:r>
      <w:r>
        <w:br/>
      </w:r>
      <w:r>
        <w:rPr>
          <w:rStyle w:val="NormalTok"/>
        </w:rPr>
        <w:t xml:space="preserve">    </w:t>
      </w:r>
      <w:r>
        <w:rPr>
          <w:rStyle w:val="StringTok"/>
        </w:rPr>
        <w:t xml:space="preserve">'New-FMPSecurityIssue'</w:t>
      </w:r>
      <w:r>
        <w:rPr>
          <w:rStyle w:val="OperatorTok"/>
        </w:rPr>
        <w:t xml:space="preserve">,</w:t>
      </w:r>
      <w:r>
        <w:rPr>
          <w:rStyle w:val="NormalTok"/>
        </w:rPr>
        <w:t xml:space="preserve"> </w:t>
      </w:r>
      <w:r>
        <w:rPr>
          <w:rStyle w:val="StringTok"/>
        </w:rPr>
        <w:t xml:space="preserve">'Invoke-FMPFindingIssues'</w:t>
      </w:r>
      <w:r>
        <w:br/>
      </w:r>
      <w:r>
        <w:rPr>
          <w:rStyle w:val="OperatorTok"/>
        </w:rPr>
        <w:t xml:space="preserve">)</w:t>
      </w:r>
    </w:p>
    <w:p>
      <w:pPr>
        <w:pStyle w:val="FirstParagraph"/>
      </w:pPr>
      <w:r>
        <w:t xml:space="preserve">The endpoints and fields are from Gitea’s API specification: the multi-file</w:t>
      </w:r>
      <w:r>
        <w:t xml:space="preserve"> </w:t>
      </w:r>
      <w:r>
        <w:rPr>
          <w:rStyle w:val="VerbatimChar"/>
        </w:rPr>
        <w:t xml:space="preserve">POST /repos/{owner}/{repo}/contents</w:t>
      </w:r>
      <w:r>
        <w:t xml:space="preserve"> </w:t>
      </w:r>
      <w:r>
        <w:t xml:space="preserve">with</w:t>
      </w:r>
      <w:r>
        <w:t xml:space="preserve"> </w:t>
      </w:r>
      <w:r>
        <w:rPr>
          <w:rStyle w:val="VerbatimChar"/>
        </w:rPr>
        <w:t xml:space="preserve">branch</w:t>
      </w:r>
      <w:r>
        <w:t xml:space="preserve">,</w:t>
      </w:r>
      <w:r>
        <w:t xml:space="preserve"> </w:t>
      </w:r>
      <w:r>
        <w:rPr>
          <w:rStyle w:val="VerbatimChar"/>
        </w:rPr>
        <w:t xml:space="preserve">new_branch</w:t>
      </w:r>
      <w:r>
        <w:t xml:space="preserve">,</w:t>
      </w:r>
      <w:r>
        <w:t xml:space="preserve"> </w:t>
      </w:r>
      <w:r>
        <w:rPr>
          <w:rStyle w:val="VerbatimChar"/>
        </w:rPr>
        <w:t xml:space="preserve">message</w:t>
      </w:r>
      <w:r>
        <w:t xml:space="preserve"> </w:t>
      </w:r>
      <w:r>
        <w:t xml:space="preserve">and a</w:t>
      </w:r>
      <w:r>
        <w:t xml:space="preserve"> </w:t>
      </w:r>
      <w:r>
        <w:rPr>
          <w:rStyle w:val="VerbatimChar"/>
        </w:rPr>
        <w:t xml:space="preserve">files</w:t>
      </w:r>
      <w:r>
        <w:t xml:space="preserve"> </w:t>
      </w:r>
      <w:r>
        <w:t xml:space="preserve">list whose</w:t>
      </w:r>
      <w:r>
        <w:t xml:space="preserve"> </w:t>
      </w:r>
      <w:r>
        <w:rPr>
          <w:rStyle w:val="VerbatimChar"/>
        </w:rPr>
        <w:t xml:space="preserve">content</w:t>
      </w:r>
      <w:r>
        <w:t xml:space="preserve"> </w:t>
      </w:r>
      <w:r>
        <w:t xml:space="preserve">is base64; label IDs from</w:t>
      </w:r>
      <w:r>
        <w:t xml:space="preserve"> </w:t>
      </w:r>
      <w:r>
        <w:rPr>
          <w:rStyle w:val="VerbatimChar"/>
        </w:rPr>
        <w:t xml:space="preserve">GET /repos/{owner}/{repo}/labels</w:t>
      </w:r>
      <w:r>
        <w:t xml:space="preserve">; and</w:t>
      </w:r>
      <w:r>
        <w:t xml:space="preserve"> </w:t>
      </w:r>
      <w:r>
        <w:rPr>
          <w:rStyle w:val="VerbatimChar"/>
        </w:rPr>
        <w:t xml:space="preserve">labels</w:t>
      </w:r>
      <w:r>
        <w:t xml:space="preserve"> </w:t>
      </w:r>
      <w:r>
        <w:t xml:space="preserve">on a new issue as a list of IDs.</w:t>
      </w:r>
      <w:r>
        <w:rPr>
          <w:rStyle w:val="FootnoteReference"/>
        </w:rPr>
        <w:footnoteReference w:id="1286"/>
      </w:r>
      <w:r>
        <w:t xml:space="preserve"> </w:t>
      </w:r>
      <w:r>
        <w:t xml:space="preserve">The</w:t>
      </w:r>
      <w:r>
        <w:t xml:space="preserve"> </w:t>
      </w:r>
      <w:r>
        <w:rPr>
          <w:rStyle w:val="VerbatimChar"/>
        </w:rPr>
        <w:t xml:space="preserve">Authorization: token</w:t>
      </w:r>
      <w:r>
        <w:t xml:space="preserve"> </w:t>
      </w:r>
      <w:r>
        <w:t xml:space="preserve">header form is Gitea’s documented API token format.</w:t>
      </w:r>
      <w:r>
        <w:rPr>
          <w:rStyle w:val="FootnoteReference"/>
        </w:rPr>
        <w:footnoteReference w:id="1287"/>
      </w:r>
      <w:r>
        <w:t xml:space="preserve"> </w:t>
      </w:r>
      <w:r>
        <w:t xml:space="preserve">A very large run may exceed your instance’s request size limit; if it does, commit in batches to the same branch.</w:t>
      </w:r>
    </w:p>
    <w:bookmarkEnd w:id="1288"/>
    <w:bookmarkStart w:id="1293" w:name="optional-webhook-and-schedule"/>
    <w:p>
      <w:pPr>
        <w:pStyle w:val="Heading3"/>
      </w:pPr>
      <w:r>
        <w:t xml:space="preserve">Optional: webhook and schedule</w:t>
      </w:r>
    </w:p>
    <w:p>
      <w:pPr>
        <w:pStyle w:val="FirstParagraph"/>
      </w:pPr>
      <w:r>
        <w:t xml:space="preserve">Create the webhook once, not per run. The webhook</w:t>
      </w:r>
      <w:r>
        <w:t xml:space="preserve"> </w:t>
      </w:r>
      <w:r>
        <w:rPr>
          <w:rStyle w:val="VerbatimChar"/>
        </w:rPr>
        <w:t xml:space="preserve">type</w:t>
      </w:r>
      <w:r>
        <w:t xml:space="preserve"> </w:t>
      </w:r>
      <w:r>
        <w:t xml:space="preserve">for a generic JSON receiver is</w:t>
      </w:r>
      <w:r>
        <w:t xml:space="preserve"> </w:t>
      </w:r>
      <w:r>
        <w:rPr>
          <w:rStyle w:val="VerbatimChar"/>
        </w:rPr>
        <w:t xml:space="preserve">gitea</w:t>
      </w:r>
      <w:r>
        <w:t xml:space="preserve">;</w:t>
      </w:r>
      <w:r>
        <w:t xml:space="preserve"> </w:t>
      </w:r>
      <w:r>
        <w:rPr>
          <w:rStyle w:val="VerbatimChar"/>
        </w:rPr>
        <w:t xml:space="preserve">config</w:t>
      </w:r>
      <w:r>
        <w:t xml:space="preserve"> </w:t>
      </w:r>
      <w:r>
        <w:t xml:space="preserve">needs</w:t>
      </w:r>
      <w:r>
        <w:t xml:space="preserve"> </w:t>
      </w:r>
      <w:r>
        <w:rPr>
          <w:rStyle w:val="VerbatimChar"/>
        </w:rPr>
        <w:t xml:space="preserve">url</w:t>
      </w:r>
      <w:r>
        <w:t xml:space="preserve"> </w:t>
      </w:r>
      <w:r>
        <w:t xml:space="preserve">and</w:t>
      </w:r>
      <w:r>
        <w:t xml:space="preserve"> </w:t>
      </w:r>
      <w:r>
        <w:rPr>
          <w:rStyle w:val="VerbatimChar"/>
        </w:rPr>
        <w:t xml:space="preserve">content_type</w:t>
      </w:r>
      <w:r>
        <w:t xml:space="preserve">.</w:t>
      </w:r>
      <w:r>
        <w:rPr>
          <w:rStyle w:val="FootnoteReference"/>
        </w:rPr>
        <w:footnoteReference w:id="1289"/>
      </w:r>
    </w:p>
    <w:p>
      <w:pPr>
        <w:pStyle w:val="SourceCode"/>
      </w:pPr>
      <w:r>
        <w:rPr>
          <w:rStyle w:val="VariableTok"/>
        </w:rPr>
        <w:t xml:space="preserve">$hook</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'gitea'</w:t>
      </w:r>
      <w:r>
        <w:br/>
      </w:r>
      <w:r>
        <w:rPr>
          <w:rStyle w:val="NormalTok"/>
        </w:rPr>
        <w:t xml:space="preserve">    active        </w:t>
      </w:r>
      <w:r>
        <w:rPr>
          <w:rStyle w:val="OperatorTok"/>
        </w:rPr>
        <w:t xml:space="preserve">=</w:t>
      </w:r>
      <w:r>
        <w:rPr>
          <w:rStyle w:val="NormalTok"/>
        </w:rPr>
        <w:t xml:space="preserve"> </w:t>
      </w:r>
      <w:r>
        <w:rPr>
          <w:rStyle w:val="VariableTok"/>
        </w:rPr>
        <w:t xml:space="preserve">$true</w:t>
      </w:r>
      <w:r>
        <w:br/>
      </w:r>
      <w:r>
        <w:rPr>
          <w:rStyle w:val="NormalTok"/>
        </w:rPr>
        <w:t xml:space="preserve">    events        </w:t>
      </w:r>
      <w:r>
        <w:rPr>
          <w:rStyle w:val="OperatorTok"/>
        </w:rPr>
        <w:t xml:space="preserve">=</w:t>
      </w:r>
      <w:r>
        <w:rPr>
          <w:rStyle w:val="NormalTok"/>
        </w:rPr>
        <w:t xml:space="preserve"> </w:t>
      </w:r>
      <w:r>
        <w:rPr>
          <w:rStyle w:val="OperatorTok"/>
        </w:rPr>
        <w:t xml:space="preserve">@(</w:t>
      </w:r>
      <w:r>
        <w:rPr>
          <w:rStyle w:val="StringTok"/>
        </w:rPr>
        <w:t xml:space="preserve">'push'</w:t>
      </w:r>
      <w:r>
        <w:rPr>
          <w:rStyle w:val="OperatorTok"/>
        </w:rPr>
        <w:t xml:space="preserve">)</w:t>
      </w:r>
      <w:r>
        <w:br/>
      </w:r>
      <w:r>
        <w:rPr>
          <w:rStyle w:val="NormalTok"/>
        </w:rPr>
        <w:t xml:space="preserve">    branch_filter </w:t>
      </w:r>
      <w:r>
        <w:rPr>
          <w:rStyle w:val="OperatorTok"/>
        </w:rPr>
        <w:t xml:space="preserve">=</w:t>
      </w:r>
      <w:r>
        <w:rPr>
          <w:rStyle w:val="NormalTok"/>
        </w:rPr>
        <w:t xml:space="preserve"> </w:t>
      </w:r>
      <w:r>
        <w:rPr>
          <w:rStyle w:val="StringTok"/>
        </w:rPr>
        <w:t xml:space="preserve">'assessment/*'</w:t>
      </w:r>
      <w:r>
        <w:br/>
      </w:r>
      <w:r>
        <w:rPr>
          <w:rStyle w:val="NormalTok"/>
        </w:rPr>
        <w:t xml:space="preserve">    config        </w:t>
      </w:r>
      <w:r>
        <w:rPr>
          <w:rStyle w:val="OperatorTok"/>
        </w:rPr>
        <w:t xml:space="preserve">=</w:t>
      </w:r>
      <w:r>
        <w:rPr>
          <w:rStyle w:val="NormalTok"/>
        </w:rPr>
        <w:t xml:space="preserve"> @</w:t>
      </w:r>
      <w:r>
        <w:rPr>
          <w:rStyle w:val="OperatorTok"/>
        </w:rPr>
        <w:t xml:space="preserve">{</w:t>
      </w:r>
      <w:r>
        <w:br/>
      </w:r>
      <w:r>
        <w:rPr>
          <w:rStyle w:val="NormalTok"/>
        </w:rPr>
        <w:t xml:space="preserve">        url          </w:t>
      </w:r>
      <w:r>
        <w:rPr>
          <w:rStyle w:val="OperatorTok"/>
        </w:rPr>
        <w:t xml:space="preserve">=</w:t>
      </w:r>
      <w:r>
        <w:rPr>
          <w:rStyle w:val="NormalTok"/>
        </w:rPr>
        <w:t xml:space="preserve"> </w:t>
      </w:r>
      <w:r>
        <w:rPr>
          <w:rStyle w:val="StringTok"/>
        </w:rPr>
        <w:t xml:space="preserve">'https://automation.example.internal/api/webhook/assessment'</w:t>
      </w:r>
      <w:r>
        <w:br/>
      </w:r>
      <w:r>
        <w:rPr>
          <w:rStyle w:val="NormalTok"/>
        </w:rPr>
        <w:t xml:space="preserve">        content_type </w:t>
      </w:r>
      <w:r>
        <w:rPr>
          <w:rStyle w:val="OperatorTok"/>
        </w:rPr>
        <w:t xml:space="preserve">=</w:t>
      </w:r>
      <w:r>
        <w:rPr>
          <w:rStyle w:val="NormalTok"/>
        </w:rPr>
        <w:t xml:space="preserve"> </w:t>
      </w:r>
      <w:r>
        <w:rPr>
          <w:rStyle w:val="StringTok"/>
        </w:rPr>
        <w:t xml:space="preserve">'json'</w:t>
      </w:r>
      <w:r>
        <w:br/>
      </w:r>
      <w:r>
        <w:rPr>
          <w:rStyle w:val="NormalTok"/>
        </w:rPr>
        <w:t xml:space="preserve">        secret       </w:t>
      </w:r>
      <w:r>
        <w:rPr>
          <w:rStyle w:val="OperatorTok"/>
        </w:rPr>
        <w:t xml:space="preserve">=</w:t>
      </w:r>
      <w:r>
        <w:rPr>
          <w:rStyle w:val="NormalTok"/>
        </w:rPr>
        <w:t xml:space="preserve"> </w:t>
      </w:r>
      <w:r>
        <w:rPr>
          <w:rStyle w:val="StringTok"/>
        </w:rPr>
        <w:t xml:space="preserve">'&lt;shared secret held by the receiver&gt;'</w:t>
      </w:r>
      <w:r>
        <w:br/>
      </w:r>
      <w:r>
        <w:rPr>
          <w:rStyle w:val="NormalTok"/>
        </w:rPr>
        <w:t xml:space="preserve">    </w:t>
      </w:r>
      <w:r>
        <w:rPr>
          <w:rStyle w:val="OperatorTok"/>
        </w:rPr>
        <w:t xml:space="preserve">}</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4</w:t>
      </w:r>
      <w:r>
        <w:br/>
      </w:r>
      <w:r>
        <w:rPr>
          <w:rStyle w:val="DataTypeTok"/>
        </w:rPr>
        <w:t xml:space="preserve">Invoke</w:t>
      </w:r>
      <w:r>
        <w:rPr>
          <w:rStyle w:val="OperatorTok"/>
        </w:rPr>
        <w:t xml:space="preserve">-</w:t>
      </w:r>
      <w:r>
        <w:rPr>
          <w:rStyle w:val="NormalTok"/>
        </w:rPr>
        <w:t xml:space="preserve">RestMethod </w:t>
      </w:r>
      <w:r>
        <w:rPr>
          <w:rStyle w:val="OperatorTok"/>
        </w:rPr>
        <w:t xml:space="preserve">-</w:t>
      </w:r>
      <w:r>
        <w:rPr>
          <w:rStyle w:val="NormalTok"/>
        </w:rPr>
        <w:t xml:space="preserve">Uri </w:t>
      </w:r>
      <w:r>
        <w:rPr>
          <w:rStyle w:val="StringTok"/>
        </w:rPr>
        <w:t xml:space="preserve">"</w:t>
      </w:r>
      <w:r>
        <w:rPr>
          <w:rStyle w:val="VariableTok"/>
        </w:rPr>
        <w:t xml:space="preserve">$BaseUrl</w:t>
      </w:r>
      <w:r>
        <w:rPr>
          <w:rStyle w:val="StringTok"/>
        </w:rPr>
        <w:t xml:space="preserve">/repos/fmp/fmp/hooks"</w:t>
      </w:r>
      <w:r>
        <w:rPr>
          <w:rStyle w:val="NormalTok"/>
        </w:rPr>
        <w:t xml:space="preserve"> </w:t>
      </w:r>
      <w:r>
        <w:rPr>
          <w:rStyle w:val="OperatorTok"/>
        </w:rPr>
        <w:t xml:space="preserve">-</w:t>
      </w:r>
      <w:r>
        <w:rPr>
          <w:rStyle w:val="NormalTok"/>
        </w:rPr>
        <w:t xml:space="preserve">Method Post </w:t>
      </w:r>
      <w:r>
        <w:rPr>
          <w:rStyle w:val="OperatorTok"/>
        </w:rPr>
        <w:t xml:space="preserve">-</w:t>
      </w:r>
      <w:r>
        <w:rPr>
          <w:rStyle w:val="NormalTok"/>
        </w:rPr>
        <w:t xml:space="preserve">Headers </w:t>
      </w:r>
      <w:r>
        <w:rPr>
          <w:rStyle w:val="OperatorTok"/>
        </w:rPr>
        <w:t xml:space="preserve">(</w:t>
      </w:r>
      <w:r>
        <w:rPr>
          <w:rStyle w:val="NormalTok"/>
        </w:rPr>
        <w:t xml:space="preserve">Get-FMPGiteaHeaders </w:t>
      </w:r>
      <w:r>
        <w:rPr>
          <w:rStyle w:val="OperatorTok"/>
        </w:rPr>
        <w:t xml:space="preserve">-</w:t>
      </w:r>
      <w:r>
        <w:rPr>
          <w:rStyle w:val="NormalTok"/>
        </w:rPr>
        <w:t xml:space="preserve">Token </w:t>
      </w:r>
      <w:r>
        <w:rPr>
          <w:rStyle w:val="VariableTok"/>
        </w:rPr>
        <w:t xml:space="preserve">$token</w:t>
      </w:r>
      <w:r>
        <w:rPr>
          <w:rStyle w:val="OperatorTok"/>
        </w:rPr>
        <w:t xml:space="preserve">)</w:t>
      </w:r>
      <w:r>
        <w:rPr>
          <w:rStyle w:val="NormalTok"/>
        </w:rPr>
        <w:t xml:space="preserve"> </w:t>
      </w:r>
      <w:r>
        <w:rPr>
          <w:rStyle w:val="OperatorTok"/>
        </w:rPr>
        <w:t xml:space="preserve">-</w:t>
      </w:r>
      <w:r>
        <w:rPr>
          <w:rStyle w:val="NormalTok"/>
        </w:rPr>
        <w:t xml:space="preserve">Body </w:t>
      </w:r>
      <w:r>
        <w:rPr>
          <w:rStyle w:val="VariableTok"/>
        </w:rPr>
        <w:t xml:space="preserve">$hook</w:t>
      </w:r>
    </w:p>
    <w:p>
      <w:pPr>
        <w:pStyle w:val="FirstParagraph"/>
      </w:pPr>
      <w:r>
        <w:t xml:space="preserve">Schedule the run under the gMSA. Install and test the account on the host first;</w:t>
      </w:r>
      <w:r>
        <w:t xml:space="preserve"> </w:t>
      </w:r>
      <w:r>
        <w:rPr>
          <w:rStyle w:val="VerbatimChar"/>
        </w:rPr>
        <w:t xml:space="preserve">Install-ADServiceAccount</w:t>
      </w:r>
      <w:r>
        <w:t xml:space="preserve"> </w:t>
      </w:r>
      <w:r>
        <w:t xml:space="preserve">caches it and proves the host can retrieve the password.</w:t>
      </w:r>
      <w:r>
        <w:rPr>
          <w:rStyle w:val="FootnoteReference"/>
        </w:rPr>
        <w:footnoteReference w:id="1290"/>
      </w:r>
      <w:r>
        <w:t xml:space="preserve"> </w:t>
      </w:r>
      <w:r>
        <w:rPr>
          <w:rStyle w:val="VerbatimChar"/>
        </w:rPr>
        <w:t xml:space="preserve">Password</w:t>
      </w:r>
      <w:r>
        <w:t xml:space="preserve"> </w:t>
      </w:r>
      <w:r>
        <w:t xml:space="preserve">is a documented value of</w:t>
      </w:r>
      <w:r>
        <w:t xml:space="preserve"> </w:t>
      </w:r>
      <w:r>
        <w:rPr>
          <w:rStyle w:val="VerbatimChar"/>
        </w:rPr>
        <w:t xml:space="preserve">-LogonType</w:t>
      </w:r>
      <w:r>
        <w:t xml:space="preserve">, and Task Scheduler is one of the services that can run under a gMSA.</w:t>
      </w:r>
      <w:r>
        <w:rPr>
          <w:rStyle w:val="FootnoteReference"/>
        </w:rPr>
        <w:footnoteReference w:id="1291"/>
      </w:r>
      <w:r>
        <w:t xml:space="preserve"> </w:t>
      </w:r>
      <w:r>
        <w:t xml:space="preserve">Pairing the two with the account name ending in</w:t>
      </w:r>
      <w:r>
        <w:t xml:space="preserve"> </w:t>
      </w:r>
      <w:r>
        <w:rPr>
          <w:rStyle w:val="VerbatimChar"/>
        </w:rPr>
        <w:t xml:space="preserve">$</w:t>
      </w:r>
      <w:r>
        <w:t xml:space="preserve"> </w:t>
      </w:r>
      <w:r>
        <w:t xml:space="preserve">is the program’s configuration; confirm in a test task that it runs without any stored password before relying on it.</w:t>
      </w:r>
    </w:p>
    <w:p>
      <w:pPr>
        <w:pStyle w:val="SourceCode"/>
      </w:pPr>
      <w:r>
        <w:rPr>
          <w:rStyle w:val="FunctionTok"/>
        </w:rPr>
        <w:t xml:space="preserve">Install-ADServiceAccount</w:t>
      </w:r>
      <w:r>
        <w:rPr>
          <w:rStyle w:val="NormalTok"/>
        </w:rPr>
        <w:t xml:space="preserve"> </w:t>
      </w:r>
      <w:r>
        <w:rPr>
          <w:rStyle w:val="OperatorTok"/>
        </w:rPr>
        <w:t xml:space="preserve">-</w:t>
      </w:r>
      <w:r>
        <w:rPr>
          <w:rStyle w:val="NormalTok"/>
        </w:rPr>
        <w:t xml:space="preserve">Identity </w:t>
      </w:r>
      <w:r>
        <w:rPr>
          <w:rStyle w:val="StringTok"/>
        </w:rPr>
        <w:t xml:space="preserve">'svc-fmp-assess$'</w:t>
      </w:r>
      <w:r>
        <w:br/>
      </w:r>
      <w:r>
        <w:rPr>
          <w:rStyle w:val="NormalTok"/>
        </w:rPr>
        <w:t xml:space="preserve">Test-ADServiceAccount   </w:t>
      </w:r>
      <w:r>
        <w:rPr>
          <w:rStyle w:val="OperatorTok"/>
        </w:rPr>
        <w:t xml:space="preserve">-</w:t>
      </w:r>
      <w:r>
        <w:rPr>
          <w:rStyle w:val="NormalTok"/>
        </w:rPr>
        <w:t xml:space="preserve">Identity </w:t>
      </w:r>
      <w:r>
        <w:rPr>
          <w:rStyle w:val="StringTok"/>
        </w:rPr>
        <w:t xml:space="preserve">'svc-fmp-assess$'</w:t>
      </w:r>
      <w:r>
        <w:br/>
      </w:r>
      <w:r>
        <w:br/>
      </w:r>
      <w:r>
        <w:rPr>
          <w:rStyle w:val="VariableTok"/>
        </w:rPr>
        <w:t xml:space="preserve">$action</w:t>
      </w:r>
      <w:r>
        <w:rPr>
          <w:rStyle w:val="NormalTok"/>
        </w:rPr>
        <w:t xml:space="preserve">    </w:t>
      </w:r>
      <w:r>
        <w:rPr>
          <w:rStyle w:val="OperatorTok"/>
        </w:rPr>
        <w:t xml:space="preserve">=</w:t>
      </w:r>
      <w:r>
        <w:rPr>
          <w:rStyle w:val="NormalTok"/>
        </w:rPr>
        <w:t xml:space="preserve"> New-ScheduledTaskAction </w:t>
      </w:r>
      <w:r>
        <w:rPr>
          <w:rStyle w:val="OperatorTok"/>
        </w:rPr>
        <w:t xml:space="preserve">-</w:t>
      </w:r>
      <w:r>
        <w:rPr>
          <w:rStyle w:val="NormalTok"/>
        </w:rPr>
        <w:t xml:space="preserve">Execute </w:t>
      </w:r>
      <w:r>
        <w:rPr>
          <w:rStyle w:val="StringTok"/>
        </w:rPr>
        <w:t xml:space="preserve">'powershell.exe'</w:t>
      </w:r>
      <w:r>
        <w:rPr>
          <w:rStyle w:val="NormalTok"/>
        </w:rPr>
        <w:t xml:space="preserve"> `</w:t>
      </w:r>
      <w:r>
        <w:br/>
      </w:r>
      <w:r>
        <w:rPr>
          <w:rStyle w:val="NormalTok"/>
        </w:rPr>
        <w:t xml:space="preserve">    </w:t>
      </w:r>
      <w:r>
        <w:rPr>
          <w:rStyle w:val="OperatorTok"/>
        </w:rPr>
        <w:t xml:space="preserve">-</w:t>
      </w:r>
      <w:r>
        <w:rPr>
          <w:rStyle w:val="NormalTok"/>
        </w:rPr>
        <w:t xml:space="preserve">Argument </w:t>
      </w:r>
      <w:r>
        <w:rPr>
          <w:rStyle w:val="StringTok"/>
        </w:rPr>
        <w:t xml:space="preserve">'-NoProfile -Command "Import-Module FMPADAssessment; Invoke-FMPADAssessment"'</w:t>
      </w:r>
      <w:r>
        <w:br/>
      </w:r>
      <w:r>
        <w:rPr>
          <w:rStyle w:val="VariableTok"/>
        </w:rPr>
        <w:t xml:space="preserve">$trigger</w:t>
      </w:r>
      <w:r>
        <w:rPr>
          <w:rStyle w:val="NormalTok"/>
        </w:rPr>
        <w:t xml:space="preserve">   </w:t>
      </w:r>
      <w:r>
        <w:rPr>
          <w:rStyle w:val="OperatorTok"/>
        </w:rPr>
        <w:t xml:space="preserve">=</w:t>
      </w:r>
      <w:r>
        <w:rPr>
          <w:rStyle w:val="NormalTok"/>
        </w:rPr>
        <w:t xml:space="preserve"> New-ScheduledTaskTrigger </w:t>
      </w:r>
      <w:r>
        <w:rPr>
          <w:rStyle w:val="OperatorTok"/>
        </w:rPr>
        <w:t xml:space="preserve">-</w:t>
      </w:r>
      <w:r>
        <w:rPr>
          <w:rStyle w:val="NormalTok"/>
        </w:rPr>
        <w:t xml:space="preserve">Weekly </w:t>
      </w:r>
      <w:r>
        <w:rPr>
          <w:rStyle w:val="OperatorTok"/>
        </w:rPr>
        <w:t xml:space="preserve">-</w:t>
      </w:r>
      <w:r>
        <w:rPr>
          <w:rStyle w:val="NormalTok"/>
        </w:rPr>
        <w:t xml:space="preserve">DaysOfWeek Monday </w:t>
      </w:r>
      <w:r>
        <w:rPr>
          <w:rStyle w:val="OperatorTok"/>
        </w:rPr>
        <w:t xml:space="preserve">-</w:t>
      </w:r>
      <w:r>
        <w:rPr>
          <w:rStyle w:val="NormalTok"/>
        </w:rPr>
        <w:t xml:space="preserve">At </w:t>
      </w:r>
      <w:r>
        <w:rPr>
          <w:rStyle w:val="StringTok"/>
        </w:rPr>
        <w:t xml:space="preserve">'02:00'</w:t>
      </w:r>
      <w:r>
        <w:br/>
      </w:r>
      <w:r>
        <w:rPr>
          <w:rStyle w:val="VariableTok"/>
        </w:rPr>
        <w:t xml:space="preserve">$principal</w:t>
      </w:r>
      <w:r>
        <w:rPr>
          <w:rStyle w:val="NormalTok"/>
        </w:rPr>
        <w:t xml:space="preserve"> </w:t>
      </w:r>
      <w:r>
        <w:rPr>
          <w:rStyle w:val="OperatorTok"/>
        </w:rPr>
        <w:t xml:space="preserve">=</w:t>
      </w:r>
      <w:r>
        <w:rPr>
          <w:rStyle w:val="NormalTok"/>
        </w:rPr>
        <w:t xml:space="preserve"> New-ScheduledTaskPrincipal </w:t>
      </w:r>
      <w:r>
        <w:rPr>
          <w:rStyle w:val="OperatorTok"/>
        </w:rPr>
        <w:t xml:space="preserve">-</w:t>
      </w:r>
      <w:r>
        <w:rPr>
          <w:rStyle w:val="NormalTok"/>
        </w:rPr>
        <w:t xml:space="preserve">UserId </w:t>
      </w:r>
      <w:r>
        <w:rPr>
          <w:rStyle w:val="StringTok"/>
        </w:rPr>
        <w:t xml:space="preserve">'CONTOSO\svc-fmp-assess$'</w:t>
      </w:r>
      <w:r>
        <w:rPr>
          <w:rStyle w:val="NormalTok"/>
        </w:rPr>
        <w:t xml:space="preserve"> </w:t>
      </w:r>
      <w:r>
        <w:rPr>
          <w:rStyle w:val="OperatorTok"/>
        </w:rPr>
        <w:t xml:space="preserve">-</w:t>
      </w:r>
      <w:r>
        <w:rPr>
          <w:rStyle w:val="NormalTok"/>
        </w:rPr>
        <w:t xml:space="preserve">LogonType Password</w:t>
      </w:r>
      <w:r>
        <w:br/>
      </w:r>
      <w:r>
        <w:rPr>
          <w:rStyle w:val="NormalTok"/>
        </w:rPr>
        <w:t xml:space="preserve">Register-ScheduledTask </w:t>
      </w:r>
      <w:r>
        <w:rPr>
          <w:rStyle w:val="OperatorTok"/>
        </w:rPr>
        <w:t xml:space="preserve">-</w:t>
      </w:r>
      <w:r>
        <w:rPr>
          <w:rStyle w:val="NormalTok"/>
        </w:rPr>
        <w:t xml:space="preserve">TaskName </w:t>
      </w:r>
      <w:r>
        <w:rPr>
          <w:rStyle w:val="StringTok"/>
        </w:rPr>
        <w:t xml:space="preserve">'FMP-AD-Assessment'</w:t>
      </w:r>
      <w:r>
        <w:rPr>
          <w:rStyle w:val="NormalTok"/>
        </w:rPr>
        <w:t xml:space="preserve"> </w:t>
      </w:r>
      <w:r>
        <w:rPr>
          <w:rStyle w:val="OperatorTok"/>
        </w:rPr>
        <w:t xml:space="preserve">-</w:t>
      </w:r>
      <w:r>
        <w:rPr>
          <w:rStyle w:val="NormalTok"/>
        </w:rPr>
        <w:t xml:space="preserve">Action </w:t>
      </w:r>
      <w:r>
        <w:rPr>
          <w:rStyle w:val="VariableTok"/>
        </w:rPr>
        <w:t xml:space="preserve">$action</w:t>
      </w:r>
      <w:r>
        <w:rPr>
          <w:rStyle w:val="NormalTok"/>
        </w:rPr>
        <w:t xml:space="preserve"> </w:t>
      </w:r>
      <w:r>
        <w:rPr>
          <w:rStyle w:val="OperatorTok"/>
        </w:rPr>
        <w:t xml:space="preserve">-</w:t>
      </w:r>
      <w:r>
        <w:rPr>
          <w:rStyle w:val="NormalTok"/>
        </w:rPr>
        <w:t xml:space="preserve">Trigger </w:t>
      </w:r>
      <w:r>
        <w:rPr>
          <w:rStyle w:val="VariableTok"/>
        </w:rPr>
        <w:t xml:space="preserve">$trigger</w:t>
      </w:r>
      <w:r>
        <w:rPr>
          <w:rStyle w:val="NormalTok"/>
        </w:rPr>
        <w:t xml:space="preserve"> </w:t>
      </w:r>
      <w:r>
        <w:rPr>
          <w:rStyle w:val="OperatorTok"/>
        </w:rPr>
        <w:t xml:space="preserve">-</w:t>
      </w:r>
      <w:r>
        <w:rPr>
          <w:rStyle w:val="NormalTok"/>
        </w:rPr>
        <w:t xml:space="preserve">Principal </w:t>
      </w:r>
      <w:r>
        <w:rPr>
          <w:rStyle w:val="VariableTok"/>
        </w:rPr>
        <w:t xml:space="preserve">$principal</w:t>
      </w:r>
      <w:r>
        <w:rPr>
          <w:rStyle w:val="NormalTok"/>
        </w:rPr>
        <w:t xml:space="preserve"> `</w:t>
      </w:r>
      <w:r>
        <w:br/>
      </w:r>
      <w:r>
        <w:rPr>
          <w:rStyle w:val="NormalTok"/>
        </w:rPr>
        <w:t xml:space="preserve">    </w:t>
      </w:r>
      <w:r>
        <w:rPr>
          <w:rStyle w:val="OperatorTok"/>
        </w:rPr>
        <w:t xml:space="preserve">-</w:t>
      </w:r>
      <w:r>
        <w:rPr>
          <w:rStyle w:val="NormalTok"/>
        </w:rPr>
        <w:t xml:space="preserve">Description </w:t>
      </w:r>
      <w:r>
        <w:rPr>
          <w:rStyle w:val="StringTok"/>
        </w:rPr>
        <w:t xml:space="preserve">'Weekly Federal Modernization Program Active Directory assessment'</w:t>
      </w:r>
    </w:p>
    <w:p>
      <w:pPr>
        <w:pStyle w:val="FirstParagraph"/>
      </w:pPr>
      <w:r>
        <w:t xml:space="preserve">The source passed</w:t>
      </w:r>
      <w:r>
        <w:t xml:space="preserve"> </w:t>
      </w:r>
      <w:r>
        <w:rPr>
          <w:rStyle w:val="VerbatimChar"/>
        </w:rPr>
        <w:t xml:space="preserve">-ExecutionPolicy Bypass</w:t>
      </w:r>
      <w:r>
        <w:t xml:space="preserve">. Sign the module and rely on the host’s</w:t>
      </w:r>
      <w:r>
        <w:t xml:space="preserve"> </w:t>
      </w:r>
      <w:r>
        <w:rPr>
          <w:rStyle w:val="VerbatimChar"/>
        </w:rPr>
        <w:t xml:space="preserve">AllSigned</w:t>
      </w:r>
      <w:r>
        <w:t xml:space="preserve"> </w:t>
      </w:r>
      <w:r>
        <w:t xml:space="preserve">or</w:t>
      </w:r>
      <w:r>
        <w:t xml:space="preserve"> </w:t>
      </w:r>
      <w:r>
        <w:rPr>
          <w:rStyle w:val="VerbatimChar"/>
        </w:rPr>
        <w:t xml:space="preserve">RemoteSigned</w:t>
      </w:r>
      <w:r>
        <w:t xml:space="preserve"> </w:t>
      </w:r>
      <w:r>
        <w:t xml:space="preserve">policy instead.</w:t>
      </w:r>
    </w:p>
    <w:bookmarkEnd w:id="1293"/>
    <w:bookmarkEnd w:id="1294"/>
    <w:bookmarkStart w:id="1295" w:name="c.3-installation"/>
    <w:p>
      <w:pPr>
        <w:pStyle w:val="Heading2"/>
      </w:pPr>
      <w:bookmarkStart w:id="1521" w:name="_Toc00001521"/>
      <w:r>
        <w:t xml:space="preserve">C.3 Installation</w:t>
      </w:r>
      <w:bookmarkEnd w:id="1521"/>
    </w:p>
    <w:p>
      <w:pPr>
        <w:pStyle w:val="SourceCode"/>
      </w:pPr>
      <w:r>
        <w:rPr>
          <w:rStyle w:val="CommentTok"/>
        </w:rPr>
        <w:t xml:space="preserve"># Copy the module to a program-owned path.</w:t>
      </w:r>
      <w:r>
        <w:br/>
      </w:r>
      <w:r>
        <w:rPr>
          <w:rStyle w:val="VariableTok"/>
        </w:rPr>
        <w:t xml:space="preserve">$modulePath</w:t>
      </w:r>
      <w:r>
        <w:rPr>
          <w:rStyle w:val="NormalTok"/>
        </w:rPr>
        <w:t xml:space="preserve"> </w:t>
      </w:r>
      <w:r>
        <w:rPr>
          <w:rStyle w:val="OperatorTok"/>
        </w:rPr>
        <w:t xml:space="preserve">=</w:t>
      </w:r>
      <w:r>
        <w:rPr>
          <w:rStyle w:val="NormalTok"/>
        </w:rPr>
        <w:t xml:space="preserve"> </w:t>
      </w:r>
      <w:r>
        <w:rPr>
          <w:rStyle w:val="StringTok"/>
        </w:rPr>
        <w:t xml:space="preserve">'D:\FMP\Modules\FMPADAssessment'</w:t>
      </w:r>
      <w:r>
        <w:br/>
      </w:r>
      <w:r>
        <w:rPr>
          <w:rStyle w:val="FunctionTok"/>
        </w:rPr>
        <w:t xml:space="preserve">New-Item</w:t>
      </w:r>
      <w:r>
        <w:rPr>
          <w:rStyle w:val="NormalTok"/>
        </w:rPr>
        <w:t xml:space="preserve"> </w:t>
      </w:r>
      <w:r>
        <w:rPr>
          <w:rStyle w:val="OperatorTok"/>
        </w:rPr>
        <w:t xml:space="preserve">-</w:t>
      </w:r>
      <w:r>
        <w:rPr>
          <w:rStyle w:val="NormalTok"/>
        </w:rPr>
        <w:t xml:space="preserve">Path </w:t>
      </w:r>
      <w:r>
        <w:rPr>
          <w:rStyle w:val="VariableTok"/>
        </w:rPr>
        <w:t xml:space="preserve">$modulePath</w:t>
      </w:r>
      <w:r>
        <w:rPr>
          <w:rStyle w:val="NormalTok"/>
        </w:rPr>
        <w:t xml:space="preserve"> </w:t>
      </w:r>
      <w:r>
        <w:rPr>
          <w:rStyle w:val="OperatorTok"/>
        </w:rPr>
        <w:t xml:space="preserve">-</w:t>
      </w:r>
      <w:r>
        <w:rPr>
          <w:rStyle w:val="NormalTok"/>
        </w:rPr>
        <w:t xml:space="preserve">ItemType Directory </w:t>
      </w:r>
      <w:r>
        <w:rPr>
          <w:rStyle w:val="OperatorTok"/>
        </w:rPr>
        <w:t xml:space="preserve">-</w:t>
      </w:r>
      <w:r>
        <w:rPr>
          <w:rStyle w:val="NormalTok"/>
        </w:rPr>
        <w:t xml:space="preserve">Force </w:t>
      </w:r>
      <w:r>
        <w:rPr>
          <w:rStyle w:val="OperatorTok"/>
        </w:rPr>
        <w:t xml:space="preserve">|</w:t>
      </w:r>
      <w:r>
        <w:rPr>
          <w:rStyle w:val="NormalTok"/>
        </w:rPr>
        <w:t xml:space="preserve"> </w:t>
      </w:r>
      <w:r>
        <w:rPr>
          <w:rStyle w:val="FunctionTok"/>
        </w:rPr>
        <w:t xml:space="preserve">Out-Null</w:t>
      </w:r>
      <w:r>
        <w:br/>
      </w:r>
      <w:r>
        <w:rPr>
          <w:rStyle w:val="FunctionTok"/>
        </w:rPr>
        <w:t xml:space="preserve">Copy-Item</w:t>
      </w:r>
      <w:r>
        <w:rPr>
          <w:rStyle w:val="NormalTok"/>
        </w:rPr>
        <w:t xml:space="preserve"> </w:t>
      </w:r>
      <w:r>
        <w:rPr>
          <w:rStyle w:val="OperatorTok"/>
        </w:rPr>
        <w:t xml:space="preserve">-</w:t>
      </w:r>
      <w:r>
        <w:rPr>
          <w:rStyle w:val="NormalTok"/>
        </w:rPr>
        <w:t xml:space="preserve">Path </w:t>
      </w:r>
      <w:r>
        <w:rPr>
          <w:rStyle w:val="StringTok"/>
        </w:rPr>
        <w:t xml:space="preserve">'.\FMPADAssessment.psm1'</w:t>
      </w:r>
      <w:r>
        <w:rPr>
          <w:rStyle w:val="OperatorTok"/>
        </w:rPr>
        <w:t xml:space="preserve">,</w:t>
      </w:r>
      <w:r>
        <w:rPr>
          <w:rStyle w:val="NormalTok"/>
        </w:rPr>
        <w:t xml:space="preserve"> </w:t>
      </w:r>
      <w:r>
        <w:rPr>
          <w:rStyle w:val="StringTok"/>
        </w:rPr>
        <w:t xml:space="preserve">'.\FMPADAssessment.psd1'</w:t>
      </w:r>
      <w:r>
        <w:rPr>
          <w:rStyle w:val="NormalTok"/>
        </w:rPr>
        <w:t xml:space="preserve"> </w:t>
      </w:r>
      <w:r>
        <w:rPr>
          <w:rStyle w:val="OperatorTok"/>
        </w:rPr>
        <w:t xml:space="preserve">-</w:t>
      </w:r>
      <w:r>
        <w:rPr>
          <w:rStyle w:val="NormalTok"/>
        </w:rPr>
        <w:t xml:space="preserve">Destination </w:t>
      </w:r>
      <w:r>
        <w:rPr>
          <w:rStyle w:val="VariableTok"/>
        </w:rPr>
        <w:t xml:space="preserve">$modulePath</w:t>
      </w:r>
      <w:r>
        <w:br/>
      </w:r>
      <w:r>
        <w:br/>
      </w:r>
      <w:r>
        <w:rPr>
          <w:rStyle w:val="CommentTok"/>
        </w:rPr>
        <w:t xml:space="preserve"># Add the parent folder to the machine module path once.</w:t>
      </w:r>
      <w:r>
        <w:br/>
      </w:r>
      <w:r>
        <w:rPr>
          <w:rStyle w:val="VariableTok"/>
        </w:rPr>
        <w:t xml:space="preserve">$current</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Environment</w:t>
      </w:r>
      <w:r>
        <w:rPr>
          <w:rStyle w:val="OperatorTok"/>
        </w:rPr>
        <w:t xml:space="preserve">]::</w:t>
      </w:r>
      <w:r>
        <w:rPr>
          <w:rStyle w:val="NormalTok"/>
        </w:rPr>
        <w:t xml:space="preserve">GetEnvironmentVariable</w:t>
      </w:r>
      <w:r>
        <w:rPr>
          <w:rStyle w:val="OperatorTok"/>
        </w:rPr>
        <w:t xml:space="preserve">(</w:t>
      </w:r>
      <w:r>
        <w:rPr>
          <w:rStyle w:val="StringTok"/>
        </w:rPr>
        <w:t xml:space="preserve">'PSModulePath'</w:t>
      </w:r>
      <w:r>
        <w:rPr>
          <w:rStyle w:val="OperatorTok"/>
        </w:rPr>
        <w:t xml:space="preserve">,</w:t>
      </w:r>
      <w:r>
        <w:rPr>
          <w:rStyle w:val="NormalTok"/>
        </w:rPr>
        <w:t xml:space="preserve"> </w:t>
      </w:r>
      <w:r>
        <w:rPr>
          <w:rStyle w:val="StringTok"/>
        </w:rPr>
        <w:t xml:space="preserve">'Machine'</w:t>
      </w:r>
      <w:r>
        <w:rPr>
          <w:rStyle w:val="OperatorTok"/>
        </w:rPr>
        <w:t xml:space="preserve">)</w:t>
      </w:r>
      <w:r>
        <w:br/>
      </w:r>
      <w:r>
        <w:rPr>
          <w:rStyle w:val="ControlFlowTok"/>
        </w:rPr>
        <w:t xml:space="preserve">if</w:t>
      </w:r>
      <w:r>
        <w:rPr>
          <w:rStyle w:val="NormalTok"/>
        </w:rPr>
        <w:t xml:space="preserve"> </w:t>
      </w:r>
      <w:r>
        <w:rPr>
          <w:rStyle w:val="OperatorTok"/>
        </w:rPr>
        <w:t xml:space="preserve">(</w:t>
      </w:r>
      <w:r>
        <w:rPr>
          <w:rStyle w:val="VariableTok"/>
        </w:rPr>
        <w:t xml:space="preserve">$current</w:t>
      </w:r>
      <w:r>
        <w:rPr>
          <w:rStyle w:val="NormalTok"/>
        </w:rPr>
        <w:t xml:space="preserve"> </w:t>
      </w:r>
      <w:r>
        <w:rPr>
          <w:rStyle w:val="OperatorTok"/>
        </w:rPr>
        <w:t xml:space="preserve">-notmatch</w:t>
      </w:r>
      <w:r>
        <w:rPr>
          <w:rStyle w:val="NormalTok"/>
        </w:rPr>
        <w:t xml:space="preserve"> </w:t>
      </w:r>
      <w:r>
        <w:rPr>
          <w:rStyle w:val="OperatorTok"/>
        </w:rPr>
        <w:t xml:space="preserve">[</w:t>
      </w:r>
      <w:r>
        <w:rPr>
          <w:rStyle w:val="NormalTok"/>
        </w:rPr>
        <w:t xml:space="preserve">regex</w:t>
      </w:r>
      <w:r>
        <w:rPr>
          <w:rStyle w:val="OperatorTok"/>
        </w:rPr>
        <w:t xml:space="preserve">]::</w:t>
      </w:r>
      <w:r>
        <w:rPr>
          <w:rStyle w:val="NormalTok"/>
        </w:rPr>
        <w:t xml:space="preserve">Escape</w:t>
      </w:r>
      <w:r>
        <w:rPr>
          <w:rStyle w:val="OperatorTok"/>
        </w:rPr>
        <w:t xml:space="preserve">(</w:t>
      </w:r>
      <w:r>
        <w:rPr>
          <w:rStyle w:val="StringTok"/>
        </w:rPr>
        <w:t xml:space="preserve">'D:\FMP\Modules'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Environment</w:t>
      </w:r>
      <w:r>
        <w:rPr>
          <w:rStyle w:val="OperatorTok"/>
        </w:rPr>
        <w:t xml:space="preserve">]::</w:t>
      </w:r>
      <w:r>
        <w:rPr>
          <w:rStyle w:val="NormalTok"/>
        </w:rPr>
        <w:t xml:space="preserve">SetEnvironmentVariable</w:t>
      </w:r>
      <w:r>
        <w:rPr>
          <w:rStyle w:val="OperatorTok"/>
        </w:rPr>
        <w:t xml:space="preserve">(</w:t>
      </w:r>
      <w:r>
        <w:rPr>
          <w:rStyle w:val="StringTok"/>
        </w:rPr>
        <w:t xml:space="preserve">'PSModulePath'</w:t>
      </w:r>
      <w:r>
        <w:rPr>
          <w:rStyle w:val="OperatorTok"/>
        </w:rPr>
        <w:t xml:space="preserve">,</w:t>
      </w:r>
      <w:r>
        <w:rPr>
          <w:rStyle w:val="NormalTok"/>
        </w:rPr>
        <w:t xml:space="preserve"> </w:t>
      </w:r>
      <w:r>
        <w:rPr>
          <w:rStyle w:val="StringTok"/>
        </w:rPr>
        <w:t xml:space="preserve">"</w:t>
      </w:r>
      <w:r>
        <w:rPr>
          <w:rStyle w:val="VariableTok"/>
        </w:rPr>
        <w:t xml:space="preserve">$current</w:t>
      </w:r>
      <w:r>
        <w:rPr>
          <w:rStyle w:val="StringTok"/>
        </w:rPr>
        <w:t xml:space="preserve">;D:\FMP\Modules"</w:t>
      </w:r>
      <w:r>
        <w:rPr>
          <w:rStyle w:val="OperatorTok"/>
        </w:rPr>
        <w:t xml:space="preserve">,</w:t>
      </w:r>
      <w:r>
        <w:rPr>
          <w:rStyle w:val="NormalTok"/>
        </w:rPr>
        <w:t xml:space="preserve"> </w:t>
      </w:r>
      <w:r>
        <w:rPr>
          <w:rStyle w:val="StringTok"/>
        </w:rPr>
        <w:t xml:space="preserve">'Machine'</w:t>
      </w:r>
      <w:r>
        <w:rPr>
          <w:rStyle w:val="OperatorTok"/>
        </w:rPr>
        <w:t xml:space="preserve">)</w:t>
      </w:r>
      <w:r>
        <w:br/>
      </w:r>
      <w:r>
        <w:rPr>
          <w:rStyle w:val="OperatorTok"/>
        </w:rPr>
        <w:t xml:space="preserve">}</w:t>
      </w:r>
      <w:r>
        <w:br/>
      </w:r>
      <w:r>
        <w:br/>
      </w:r>
      <w:r>
        <w:rPr>
          <w:rStyle w:val="CommentTok"/>
        </w:rPr>
        <w:t xml:space="preserve"># In a new session:</w:t>
      </w:r>
      <w:r>
        <w:br/>
      </w:r>
      <w:r>
        <w:rPr>
          <w:rStyle w:val="FunctionTok"/>
        </w:rPr>
        <w:t xml:space="preserve">Import-Module</w:t>
      </w:r>
      <w:r>
        <w:rPr>
          <w:rStyle w:val="NormalTok"/>
        </w:rPr>
        <w:t xml:space="preserve"> FMPADAssessment </w:t>
      </w:r>
      <w:r>
        <w:rPr>
          <w:rStyle w:val="OperatorTok"/>
        </w:rPr>
        <w:t xml:space="preserve">-</w:t>
      </w:r>
      <w:r>
        <w:rPr>
          <w:rStyle w:val="NormalTok"/>
        </w:rPr>
        <w:t xml:space="preserve">Verbose</w:t>
      </w:r>
      <w:r>
        <w:br/>
      </w:r>
      <w:r>
        <w:rPr>
          <w:rStyle w:val="FunctionTok"/>
        </w:rPr>
        <w:t xml:space="preserve">Get-Command</w:t>
      </w:r>
      <w:r>
        <w:rPr>
          <w:rStyle w:val="NormalTok"/>
        </w:rPr>
        <w:t xml:space="preserve"> </w:t>
      </w:r>
      <w:r>
        <w:rPr>
          <w:rStyle w:val="OperatorTok"/>
        </w:rPr>
        <w:t xml:space="preserve">-</w:t>
      </w:r>
      <w:r>
        <w:rPr>
          <w:rStyle w:val="NormalTok"/>
        </w:rPr>
        <w:t xml:space="preserve">Module FMPADAssessment</w:t>
      </w:r>
      <w:r>
        <w:br/>
      </w:r>
      <w:r>
        <w:rPr>
          <w:rStyle w:val="NormalTok"/>
        </w:rPr>
        <w:t xml:space="preserve">Test-FMPPrerequisites</w:t>
      </w:r>
    </w:p>
    <w:bookmarkEnd w:id="1295"/>
    <w:bookmarkStart w:id="1305" w:name="c.4-output-schema-reference"/>
    <w:p>
      <w:pPr>
        <w:pStyle w:val="Heading2"/>
      </w:pPr>
      <w:bookmarkStart w:id="1522" w:name="_Toc00001522"/>
      <w:r>
        <w:t xml:space="preserve">C.4 Output schema reference</w:t>
      </w:r>
      <w:bookmarkEnd w:id="1522"/>
    </w:p>
    <w:p>
      <w:pPr>
        <w:pStyle w:val="FirstParagraph"/>
      </w:pPr>
      <w:r>
        <w:t xml:space="preserve">Every file is UTF-8 JSON (or CSV, XML, HTML or text where noted). Timestamps are ISO 8601 with offset. Enumerations are written as strings.</w:t>
      </w:r>
    </w:p>
    <w:bookmarkStart w:id="1299" w:name="foresttopology.json"/>
    <w:p>
      <w:pPr>
        <w:pStyle w:val="Heading3"/>
      </w:pPr>
      <w:r>
        <w:t xml:space="preserve">ForestTopology.json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Type</w:t>
            </w:r>
          </w:p>
        </w:tc>
        <w:tc>
          <w:tcPr/>
          <w:p>
            <w:pPr>
              <w:pStyle w:val="Compact"/>
            </w:pPr>
            <w:r>
              <w:t xml:space="preserve">Description</w:t>
            </w:r>
          </w:p>
        </w:tc>
      </w:tr>
      <w:tr>
        <w:tc>
          <w:tcPr/>
          <w:p>
            <w:pPr>
              <w:pStyle w:val="Compact"/>
            </w:pPr>
            <w:r>
              <w:rPr>
                <w:rStyle w:val="VerbatimChar"/>
              </w:rPr>
              <w:t xml:space="preserve">AssessmentTimestamp</w:t>
            </w:r>
          </w:p>
        </w:tc>
        <w:tc>
          <w:tcPr/>
          <w:p>
            <w:pPr>
              <w:pStyle w:val="Compact"/>
            </w:pPr>
            <w:r>
              <w:t xml:space="preserve">string (ISO 8601)</w:t>
            </w:r>
          </w:p>
        </w:tc>
        <w:tc>
          <w:tcPr/>
          <w:p>
            <w:pPr>
              <w:pStyle w:val="Compact"/>
            </w:pPr>
            <w:r>
              <w:t xml:space="preserve">When the collector ran</w:t>
            </w:r>
          </w:p>
        </w:tc>
      </w:tr>
      <w:tr>
        <w:tc>
          <w:tcPr/>
          <w:p>
            <w:pPr>
              <w:pStyle w:val="Compact"/>
            </w:pPr>
            <w:r>
              <w:rPr>
                <w:rStyle w:val="VerbatimChar"/>
              </w:rPr>
              <w:t xml:space="preserve">Forest</w:t>
            </w:r>
          </w:p>
        </w:tc>
        <w:tc>
          <w:tcPr/>
          <w:p>
            <w:pPr>
              <w:pStyle w:val="Compact"/>
            </w:pPr>
            <w:r>
              <w:t xml:space="preserve">object</w:t>
            </w:r>
          </w:p>
        </w:tc>
        <w:tc>
          <w:tcPr/>
          <w:p>
            <w:pPr>
              <w:pStyle w:val="Compact"/>
            </w:pPr>
            <w:r>
              <w:rPr>
                <w:rStyle w:val="VerbatimChar"/>
              </w:rPr>
              <w:t xml:space="preserve">Name</w:t>
            </w:r>
            <w:r>
              <w:t xml:space="preserve">,</w:t>
            </w:r>
            <w:r>
              <w:t xml:space="preserve"> </w:t>
            </w:r>
            <w:r>
              <w:rPr>
                <w:rStyle w:val="VerbatimChar"/>
              </w:rPr>
              <w:t xml:space="preserve">RootDomain</w:t>
            </w:r>
            <w:r>
              <w:t xml:space="preserve">,</w:t>
            </w:r>
            <w:r>
              <w:t xml:space="preserve"> </w:t>
            </w:r>
            <w:r>
              <w:rPr>
                <w:rStyle w:val="VerbatimChar"/>
              </w:rPr>
              <w:t xml:space="preserve">ForestMode</w:t>
            </w:r>
            <w:r>
              <w:t xml:space="preserve">,</w:t>
            </w:r>
            <w:r>
              <w:t xml:space="preserve"> </w:t>
            </w:r>
            <w:r>
              <w:rPr>
                <w:rStyle w:val="VerbatimChar"/>
              </w:rPr>
              <w:t xml:space="preserve">SchemaMaster</w:t>
            </w:r>
            <w:r>
              <w:t xml:space="preserve">,</w:t>
            </w:r>
            <w:r>
              <w:t xml:space="preserve"> </w:t>
            </w:r>
            <w:r>
              <w:rPr>
                <w:rStyle w:val="VerbatimChar"/>
              </w:rPr>
              <w:t xml:space="preserve">DomainNamingMaster</w:t>
            </w:r>
            <w:r>
              <w:t xml:space="preserve">,</w:t>
            </w:r>
            <w:r>
              <w:t xml:space="preserve"> </w:t>
            </w:r>
            <w:r>
              <w:rPr>
                <w:rStyle w:val="VerbatimChar"/>
              </w:rPr>
              <w:t xml:space="preserve">Domains[]</w:t>
            </w:r>
            <w:r>
              <w:t xml:space="preserve">,</w:t>
            </w:r>
            <w:r>
              <w:t xml:space="preserve"> </w:t>
            </w:r>
            <w:r>
              <w:rPr>
                <w:rStyle w:val="VerbatimChar"/>
              </w:rPr>
              <w:t xml:space="preserve">Sites[]</w:t>
            </w:r>
            <w:r>
              <w:t xml:space="preserve">,</w:t>
            </w:r>
            <w:r>
              <w:t xml:space="preserve"> </w:t>
            </w:r>
            <w:r>
              <w:rPr>
                <w:rStyle w:val="VerbatimChar"/>
              </w:rPr>
              <w:t xml:space="preserve">GlobalCatalogs[]</w:t>
            </w:r>
            <w:r>
              <w:t xml:space="preserve">,</w:t>
            </w:r>
            <w:r>
              <w:t xml:space="preserve"> </w:t>
            </w:r>
            <w:r>
              <w:rPr>
                <w:rStyle w:val="VerbatimChar"/>
              </w:rPr>
              <w:t xml:space="preserve">UPNSuffixes[]</w:t>
            </w:r>
            <w:r>
              <w:t xml:space="preserve">,</w:t>
            </w:r>
            <w:r>
              <w:t xml:space="preserve"> </w:t>
            </w:r>
            <w:r>
              <w:rPr>
                <w:rStyle w:val="VerbatimChar"/>
              </w:rPr>
              <w:t xml:space="preserve">SPNSuffixes[]</w:t>
            </w:r>
          </w:p>
        </w:tc>
      </w:tr>
      <w:tr>
        <w:tc>
          <w:tcPr/>
          <w:p>
            <w:pPr>
              <w:pStyle w:val="Compact"/>
            </w:pPr>
            <w:r>
              <w:rPr>
                <w:rStyle w:val="VerbatimChar"/>
              </w:rPr>
              <w:t xml:space="preserve">Domains</w:t>
            </w:r>
          </w:p>
        </w:tc>
        <w:tc>
          <w:tcPr/>
          <w:p>
            <w:pPr>
              <w:pStyle w:val="Compact"/>
            </w:pPr>
            <w:r>
              <w:t xml:space="preserve">array</w:t>
            </w:r>
          </w:p>
        </w:tc>
        <w:tc>
          <w:tcPr/>
          <w:p>
            <w:pPr>
              <w:pStyle w:val="Compact"/>
            </w:pPr>
            <w:r>
              <w:rPr>
                <w:rStyle w:val="VerbatimChar"/>
              </w:rPr>
              <w:t xml:space="preserve">DNSRoot</w:t>
            </w:r>
            <w:r>
              <w:t xml:space="preserve">,</w:t>
            </w:r>
            <w:r>
              <w:t xml:space="preserve"> </w:t>
            </w:r>
            <w:r>
              <w:rPr>
                <w:rStyle w:val="VerbatimChar"/>
              </w:rPr>
              <w:t xml:space="preserve">NetBIOSName</w:t>
            </w:r>
            <w:r>
              <w:t xml:space="preserve">,</w:t>
            </w:r>
            <w:r>
              <w:t xml:space="preserve"> </w:t>
            </w:r>
            <w:r>
              <w:rPr>
                <w:rStyle w:val="VerbatimChar"/>
              </w:rPr>
              <w:t xml:space="preserve">DomainMode</w:t>
            </w:r>
            <w:r>
              <w:t xml:space="preserve">,</w:t>
            </w:r>
            <w:r>
              <w:t xml:space="preserve"> </w:t>
            </w:r>
            <w:r>
              <w:rPr>
                <w:rStyle w:val="VerbatimChar"/>
              </w:rPr>
              <w:t xml:space="preserve">DomainSID</w:t>
            </w:r>
            <w:r>
              <w:t xml:space="preserve">,</w:t>
            </w:r>
            <w:r>
              <w:t xml:space="preserve"> </w:t>
            </w:r>
            <w:r>
              <w:rPr>
                <w:rStyle w:val="VerbatimChar"/>
              </w:rPr>
              <w:t xml:space="preserve">PDCEmulator</w:t>
            </w:r>
            <w:r>
              <w:t xml:space="preserve">,</w:t>
            </w:r>
            <w:r>
              <w:t xml:space="preserve"> </w:t>
            </w:r>
            <w:r>
              <w:rPr>
                <w:rStyle w:val="VerbatimChar"/>
              </w:rPr>
              <w:t xml:space="preserve">RIDMaster</w:t>
            </w:r>
            <w:r>
              <w:t xml:space="preserve">,</w:t>
            </w:r>
            <w:r>
              <w:t xml:space="preserve"> </w:t>
            </w:r>
            <w:r>
              <w:rPr>
                <w:rStyle w:val="VerbatimChar"/>
              </w:rPr>
              <w:t xml:space="preserve">InfrastructureMaster</w:t>
            </w:r>
            <w:r>
              <w:t xml:space="preserve">,</w:t>
            </w:r>
            <w:r>
              <w:t xml:space="preserve"> </w:t>
            </w:r>
            <w:r>
              <w:rPr>
                <w:rStyle w:val="VerbatimChar"/>
              </w:rPr>
              <w:t xml:space="preserve">DistinguishedName</w:t>
            </w:r>
            <w:r>
              <w:t xml:space="preserve">,</w:t>
            </w:r>
            <w:r>
              <w:t xml:space="preserve"> </w:t>
            </w:r>
            <w:r>
              <w:rPr>
                <w:rStyle w:val="VerbatimChar"/>
              </w:rPr>
              <w:t xml:space="preserve">ParentDomain</w:t>
            </w:r>
            <w:r>
              <w:t xml:space="preserve">,</w:t>
            </w:r>
            <w:r>
              <w:t xml:space="preserve"> </w:t>
            </w:r>
            <w:r>
              <w:rPr>
                <w:rStyle w:val="VerbatimChar"/>
              </w:rPr>
              <w:t xml:space="preserve">ChildDomains[]</w:t>
            </w:r>
          </w:p>
        </w:tc>
      </w:tr>
      <w:tr>
        <w:tc>
          <w:tcPr/>
          <w:p>
            <w:pPr>
              <w:pStyle w:val="Compact"/>
            </w:pPr>
            <w:r>
              <w:rPr>
                <w:rStyle w:val="VerbatimChar"/>
              </w:rPr>
              <w:t xml:space="preserve">DomainControllers</w:t>
            </w:r>
          </w:p>
        </w:tc>
        <w:tc>
          <w:tcPr/>
          <w:p>
            <w:pPr>
              <w:pStyle w:val="Compact"/>
            </w:pPr>
            <w:r>
              <w:t xml:space="preserve">array</w:t>
            </w:r>
          </w:p>
        </w:tc>
        <w:tc>
          <w:tcPr/>
          <w:p>
            <w:pPr>
              <w:pStyle w:val="Compact"/>
            </w:pPr>
            <w:r>
              <w:rPr>
                <w:rStyle w:val="VerbatimChar"/>
              </w:rPr>
              <w:t xml:space="preserve">HostName</w:t>
            </w:r>
            <w:r>
              <w:t xml:space="preserve">,</w:t>
            </w:r>
            <w:r>
              <w:t xml:space="preserve"> </w:t>
            </w:r>
            <w:r>
              <w:rPr>
                <w:rStyle w:val="VerbatimChar"/>
              </w:rPr>
              <w:t xml:space="preserve">Domain</w:t>
            </w:r>
            <w:r>
              <w:t xml:space="preserve">,</w:t>
            </w:r>
            <w:r>
              <w:t xml:space="preserve"> </w:t>
            </w:r>
            <w:r>
              <w:rPr>
                <w:rStyle w:val="VerbatimChar"/>
              </w:rPr>
              <w:t xml:space="preserve">Site</w:t>
            </w:r>
            <w:r>
              <w:t xml:space="preserve">,</w:t>
            </w:r>
            <w:r>
              <w:t xml:space="preserve"> </w:t>
            </w:r>
            <w:r>
              <w:rPr>
                <w:rStyle w:val="VerbatimChar"/>
              </w:rPr>
              <w:t xml:space="preserve">IPv4Address</w:t>
            </w:r>
            <w:r>
              <w:t xml:space="preserve">,</w:t>
            </w:r>
            <w:r>
              <w:t xml:space="preserve"> </w:t>
            </w:r>
            <w:r>
              <w:rPr>
                <w:rStyle w:val="VerbatimChar"/>
              </w:rPr>
              <w:t xml:space="preserve">OperatingSystem</w:t>
            </w:r>
            <w:r>
              <w:t xml:space="preserve">,</w:t>
            </w:r>
            <w:r>
              <w:t xml:space="preserve"> </w:t>
            </w:r>
            <w:r>
              <w:rPr>
                <w:rStyle w:val="VerbatimChar"/>
              </w:rPr>
              <w:t xml:space="preserve">OperatingSystemVersion</w:t>
            </w:r>
            <w:r>
              <w:t xml:space="preserve">,</w:t>
            </w:r>
            <w:r>
              <w:t xml:space="preserve"> </w:t>
            </w:r>
            <w:r>
              <w:rPr>
                <w:rStyle w:val="VerbatimChar"/>
              </w:rPr>
              <w:t xml:space="preserve">IsGlobalCatalog</w:t>
            </w:r>
            <w:r>
              <w:t xml:space="preserve">,</w:t>
            </w:r>
            <w:r>
              <w:t xml:space="preserve"> </w:t>
            </w:r>
            <w:r>
              <w:rPr>
                <w:rStyle w:val="VerbatimChar"/>
              </w:rPr>
              <w:t xml:space="preserve">IsReadOnly</w:t>
            </w:r>
            <w:r>
              <w:t xml:space="preserve">,</w:t>
            </w:r>
            <w:r>
              <w:t xml:space="preserve"> </w:t>
            </w:r>
            <w:r>
              <w:rPr>
                <w:rStyle w:val="VerbatimChar"/>
              </w:rPr>
              <w:t xml:space="preserve">Enabled</w:t>
            </w:r>
            <w:r>
              <w:t xml:space="preserve">,</w:t>
            </w:r>
            <w:r>
              <w:t xml:space="preserve"> </w:t>
            </w:r>
            <w:r>
              <w:rPr>
                <w:rStyle w:val="VerbatimChar"/>
              </w:rPr>
              <w:t xml:space="preserve">OperationMasterRoles[]</w:t>
            </w:r>
          </w:p>
        </w:tc>
      </w:tr>
      <w:tr>
        <w:tc>
          <w:tcPr/>
          <w:p>
            <w:pPr>
              <w:pStyle w:val="Compact"/>
            </w:pPr>
            <w:r>
              <w:rPr>
                <w:rStyle w:val="VerbatimChar"/>
              </w:rPr>
              <w:t xml:space="preserve">Sites</w:t>
            </w:r>
          </w:p>
        </w:tc>
        <w:tc>
          <w:tcPr/>
          <w:p>
            <w:pPr>
              <w:pStyle w:val="Compact"/>
            </w:pPr>
            <w:r>
              <w:t xml:space="preserve">array</w:t>
            </w:r>
          </w:p>
        </w:tc>
        <w:tc>
          <w:tcPr/>
          <w:p>
            <w:pPr>
              <w:pStyle w:val="Compact"/>
            </w:pP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Location</w:t>
            </w:r>
            <w:r>
              <w:t xml:space="preserve">,</w:t>
            </w:r>
            <w:r>
              <w:t xml:space="preserve"> </w:t>
            </w:r>
            <w:r>
              <w:rPr>
                <w:rStyle w:val="VerbatimChar"/>
              </w:rPr>
              <w:t xml:space="preserve">Subnets[]</w:t>
            </w:r>
          </w:p>
        </w:tc>
      </w:tr>
      <w:tr>
        <w:tc>
          <w:tcPr/>
          <w:p>
            <w:pPr>
              <w:pStyle w:val="Compact"/>
            </w:pPr>
            <w:r>
              <w:rPr>
                <w:rStyle w:val="VerbatimChar"/>
              </w:rPr>
              <w:t xml:space="preserve">SiteLinks</w:t>
            </w:r>
          </w:p>
        </w:tc>
        <w:tc>
          <w:tcPr/>
          <w:p>
            <w:pPr>
              <w:pStyle w:val="Compact"/>
            </w:pPr>
            <w:r>
              <w:t xml:space="preserve">array</w:t>
            </w:r>
          </w:p>
        </w:tc>
        <w:tc>
          <w:tcPr/>
          <w:p>
            <w:pPr>
              <w:pStyle w:val="Compact"/>
            </w:pPr>
            <w:r>
              <w:rPr>
                <w:rStyle w:val="VerbatimChar"/>
              </w:rPr>
              <w:t xml:space="preserve">Name</w:t>
            </w:r>
            <w:r>
              <w:t xml:space="preserve">,</w:t>
            </w:r>
            <w:r>
              <w:t xml:space="preserve"> </w:t>
            </w:r>
            <w:r>
              <w:rPr>
                <w:rStyle w:val="VerbatimChar"/>
              </w:rPr>
              <w:t xml:space="preserve">Cost</w:t>
            </w:r>
            <w:r>
              <w:t xml:space="preserve">,</w:t>
            </w:r>
            <w:r>
              <w:t xml:space="preserve"> </w:t>
            </w:r>
            <w:r>
              <w:rPr>
                <w:rStyle w:val="VerbatimChar"/>
              </w:rPr>
              <w:t xml:space="preserve">ReplicationFrequencyInMinutes</w:t>
            </w:r>
            <w:r>
              <w:t xml:space="preserve">,</w:t>
            </w:r>
            <w:r>
              <w:t xml:space="preserve"> </w:t>
            </w:r>
            <w:r>
              <w:rPr>
                <w:rStyle w:val="VerbatimChar"/>
              </w:rPr>
              <w:t xml:space="preserve">Options</w:t>
            </w:r>
            <w:r>
              <w:t xml:space="preserve">,</w:t>
            </w:r>
            <w:r>
              <w:t xml:space="preserve"> </w:t>
            </w:r>
            <w:r>
              <w:rPr>
                <w:rStyle w:val="VerbatimChar"/>
              </w:rPr>
              <w:t xml:space="preserve">Description</w:t>
            </w:r>
            <w:r>
              <w:t xml:space="preserve">,</w:t>
            </w:r>
            <w:r>
              <w:t xml:space="preserve"> </w:t>
            </w:r>
            <w:r>
              <w:rPr>
                <w:rStyle w:val="VerbatimChar"/>
              </w:rPr>
              <w:t xml:space="preserve">Sites[]</w:t>
            </w:r>
          </w:p>
        </w:tc>
      </w:tr>
      <w:tr>
        <w:tc>
          <w:tcPr/>
          <w:p>
            <w:pPr>
              <w:pStyle w:val="Compact"/>
            </w:pPr>
            <w:r>
              <w:rPr>
                <w:rStyle w:val="VerbatimChar"/>
              </w:rPr>
              <w:t xml:space="preserve">Subnets</w:t>
            </w:r>
          </w:p>
        </w:tc>
        <w:tc>
          <w:tcPr/>
          <w:p>
            <w:pPr>
              <w:pStyle w:val="Compact"/>
            </w:pPr>
            <w:r>
              <w:t xml:space="preserve">array</w:t>
            </w:r>
          </w:p>
        </w:tc>
        <w:tc>
          <w:tcPr/>
          <w:p>
            <w:pPr>
              <w:pStyle w:val="Compact"/>
            </w:pPr>
            <w:r>
              <w:rPr>
                <w:rStyle w:val="VerbatimChar"/>
              </w:rPr>
              <w:t xml:space="preserve">Name</w:t>
            </w:r>
            <w:r>
              <w:t xml:space="preserve">,</w:t>
            </w:r>
            <w:r>
              <w:t xml:space="preserve"> </w:t>
            </w:r>
            <w:r>
              <w:rPr>
                <w:rStyle w:val="VerbatimChar"/>
              </w:rPr>
              <w:t xml:space="preserve">Site</w:t>
            </w:r>
            <w:r>
              <w:t xml:space="preserve">,</w:t>
            </w:r>
            <w:r>
              <w:t xml:space="preserve"> </w:t>
            </w:r>
            <w:r>
              <w:rPr>
                <w:rStyle w:val="VerbatimChar"/>
              </w:rPr>
              <w:t xml:space="preserve">Location</w:t>
            </w:r>
            <w:r>
              <w:t xml:space="preserve">,</w:t>
            </w:r>
            <w:r>
              <w:t xml:space="preserve"> </w:t>
            </w:r>
            <w:r>
              <w:rPr>
                <w:rStyle w:val="VerbatimChar"/>
              </w:rPr>
              <w:t xml:space="preserve">Description</w:t>
            </w:r>
          </w:p>
        </w:tc>
      </w:tr>
      <w:tr>
        <w:tc>
          <w:tcPr/>
          <w:p>
            <w:pPr>
              <w:pStyle w:val="Compact"/>
            </w:pPr>
            <w:r>
              <w:rPr>
                <w:rStyle w:val="VerbatimChar"/>
              </w:rPr>
              <w:t xml:space="preserve">FSMORoles</w:t>
            </w:r>
          </w:p>
        </w:tc>
        <w:tc>
          <w:tcPr/>
          <w:p>
            <w:pPr>
              <w:pStyle w:val="Compact"/>
            </w:pPr>
            <w:r>
              <w:t xml:space="preserve">array</w:t>
            </w:r>
          </w:p>
        </w:tc>
        <w:tc>
          <w:tcPr/>
          <w:p>
            <w:pPr>
              <w:pStyle w:val="Compact"/>
            </w:pPr>
            <w:r>
              <w:rPr>
                <w:rStyle w:val="VerbatimChar"/>
              </w:rPr>
              <w:t xml:space="preserve">Role</w:t>
            </w:r>
            <w:r>
              <w:t xml:space="preserve">,</w:t>
            </w:r>
            <w:r>
              <w:t xml:space="preserve"> </w:t>
            </w:r>
            <w:r>
              <w:rPr>
                <w:rStyle w:val="VerbatimChar"/>
              </w:rPr>
              <w:t xml:space="preserve">Scope</w:t>
            </w:r>
            <w:r>
              <w:t xml:space="preserve"> </w:t>
            </w:r>
            <w:r>
              <w:t xml:space="preserve">(</w:t>
            </w:r>
            <w:r>
              <w:rPr>
                <w:rStyle w:val="VerbatimChar"/>
              </w:rPr>
              <w:t xml:space="preserve">Forest</w:t>
            </w:r>
            <w:r>
              <w:t xml:space="preserve"> </w:t>
            </w:r>
            <w:r>
              <w:t xml:space="preserve">or</w:t>
            </w:r>
            <w:r>
              <w:t xml:space="preserve"> </w:t>
            </w:r>
            <w:r>
              <w:rPr>
                <w:rStyle w:val="VerbatimChar"/>
              </w:rPr>
              <w:t xml:space="preserve">Domain</w:t>
            </w:r>
            <w:r>
              <w:t xml:space="preserve">),</w:t>
            </w:r>
            <w:r>
              <w:t xml:space="preserve"> </w:t>
            </w:r>
            <w:r>
              <w:rPr>
                <w:rStyle w:val="VerbatimChar"/>
              </w:rPr>
              <w:t xml:space="preserve">Domain</w:t>
            </w:r>
            <w:r>
              <w:t xml:space="preserve">,</w:t>
            </w:r>
            <w:r>
              <w:t xml:space="preserve"> </w:t>
            </w:r>
            <w:r>
              <w:rPr>
                <w:rStyle w:val="VerbatimChar"/>
              </w:rPr>
              <w:t xml:space="preserve">Holder</w:t>
            </w:r>
          </w:p>
        </w:tc>
      </w:tr>
    </w:tbl>
    <w:p>
      <w:pPr>
        <w:pStyle w:val="SourceCode"/>
      </w:pPr>
      <w:r>
        <w:rPr>
          <w:rStyle w:val="FunctionTok"/>
        </w:rPr>
        <w:t xml:space="preserve">{</w:t>
      </w:r>
      <w:r>
        <w:br/>
      </w:r>
      <w:r>
        <w:rPr>
          <w:rStyle w:val="NormalTok"/>
        </w:rPr>
        <w:t xml:space="preserve">  </w:t>
      </w:r>
      <w:r>
        <w:rPr>
          <w:rStyle w:val="DataTypeTok"/>
        </w:rPr>
        <w:t xml:space="preserve">"AssessmentTimestamp"</w:t>
      </w:r>
      <w:r>
        <w:rPr>
          <w:rStyle w:val="FunctionTok"/>
        </w:rPr>
        <w:t xml:space="preserve">:</w:t>
      </w:r>
      <w:r>
        <w:rPr>
          <w:rStyle w:val="NormalTok"/>
        </w:rPr>
        <w:t xml:space="preserve"> </w:t>
      </w:r>
      <w:r>
        <w:rPr>
          <w:rStyle w:val="StringTok"/>
        </w:rPr>
        <w:t xml:space="preserve">"2026-10-19T02:00:12.0000000-04:00"</w:t>
      </w:r>
      <w:r>
        <w:rPr>
          <w:rStyle w:val="FunctionTok"/>
        </w:rPr>
        <w:t xml:space="preserve">,</w:t>
      </w:r>
      <w:r>
        <w:br/>
      </w:r>
      <w:r>
        <w:rPr>
          <w:rStyle w:val="NormalTok"/>
        </w:rPr>
        <w:t xml:space="preserve">  </w:t>
      </w:r>
      <w:r>
        <w:rPr>
          <w:rStyle w:val="DataTypeTok"/>
        </w:rPr>
        <w:t xml:space="preserve">"Forest"</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"contoso.com"</w:t>
      </w:r>
      <w:r>
        <w:rPr>
          <w:rStyle w:val="FunctionTok"/>
        </w:rPr>
        <w:t xml:space="preserve">,</w:t>
      </w:r>
      <w:r>
        <w:br/>
      </w:r>
      <w:r>
        <w:rPr>
          <w:rStyle w:val="NormalTok"/>
        </w:rPr>
        <w:t xml:space="preserve">    </w:t>
      </w:r>
      <w:r>
        <w:rPr>
          <w:rStyle w:val="DataTypeTok"/>
        </w:rPr>
        <w:t xml:space="preserve">"RootDomain"</w:t>
      </w:r>
      <w:r>
        <w:rPr>
          <w:rStyle w:val="FunctionTok"/>
        </w:rPr>
        <w:t xml:space="preserve">:</w:t>
      </w:r>
      <w:r>
        <w:rPr>
          <w:rStyle w:val="NormalTok"/>
        </w:rPr>
        <w:t xml:space="preserve"> </w:t>
      </w:r>
      <w:r>
        <w:rPr>
          <w:rStyle w:val="StringTok"/>
        </w:rPr>
        <w:t xml:space="preserve">"contoso.com"</w:t>
      </w:r>
      <w:r>
        <w:rPr>
          <w:rStyle w:val="FunctionTok"/>
        </w:rPr>
        <w:t xml:space="preserve">,</w:t>
      </w:r>
      <w:r>
        <w:br/>
      </w:r>
      <w:r>
        <w:rPr>
          <w:rStyle w:val="NormalTok"/>
        </w:rPr>
        <w:t xml:space="preserve">    </w:t>
      </w:r>
      <w:r>
        <w:rPr>
          <w:rStyle w:val="DataTypeTok"/>
        </w:rPr>
        <w:t xml:space="preserve">"ForestMode"</w:t>
      </w:r>
      <w:r>
        <w:rPr>
          <w:rStyle w:val="FunctionTok"/>
        </w:rPr>
        <w:t xml:space="preserve">:</w:t>
      </w:r>
      <w:r>
        <w:rPr>
          <w:rStyle w:val="NormalTok"/>
        </w:rPr>
        <w:t xml:space="preserve"> </w:t>
      </w:r>
      <w:r>
        <w:rPr>
          <w:rStyle w:val="StringTok"/>
        </w:rPr>
        <w:t xml:space="preserve">"Windows2016Forest"</w:t>
      </w:r>
      <w:r>
        <w:rPr>
          <w:rStyle w:val="FunctionTok"/>
        </w:rPr>
        <w:t xml:space="preserve">,</w:t>
      </w:r>
      <w:r>
        <w:br/>
      </w:r>
      <w:r>
        <w:rPr>
          <w:rStyle w:val="NormalTok"/>
        </w:rPr>
        <w:t xml:space="preserve">    </w:t>
      </w:r>
      <w:r>
        <w:rPr>
          <w:rStyle w:val="DataTypeTok"/>
        </w:rPr>
        <w:t xml:space="preserve">"SchemaMaster"</w:t>
      </w:r>
      <w:r>
        <w:rPr>
          <w:rStyle w:val="FunctionTok"/>
        </w:rPr>
        <w:t xml:space="preserve">:</w:t>
      </w:r>
      <w:r>
        <w:rPr>
          <w:rStyle w:val="NormalTok"/>
        </w:rPr>
        <w:t xml:space="preserve"> </w:t>
      </w:r>
      <w:r>
        <w:rPr>
          <w:rStyle w:val="StringTok"/>
        </w:rPr>
        <w:t xml:space="preserve">"DC01.contoso.com"</w:t>
      </w:r>
      <w:r>
        <w:rPr>
          <w:rStyle w:val="FunctionTok"/>
        </w:rPr>
        <w:t xml:space="preserve">,</w:t>
      </w:r>
      <w:r>
        <w:br/>
      </w:r>
      <w:r>
        <w:rPr>
          <w:rStyle w:val="NormalTok"/>
        </w:rPr>
        <w:t xml:space="preserve">    </w:t>
      </w:r>
      <w:r>
        <w:rPr>
          <w:rStyle w:val="DataTypeTok"/>
        </w:rPr>
        <w:t xml:space="preserve">"DomainNamingMaster"</w:t>
      </w:r>
      <w:r>
        <w:rPr>
          <w:rStyle w:val="FunctionTok"/>
        </w:rPr>
        <w:t xml:space="preserve">:</w:t>
      </w:r>
      <w:r>
        <w:rPr>
          <w:rStyle w:val="NormalTok"/>
        </w:rPr>
        <w:t xml:space="preserve"> </w:t>
      </w:r>
      <w:r>
        <w:rPr>
          <w:rStyle w:val="StringTok"/>
        </w:rPr>
        <w:t xml:space="preserve">"DC01.contoso.com"</w:t>
      </w:r>
      <w:r>
        <w:rPr>
          <w:rStyle w:val="FunctionTok"/>
        </w:rPr>
        <w:t xml:space="preserve">,</w:t>
      </w:r>
      <w:r>
        <w:br/>
      </w:r>
      <w:r>
        <w:rPr>
          <w:rStyle w:val="NormalTok"/>
        </w:rPr>
        <w:t xml:space="preserve">    </w:t>
      </w:r>
      <w:r>
        <w:rPr>
          <w:rStyle w:val="DataTypeTok"/>
        </w:rPr>
        <w:t xml:space="preserve">"Domains"</w:t>
      </w:r>
      <w:r>
        <w:rPr>
          <w:rStyle w:val="FunctionTok"/>
        </w:rPr>
        <w:t xml:space="preserve">:</w:t>
      </w:r>
      <w:r>
        <w:rPr>
          <w:rStyle w:val="NormalTok"/>
        </w:rPr>
        <w:t xml:space="preserve"> </w:t>
      </w:r>
      <w:r>
        <w:rPr>
          <w:rStyle w:val="OtherTok"/>
        </w:rPr>
        <w:t xml:space="preserve">[</w:t>
      </w:r>
      <w:r>
        <w:rPr>
          <w:rStyle w:val="StringTok"/>
        </w:rPr>
        <w:t xml:space="preserve">"contoso.com"</w:t>
      </w:r>
      <w:r>
        <w:rPr>
          <w:rStyle w:val="OtherTok"/>
        </w:rPr>
        <w:t xml:space="preserve">,</w:t>
      </w:r>
      <w:r>
        <w:rPr>
          <w:rStyle w:val="NormalTok"/>
        </w:rPr>
        <w:t xml:space="preserve"> </w:t>
      </w:r>
      <w:r>
        <w:rPr>
          <w:rStyle w:val="StringTok"/>
        </w:rPr>
        <w:t xml:space="preserve">"child.contoso.com"</w:t>
      </w:r>
      <w:r>
        <w:rPr>
          <w:rStyle w:val="OtherTok"/>
        </w:rPr>
        <w:t xml:space="preserve">]</w:t>
      </w:r>
      <w:r>
        <w:rPr>
          <w:rStyle w:val="FunctionTok"/>
        </w:rPr>
        <w:t xml:space="preserve">,</w:t>
      </w:r>
      <w:r>
        <w:br/>
      </w:r>
      <w:r>
        <w:rPr>
          <w:rStyle w:val="NormalTok"/>
        </w:rPr>
        <w:t xml:space="preserve">    </w:t>
      </w:r>
      <w:r>
        <w:rPr>
          <w:rStyle w:val="DataTypeTok"/>
        </w:rPr>
        <w:t xml:space="preserve">"Sites"</w:t>
      </w:r>
      <w:r>
        <w:rPr>
          <w:rStyle w:val="FunctionTok"/>
        </w:rPr>
        <w:t xml:space="preserve">:</w:t>
      </w:r>
      <w:r>
        <w:rPr>
          <w:rStyle w:val="NormalTok"/>
        </w:rPr>
        <w:t xml:space="preserve"> </w:t>
      </w:r>
      <w:r>
        <w:rPr>
          <w:rStyle w:val="OtherTok"/>
        </w:rPr>
        <w:t xml:space="preserve">[</w:t>
      </w:r>
      <w:r>
        <w:rPr>
          <w:rStyle w:val="StringTok"/>
        </w:rPr>
        <w:t xml:space="preserve">"Default-First-Site-Name"</w:t>
      </w:r>
      <w:r>
        <w:rPr>
          <w:rStyle w:val="OtherTok"/>
        </w:rPr>
        <w:t xml:space="preserve">,</w:t>
      </w:r>
      <w:r>
        <w:rPr>
          <w:rStyle w:val="NormalTok"/>
        </w:rPr>
        <w:t xml:space="preserve"> </w:t>
      </w:r>
      <w:r>
        <w:rPr>
          <w:rStyle w:val="StringTok"/>
        </w:rPr>
        <w:t xml:space="preserve">"BranchOffice"</w:t>
      </w:r>
      <w:r>
        <w:rPr>
          <w:rStyle w:val="OtherTok"/>
        </w:rPr>
        <w:t xml:space="preserve">]</w:t>
      </w:r>
      <w:r>
        <w:rPr>
          <w:rStyle w:val="FunctionTok"/>
        </w:rPr>
        <w:t xml:space="preserve">,</w:t>
      </w:r>
      <w:r>
        <w:br/>
      </w:r>
      <w:r>
        <w:rPr>
          <w:rStyle w:val="NormalTok"/>
        </w:rPr>
        <w:t xml:space="preserve">    </w:t>
      </w:r>
      <w:r>
        <w:rPr>
          <w:rStyle w:val="DataTypeTok"/>
        </w:rPr>
        <w:t xml:space="preserve">"GlobalCatalogs"</w:t>
      </w:r>
      <w:r>
        <w:rPr>
          <w:rStyle w:val="FunctionTok"/>
        </w:rPr>
        <w:t xml:space="preserve">:</w:t>
      </w:r>
      <w:r>
        <w:rPr>
          <w:rStyle w:val="NormalTok"/>
        </w:rPr>
        <w:t xml:space="preserve"> </w:t>
      </w:r>
      <w:r>
        <w:rPr>
          <w:rStyle w:val="OtherTok"/>
        </w:rPr>
        <w:t xml:space="preserve">[</w:t>
      </w:r>
      <w:r>
        <w:rPr>
          <w:rStyle w:val="StringTok"/>
        </w:rPr>
        <w:t xml:space="preserve">"DC01.contoso.com"</w:t>
      </w:r>
      <w:r>
        <w:rPr>
          <w:rStyle w:val="OtherTok"/>
        </w:rPr>
        <w:t xml:space="preserve">,</w:t>
      </w:r>
      <w:r>
        <w:rPr>
          <w:rStyle w:val="NormalTok"/>
        </w:rPr>
        <w:t xml:space="preserve"> </w:t>
      </w:r>
      <w:r>
        <w:rPr>
          <w:rStyle w:val="StringTok"/>
        </w:rPr>
        <w:t xml:space="preserve">"DC02.contoso.com"</w:t>
      </w:r>
      <w:r>
        <w:rPr>
          <w:rStyle w:val="OtherTok"/>
        </w:rPr>
        <w:t xml:space="preserve">]</w:t>
      </w:r>
      <w:r>
        <w:rPr>
          <w:rStyle w:val="FunctionTok"/>
        </w:rPr>
        <w:t xml:space="preserve">,</w:t>
      </w:r>
      <w:r>
        <w:br/>
      </w:r>
      <w:r>
        <w:rPr>
          <w:rStyle w:val="NormalTok"/>
        </w:rPr>
        <w:t xml:space="preserve">    </w:t>
      </w:r>
      <w:r>
        <w:rPr>
          <w:rStyle w:val="DataTypeTok"/>
        </w:rPr>
        <w:t xml:space="preserve">"UPNSuffixes"</w:t>
      </w:r>
      <w:r>
        <w:rPr>
          <w:rStyle w:val="FunctionTok"/>
        </w:rPr>
        <w:t xml:space="preserve">:</w:t>
      </w:r>
      <w:r>
        <w:rPr>
          <w:rStyle w:val="NormalTok"/>
        </w:rPr>
        <w:t xml:space="preserve"> </w:t>
      </w:r>
      <w:r>
        <w:rPr>
          <w:rStyle w:val="OtherTok"/>
        </w:rPr>
        <w:t xml:space="preserve">[</w:t>
      </w:r>
      <w:r>
        <w:rPr>
          <w:rStyle w:val="StringTok"/>
        </w:rPr>
        <w:t xml:space="preserve">"contoso.gov"</w:t>
      </w:r>
      <w:r>
        <w:rPr>
          <w:rStyle w:val="OtherTok"/>
        </w:rPr>
        <w:t xml:space="preserve">]</w:t>
      </w:r>
      <w:r>
        <w:rPr>
          <w:rStyle w:val="FunctionTok"/>
        </w:rPr>
        <w:t xml:space="preserve">,</w:t>
      </w:r>
      <w:r>
        <w:br/>
      </w:r>
      <w:r>
        <w:rPr>
          <w:rStyle w:val="NormalTok"/>
        </w:rPr>
        <w:t xml:space="preserve">    </w:t>
      </w:r>
      <w:r>
        <w:rPr>
          <w:rStyle w:val="DataTypeTok"/>
        </w:rPr>
        <w:t xml:space="preserve">"SPNSuffixes"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"FSMORoles"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"Role"</w:t>
      </w:r>
      <w:r>
        <w:rPr>
          <w:rStyle w:val="FunctionTok"/>
        </w:rPr>
        <w:t xml:space="preserve">:</w:t>
      </w:r>
      <w:r>
        <w:rPr>
          <w:rStyle w:val="NormalTok"/>
        </w:rPr>
        <w:t xml:space="preserve"> </w:t>
      </w:r>
      <w:r>
        <w:rPr>
          <w:rStyle w:val="StringTok"/>
        </w:rPr>
        <w:t xml:space="preserve">"SchemaMaster"</w:t>
      </w:r>
      <w:r>
        <w:rPr>
          <w:rStyle w:val="FunctionTok"/>
        </w:rPr>
        <w:t xml:space="preserve">,</w:t>
      </w:r>
      <w:r>
        <w:rPr>
          <w:rStyle w:val="NormalTok"/>
        </w:rPr>
        <w:t xml:space="preserve"> </w:t>
      </w:r>
      <w:r>
        <w:rPr>
          <w:rStyle w:val="DataTypeTok"/>
        </w:rPr>
        <w:t xml:space="preserve">"Scope"</w:t>
      </w:r>
      <w:r>
        <w:rPr>
          <w:rStyle w:val="FunctionTok"/>
        </w:rPr>
        <w:t xml:space="preserve">:</w:t>
      </w:r>
      <w:r>
        <w:rPr>
          <w:rStyle w:val="NormalTok"/>
        </w:rPr>
        <w:t xml:space="preserve"> </w:t>
      </w:r>
      <w:r>
        <w:rPr>
          <w:rStyle w:val="StringTok"/>
        </w:rPr>
        <w:t xml:space="preserve">"Forest"</w:t>
      </w:r>
      <w:r>
        <w:rPr>
          <w:rStyle w:val="FunctionTok"/>
        </w:rPr>
        <w:t xml:space="preserve">,</w:t>
      </w:r>
      <w:r>
        <w:rPr>
          <w:rStyle w:val="NormalTok"/>
        </w:rPr>
        <w:t xml:space="preserve"> </w:t>
      </w:r>
      <w:r>
        <w:rPr>
          <w:rStyle w:val="DataTypeTok"/>
        </w:rPr>
        <w:t xml:space="preserve">"Domain"</w:t>
      </w:r>
      <w:r>
        <w:rPr>
          <w:rStyle w:val="FunctionTok"/>
        </w:rPr>
        <w:t xml:space="preserve">:</w:t>
      </w:r>
      <w:r>
        <w:rPr>
          <w:rStyle w:val="NormalTok"/>
        </w:rPr>
        <w:t xml:space="preserve"> </w:t>
      </w:r>
      <w:r>
        <w:rPr>
          <w:rStyle w:val="StringTok"/>
        </w:rPr>
        <w:t xml:space="preserve">"contoso.com"</w:t>
      </w:r>
      <w:r>
        <w:rPr>
          <w:rStyle w:val="FunctionTok"/>
        </w:rPr>
        <w:t xml:space="preserve">,</w:t>
      </w:r>
      <w:r>
        <w:rPr>
          <w:rStyle w:val="NormalTok"/>
        </w:rPr>
        <w:t xml:space="preserve"> </w:t>
      </w:r>
      <w:r>
        <w:rPr>
          <w:rStyle w:val="DataTypeTok"/>
        </w:rPr>
        <w:t xml:space="preserve">"Holder"</w:t>
      </w:r>
      <w:r>
        <w:rPr>
          <w:rStyle w:val="FunctionTok"/>
        </w:rPr>
        <w:t xml:space="preserve">:</w:t>
      </w:r>
      <w:r>
        <w:rPr>
          <w:rStyle w:val="NormalTok"/>
        </w:rPr>
        <w:t xml:space="preserve"> </w:t>
      </w:r>
      <w:r>
        <w:rPr>
          <w:rStyle w:val="StringTok"/>
        </w:rPr>
        <w:t xml:space="preserve">"DC01.contoso.com"</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"Role"</w:t>
      </w:r>
      <w:r>
        <w:rPr>
          <w:rStyle w:val="FunctionTok"/>
        </w:rPr>
        <w:t xml:space="preserve">:</w:t>
      </w:r>
      <w:r>
        <w:rPr>
          <w:rStyle w:val="NormalTok"/>
        </w:rPr>
        <w:t xml:space="preserve"> </w:t>
      </w:r>
      <w:r>
        <w:rPr>
          <w:rStyle w:val="StringTok"/>
        </w:rPr>
        <w:t xml:space="preserve">"PDCEmulator"</w:t>
      </w:r>
      <w:r>
        <w:rPr>
          <w:rStyle w:val="FunctionTok"/>
        </w:rPr>
        <w:t xml:space="preserve">,</w:t>
      </w:r>
      <w:r>
        <w:rPr>
          <w:rStyle w:val="NormalTok"/>
        </w:rPr>
        <w:t xml:space="preserve"> </w:t>
      </w:r>
      <w:r>
        <w:rPr>
          <w:rStyle w:val="DataTypeTok"/>
        </w:rPr>
        <w:t xml:space="preserve">"Scope"</w:t>
      </w:r>
      <w:r>
        <w:rPr>
          <w:rStyle w:val="FunctionTok"/>
        </w:rPr>
        <w:t xml:space="preserve">:</w:t>
      </w:r>
      <w:r>
        <w:rPr>
          <w:rStyle w:val="NormalTok"/>
        </w:rPr>
        <w:t xml:space="preserve"> </w:t>
      </w:r>
      <w:r>
        <w:rPr>
          <w:rStyle w:val="StringTok"/>
        </w:rPr>
        <w:t xml:space="preserve">"Domain"</w:t>
      </w:r>
      <w:r>
        <w:rPr>
          <w:rStyle w:val="FunctionTok"/>
        </w:rPr>
        <w:t xml:space="preserve">,</w:t>
      </w:r>
      <w:r>
        <w:rPr>
          <w:rStyle w:val="NormalTok"/>
        </w:rPr>
        <w:t xml:space="preserve"> </w:t>
      </w:r>
      <w:r>
        <w:rPr>
          <w:rStyle w:val="DataTypeTok"/>
        </w:rPr>
        <w:t xml:space="preserve">"Domain"</w:t>
      </w:r>
      <w:r>
        <w:rPr>
          <w:rStyle w:val="FunctionTok"/>
        </w:rPr>
        <w:t xml:space="preserve">:</w:t>
      </w:r>
      <w:r>
        <w:rPr>
          <w:rStyle w:val="NormalTok"/>
        </w:rPr>
        <w:t xml:space="preserve"> </w:t>
      </w:r>
      <w:r>
        <w:rPr>
          <w:rStyle w:val="StringTok"/>
        </w:rPr>
        <w:t xml:space="preserve">"child.contoso.com"</w:t>
      </w:r>
      <w:r>
        <w:rPr>
          <w:rStyle w:val="FunctionTok"/>
        </w:rPr>
        <w:t xml:space="preserve">,</w:t>
      </w:r>
      <w:r>
        <w:rPr>
          <w:rStyle w:val="NormalTok"/>
        </w:rPr>
        <w:t xml:space="preserve"> </w:t>
      </w:r>
      <w:r>
        <w:rPr>
          <w:rStyle w:val="DataTypeTok"/>
        </w:rPr>
        <w:t xml:space="preserve">"Holder"</w:t>
      </w:r>
      <w:r>
        <w:rPr>
          <w:rStyle w:val="FunctionTok"/>
        </w:rPr>
        <w:t xml:space="preserve">:</w:t>
      </w:r>
      <w:r>
        <w:rPr>
          <w:rStyle w:val="NormalTok"/>
        </w:rPr>
        <w:t xml:space="preserve"> </w:t>
      </w:r>
      <w:r>
        <w:rPr>
          <w:rStyle w:val="StringTok"/>
        </w:rPr>
        <w:t xml:space="preserve">"CDC01.child.contoso.com"</w:t>
      </w:r>
      <w:r>
        <w:rPr>
          <w:rStyle w:val="NormalTok"/>
        </w:rPr>
        <w:t xml:space="preserve"> </w:t>
      </w:r>
      <w:r>
        <w:rPr>
          <w:rStyle w:val="FunctionTok"/>
        </w:rPr>
        <w:t xml:space="preserve">}</w:t>
      </w:r>
      <w:r>
        <w:br/>
      </w:r>
      <w:r>
        <w:rPr>
          <w:rStyle w:val="NormalTok"/>
        </w:rPr>
        <w:t xml:space="preserve">  </w:t>
      </w:r>
      <w:r>
        <w:rPr>
          <w:rStyle w:val="OtherTok"/>
        </w:rPr>
        <w:t xml:space="preserve">]</w:t>
      </w:r>
      <w:r>
        <w:br/>
      </w:r>
      <w:r>
        <w:rPr>
          <w:rStyle w:val="FunctionTok"/>
        </w:rPr>
        <w:t xml:space="preserve">}</w:t>
      </w:r>
    </w:p>
    <w:p>
      <w:pPr>
        <w:pStyle w:val="FirstParagraph"/>
      </w:pPr>
      <w:r>
        <w:rPr>
          <w:rStyle w:val="VerbatimChar"/>
        </w:rPr>
        <w:t xml:space="preserve">ForestMode</w:t>
      </w:r>
      <w:r>
        <w:t xml:space="preserve"> </w:t>
      </w:r>
      <w:r>
        <w:t xml:space="preserve">and</w:t>
      </w:r>
      <w:r>
        <w:t xml:space="preserve"> </w:t>
      </w:r>
      <w:r>
        <w:rPr>
          <w:rStyle w:val="VerbatimChar"/>
        </w:rPr>
        <w:t xml:space="preserve">DomainMode</w:t>
      </w:r>
      <w:r>
        <w:t xml:space="preserve"> </w:t>
      </w:r>
      <w:r>
        <w:t xml:space="preserve">take the ActiveDirectory module’s enumeration names, which now include</w:t>
      </w:r>
      <w:r>
        <w:t xml:space="preserve"> </w:t>
      </w:r>
      <w:r>
        <w:rPr>
          <w:rStyle w:val="VerbatimChar"/>
        </w:rPr>
        <w:t xml:space="preserve">Windows2025Forest</w:t>
      </w:r>
      <w:r>
        <w:t xml:space="preserve"> </w:t>
      </w:r>
      <w:r>
        <w:t xml:space="preserve">and</w:t>
      </w:r>
      <w:r>
        <w:t xml:space="preserve"> </w:t>
      </w:r>
      <w:r>
        <w:rPr>
          <w:rStyle w:val="VerbatimChar"/>
        </w:rPr>
        <w:t xml:space="preserve">Windows2025Domain</w:t>
      </w:r>
      <w:r>
        <w:t xml:space="preserve">.</w:t>
      </w:r>
      <w:r>
        <w:rPr>
          <w:rStyle w:val="FootnoteReference"/>
        </w:rPr>
        <w:footnoteReference w:id="1296"/>
      </w:r>
      <w:r>
        <w:rPr>
          <w:rStyle w:val="FootnoteReference"/>
        </w:rPr>
        <w:footnoteReference w:id="1297"/>
      </w:r>
    </w:p>
    <w:bookmarkEnd w:id="1299"/>
    <w:bookmarkStart w:id="1300" w:name="gpoinventory.json-and-related-gpo-files"/>
    <w:p>
      <w:pPr>
        <w:pStyle w:val="Heading3"/>
      </w:pPr>
      <w:r>
        <w:t xml:space="preserve">GPOInventory.json and related GPO files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Type</w:t>
            </w:r>
          </w:p>
        </w:tc>
        <w:tc>
          <w:tcPr/>
          <w:p>
            <w:pPr>
              <w:pStyle w:val="Compact"/>
            </w:pPr>
            <w:r>
              <w:t xml:space="preserve">Description</w:t>
            </w:r>
          </w:p>
        </w:tc>
      </w:tr>
      <w:tr>
        <w:tc>
          <w:tcPr/>
          <w:p>
            <w:pPr>
              <w:pStyle w:val="Compact"/>
            </w:pPr>
            <w:r>
              <w:rPr>
                <w:rStyle w:val="VerbatimChar"/>
              </w:rPr>
              <w:t xml:space="preserve">DisplayName</w:t>
            </w:r>
          </w:p>
        </w:tc>
        <w:tc>
          <w:tcPr/>
          <w:p>
            <w:pPr>
              <w:pStyle w:val="Compact"/>
            </w:pPr>
            <w:r>
              <w:t xml:space="preserve">string</w:t>
            </w:r>
          </w:p>
        </w:tc>
        <w:tc>
          <w:tcPr/>
          <w:p>
            <w:pPr>
              <w:pStyle w:val="Compact"/>
            </w:pPr>
            <w:r>
              <w:t xml:space="preserve">GPO display name</w:t>
            </w:r>
          </w:p>
        </w:tc>
      </w:tr>
      <w:tr>
        <w:tc>
          <w:tcPr/>
          <w:p>
            <w:pPr>
              <w:pStyle w:val="Compact"/>
            </w:pPr>
            <w:r>
              <w:rPr>
                <w:rStyle w:val="VerbatimChar"/>
              </w:rPr>
              <w:t xml:space="preserve">Id</w:t>
            </w:r>
          </w:p>
        </w:tc>
        <w:tc>
          <w:tcPr/>
          <w:p>
            <w:pPr>
              <w:pStyle w:val="Compact"/>
            </w:pPr>
            <w:r>
              <w:t xml:space="preserve">string (GUID)</w:t>
            </w:r>
          </w:p>
        </w:tc>
        <w:tc>
          <w:tcPr/>
          <w:p>
            <w:pPr>
              <w:pStyle w:val="Compact"/>
            </w:pPr>
            <w:r>
              <w:t xml:space="preserve">GPO identifier; also the file name of its XML and HTML reports</w:t>
            </w:r>
          </w:p>
        </w:tc>
      </w:tr>
      <w:tr>
        <w:tc>
          <w:tcPr/>
          <w:p>
            <w:pPr>
              <w:pStyle w:val="Compact"/>
            </w:pPr>
            <w:r>
              <w:rPr>
                <w:rStyle w:val="VerbatimChar"/>
              </w:rPr>
              <w:t xml:space="preserve">GpoStatus</w:t>
            </w:r>
          </w:p>
        </w:tc>
        <w:tc>
          <w:tcPr/>
          <w:p>
            <w:pPr>
              <w:pStyle w:val="Compact"/>
            </w:pPr>
            <w:r>
              <w:t xml:space="preserve">string</w:t>
            </w:r>
          </w:p>
        </w:tc>
        <w:tc>
          <w:tcPr/>
          <w:p>
            <w:pPr>
              <w:pStyle w:val="Compact"/>
            </w:pPr>
            <w:r>
              <w:rPr>
                <w:rStyle w:val="VerbatimChar"/>
              </w:rPr>
              <w:t xml:space="preserve">AllSettingsEnabled</w:t>
            </w:r>
            <w:r>
              <w:t xml:space="preserve">,</w:t>
            </w:r>
            <w:r>
              <w:t xml:space="preserve"> </w:t>
            </w:r>
            <w:r>
              <w:rPr>
                <w:rStyle w:val="VerbatimChar"/>
              </w:rPr>
              <w:t xml:space="preserve">UserSettingsDisabled</w:t>
            </w:r>
            <w:r>
              <w:t xml:space="preserve">,</w:t>
            </w:r>
            <w:r>
              <w:t xml:space="preserve"> </w:t>
            </w:r>
            <w:r>
              <w:rPr>
                <w:rStyle w:val="VerbatimChar"/>
              </w:rPr>
              <w:t xml:space="preserve">ComputerSettingsDisabled</w:t>
            </w:r>
            <w:r>
              <w:t xml:space="preserve"> </w:t>
            </w:r>
            <w:r>
              <w:t xml:space="preserve">or</w:t>
            </w:r>
            <w:r>
              <w:t xml:space="preserve"> </w:t>
            </w:r>
            <w:r>
              <w:rPr>
                <w:rStyle w:val="VerbatimChar"/>
              </w:rPr>
              <w:t xml:space="preserve">AllSettingsDisabled</w:t>
            </w:r>
          </w:p>
        </w:tc>
      </w:tr>
      <w:tr>
        <w:tc>
          <w:tcPr/>
          <w:p>
            <w:pPr>
              <w:pStyle w:val="Compact"/>
            </w:pPr>
            <w:r>
              <w:rPr>
                <w:rStyle w:val="VerbatimChar"/>
              </w:rPr>
              <w:t xml:space="preserve">CreationTime</w:t>
            </w:r>
            <w:r>
              <w:t xml:space="preserve">,</w:t>
            </w:r>
            <w:r>
              <w:t xml:space="preserve"> </w:t>
            </w:r>
            <w:r>
              <w:rPr>
                <w:rStyle w:val="VerbatimChar"/>
              </w:rPr>
              <w:t xml:space="preserve">ModificationTime</w:t>
            </w:r>
          </w:p>
        </w:tc>
        <w:tc>
          <w:tcPr/>
          <w:p>
            <w:pPr>
              <w:pStyle w:val="Compact"/>
            </w:pPr>
            <w:r>
              <w:t xml:space="preserve">datetime</w:t>
            </w:r>
          </w:p>
        </w:tc>
        <w:tc>
          <w:tcPr/>
          <w:p>
            <w:pPr>
              <w:pStyle w:val="Compact"/>
            </w:pPr>
            <w:r>
              <w:t xml:space="preserve">Created and last modified</w:t>
            </w:r>
          </w:p>
        </w:tc>
      </w:tr>
      <w:tr>
        <w:tc>
          <w:tcPr/>
          <w:p>
            <w:pPr>
              <w:pStyle w:val="Compact"/>
            </w:pPr>
            <w:r>
              <w:rPr>
                <w:rStyle w:val="VerbatimChar"/>
              </w:rPr>
              <w:t xml:space="preserve">Owner</w:t>
            </w:r>
          </w:p>
        </w:tc>
        <w:tc>
          <w:tcPr/>
          <w:p>
            <w:pPr>
              <w:pStyle w:val="Compact"/>
            </w:pPr>
            <w:r>
              <w:t xml:space="preserve">string</w:t>
            </w:r>
          </w:p>
        </w:tc>
        <w:tc>
          <w:tcPr/>
          <w:p>
            <w:pPr>
              <w:pStyle w:val="Compact"/>
            </w:pPr>
            <w:r>
              <w:t xml:space="preserve">Owner, typically</w:t>
            </w:r>
            <w:r>
              <w:t xml:space="preserve"> </w:t>
            </w:r>
            <w:r>
              <w:rPr>
                <w:rStyle w:val="VerbatimChar"/>
              </w:rPr>
              <w:t xml:space="preserve">DOMAIN\group</w:t>
            </w:r>
          </w:p>
        </w:tc>
      </w:tr>
      <w:tr>
        <w:tc>
          <w:tcPr/>
          <w:p>
            <w:pPr>
              <w:pStyle w:val="Compact"/>
            </w:pPr>
            <w:r>
              <w:rPr>
                <w:rStyle w:val="VerbatimChar"/>
              </w:rPr>
              <w:t xml:space="preserve">WmiFilterName</w:t>
            </w:r>
          </w:p>
        </w:tc>
        <w:tc>
          <w:tcPr/>
          <w:p>
            <w:pPr>
              <w:pStyle w:val="Compact"/>
            </w:pPr>
            <w:r>
              <w:t xml:space="preserve">string or null</w:t>
            </w:r>
          </w:p>
        </w:tc>
        <w:tc>
          <w:tcPr/>
          <w:p>
            <w:pPr>
              <w:pStyle w:val="Compact"/>
            </w:pPr>
            <w:r>
              <w:t xml:space="preserve">WMI filter, if any</w:t>
            </w:r>
          </w:p>
        </w:tc>
      </w:tr>
      <w:tr>
        <w:tc>
          <w:tcPr/>
          <w:p>
            <w:pPr>
              <w:pStyle w:val="Compact"/>
            </w:pPr>
            <w:r>
              <w:rPr>
                <w:rStyle w:val="VerbatimChar"/>
              </w:rPr>
              <w:t xml:space="preserve">ComputerEnabled</w:t>
            </w:r>
            <w:r>
              <w:t xml:space="preserve">,</w:t>
            </w:r>
            <w:r>
              <w:t xml:space="preserve"> </w:t>
            </w:r>
            <w:r>
              <w:rPr>
                <w:rStyle w:val="VerbatimChar"/>
              </w:rPr>
              <w:t xml:space="preserve">UserEnabled</w:t>
            </w:r>
          </w:p>
        </w:tc>
        <w:tc>
          <w:tcPr/>
          <w:p>
            <w:pPr>
              <w:pStyle w:val="Compact"/>
            </w:pPr>
            <w:r>
              <w:t xml:space="preserve">boolean</w:t>
            </w:r>
          </w:p>
        </w:tc>
        <w:tc>
          <w:tcPr/>
          <w:p>
            <w:pPr>
              <w:pStyle w:val="Compact"/>
            </w:pPr>
            <w:r>
              <w:t xml:space="preserve">Whether each half is enabled</w:t>
            </w:r>
          </w:p>
        </w:tc>
      </w:tr>
    </w:tbl>
    <w:p>
      <w:pPr>
        <w:pStyle w:val="BodyText"/>
      </w:pPr>
      <w:r>
        <w:rPr>
          <w:rStyle w:val="VerbatimChar"/>
        </w:rPr>
        <w:t xml:space="preserve">GPOLinks.json</w:t>
      </w:r>
      <w:r>
        <w:t xml:space="preserve"> </w:t>
      </w:r>
      <w:r>
        <w:t xml:space="preserve">holds</w:t>
      </w:r>
      <w:r>
        <w:t xml:space="preserve"> </w:t>
      </w:r>
      <w:r>
        <w:rPr>
          <w:rStyle w:val="VerbatimChar"/>
        </w:rPr>
        <w:t xml:space="preserve">GPOName</w:t>
      </w:r>
      <w:r>
        <w:t xml:space="preserve">,</w:t>
      </w:r>
      <w:r>
        <w:t xml:space="preserve"> </w:t>
      </w:r>
      <w:r>
        <w:rPr>
          <w:rStyle w:val="VerbatimChar"/>
        </w:rPr>
        <w:t xml:space="preserve">GPOGUID</w:t>
      </w:r>
      <w:r>
        <w:t xml:space="preserve">,</w:t>
      </w:r>
      <w:r>
        <w:t xml:space="preserve"> </w:t>
      </w:r>
      <w:r>
        <w:rPr>
          <w:rStyle w:val="VerbatimChar"/>
        </w:rPr>
        <w:t xml:space="preserve">LinkedTo[]</w:t>
      </w:r>
      <w:r>
        <w:t xml:space="preserve"> </w:t>
      </w:r>
      <w:r>
        <w:t xml:space="preserve">(domain, OU and site DNs),</w:t>
      </w:r>
      <w:r>
        <w:t xml:space="preserve"> </w:t>
      </w:r>
      <w:r>
        <w:rPr>
          <w:rStyle w:val="VerbatimChar"/>
        </w:rPr>
        <w:t xml:space="preserve">SiteLinked</w:t>
      </w:r>
      <w:r>
        <w:t xml:space="preserve">,</w:t>
      </w:r>
      <w:r>
        <w:t xml:space="preserve"> </w:t>
      </w:r>
      <w:r>
        <w:rPr>
          <w:rStyle w:val="VerbatimChar"/>
        </w:rPr>
        <w:t xml:space="preserve">TotalLinks</w:t>
      </w:r>
      <w:r>
        <w:t xml:space="preserve"> </w:t>
      </w:r>
      <w:r>
        <w:t xml:space="preserve">and</w:t>
      </w:r>
      <w:r>
        <w:t xml:space="preserve"> </w:t>
      </w:r>
      <w:r>
        <w:rPr>
          <w:rStyle w:val="VerbatimChar"/>
        </w:rPr>
        <w:t xml:space="preserve">IsUnlinked</w:t>
      </w:r>
      <w:r>
        <w:t xml:space="preserve">.</w:t>
      </w:r>
      <w:r>
        <w:t xml:space="preserve"> </w:t>
      </w:r>
      <w:r>
        <w:rPr>
          <w:rStyle w:val="VerbatimChar"/>
        </w:rPr>
        <w:t xml:space="preserve">GPOEmpty.json</w:t>
      </w:r>
      <w:r>
        <w:t xml:space="preserve">,</w:t>
      </w:r>
      <w:r>
        <w:t xml:space="preserve"> </w:t>
      </w:r>
      <w:r>
        <w:rPr>
          <w:rStyle w:val="VerbatimChar"/>
        </w:rPr>
        <w:t xml:space="preserve">GPOConflicts.json</w:t>
      </w:r>
      <w:r>
        <w:t xml:space="preserve">,</w:t>
      </w:r>
      <w:r>
        <w:t xml:space="preserve"> </w:t>
      </w:r>
      <w:r>
        <w:rPr>
          <w:rStyle w:val="VerbatimChar"/>
        </w:rPr>
        <w:t xml:space="preserve">GPOPermissions.json</w:t>
      </w:r>
      <w:r>
        <w:t xml:space="preserve"> </w:t>
      </w:r>
      <w:r>
        <w:t xml:space="preserve">and</w:t>
      </w:r>
      <w:r>
        <w:t xml:space="preserve"> </w:t>
      </w:r>
      <w:r>
        <w:rPr>
          <w:rStyle w:val="VerbatimChar"/>
        </w:rPr>
        <w:t xml:space="preserve">GPOSettingsDecomposed.json</w:t>
      </w:r>
      <w:r>
        <w:t xml:space="preserve"> </w:t>
      </w:r>
      <w:r>
        <w:t xml:space="preserve">follow the shapes in the functions above.</w:t>
      </w:r>
      <w:r>
        <w:t xml:space="preserve"> </w:t>
      </w:r>
      <w:r>
        <w:rPr>
          <w:rStyle w:val="VerbatimChar"/>
        </w:rPr>
        <w:t xml:space="preserve">GPOSettings\&lt;GUID&gt;.xml</w:t>
      </w:r>
      <w:r>
        <w:t xml:space="preserve"> </w:t>
      </w:r>
      <w:r>
        <w:t xml:space="preserve">is the input to Intune Group Policy analytics.</w:t>
      </w:r>
    </w:p>
    <w:p>
      <w:pPr>
        <w:pStyle w:val="SourceCode"/>
      </w:pP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"Workstation Baseline"</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"31b2f340-016d-11d2-945f-00c04fb984f9"</w:t>
      </w:r>
      <w:r>
        <w:rPr>
          <w:rStyle w:val="FunctionTok"/>
        </w:rPr>
        <w:t xml:space="preserve">,</w:t>
      </w:r>
      <w:r>
        <w:br/>
      </w:r>
      <w:r>
        <w:rPr>
          <w:rStyle w:val="NormalTok"/>
        </w:rPr>
        <w:t xml:space="preserve">    </w:t>
      </w:r>
      <w:r>
        <w:rPr>
          <w:rStyle w:val="DataTypeTok"/>
        </w:rPr>
        <w:t xml:space="preserve">"GpoStatus"</w:t>
      </w:r>
      <w:r>
        <w:rPr>
          <w:rStyle w:val="FunctionTok"/>
        </w:rPr>
        <w:t xml:space="preserve">:</w:t>
      </w:r>
      <w:r>
        <w:rPr>
          <w:rStyle w:val="NormalTok"/>
        </w:rPr>
        <w:t xml:space="preserve"> </w:t>
      </w:r>
      <w:r>
        <w:rPr>
          <w:rStyle w:val="StringTok"/>
        </w:rPr>
        <w:t xml:space="preserve">"UserSettingsDisabled"</w:t>
      </w:r>
      <w:r>
        <w:rPr>
          <w:rStyle w:val="FunctionTok"/>
        </w:rPr>
        <w:t xml:space="preserve">,</w:t>
      </w:r>
      <w:r>
        <w:br/>
      </w:r>
      <w:r>
        <w:rPr>
          <w:rStyle w:val="NormalTok"/>
        </w:rPr>
        <w:t xml:space="preserve">    </w:t>
      </w:r>
      <w:r>
        <w:rPr>
          <w:rStyle w:val="DataTypeTok"/>
        </w:rPr>
        <w:t xml:space="preserve">"CreationTime"</w:t>
      </w:r>
      <w:r>
        <w:rPr>
          <w:rStyle w:val="FunctionTok"/>
        </w:rPr>
        <w:t xml:space="preserve">:</w:t>
      </w:r>
      <w:r>
        <w:rPr>
          <w:rStyle w:val="NormalTok"/>
        </w:rPr>
        <w:t xml:space="preserve"> </w:t>
      </w:r>
      <w:r>
        <w:rPr>
          <w:rStyle w:val="StringTok"/>
        </w:rPr>
        <w:t xml:space="preserve">"2019-03-04T10:15:00"</w:t>
      </w:r>
      <w:r>
        <w:rPr>
          <w:rStyle w:val="FunctionTok"/>
        </w:rPr>
        <w:t xml:space="preserve">,</w:t>
      </w:r>
      <w:r>
        <w:br/>
      </w:r>
      <w:r>
        <w:rPr>
          <w:rStyle w:val="NormalTok"/>
        </w:rPr>
        <w:t xml:space="preserve">    </w:t>
      </w:r>
      <w:r>
        <w:rPr>
          <w:rStyle w:val="DataTypeTok"/>
        </w:rPr>
        <w:t xml:space="preserve">"ModificationTime"</w:t>
      </w:r>
      <w:r>
        <w:rPr>
          <w:rStyle w:val="FunctionTok"/>
        </w:rPr>
        <w:t xml:space="preserve">:</w:t>
      </w:r>
      <w:r>
        <w:rPr>
          <w:rStyle w:val="NormalTok"/>
        </w:rPr>
        <w:t xml:space="preserve"> </w:t>
      </w:r>
      <w:r>
        <w:rPr>
          <w:rStyle w:val="StringTok"/>
        </w:rPr>
        <w:t xml:space="preserve">"2026-08-30T16:41:22"</w:t>
      </w:r>
      <w:r>
        <w:rPr>
          <w:rStyle w:val="FunctionTok"/>
        </w:rPr>
        <w:t xml:space="preserve">,</w:t>
      </w:r>
      <w:r>
        <w:br/>
      </w:r>
      <w:r>
        <w:rPr>
          <w:rStyle w:val="NormalTok"/>
        </w:rPr>
        <w:t xml:space="preserve">    </w:t>
      </w:r>
      <w:r>
        <w:rPr>
          <w:rStyle w:val="DataTypeTok"/>
        </w:rPr>
        <w:t xml:space="preserve">"Owner"</w:t>
      </w:r>
      <w:r>
        <w:rPr>
          <w:rStyle w:val="FunctionTok"/>
        </w:rPr>
        <w:t xml:space="preserve">:</w:t>
      </w:r>
      <w:r>
        <w:rPr>
          <w:rStyle w:val="NormalTok"/>
        </w:rPr>
        <w:t xml:space="preserve"> </w:t>
      </w:r>
      <w:r>
        <w:rPr>
          <w:rStyle w:val="StringTok"/>
        </w:rPr>
        <w:t xml:space="preserve">"CONTOSO</w:t>
      </w:r>
      <w:r>
        <w:rPr>
          <w:rStyle w:val="CharTok"/>
        </w:rPr>
        <w:t xml:space="preserve">\\</w:t>
      </w:r>
      <w:r>
        <w:rPr>
          <w:rStyle w:val="StringTok"/>
        </w:rPr>
        <w:t xml:space="preserve">Domain Admins"</w:t>
      </w:r>
      <w:r>
        <w:rPr>
          <w:rStyle w:val="FunctionTok"/>
        </w:rPr>
        <w:t xml:space="preserve">,</w:t>
      </w:r>
      <w:r>
        <w:br/>
      </w:r>
      <w:r>
        <w:rPr>
          <w:rStyle w:val="NormalTok"/>
        </w:rPr>
        <w:t xml:space="preserve">    </w:t>
      </w:r>
      <w:r>
        <w:rPr>
          <w:rStyle w:val="DataTypeTok"/>
        </w:rPr>
        <w:t xml:space="preserve">"Description"</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"WmiFilterName"</w:t>
      </w:r>
      <w:r>
        <w:rPr>
          <w:rStyle w:val="FunctionTok"/>
        </w:rPr>
        <w:t xml:space="preserve">:</w:t>
      </w:r>
      <w:r>
        <w:rPr>
          <w:rStyle w:val="NormalTok"/>
        </w:rPr>
        <w:t xml:space="preserve"> </w:t>
      </w:r>
      <w:r>
        <w:rPr>
          <w:rStyle w:val="KeywordTok"/>
        </w:rPr>
        <w:t xml:space="preserve">null</w:t>
      </w:r>
      <w:r>
        <w:rPr>
          <w:rStyle w:val="FunctionTok"/>
        </w:rPr>
        <w:t xml:space="preserve">,</w:t>
      </w:r>
      <w:r>
        <w:br/>
      </w:r>
      <w:r>
        <w:rPr>
          <w:rStyle w:val="NormalTok"/>
        </w:rPr>
        <w:t xml:space="preserve">    </w:t>
      </w:r>
      <w:r>
        <w:rPr>
          <w:rStyle w:val="DataTypeTok"/>
        </w:rPr>
        <w:t xml:space="preserve">"ComputerEnabled"</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NormalTok"/>
        </w:rPr>
        <w:t xml:space="preserve">    </w:t>
      </w:r>
      <w:r>
        <w:rPr>
          <w:rStyle w:val="DataTypeTok"/>
        </w:rPr>
        <w:t xml:space="preserve">"UserEnabled"</w:t>
      </w:r>
      <w:r>
        <w:rPr>
          <w:rStyle w:val="FunctionTok"/>
        </w:rPr>
        <w:t xml:space="preserve">:</w:t>
      </w:r>
      <w:r>
        <w:rPr>
          <w:rStyle w:val="NormalTok"/>
        </w:rPr>
        <w:t xml:space="preserve"> </w:t>
      </w:r>
      <w:r>
        <w:rPr>
          <w:rStyle w:val="KeywordTok"/>
        </w:rPr>
        <w:t xml:space="preserve">false</w:t>
      </w:r>
      <w:r>
        <w:br/>
      </w:r>
      <w:r>
        <w:rPr>
          <w:rStyle w:val="NormalTok"/>
        </w:rPr>
        <w:t xml:space="preserve">  </w:t>
      </w:r>
      <w:r>
        <w:rPr>
          <w:rStyle w:val="FunctionTok"/>
        </w:rPr>
        <w:t xml:space="preserve">}</w:t>
      </w:r>
      <w:r>
        <w:br/>
      </w:r>
      <w:r>
        <w:rPr>
          <w:rStyle w:val="OtherTok"/>
        </w:rPr>
        <w:t xml:space="preserve">]</w:t>
      </w:r>
    </w:p>
    <w:bookmarkEnd w:id="1300"/>
    <w:bookmarkStart w:id="1301" w:name="pkisecurityreport.json"/>
    <w:p>
      <w:pPr>
        <w:pStyle w:val="Heading3"/>
      </w:pPr>
      <w:r>
        <w:t xml:space="preserve">PKISecurityReport.json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Type</w:t>
            </w:r>
          </w:p>
        </w:tc>
        <w:tc>
          <w:tcPr/>
          <w:p>
            <w:pPr>
              <w:pStyle w:val="Compact"/>
            </w:pPr>
            <w:r>
              <w:t xml:space="preserve">Description</w:t>
            </w:r>
          </w:p>
        </w:tc>
      </w:tr>
      <w:tr>
        <w:tc>
          <w:tcPr/>
          <w:p>
            <w:pPr>
              <w:pStyle w:val="Compact"/>
            </w:pPr>
            <w:r>
              <w:rPr>
                <w:rStyle w:val="VerbatimChar"/>
              </w:rPr>
              <w:t xml:space="preserve">Finding</w:t>
            </w:r>
          </w:p>
        </w:tc>
        <w:tc>
          <w:tcPr/>
          <w:p>
            <w:pPr>
              <w:pStyle w:val="Compact"/>
            </w:pPr>
            <w:r>
              <w:t xml:space="preserve">string</w:t>
            </w:r>
          </w:p>
        </w:tc>
        <w:tc>
          <w:tcPr/>
          <w:p>
            <w:pPr>
              <w:pStyle w:val="Compact"/>
            </w:pPr>
            <w:r>
              <w:rPr>
                <w:rStyle w:val="VerbatimChar"/>
              </w:rPr>
              <w:t xml:space="preserve">ESC1</w:t>
            </w:r>
            <w:r>
              <w:t xml:space="preserve">,</w:t>
            </w:r>
            <w:r>
              <w:t xml:space="preserve"> </w:t>
            </w:r>
            <w:r>
              <w:rPr>
                <w:rStyle w:val="VerbatimChar"/>
              </w:rPr>
              <w:t xml:space="preserve">ESC2</w:t>
            </w:r>
            <w:r>
              <w:t xml:space="preserve">,</w:t>
            </w:r>
            <w:r>
              <w:t xml:space="preserve"> </w:t>
            </w:r>
            <w:r>
              <w:rPr>
                <w:rStyle w:val="VerbatimChar"/>
              </w:rPr>
              <w:t xml:space="preserve">ESC4</w:t>
            </w:r>
            <w:r>
              <w:t xml:space="preserve">,</w:t>
            </w:r>
            <w:r>
              <w:t xml:space="preserve"> </w:t>
            </w:r>
            <w:r>
              <w:rPr>
                <w:rStyle w:val="VerbatimChar"/>
              </w:rPr>
              <w:t xml:space="preserve">ESC6</w:t>
            </w:r>
            <w:r>
              <w:t xml:space="preserve"> </w:t>
            </w:r>
            <w:r>
              <w:t xml:space="preserve">or</w:t>
            </w:r>
            <w:r>
              <w:t xml:space="preserve"> </w:t>
            </w:r>
            <w:r>
              <w:rPr>
                <w:rStyle w:val="VerbatimChar"/>
              </w:rPr>
              <w:t xml:space="preserve">CA-UNREADABLE</w:t>
            </w:r>
          </w:p>
        </w:tc>
      </w:tr>
      <w:tr>
        <w:tc>
          <w:tcPr/>
          <w:p>
            <w:pPr>
              <w:pStyle w:val="Compact"/>
            </w:pPr>
            <w:r>
              <w:rPr>
                <w:rStyle w:val="VerbatimChar"/>
              </w:rPr>
              <w:t xml:space="preserve">Severity</w:t>
            </w:r>
          </w:p>
        </w:tc>
        <w:tc>
          <w:tcPr/>
          <w:p>
            <w:pPr>
              <w:pStyle w:val="Compact"/>
            </w:pPr>
            <w:r>
              <w:t xml:space="preserve">string</w:t>
            </w:r>
          </w:p>
        </w:tc>
        <w:tc>
          <w:tcPr/>
          <w:p>
            <w:pPr>
              <w:pStyle w:val="Compact"/>
            </w:pPr>
            <w:r>
              <w:rPr>
                <w:rStyle w:val="VerbatimChar"/>
              </w:rPr>
              <w:t xml:space="preserve">Critical</w:t>
            </w:r>
            <w:r>
              <w:t xml:space="preserve">,</w:t>
            </w:r>
            <w:r>
              <w:t xml:space="preserve"> </w:t>
            </w:r>
            <w:r>
              <w:rPr>
                <w:rStyle w:val="VerbatimChar"/>
              </w:rPr>
              <w:t xml:space="preserve">High</w:t>
            </w:r>
            <w:r>
              <w:t xml:space="preserve"> </w:t>
            </w:r>
            <w:r>
              <w:t xml:space="preserve">or</w:t>
            </w:r>
            <w:r>
              <w:t xml:space="preserve"> </w:t>
            </w:r>
            <w:r>
              <w:rPr>
                <w:rStyle w:val="VerbatimChar"/>
              </w:rPr>
              <w:t xml:space="preserve">Info</w:t>
            </w:r>
          </w:p>
        </w:tc>
      </w:tr>
      <w:tr>
        <w:tc>
          <w:tcPr/>
          <w:p>
            <w:pPr>
              <w:pStyle w:val="Compact"/>
            </w:pPr>
            <w:r>
              <w:rPr>
                <w:rStyle w:val="VerbatimChar"/>
              </w:rPr>
              <w:t xml:space="preserve">Template</w:t>
            </w:r>
          </w:p>
        </w:tc>
        <w:tc>
          <w:tcPr/>
          <w:p>
            <w:pPr>
              <w:pStyle w:val="Compact"/>
            </w:pPr>
            <w:r>
              <w:t xml:space="preserve">string</w:t>
            </w:r>
          </w:p>
        </w:tc>
        <w:tc>
          <w:tcPr/>
          <w:p>
            <w:pPr>
              <w:pStyle w:val="Compact"/>
            </w:pPr>
            <w:r>
              <w:t xml:space="preserve">Template display name, or</w:t>
            </w:r>
            <w:r>
              <w:t xml:space="preserve"> </w:t>
            </w:r>
            <w:r>
              <w:rPr>
                <w:rStyle w:val="VerbatimChar"/>
              </w:rPr>
              <w:t xml:space="preserve">N/A (&lt;CA config string&gt;)</w:t>
            </w:r>
            <w:r>
              <w:t xml:space="preserve"> </w:t>
            </w:r>
            <w:r>
              <w:t xml:space="preserve">for CA-level findings</w:t>
            </w:r>
          </w:p>
        </w:tc>
      </w:tr>
      <w:tr>
        <w:tc>
          <w:tcPr/>
          <w:p>
            <w:pPr>
              <w:pStyle w:val="Compact"/>
            </w:pPr>
            <w:r>
              <w:rPr>
                <w:rStyle w:val="VerbatimChar"/>
              </w:rPr>
              <w:t xml:space="preserve">Description</w:t>
            </w:r>
          </w:p>
        </w:tc>
        <w:tc>
          <w:tcPr/>
          <w:p>
            <w:pPr>
              <w:pStyle w:val="Compact"/>
            </w:pPr>
            <w:r>
              <w:t xml:space="preserve">string</w:t>
            </w:r>
          </w:p>
        </w:tc>
        <w:tc>
          <w:tcPr/>
          <w:p>
            <w:pPr>
              <w:pStyle w:val="Compact"/>
            </w:pPr>
            <w:r>
              <w:t xml:space="preserve">What was found</w:t>
            </w:r>
          </w:p>
        </w:tc>
      </w:tr>
      <w:tr>
        <w:tc>
          <w:tcPr/>
          <w:p>
            <w:pPr>
              <w:pStyle w:val="Compact"/>
            </w:pPr>
            <w:r>
              <w:rPr>
                <w:rStyle w:val="VerbatimChar"/>
              </w:rPr>
              <w:t xml:space="preserve">Remediation</w:t>
            </w:r>
          </w:p>
        </w:tc>
        <w:tc>
          <w:tcPr/>
          <w:p>
            <w:pPr>
              <w:pStyle w:val="Compact"/>
            </w:pPr>
            <w:r>
              <w:t xml:space="preserve">string</w:t>
            </w:r>
          </w:p>
        </w:tc>
        <w:tc>
          <w:tcPr/>
          <w:p>
            <w:pPr>
              <w:pStyle w:val="Compact"/>
            </w:pPr>
            <w:r>
              <w:t xml:space="preserve">The documented fix, for the PKI owner to apply</w:t>
            </w:r>
          </w:p>
        </w:tc>
      </w:tr>
    </w:tbl>
    <w:p>
      <w:pPr>
        <w:pStyle w:val="SourceCode"/>
      </w:pP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"Finding"</w:t>
      </w:r>
      <w:r>
        <w:rPr>
          <w:rStyle w:val="FunctionTok"/>
        </w:rPr>
        <w:t xml:space="preserve">:</w:t>
      </w:r>
      <w:r>
        <w:rPr>
          <w:rStyle w:val="NormalTok"/>
        </w:rPr>
        <w:t xml:space="preserve"> </w:t>
      </w:r>
      <w:r>
        <w:rPr>
          <w:rStyle w:val="StringTok"/>
        </w:rPr>
        <w:t xml:space="preserve">"ESC1"</w:t>
      </w:r>
      <w:r>
        <w:rPr>
          <w:rStyle w:val="FunctionTok"/>
        </w:rPr>
        <w:t xml:space="preserve">,</w:t>
      </w:r>
      <w:r>
        <w:br/>
      </w:r>
      <w:r>
        <w:rPr>
          <w:rStyle w:val="NormalTok"/>
        </w:rPr>
        <w:t xml:space="preserve">    </w:t>
      </w:r>
      <w:r>
        <w:rPr>
          <w:rStyle w:val="DataTypeTok"/>
        </w:rPr>
        <w:t xml:space="preserve">"Severity"</w:t>
      </w:r>
      <w:r>
        <w:rPr>
          <w:rStyle w:val="FunctionTok"/>
        </w:rPr>
        <w:t xml:space="preserve">:</w:t>
      </w:r>
      <w:r>
        <w:rPr>
          <w:rStyle w:val="NormalTok"/>
        </w:rPr>
        <w:t xml:space="preserve"> </w:t>
      </w:r>
      <w:r>
        <w:rPr>
          <w:rStyle w:val="StringTok"/>
        </w:rPr>
        <w:t xml:space="preserve">"Critical"</w:t>
      </w:r>
      <w:r>
        <w:rPr>
          <w:rStyle w:val="FunctionTok"/>
        </w:rPr>
        <w:t xml:space="preserve">,</w:t>
      </w:r>
      <w:r>
        <w:br/>
      </w:r>
      <w:r>
        <w:rPr>
          <w:rStyle w:val="NormalTok"/>
        </w:rPr>
        <w:t xml:space="preserve">    </w:t>
      </w:r>
      <w:r>
        <w:rPr>
          <w:rStyle w:val="DataTypeTok"/>
        </w:rPr>
        <w:t xml:space="preserve">"Template"</w:t>
      </w:r>
      <w:r>
        <w:rPr>
          <w:rStyle w:val="FunctionTok"/>
        </w:rPr>
        <w:t xml:space="preserve">:</w:t>
      </w:r>
      <w:r>
        <w:rPr>
          <w:rStyle w:val="NormalTok"/>
        </w:rPr>
        <w:t xml:space="preserve"> </w:t>
      </w:r>
      <w:r>
        <w:rPr>
          <w:rStyle w:val="StringTok"/>
        </w:rPr>
        <w:t xml:space="preserve">"Web Server Legacy"</w:t>
      </w:r>
      <w:r>
        <w:rPr>
          <w:rStyle w:val="FunctionTok"/>
        </w:rPr>
        <w:t xml:space="preserve">,</w:t>
      </w:r>
      <w:r>
        <w:br/>
      </w:r>
      <w:r>
        <w:rPr>
          <w:rStyle w:val="NormalTok"/>
        </w:rPr>
        <w:t xml:space="preserve">    </w:t>
      </w:r>
      <w:r>
        <w:rPr>
          <w:rStyle w:val="DataTypeTok"/>
        </w:rPr>
        <w:t xml:space="preserve">"Description"</w:t>
      </w:r>
      <w:r>
        <w:rPr>
          <w:rStyle w:val="FunctionTok"/>
        </w:rPr>
        <w:t xml:space="preserve">:</w:t>
      </w:r>
      <w:r>
        <w:rPr>
          <w:rStyle w:val="NormalTok"/>
        </w:rPr>
        <w:t xml:space="preserve"> </w:t>
      </w:r>
      <w:r>
        <w:rPr>
          <w:rStyle w:val="StringTok"/>
        </w:rPr>
        <w:t xml:space="preserve">"Published template lets broad groups enroll, supply the subject, and obtain an authentication certificate without approval."</w:t>
      </w:r>
      <w:r>
        <w:rPr>
          <w:rStyle w:val="FunctionTok"/>
        </w:rPr>
        <w:t xml:space="preserve">,</w:t>
      </w:r>
      <w:r>
        <w:br/>
      </w:r>
      <w:r>
        <w:rPr>
          <w:rStyle w:val="NormalTok"/>
        </w:rPr>
        <w:t xml:space="preserve">    </w:t>
      </w:r>
      <w:r>
        <w:rPr>
          <w:rStyle w:val="DataTypeTok"/>
        </w:rPr>
        <w:t xml:space="preserve">"Remediation"</w:t>
      </w:r>
      <w:r>
        <w:rPr>
          <w:rStyle w:val="FunctionTok"/>
        </w:rPr>
        <w:t xml:space="preserve">:</w:t>
      </w:r>
      <w:r>
        <w:rPr>
          <w:rStyle w:val="NormalTok"/>
        </w:rPr>
        <w:t xml:space="preserve"> </w:t>
      </w:r>
      <w:r>
        <w:rPr>
          <w:rStyle w:val="StringTok"/>
        </w:rPr>
        <w:t xml:space="preserve">"Turn off Supply in the request, remove authentication EKUs, restrict enrollment, require manager approval, or unpublish."</w:t>
      </w:r>
      <w:r>
        <w:br/>
      </w:r>
      <w:r>
        <w:rPr>
          <w:rStyle w:val="NormalTok"/>
        </w:rPr>
        <w:t xml:space="preserve">  </w:t>
      </w:r>
      <w:r>
        <w:rPr>
          <w:rStyle w:val="FunctionTok"/>
        </w:rPr>
        <w:t xml:space="preserve">}</w:t>
      </w:r>
      <w:r>
        <w:br/>
      </w:r>
      <w:r>
        <w:rPr>
          <w:rStyle w:val="OtherTok"/>
        </w:rPr>
        <w:t xml:space="preserve">]</w:t>
      </w:r>
    </w:p>
    <w:bookmarkEnd w:id="1301"/>
    <w:bookmarkStart w:id="1302" w:name="trustmap.json"/>
    <w:p>
      <w:pPr>
        <w:pStyle w:val="Heading3"/>
      </w:pPr>
      <w:r>
        <w:t xml:space="preserve">TrustMap.json</w:t>
      </w:r>
    </w:p>
    <w:p>
      <w:pPr>
        <w:pStyle w:val="SourceCode"/>
      </w:pPr>
      <w:r>
        <w:rPr>
          <w:rStyle w:val="FunctionTok"/>
        </w:rPr>
        <w:t xml:space="preserve">{</w:t>
      </w:r>
      <w:r>
        <w:br/>
      </w:r>
      <w:r>
        <w:rPr>
          <w:rStyle w:val="NormalTok"/>
        </w:rPr>
        <w:t xml:space="preserve">  </w:t>
      </w:r>
      <w:r>
        <w:rPr>
          <w:rStyle w:val="DataTypeTok"/>
        </w:rPr>
        <w:t xml:space="preserve">"AssessmentTimestamp"</w:t>
      </w:r>
      <w:r>
        <w:rPr>
          <w:rStyle w:val="FunctionTok"/>
        </w:rPr>
        <w:t xml:space="preserve">:</w:t>
      </w:r>
      <w:r>
        <w:rPr>
          <w:rStyle w:val="NormalTok"/>
        </w:rPr>
        <w:t xml:space="preserve"> </w:t>
      </w:r>
      <w:r>
        <w:rPr>
          <w:rStyle w:val="StringTok"/>
        </w:rPr>
        <w:t xml:space="preserve">"2026-10-19T02:41:03.0000000-04:00"</w:t>
      </w:r>
      <w:r>
        <w:rPr>
          <w:rStyle w:val="FunctionTok"/>
        </w:rPr>
        <w:t xml:space="preserve">,</w:t>
      </w:r>
      <w:r>
        <w:br/>
      </w:r>
      <w:r>
        <w:rPr>
          <w:rStyle w:val="NormalTok"/>
        </w:rPr>
        <w:t xml:space="preserve">  </w:t>
      </w:r>
      <w:r>
        <w:rPr>
          <w:rStyle w:val="DataTypeTok"/>
        </w:rPr>
        <w:t xml:space="preserve">"Domain"</w:t>
      </w:r>
      <w:r>
        <w:rPr>
          <w:rStyle w:val="FunctionTok"/>
        </w:rPr>
        <w:t xml:space="preserve">:</w:t>
      </w:r>
      <w:r>
        <w:rPr>
          <w:rStyle w:val="NormalTok"/>
        </w:rPr>
        <w:t xml:space="preserve"> </w:t>
      </w:r>
      <w:r>
        <w:rPr>
          <w:rStyle w:val="StringTok"/>
        </w:rPr>
        <w:t xml:space="preserve">"contoso.com"</w:t>
      </w:r>
      <w:r>
        <w:rPr>
          <w:rStyle w:val="FunctionTok"/>
        </w:rPr>
        <w:t xml:space="preserve">,</w:t>
      </w:r>
      <w:r>
        <w:br/>
      </w:r>
      <w:r>
        <w:rPr>
          <w:rStyle w:val="NormalTok"/>
        </w:rPr>
        <w:t xml:space="preserve">  </w:t>
      </w:r>
      <w:r>
        <w:rPr>
          <w:rStyle w:val="DataTypeTok"/>
        </w:rPr>
        <w:t xml:space="preserve">"TrustCount"</w:t>
      </w:r>
      <w:r>
        <w:rPr>
          <w:rStyle w:val="FunctionTok"/>
        </w:rPr>
        <w:t xml:space="preserve">:</w:t>
      </w:r>
      <w:r>
        <w:rPr>
          <w:rStyle w:val="NormalTok"/>
        </w:rPr>
        <w:t xml:space="preserve"> </w:t>
      </w:r>
      <w:r>
        <w:rPr>
          <w:rStyle w:val="DecValTok"/>
        </w:rPr>
        <w:t xml:space="preserve">1</w:t>
      </w:r>
      <w:r>
        <w:rPr>
          <w:rStyle w:val="FunctionTok"/>
        </w:rPr>
        <w:t xml:space="preserve">,</w:t>
      </w:r>
      <w:r>
        <w:br/>
      </w:r>
      <w:r>
        <w:rPr>
          <w:rStyle w:val="NormalTok"/>
        </w:rPr>
        <w:t xml:space="preserve">  </w:t>
      </w:r>
      <w:r>
        <w:rPr>
          <w:rStyle w:val="DataTypeTok"/>
        </w:rPr>
        <w:t xml:space="preserve">"Trusts"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"partner.example"</w:t>
      </w:r>
      <w:r>
        <w:rPr>
          <w:rStyle w:val="FunctionTok"/>
        </w:rPr>
        <w:t xml:space="preserve">,</w:t>
      </w:r>
      <w:r>
        <w:br/>
      </w:r>
      <w:r>
        <w:rPr>
          <w:rStyle w:val="NormalTok"/>
        </w:rPr>
        <w:t xml:space="preserve">      </w:t>
      </w:r>
      <w:r>
        <w:rPr>
          <w:rStyle w:val="DataTypeTok"/>
        </w:rPr>
        <w:t xml:space="preserve">"Direction"</w:t>
      </w:r>
      <w:r>
        <w:rPr>
          <w:rStyle w:val="FunctionTok"/>
        </w:rPr>
        <w:t xml:space="preserve">:</w:t>
      </w:r>
      <w:r>
        <w:rPr>
          <w:rStyle w:val="NormalTok"/>
        </w:rPr>
        <w:t xml:space="preserve"> </w:t>
      </w:r>
      <w:r>
        <w:rPr>
          <w:rStyle w:val="StringTok"/>
        </w:rPr>
        <w:t xml:space="preserve">"Outbound"</w:t>
      </w:r>
      <w:r>
        <w:rPr>
          <w:rStyle w:val="FunctionTok"/>
        </w:rPr>
        <w:t xml:space="preserve">,</w:t>
      </w:r>
      <w:r>
        <w:br/>
      </w:r>
      <w:r>
        <w:rPr>
          <w:rStyle w:val="NormalTok"/>
        </w:rPr>
        <w:t xml:space="preserve">      </w:t>
      </w:r>
      <w:r>
        <w:rPr>
          <w:rStyle w:val="DataTypeTok"/>
        </w:rPr>
        <w:t xml:space="preserve">"TrustType"</w:t>
      </w:r>
      <w:r>
        <w:rPr>
          <w:rStyle w:val="FunctionTok"/>
        </w:rPr>
        <w:t xml:space="preserve">:</w:t>
      </w:r>
      <w:r>
        <w:rPr>
          <w:rStyle w:val="NormalTok"/>
        </w:rPr>
        <w:t xml:space="preserve"> </w:t>
      </w:r>
      <w:r>
        <w:rPr>
          <w:rStyle w:val="StringTok"/>
        </w:rPr>
        <w:t xml:space="preserve">"Uplevel"</w:t>
      </w:r>
      <w:r>
        <w:rPr>
          <w:rStyle w:val="FunctionTok"/>
        </w:rPr>
        <w:t xml:space="preserve">,</w:t>
      </w:r>
      <w:r>
        <w:br/>
      </w:r>
      <w:r>
        <w:rPr>
          <w:rStyle w:val="NormalTok"/>
        </w:rPr>
        <w:t xml:space="preserve">      </w:t>
      </w:r>
      <w:r>
        <w:rPr>
          <w:rStyle w:val="DataTypeTok"/>
        </w:rPr>
        <w:t xml:space="preserve">"TrustAttributesRaw"</w:t>
      </w:r>
      <w:r>
        <w:rPr>
          <w:rStyle w:val="FunctionTok"/>
        </w:rPr>
        <w:t xml:space="preserve">:</w:t>
      </w:r>
      <w:r>
        <w:rPr>
          <w:rStyle w:val="NormalTok"/>
        </w:rPr>
        <w:t xml:space="preserve"> </w:t>
      </w:r>
      <w:r>
        <w:rPr>
          <w:rStyle w:val="DecValTok"/>
        </w:rPr>
        <w:t xml:space="preserve">8</w:t>
      </w:r>
      <w:r>
        <w:rPr>
          <w:rStyle w:val="FunctionTok"/>
        </w:rPr>
        <w:t xml:space="preserve">,</w:t>
      </w:r>
      <w:r>
        <w:br/>
      </w:r>
      <w:r>
        <w:rPr>
          <w:rStyle w:val="NormalTok"/>
        </w:rPr>
        <w:t xml:space="preserve">      </w:t>
      </w:r>
      <w:r>
        <w:rPr>
          <w:rStyle w:val="DataTypeTok"/>
        </w:rPr>
        <w:t xml:space="preserve">"TrustAttributes"</w:t>
      </w:r>
      <w:r>
        <w:rPr>
          <w:rStyle w:val="FunctionTok"/>
        </w:rPr>
        <w:t xml:space="preserve">:</w:t>
      </w:r>
      <w:r>
        <w:rPr>
          <w:rStyle w:val="NormalTok"/>
        </w:rPr>
        <w:t xml:space="preserve"> </w:t>
      </w:r>
      <w:r>
        <w:rPr>
          <w:rStyle w:val="OtherTok"/>
        </w:rPr>
        <w:t xml:space="preserve">[</w:t>
      </w:r>
      <w:r>
        <w:rPr>
          <w:rStyle w:val="StringTok"/>
        </w:rPr>
        <w:t xml:space="preserve">"ForestTransitive"</w:t>
      </w:r>
      <w:r>
        <w:rPr>
          <w:rStyle w:val="OtherTok"/>
        </w:rPr>
        <w:t xml:space="preserve">]</w:t>
      </w:r>
      <w:r>
        <w:rPr>
          <w:rStyle w:val="FunctionTok"/>
        </w:rPr>
        <w:t xml:space="preserve">,</w:t>
      </w:r>
      <w:r>
        <w:br/>
      </w:r>
      <w:r>
        <w:rPr>
          <w:rStyle w:val="NormalTok"/>
        </w:rPr>
        <w:t xml:space="preserve">      </w:t>
      </w:r>
      <w:r>
        <w:rPr>
          <w:rStyle w:val="DataTypeTok"/>
        </w:rPr>
        <w:t xml:space="preserve">"IntraForest"</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"SelectiveAuthentication"</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"SIDFilteringQuarantined"</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"Access"</w:t>
      </w:r>
      <w:r>
        <w:rPr>
          <w:rStyle w:val="FunctionTok"/>
        </w:rPr>
        <w:t xml:space="preserve">:</w:t>
      </w:r>
      <w:r>
        <w:rPr>
          <w:rStyle w:val="NormalTok"/>
        </w:rPr>
        <w:t xml:space="preserve"> </w:t>
      </w:r>
      <w:r>
        <w:rPr>
          <w:rStyle w:val="StringTok"/>
        </w:rPr>
        <w:t xml:space="preserve">"Users in partner.example can reach resources in contoso.com"</w:t>
      </w:r>
      <w:r>
        <w:rPr>
          <w:rStyle w:val="FunctionTok"/>
        </w:rPr>
        <w:t xml:space="preserve">,</w:t>
      </w:r>
      <w:r>
        <w:br/>
      </w:r>
      <w:r>
        <w:rPr>
          <w:rStyle w:val="NormalTok"/>
        </w:rPr>
        <w:t xml:space="preserve">      </w:t>
      </w:r>
      <w:r>
        <w:rPr>
          <w:rStyle w:val="DataTypeTok"/>
        </w:rPr>
        <w:t xml:space="preserve">"Posture"</w:t>
      </w:r>
      <w:r>
        <w:rPr>
          <w:rStyle w:val="FunctionTok"/>
        </w:rPr>
        <w:t xml:space="preserve">:</w:t>
      </w:r>
      <w:r>
        <w:rPr>
          <w:rStyle w:val="NormalTok"/>
        </w:rPr>
        <w:t xml:space="preserve"> </w:t>
      </w:r>
      <w:r>
        <w:rPr>
          <w:rStyle w:val="StringTok"/>
        </w:rPr>
        <w:t xml:space="preserve">"Standard"</w:t>
      </w:r>
      <w:r>
        <w:br/>
      </w:r>
      <w:r>
        <w:rPr>
          <w:rStyle w:val="NormalTok"/>
        </w:rPr>
        <w:t xml:space="preserve">    </w:t>
      </w:r>
      <w:r>
        <w:rPr>
          <w:rStyle w:val="FunctionTok"/>
        </w:rPr>
        <w:t xml:space="preserve">}</w:t>
      </w:r>
      <w:r>
        <w:br/>
      </w:r>
      <w:r>
        <w:rPr>
          <w:rStyle w:val="NormalTok"/>
        </w:rPr>
        <w:t xml:space="preserve">  </w:t>
      </w:r>
      <w:r>
        <w:rPr>
          <w:rStyle w:val="OtherTok"/>
        </w:rPr>
        <w:t xml:space="preserve">]</w:t>
      </w:r>
      <w:r>
        <w:br/>
      </w:r>
      <w:r>
        <w:rPr>
          <w:rStyle w:val="FunctionTok"/>
        </w:rPr>
        <w:t xml:space="preserve">}</w:t>
      </w:r>
    </w:p>
    <w:bookmarkEnd w:id="1302"/>
    <w:bookmarkStart w:id="1303" w:name="assessmentmanifest.json"/>
    <w:p>
      <w:pPr>
        <w:pStyle w:val="Heading3"/>
      </w:pPr>
      <w:r>
        <w:t xml:space="preserve">AssessmentManifest.json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Type</w:t>
            </w:r>
          </w:p>
        </w:tc>
        <w:tc>
          <w:tcPr/>
          <w:p>
            <w:pPr>
              <w:pStyle w:val="Compact"/>
            </w:pPr>
            <w:r>
              <w:t xml:space="preserve">Description</w:t>
            </w:r>
          </w:p>
        </w:tc>
      </w:tr>
      <w:tr>
        <w:tc>
          <w:tcPr/>
          <w:p>
            <w:pPr>
              <w:pStyle w:val="Compact"/>
            </w:pPr>
            <w:r>
              <w:rPr>
                <w:rStyle w:val="VerbatimChar"/>
              </w:rPr>
              <w:t xml:space="preserve">AssessmentId</w:t>
            </w:r>
          </w:p>
        </w:tc>
        <w:tc>
          <w:tcPr/>
          <w:p>
            <w:pPr>
              <w:pStyle w:val="Compact"/>
            </w:pPr>
            <w:r>
              <w:t xml:space="preserve">string (GUID)</w:t>
            </w:r>
          </w:p>
        </w:tc>
        <w:tc>
          <w:tcPr/>
          <w:p>
            <w:pPr>
              <w:pStyle w:val="Compact"/>
            </w:pPr>
            <w:r>
              <w:t xml:space="preserve">Unique identifier for the run</w:t>
            </w:r>
          </w:p>
        </w:tc>
      </w:tr>
      <w:tr>
        <w:tc>
          <w:tcPr/>
          <w:p>
            <w:pPr>
              <w:pStyle w:val="Compact"/>
            </w:pPr>
            <w:r>
              <w:rPr>
                <w:rStyle w:val="VerbatimChar"/>
              </w:rPr>
              <w:t xml:space="preserve">Domain</w:t>
            </w:r>
          </w:p>
        </w:tc>
        <w:tc>
          <w:tcPr/>
          <w:p>
            <w:pPr>
              <w:pStyle w:val="Compact"/>
            </w:pPr>
            <w:r>
              <w:t xml:space="preserve">string</w:t>
            </w:r>
          </w:p>
        </w:tc>
        <w:tc>
          <w:tcPr/>
          <w:p>
            <w:pPr>
              <w:pStyle w:val="Compact"/>
            </w:pPr>
            <w:r>
              <w:t xml:space="preserve">DNS name of the assessed domain</w:t>
            </w:r>
          </w:p>
        </w:tc>
      </w:tr>
      <w:tr>
        <w:tc>
          <w:tcPr/>
          <w:p>
            <w:pPr>
              <w:pStyle w:val="Compact"/>
            </w:pPr>
            <w:r>
              <w:rPr>
                <w:rStyle w:val="VerbatimChar"/>
              </w:rPr>
              <w:t xml:space="preserve">StartTime</w:t>
            </w:r>
            <w:r>
              <w:t xml:space="preserve">,</w:t>
            </w:r>
            <w:r>
              <w:t xml:space="preserve"> </w:t>
            </w:r>
            <w:r>
              <w:rPr>
                <w:rStyle w:val="VerbatimChar"/>
              </w:rPr>
              <w:t xml:space="preserve">EndTime</w:t>
            </w:r>
          </w:p>
        </w:tc>
        <w:tc>
          <w:tcPr/>
          <w:p>
            <w:pPr>
              <w:pStyle w:val="Compact"/>
            </w:pPr>
            <w:r>
              <w:t xml:space="preserve">string (ISO 8601)</w:t>
            </w:r>
          </w:p>
        </w:tc>
        <w:tc>
          <w:tcPr/>
          <w:p>
            <w:pPr>
              <w:pStyle w:val="Compact"/>
            </w:pPr>
            <w:r>
              <w:t xml:space="preserve">Execution window</w:t>
            </w:r>
          </w:p>
        </w:tc>
      </w:tr>
      <w:tr>
        <w:tc>
          <w:tcPr/>
          <w:p>
            <w:pPr>
              <w:pStyle w:val="Compact"/>
            </w:pPr>
            <w:r>
              <w:rPr>
                <w:rStyle w:val="VerbatimChar"/>
              </w:rPr>
              <w:t xml:space="preserve">DurationMinutes</w:t>
            </w:r>
          </w:p>
        </w:tc>
        <w:tc>
          <w:tcPr/>
          <w:p>
            <w:pPr>
              <w:pStyle w:val="Compact"/>
            </w:pPr>
            <w:r>
              <w:t xml:space="preserve">number</w:t>
            </w:r>
          </w:p>
        </w:tc>
        <w:tc>
          <w:tcPr/>
          <w:p>
            <w:pPr>
              <w:pStyle w:val="Compact"/>
            </w:pPr>
            <w:r>
              <w:t xml:space="preserve">Total duration</w:t>
            </w:r>
          </w:p>
        </w:tc>
      </w:tr>
      <w:tr>
        <w:tc>
          <w:tcPr/>
          <w:p>
            <w:pPr>
              <w:pStyle w:val="Compact"/>
            </w:pPr>
            <w:r>
              <w:rPr>
                <w:rStyle w:val="VerbatimChar"/>
              </w:rPr>
              <w:t xml:space="preserve">ExecutedBy</w:t>
            </w:r>
            <w:r>
              <w:t xml:space="preserve">,</w:t>
            </w:r>
            <w:r>
              <w:t xml:space="preserve"> </w:t>
            </w:r>
            <w:r>
              <w:rPr>
                <w:rStyle w:val="VerbatimChar"/>
              </w:rPr>
              <w:t xml:space="preserve">ComputerName</w:t>
            </w:r>
          </w:p>
        </w:tc>
        <w:tc>
          <w:tcPr/>
          <w:p>
            <w:pPr>
              <w:pStyle w:val="Compact"/>
            </w:pPr>
            <w:r>
              <w:t xml:space="preserve">string</w:t>
            </w:r>
          </w:p>
        </w:tc>
        <w:tc>
          <w:tcPr/>
          <w:p>
            <w:pPr>
              <w:pStyle w:val="Compact"/>
            </w:pPr>
            <w:r>
              <w:t xml:space="preserve">Account and host</w:t>
            </w:r>
          </w:p>
        </w:tc>
      </w:tr>
      <w:tr>
        <w:tc>
          <w:tcPr/>
          <w:p>
            <w:pPr>
              <w:pStyle w:val="Compact"/>
            </w:pPr>
            <w:r>
              <w:rPr>
                <w:rStyle w:val="VerbatimChar"/>
              </w:rPr>
              <w:t xml:space="preserve">StaleThresholdDays</w:t>
            </w:r>
          </w:p>
        </w:tc>
        <w:tc>
          <w:tcPr/>
          <w:p>
            <w:pPr>
              <w:pStyle w:val="Compact"/>
            </w:pPr>
            <w:r>
              <w:t xml:space="preserve">integer</w:t>
            </w:r>
          </w:p>
        </w:tc>
        <w:tc>
          <w:tcPr/>
          <w:p>
            <w:pPr>
              <w:pStyle w:val="Compact"/>
            </w:pPr>
            <w:r>
              <w:t xml:space="preserve">Threshold used by the run</w:t>
            </w:r>
          </w:p>
        </w:tc>
      </w:tr>
      <w:tr>
        <w:tc>
          <w:tcPr/>
          <w:p>
            <w:pPr>
              <w:pStyle w:val="Compact"/>
            </w:pPr>
            <w:r>
              <w:rPr>
                <w:rStyle w:val="VerbatimChar"/>
              </w:rPr>
              <w:t xml:space="preserve">Steps</w:t>
            </w:r>
          </w:p>
        </w:tc>
        <w:tc>
          <w:tcPr/>
          <w:p>
            <w:pPr>
              <w:pStyle w:val="Compact"/>
            </w:pPr>
            <w:r>
              <w:t xml:space="preserve">array</w:t>
            </w:r>
          </w:p>
        </w:tc>
        <w:tc>
          <w:tcPr/>
          <w:p>
            <w:pPr>
              <w:pStyle w:val="Compact"/>
            </w:pPr>
            <w:r>
              <w:rPr>
                <w:rStyle w:val="VerbatimChar"/>
              </w:rPr>
              <w:t xml:space="preserve">Step</w:t>
            </w:r>
            <w:r>
              <w:t xml:space="preserve">,</w:t>
            </w:r>
            <w:r>
              <w:t xml:space="preserve"> </w:t>
            </w:r>
            <w:r>
              <w:rPr>
                <w:rStyle w:val="VerbatimChar"/>
              </w:rPr>
              <w:t xml:space="preserve">Status</w:t>
            </w:r>
            <w:r>
              <w:t xml:space="preserve"> </w:t>
            </w:r>
            <w:r>
              <w:t xml:space="preserve">(</w:t>
            </w:r>
            <w:r>
              <w:rPr>
                <w:rStyle w:val="VerbatimChar"/>
              </w:rPr>
              <w:t xml:space="preserve">Completed</w:t>
            </w:r>
            <w:r>
              <w:t xml:space="preserve"> </w:t>
            </w:r>
            <w:r>
              <w:t xml:space="preserve">or</w:t>
            </w:r>
            <w:r>
              <w:t xml:space="preserve"> </w:t>
            </w:r>
            <w:r>
              <w:rPr>
                <w:rStyle w:val="VerbatimChar"/>
              </w:rPr>
              <w:t xml:space="preserve">Failed</w:t>
            </w:r>
            <w:r>
              <w:t xml:space="preserve">),</w:t>
            </w:r>
            <w:r>
              <w:t xml:space="preserve"> </w:t>
            </w:r>
            <w:r>
              <w:rPr>
                <w:rStyle w:val="VerbatimChar"/>
              </w:rPr>
              <w:t xml:space="preserve">Error</w:t>
            </w:r>
          </w:p>
        </w:tc>
      </w:tr>
      <w:tr>
        <w:tc>
          <w:tcPr/>
          <w:p>
            <w:pPr>
              <w:pStyle w:val="Compact"/>
            </w:pPr>
            <w:r>
              <w:rPr>
                <w:rStyle w:val="VerbatimChar"/>
              </w:rPr>
              <w:t xml:space="preserve">FileCount</w:t>
            </w:r>
          </w:p>
        </w:tc>
        <w:tc>
          <w:tcPr/>
          <w:p>
            <w:pPr>
              <w:pStyle w:val="Compact"/>
            </w:pPr>
            <w:r>
              <w:t xml:space="preserve">integer</w:t>
            </w:r>
          </w:p>
        </w:tc>
        <w:tc>
          <w:tcPr/>
          <w:p>
            <w:pPr>
              <w:pStyle w:val="Compact"/>
            </w:pPr>
            <w:r>
              <w:t xml:space="preserve">Number of files hashed</w:t>
            </w:r>
          </w:p>
        </w:tc>
      </w:tr>
      <w:tr>
        <w:tc>
          <w:tcPr/>
          <w:p>
            <w:pPr>
              <w:pStyle w:val="Compact"/>
            </w:pPr>
            <w:r>
              <w:rPr>
                <w:rStyle w:val="VerbatimChar"/>
              </w:rPr>
              <w:t xml:space="preserve">Files</w:t>
            </w:r>
          </w:p>
        </w:tc>
        <w:tc>
          <w:tcPr/>
          <w:p>
            <w:pPr>
              <w:pStyle w:val="Compact"/>
            </w:pPr>
            <w:r>
              <w:t xml:space="preserve">array</w:t>
            </w:r>
          </w:p>
        </w:tc>
        <w:tc>
          <w:tcPr/>
          <w:p>
            <w:pPr>
              <w:pStyle w:val="Compact"/>
            </w:pPr>
            <w:r>
              <w:rPr>
                <w:rStyle w:val="VerbatimChar"/>
              </w:rPr>
              <w:t xml:space="preserve">RelativePath</w:t>
            </w:r>
            <w:r>
              <w:t xml:space="preserve">,</w:t>
            </w:r>
            <w:r>
              <w:t xml:space="preserve"> </w:t>
            </w:r>
            <w:r>
              <w:rPr>
                <w:rStyle w:val="VerbatimChar"/>
              </w:rPr>
              <w:t xml:space="preserve">SizeBytes</w:t>
            </w:r>
            <w:r>
              <w:t xml:space="preserve">,</w:t>
            </w:r>
            <w:r>
              <w:t xml:space="preserve"> </w:t>
            </w:r>
            <w:r>
              <w:rPr>
                <w:rStyle w:val="VerbatimChar"/>
              </w:rPr>
              <w:t xml:space="preserve">LastModified</w:t>
            </w:r>
            <w:r>
              <w:t xml:space="preserve">,</w:t>
            </w:r>
            <w:r>
              <w:t xml:space="preserve"> </w:t>
            </w:r>
            <w:r>
              <w:rPr>
                <w:rStyle w:val="VerbatimChar"/>
              </w:rPr>
              <w:t xml:space="preserve">SHA256</w:t>
            </w:r>
          </w:p>
        </w:tc>
      </w:tr>
    </w:tbl>
    <w:p>
      <w:pPr>
        <w:pStyle w:val="SourceCode"/>
      </w:pPr>
      <w:r>
        <w:rPr>
          <w:rStyle w:val="FunctionTok"/>
        </w:rPr>
        <w:t xml:space="preserve">{</w:t>
      </w:r>
      <w:r>
        <w:br/>
      </w:r>
      <w:r>
        <w:rPr>
          <w:rStyle w:val="NormalTok"/>
        </w:rPr>
        <w:t xml:space="preserve">  </w:t>
      </w:r>
      <w:r>
        <w:rPr>
          <w:rStyle w:val="DataTypeTok"/>
        </w:rPr>
        <w:t xml:space="preserve">"AssessmentId"</w:t>
      </w:r>
      <w:r>
        <w:rPr>
          <w:rStyle w:val="FunctionTok"/>
        </w:rPr>
        <w:t xml:space="preserve">:</w:t>
      </w:r>
      <w:r>
        <w:rPr>
          <w:rStyle w:val="NormalTok"/>
        </w:rPr>
        <w:t xml:space="preserve"> </w:t>
      </w:r>
      <w:r>
        <w:rPr>
          <w:rStyle w:val="StringTok"/>
        </w:rPr>
        <w:t xml:space="preserve">"6f0c5a1e-9b8d-4e33-a2f1-0d7c3b9e4a12"</w:t>
      </w:r>
      <w:r>
        <w:rPr>
          <w:rStyle w:val="FunctionTok"/>
        </w:rPr>
        <w:t xml:space="preserve">,</w:t>
      </w:r>
      <w:r>
        <w:br/>
      </w:r>
      <w:r>
        <w:rPr>
          <w:rStyle w:val="NormalTok"/>
        </w:rPr>
        <w:t xml:space="preserve">  </w:t>
      </w:r>
      <w:r>
        <w:rPr>
          <w:rStyle w:val="DataTypeTok"/>
        </w:rPr>
        <w:t xml:space="preserve">"Domain"</w:t>
      </w:r>
      <w:r>
        <w:rPr>
          <w:rStyle w:val="FunctionTok"/>
        </w:rPr>
        <w:t xml:space="preserve">:</w:t>
      </w:r>
      <w:r>
        <w:rPr>
          <w:rStyle w:val="NormalTok"/>
        </w:rPr>
        <w:t xml:space="preserve"> </w:t>
      </w:r>
      <w:r>
        <w:rPr>
          <w:rStyle w:val="StringTok"/>
        </w:rPr>
        <w:t xml:space="preserve">"contoso.com"</w:t>
      </w:r>
      <w:r>
        <w:rPr>
          <w:rStyle w:val="FunctionTok"/>
        </w:rPr>
        <w:t xml:space="preserve">,</w:t>
      </w:r>
      <w:r>
        <w:br/>
      </w:r>
      <w:r>
        <w:rPr>
          <w:rStyle w:val="NormalTok"/>
        </w:rPr>
        <w:t xml:space="preserve">  </w:t>
      </w:r>
      <w:r>
        <w:rPr>
          <w:rStyle w:val="DataTypeTok"/>
        </w:rPr>
        <w:t xml:space="preserve">"StartTime"</w:t>
      </w:r>
      <w:r>
        <w:rPr>
          <w:rStyle w:val="FunctionTok"/>
        </w:rPr>
        <w:t xml:space="preserve">:</w:t>
      </w:r>
      <w:r>
        <w:rPr>
          <w:rStyle w:val="NormalTok"/>
        </w:rPr>
        <w:t xml:space="preserve"> </w:t>
      </w:r>
      <w:r>
        <w:rPr>
          <w:rStyle w:val="StringTok"/>
        </w:rPr>
        <w:t xml:space="preserve">"2026-10-19T02:00:00.0000000-04:00"</w:t>
      </w:r>
      <w:r>
        <w:rPr>
          <w:rStyle w:val="FunctionTok"/>
        </w:rPr>
        <w:t xml:space="preserve">,</w:t>
      </w:r>
      <w:r>
        <w:br/>
      </w:r>
      <w:r>
        <w:rPr>
          <w:rStyle w:val="NormalTok"/>
        </w:rPr>
        <w:t xml:space="preserve">  </w:t>
      </w:r>
      <w:r>
        <w:rPr>
          <w:rStyle w:val="DataTypeTok"/>
        </w:rPr>
        <w:t xml:space="preserve">"EndTime"</w:t>
      </w:r>
      <w:r>
        <w:rPr>
          <w:rStyle w:val="FunctionTok"/>
        </w:rPr>
        <w:t xml:space="preserve">:</w:t>
      </w:r>
      <w:r>
        <w:rPr>
          <w:rStyle w:val="NormalTok"/>
        </w:rPr>
        <w:t xml:space="preserve"> </w:t>
      </w:r>
      <w:r>
        <w:rPr>
          <w:rStyle w:val="StringTok"/>
        </w:rPr>
        <w:t xml:space="preserve">"2026-10-19T02:47:31.0000000-04:00"</w:t>
      </w:r>
      <w:r>
        <w:rPr>
          <w:rStyle w:val="FunctionTok"/>
        </w:rPr>
        <w:t xml:space="preserve">,</w:t>
      </w:r>
      <w:r>
        <w:br/>
      </w:r>
      <w:r>
        <w:rPr>
          <w:rStyle w:val="NormalTok"/>
        </w:rPr>
        <w:t xml:space="preserve">  </w:t>
      </w:r>
      <w:r>
        <w:rPr>
          <w:rStyle w:val="DataTypeTok"/>
        </w:rPr>
        <w:t xml:space="preserve">"DurationMinutes"</w:t>
      </w:r>
      <w:r>
        <w:rPr>
          <w:rStyle w:val="FunctionTok"/>
        </w:rPr>
        <w:t xml:space="preserve">:</w:t>
      </w:r>
      <w:r>
        <w:rPr>
          <w:rStyle w:val="NormalTok"/>
        </w:rPr>
        <w:t xml:space="preserve"> </w:t>
      </w:r>
      <w:r>
        <w:rPr>
          <w:rStyle w:val="FloatTok"/>
        </w:rPr>
        <w:t xml:space="preserve">47.52</w:t>
      </w:r>
      <w:r>
        <w:rPr>
          <w:rStyle w:val="FunctionTok"/>
        </w:rPr>
        <w:t xml:space="preserve">,</w:t>
      </w:r>
      <w:r>
        <w:br/>
      </w:r>
      <w:r>
        <w:rPr>
          <w:rStyle w:val="NormalTok"/>
        </w:rPr>
        <w:t xml:space="preserve">  </w:t>
      </w:r>
      <w:r>
        <w:rPr>
          <w:rStyle w:val="DataTypeTok"/>
        </w:rPr>
        <w:t xml:space="preserve">"ExecutedBy"</w:t>
      </w:r>
      <w:r>
        <w:rPr>
          <w:rStyle w:val="FunctionTok"/>
        </w:rPr>
        <w:t xml:space="preserve">:</w:t>
      </w:r>
      <w:r>
        <w:rPr>
          <w:rStyle w:val="NormalTok"/>
        </w:rPr>
        <w:t xml:space="preserve"> </w:t>
      </w:r>
      <w:r>
        <w:rPr>
          <w:rStyle w:val="StringTok"/>
        </w:rPr>
        <w:t xml:space="preserve">"CONTOSO</w:t>
      </w:r>
      <w:r>
        <w:rPr>
          <w:rStyle w:val="CharTok"/>
        </w:rPr>
        <w:t xml:space="preserve">\\</w:t>
      </w:r>
      <w:r>
        <w:rPr>
          <w:rStyle w:val="StringTok"/>
        </w:rPr>
        <w:t xml:space="preserve">svc-fmp-assess$"</w:t>
      </w:r>
      <w:r>
        <w:rPr>
          <w:rStyle w:val="FunctionTok"/>
        </w:rPr>
        <w:t xml:space="preserve">,</w:t>
      </w:r>
      <w:r>
        <w:br/>
      </w:r>
      <w:r>
        <w:rPr>
          <w:rStyle w:val="NormalTok"/>
        </w:rPr>
        <w:t xml:space="preserve">  </w:t>
      </w:r>
      <w:r>
        <w:rPr>
          <w:rStyle w:val="DataTypeTok"/>
        </w:rPr>
        <w:t xml:space="preserve">"ComputerName"</w:t>
      </w:r>
      <w:r>
        <w:rPr>
          <w:rStyle w:val="FunctionTok"/>
        </w:rPr>
        <w:t xml:space="preserve">:</w:t>
      </w:r>
      <w:r>
        <w:rPr>
          <w:rStyle w:val="NormalTok"/>
        </w:rPr>
        <w:t xml:space="preserve"> </w:t>
      </w:r>
      <w:r>
        <w:rPr>
          <w:rStyle w:val="StringTok"/>
        </w:rPr>
        <w:t xml:space="preserve">"FMP-ASSESS01"</w:t>
      </w:r>
      <w:r>
        <w:rPr>
          <w:rStyle w:val="FunctionTok"/>
        </w:rPr>
        <w:t xml:space="preserve">,</w:t>
      </w:r>
      <w:r>
        <w:br/>
      </w:r>
      <w:r>
        <w:rPr>
          <w:rStyle w:val="NormalTok"/>
        </w:rPr>
        <w:t xml:space="preserve">  </w:t>
      </w:r>
      <w:r>
        <w:rPr>
          <w:rStyle w:val="DataTypeTok"/>
        </w:rPr>
        <w:t xml:space="preserve">"StaleThresholdDays"</w:t>
      </w:r>
      <w:r>
        <w:rPr>
          <w:rStyle w:val="FunctionTok"/>
        </w:rPr>
        <w:t xml:space="preserve">:</w:t>
      </w:r>
      <w:r>
        <w:rPr>
          <w:rStyle w:val="NormalTok"/>
        </w:rPr>
        <w:t xml:space="preserve"> </w:t>
      </w:r>
      <w:r>
        <w:rPr>
          <w:rStyle w:val="DecValTok"/>
        </w:rPr>
        <w:t xml:space="preserve">90</w:t>
      </w:r>
      <w:r>
        <w:rPr>
          <w:rStyle w:val="FunctionTok"/>
        </w:rPr>
        <w:t xml:space="preserve">,</w:t>
      </w:r>
      <w:r>
        <w:br/>
      </w:r>
      <w:r>
        <w:rPr>
          <w:rStyle w:val="NormalTok"/>
        </w:rPr>
        <w:t xml:space="preserve">  </w:t>
      </w:r>
      <w:r>
        <w:rPr>
          <w:rStyle w:val="DataTypeTok"/>
        </w:rPr>
        <w:t xml:space="preserve">"Steps"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"Step"</w:t>
      </w:r>
      <w:r>
        <w:rPr>
          <w:rStyle w:val="FunctionTok"/>
        </w:rPr>
        <w:t xml:space="preserve">:</w:t>
      </w:r>
      <w:r>
        <w:rPr>
          <w:rStyle w:val="NormalTok"/>
        </w:rPr>
        <w:t xml:space="preserve"> </w:t>
      </w:r>
      <w:r>
        <w:rPr>
          <w:rStyle w:val="StringTok"/>
        </w:rPr>
        <w:t xml:space="preserve">"Forest topology"</w:t>
      </w:r>
      <w:r>
        <w:rPr>
          <w:rStyle w:val="FunctionTok"/>
        </w:rPr>
        <w:t xml:space="preserve">,</w:t>
      </w:r>
      <w:r>
        <w:rPr>
          <w:rStyle w:val="NormalTok"/>
        </w:rPr>
        <w:t xml:space="preserve"> </w:t>
      </w:r>
      <w:r>
        <w:rPr>
          <w:rStyle w:val="DataTypeTok"/>
        </w:rPr>
        <w:t xml:space="preserve">"Status"</w:t>
      </w:r>
      <w:r>
        <w:rPr>
          <w:rStyle w:val="FunctionTok"/>
        </w:rPr>
        <w:t xml:space="preserve">:</w:t>
      </w:r>
      <w:r>
        <w:rPr>
          <w:rStyle w:val="NormalTok"/>
        </w:rPr>
        <w:t xml:space="preserve"> </w:t>
      </w:r>
      <w:r>
        <w:rPr>
          <w:rStyle w:val="StringTok"/>
        </w:rPr>
        <w:t xml:space="preserve">"Completed"</w:t>
      </w:r>
      <w:r>
        <w:rPr>
          <w:rStyle w:val="FunctionTok"/>
        </w:rPr>
        <w:t xml:space="preserve">,</w:t>
      </w:r>
      <w:r>
        <w:rPr>
          <w:rStyle w:val="NormalTok"/>
        </w:rPr>
        <w:t xml:space="preserve"> </w:t>
      </w:r>
      <w:r>
        <w:rPr>
          <w:rStyle w:val="DataTypeTok"/>
        </w:rPr>
        <w:t xml:space="preserve">"Error"</w:t>
      </w:r>
      <w:r>
        <w:rPr>
          <w:rStyle w:val="FunctionTok"/>
        </w:rPr>
        <w:t xml:space="preserve">:</w:t>
      </w:r>
      <w:r>
        <w:rPr>
          <w:rStyle w:val="NormalTok"/>
        </w:rPr>
        <w:t xml:space="preserve"> </w:t>
      </w:r>
      <w:r>
        <w:rPr>
          <w:rStyle w:val="KeywordTok"/>
        </w:rPr>
        <w:t xml:space="preserve">null</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"Step"</w:t>
      </w:r>
      <w:r>
        <w:rPr>
          <w:rStyle w:val="FunctionTok"/>
        </w:rPr>
        <w:t xml:space="preserve">:</w:t>
      </w:r>
      <w:r>
        <w:rPr>
          <w:rStyle w:val="NormalTok"/>
        </w:rPr>
        <w:t xml:space="preserve"> </w:t>
      </w:r>
      <w:r>
        <w:rPr>
          <w:rStyle w:val="StringTok"/>
        </w:rPr>
        <w:t xml:space="preserve">"Certificate Services"</w:t>
      </w:r>
      <w:r>
        <w:rPr>
          <w:rStyle w:val="FunctionTok"/>
        </w:rPr>
        <w:t xml:space="preserve">,</w:t>
      </w:r>
      <w:r>
        <w:rPr>
          <w:rStyle w:val="NormalTok"/>
        </w:rPr>
        <w:t xml:space="preserve"> </w:t>
      </w:r>
      <w:r>
        <w:rPr>
          <w:rStyle w:val="DataTypeTok"/>
        </w:rPr>
        <w:t xml:space="preserve">"Status"</w:t>
      </w:r>
      <w:r>
        <w:rPr>
          <w:rStyle w:val="FunctionTok"/>
        </w:rPr>
        <w:t xml:space="preserve">:</w:t>
      </w:r>
      <w:r>
        <w:rPr>
          <w:rStyle w:val="NormalTok"/>
        </w:rPr>
        <w:t xml:space="preserve"> </w:t>
      </w:r>
      <w:r>
        <w:rPr>
          <w:rStyle w:val="StringTok"/>
        </w:rPr>
        <w:t xml:space="preserve">"Failed"</w:t>
      </w:r>
      <w:r>
        <w:rPr>
          <w:rStyle w:val="FunctionTok"/>
        </w:rPr>
        <w:t xml:space="preserve">,</w:t>
      </w:r>
      <w:r>
        <w:rPr>
          <w:rStyle w:val="NormalTok"/>
        </w:rPr>
        <w:t xml:space="preserve"> </w:t>
      </w:r>
      <w:r>
        <w:rPr>
          <w:rStyle w:val="DataTypeTok"/>
        </w:rPr>
        <w:t xml:space="preserve">"Error"</w:t>
      </w:r>
      <w:r>
        <w:rPr>
          <w:rStyle w:val="FunctionTok"/>
        </w:rPr>
        <w:t xml:space="preserve">:</w:t>
      </w:r>
      <w:r>
        <w:rPr>
          <w:rStyle w:val="NormalTok"/>
        </w:rPr>
        <w:t xml:space="preserve"> </w:t>
      </w:r>
      <w:r>
        <w:rPr>
          <w:rStyle w:val="StringTok"/>
        </w:rPr>
        <w:t xml:space="preserve">"The RPC server is unavailable."</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"FileCount"</w:t>
      </w:r>
      <w:r>
        <w:rPr>
          <w:rStyle w:val="FunctionTok"/>
        </w:rPr>
        <w:t xml:space="preserve">:</w:t>
      </w:r>
      <w:r>
        <w:rPr>
          <w:rStyle w:val="NormalTok"/>
        </w:rPr>
        <w:t xml:space="preserve"> </w:t>
      </w:r>
      <w:r>
        <w:rPr>
          <w:rStyle w:val="DecValTok"/>
        </w:rPr>
        <w:t xml:space="preserve">412</w:t>
      </w:r>
      <w:r>
        <w:rPr>
          <w:rStyle w:val="FunctionTok"/>
        </w:rPr>
        <w:t xml:space="preserve">,</w:t>
      </w:r>
      <w:r>
        <w:br/>
      </w:r>
      <w:r>
        <w:rPr>
          <w:rStyle w:val="NormalTok"/>
        </w:rPr>
        <w:t xml:space="preserve">  </w:t>
      </w:r>
      <w:r>
        <w:rPr>
          <w:rStyle w:val="DataTypeTok"/>
        </w:rPr>
        <w:t xml:space="preserve">"Files"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"RelativePath"</w:t>
      </w:r>
      <w:r>
        <w:rPr>
          <w:rStyle w:val="FunctionTok"/>
        </w:rPr>
        <w:t xml:space="preserve">:</w:t>
      </w:r>
      <w:r>
        <w:rPr>
          <w:rStyle w:val="NormalTok"/>
        </w:rPr>
        <w:t xml:space="preserve"> </w:t>
      </w:r>
      <w:r>
        <w:rPr>
          <w:rStyle w:val="StringTok"/>
        </w:rPr>
        <w:t xml:space="preserve">"Forest</w:t>
      </w:r>
      <w:r>
        <w:rPr>
          <w:rStyle w:val="CharTok"/>
        </w:rPr>
        <w:t xml:space="preserve">\\</w:t>
      </w:r>
      <w:r>
        <w:rPr>
          <w:rStyle w:val="StringTok"/>
        </w:rPr>
        <w:t xml:space="preserve">ForestTopology.json"</w:t>
      </w:r>
      <w:r>
        <w:rPr>
          <w:rStyle w:val="FunctionTok"/>
        </w:rPr>
        <w:t xml:space="preserve">,</w:t>
      </w:r>
      <w:r>
        <w:br/>
      </w:r>
      <w:r>
        <w:rPr>
          <w:rStyle w:val="NormalTok"/>
        </w:rPr>
        <w:t xml:space="preserve">      </w:t>
      </w:r>
      <w:r>
        <w:rPr>
          <w:rStyle w:val="DataTypeTok"/>
        </w:rPr>
        <w:t xml:space="preserve">"SizeBytes"</w:t>
      </w:r>
      <w:r>
        <w:rPr>
          <w:rStyle w:val="FunctionTok"/>
        </w:rPr>
        <w:t xml:space="preserve">:</w:t>
      </w:r>
      <w:r>
        <w:rPr>
          <w:rStyle w:val="NormalTok"/>
        </w:rPr>
        <w:t xml:space="preserve"> </w:t>
      </w:r>
      <w:r>
        <w:rPr>
          <w:rStyle w:val="DecValTok"/>
        </w:rPr>
        <w:t xml:space="preserve">48211</w:t>
      </w:r>
      <w:r>
        <w:rPr>
          <w:rStyle w:val="FunctionTok"/>
        </w:rPr>
        <w:t xml:space="preserve">,</w:t>
      </w:r>
      <w:r>
        <w:br/>
      </w:r>
      <w:r>
        <w:rPr>
          <w:rStyle w:val="NormalTok"/>
        </w:rPr>
        <w:t xml:space="preserve">      </w:t>
      </w:r>
      <w:r>
        <w:rPr>
          <w:rStyle w:val="DataTypeTok"/>
        </w:rPr>
        <w:t xml:space="preserve">"LastModified"</w:t>
      </w:r>
      <w:r>
        <w:rPr>
          <w:rStyle w:val="FunctionTok"/>
        </w:rPr>
        <w:t xml:space="preserve">:</w:t>
      </w:r>
      <w:r>
        <w:rPr>
          <w:rStyle w:val="NormalTok"/>
        </w:rPr>
        <w:t xml:space="preserve"> </w:t>
      </w:r>
      <w:r>
        <w:rPr>
          <w:rStyle w:val="StringTok"/>
        </w:rPr>
        <w:t xml:space="preserve">"2026-10-19T02:01:09.0000000-04:00"</w:t>
      </w:r>
      <w:r>
        <w:rPr>
          <w:rStyle w:val="FunctionTok"/>
        </w:rPr>
        <w:t xml:space="preserve">,</w:t>
      </w:r>
      <w:r>
        <w:br/>
      </w:r>
      <w:r>
        <w:rPr>
          <w:rStyle w:val="NormalTok"/>
        </w:rPr>
        <w:t xml:space="preserve">      </w:t>
      </w:r>
      <w:r>
        <w:rPr>
          <w:rStyle w:val="DataTypeTok"/>
        </w:rPr>
        <w:t xml:space="preserve">"SHA256"</w:t>
      </w:r>
      <w:r>
        <w:rPr>
          <w:rStyle w:val="FunctionTok"/>
        </w:rPr>
        <w:t xml:space="preserve">:</w:t>
      </w:r>
      <w:r>
        <w:rPr>
          <w:rStyle w:val="NormalTok"/>
        </w:rPr>
        <w:t xml:space="preserve"> </w:t>
      </w:r>
      <w:r>
        <w:rPr>
          <w:rStyle w:val="StringTok"/>
        </w:rPr>
        <w:t xml:space="preserve">"&lt;64 hexadecimal characters&gt;"</w:t>
      </w:r>
      <w:r>
        <w:br/>
      </w:r>
      <w:r>
        <w:rPr>
          <w:rStyle w:val="NormalTok"/>
        </w:rPr>
        <w:t xml:space="preserve">    </w:t>
      </w:r>
      <w:r>
        <w:rPr>
          <w:rStyle w:val="FunctionTok"/>
        </w:rPr>
        <w:t xml:space="preserve">}</w:t>
      </w:r>
      <w:r>
        <w:br/>
      </w:r>
      <w:r>
        <w:rPr>
          <w:rStyle w:val="NormalTok"/>
        </w:rPr>
        <w:t xml:space="preserve">  </w:t>
      </w:r>
      <w:r>
        <w:rPr>
          <w:rStyle w:val="OtherTok"/>
        </w:rPr>
        <w:t xml:space="preserve">]</w:t>
      </w:r>
      <w:r>
        <w:br/>
      </w:r>
      <w:r>
        <w:rPr>
          <w:rStyle w:val="FunctionTok"/>
        </w:rPr>
        <w:t xml:space="preserve">}</w:t>
      </w:r>
    </w:p>
    <w:bookmarkEnd w:id="1303"/>
    <w:bookmarkStart w:id="1304" w:name="other-files"/>
    <w:p>
      <w:pPr>
        <w:pStyle w:val="Heading3"/>
      </w:pPr>
      <w:r>
        <w:t xml:space="preserve">Other files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File</w:t>
            </w:r>
          </w:p>
        </w:tc>
        <w:tc>
          <w:tcPr/>
          <w:p>
            <w:pPr>
              <w:pStyle w:val="Compact"/>
            </w:pPr>
            <w:r>
              <w:t xml:space="preserve">Root</w:t>
            </w:r>
          </w:p>
        </w:tc>
        <w:tc>
          <w:tcPr/>
          <w:p>
            <w:pPr>
              <w:pStyle w:val="Compact"/>
            </w:pPr>
            <w:r>
              <w:t xml:space="preserve">Primary contents</w:t>
            </w:r>
          </w:p>
        </w:tc>
      </w:tr>
      <w:tr>
        <w:tc>
          <w:tcPr/>
          <w:p>
            <w:pPr>
              <w:pStyle w:val="Compact"/>
            </w:pPr>
            <w:r>
              <w:rPr>
                <w:rStyle w:val="VerbatimChar"/>
              </w:rPr>
              <w:t xml:space="preserve">OUHierarchy.json</w:t>
            </w:r>
          </w:p>
        </w:tc>
        <w:tc>
          <w:tcPr/>
          <w:p>
            <w:pPr>
              <w:pStyle w:val="Compact"/>
            </w:pPr>
            <w:r>
              <w:t xml:space="preserve">Array of nodes</w:t>
            </w:r>
          </w:p>
        </w:tc>
        <w:tc>
          <w:tcPr/>
          <w:p>
            <w:pPr>
              <w:pStyle w:val="Compact"/>
            </w:pPr>
            <w:r>
              <w:rPr>
                <w:rStyle w:val="VerbatimChar"/>
              </w:rPr>
              <w:t xml:space="preserve">Name</w:t>
            </w:r>
            <w:r>
              <w:t xml:space="preserve">,</w:t>
            </w:r>
            <w:r>
              <w:t xml:space="preserve"> </w:t>
            </w:r>
            <w:r>
              <w:rPr>
                <w:rStyle w:val="VerbatimChar"/>
              </w:rPr>
              <w:t xml:space="preserve">DistinguishedName</w:t>
            </w:r>
            <w:r>
              <w:t xml:space="preserve">,</w:t>
            </w:r>
            <w:r>
              <w:t xml:space="preserve"> </w:t>
            </w:r>
            <w:r>
              <w:rPr>
                <w:rStyle w:val="VerbatimChar"/>
              </w:rPr>
              <w:t xml:space="preserve">Description</w:t>
            </w:r>
            <w:r>
              <w:t xml:space="preserve">,</w:t>
            </w:r>
            <w:r>
              <w:t xml:space="preserve"> </w:t>
            </w:r>
            <w:r>
              <w:rPr>
                <w:rStyle w:val="VerbatimChar"/>
              </w:rPr>
              <w:t xml:space="preserve">ManagedBy</w:t>
            </w:r>
            <w:r>
              <w:t xml:space="preserve">,</w:t>
            </w:r>
            <w:r>
              <w:t xml:space="preserve"> </w:t>
            </w:r>
            <w:r>
              <w:rPr>
                <w:rStyle w:val="VerbatimChar"/>
              </w:rPr>
              <w:t xml:space="preserve">LinkedGPOs[]</w:t>
            </w:r>
            <w:r>
              <w:t xml:space="preserve">,</w:t>
            </w:r>
            <w:r>
              <w:t xml:space="preserve"> </w:t>
            </w:r>
            <w:r>
              <w:rPr>
                <w:rStyle w:val="VerbatimChar"/>
              </w:rPr>
              <w:t xml:space="preserve">Depth</w:t>
            </w:r>
            <w:r>
              <w:t xml:space="preserve">,</w:t>
            </w:r>
            <w:r>
              <w:t xml:space="preserve"> </w:t>
            </w:r>
            <w:r>
              <w:rPr>
                <w:rStyle w:val="VerbatimChar"/>
              </w:rPr>
              <w:t xml:space="preserve">ObjectCounts</w:t>
            </w:r>
            <w:r>
              <w:t xml:space="preserve">,</w:t>
            </w:r>
            <w:r>
              <w:t xml:space="preserve"> </w:t>
            </w:r>
            <w:r>
              <w:rPr>
                <w:rStyle w:val="VerbatimChar"/>
              </w:rPr>
              <w:t xml:space="preserve">Children[]</w:t>
            </w:r>
          </w:p>
        </w:tc>
      </w:tr>
      <w:tr>
        <w:tc>
          <w:tcPr/>
          <w:p>
            <w:pPr>
              <w:pStyle w:val="Compact"/>
            </w:pPr>
            <w:r>
              <w:rPr>
                <w:rStyle w:val="VerbatimChar"/>
              </w:rPr>
              <w:t xml:space="preserve">OUDelegations.json</w:t>
            </w:r>
          </w:p>
        </w:tc>
        <w:tc>
          <w:tcPr/>
          <w:p>
            <w:pPr>
              <w:pStyle w:val="Compact"/>
            </w:pPr>
            <w:r>
              <w:t xml:space="preserve">Array</w:t>
            </w:r>
          </w:p>
        </w:tc>
        <w:tc>
          <w:tcPr/>
          <w:p>
            <w:pPr>
              <w:pStyle w:val="Compact"/>
            </w:pPr>
            <w:r>
              <w:rPr>
                <w:rStyle w:val="VerbatimChar"/>
              </w:rPr>
              <w:t xml:space="preserve">OU</w:t>
            </w:r>
            <w:r>
              <w:t xml:space="preserve">,</w:t>
            </w:r>
            <w:r>
              <w:t xml:space="preserve"> </w:t>
            </w:r>
            <w:r>
              <w:rPr>
                <w:rStyle w:val="VerbatimChar"/>
              </w:rPr>
              <w:t xml:space="preserve">DN</w:t>
            </w:r>
            <w:r>
              <w:t xml:space="preserve">,</w:t>
            </w:r>
            <w:r>
              <w:t xml:space="preserve"> </w:t>
            </w:r>
            <w:r>
              <w:rPr>
                <w:rStyle w:val="VerbatimChar"/>
              </w:rPr>
              <w:t xml:space="preserve">Delegations[]</w:t>
            </w:r>
            <w:r>
              <w:t xml:space="preserve"> </w:t>
            </w:r>
            <w:r>
              <w:t xml:space="preserve">(non-inherited ACEs)</w:t>
            </w:r>
          </w:p>
        </w:tc>
      </w:tr>
      <w:tr>
        <w:tc>
          <w:tcPr/>
          <w:p>
            <w:pPr>
              <w:pStyle w:val="Compact"/>
            </w:pPr>
            <w:r>
              <w:rPr>
                <w:rStyle w:val="VerbatimChar"/>
              </w:rPr>
              <w:t xml:space="preserve">DNSInventory.json</w:t>
            </w:r>
          </w:p>
        </w:tc>
        <w:tc>
          <w:tcPr/>
          <w:p>
            <w:pPr>
              <w:pStyle w:val="Compact"/>
            </w:pPr>
            <w:r>
              <w:t xml:space="preserve">Object</w:t>
            </w:r>
          </w:p>
        </w:tc>
        <w:tc>
          <w:tcPr/>
          <w:p>
            <w:pPr>
              <w:pStyle w:val="Compact"/>
            </w:pPr>
            <w:r>
              <w:rPr>
                <w:rStyle w:val="VerbatimChar"/>
              </w:rPr>
              <w:t xml:space="preserve">AssessmentTimestamp</w:t>
            </w:r>
            <w:r>
              <w:t xml:space="preserve">,</w:t>
            </w:r>
            <w:r>
              <w:t xml:space="preserve"> </w:t>
            </w:r>
            <w:r>
              <w:rPr>
                <w:rStyle w:val="VerbatimChar"/>
              </w:rPr>
              <w:t xml:space="preserve">DnsServer</w:t>
            </w:r>
            <w:r>
              <w:t xml:space="preserve">,</w:t>
            </w:r>
            <w:r>
              <w:t xml:space="preserve"> </w:t>
            </w:r>
            <w:r>
              <w:rPr>
                <w:rStyle w:val="VerbatimChar"/>
              </w:rPr>
              <w:t xml:space="preserve">Zones[]</w:t>
            </w:r>
            <w:r>
              <w:t xml:space="preserve">,</w:t>
            </w:r>
            <w:r>
              <w:t xml:space="preserve"> </w:t>
            </w:r>
            <w:r>
              <w:rPr>
                <w:rStyle w:val="VerbatimChar"/>
              </w:rPr>
              <w:t xml:space="preserve">ConditionalForwarders[]</w:t>
            </w:r>
            <w:r>
              <w:t xml:space="preserve">,</w:t>
            </w:r>
            <w:r>
              <w:t xml:space="preserve"> </w:t>
            </w:r>
            <w:r>
              <w:rPr>
                <w:rStyle w:val="VerbatimChar"/>
              </w:rPr>
              <w:t xml:space="preserve">StubZones[]</w:t>
            </w:r>
            <w:r>
              <w:t xml:space="preserve">,</w:t>
            </w:r>
            <w:r>
              <w:t xml:space="preserve"> </w:t>
            </w:r>
            <w:r>
              <w:rPr>
                <w:rStyle w:val="VerbatimChar"/>
              </w:rPr>
              <w:t xml:space="preserve">Forwarders</w:t>
            </w:r>
            <w:r>
              <w:t xml:space="preserve">,</w:t>
            </w:r>
            <w:r>
              <w:t xml:space="preserve"> </w:t>
            </w:r>
            <w:r>
              <w:rPr>
                <w:rStyle w:val="VerbatimChar"/>
              </w:rPr>
              <w:t xml:space="preserve">Scavenging</w:t>
            </w:r>
            <w:r>
              <w:t xml:space="preserve">,</w:t>
            </w:r>
            <w:r>
              <w:t xml:space="preserve"> </w:t>
            </w:r>
            <w:r>
              <w:rPr>
                <w:rStyle w:val="VerbatimChar"/>
              </w:rPr>
              <w:t xml:space="preserve">DNSSEC[]</w:t>
            </w:r>
          </w:p>
        </w:tc>
      </w:tr>
      <w:tr>
        <w:tc>
          <w:tcPr/>
          <w:p>
            <w:pPr>
              <w:pStyle w:val="Compact"/>
            </w:pPr>
            <w:r>
              <w:rPr>
                <w:rStyle w:val="VerbatimChar"/>
              </w:rPr>
              <w:t xml:space="preserve">DNSHealthReport.json</w:t>
            </w:r>
          </w:p>
        </w:tc>
        <w:tc>
          <w:tcPr/>
          <w:p>
            <w:pPr>
              <w:pStyle w:val="Compact"/>
            </w:pPr>
            <w:r>
              <w:t xml:space="preserve">Object</w:t>
            </w:r>
          </w:p>
        </w:tc>
        <w:tc>
          <w:tcPr/>
          <w:p>
            <w:pPr>
              <w:pStyle w:val="Compact"/>
            </w:pPr>
            <w:r>
              <w:rPr>
                <w:rStyle w:val="VerbatimChar"/>
              </w:rPr>
              <w:t xml:space="preserve">ZonesByServer[]</w:t>
            </w:r>
            <w:r>
              <w:t xml:space="preserve">,</w:t>
            </w:r>
            <w:r>
              <w:t xml:space="preserve"> </w:t>
            </w:r>
            <w:r>
              <w:rPr>
                <w:rStyle w:val="VerbatimChar"/>
              </w:rPr>
              <w:t xml:space="preserve">SRVChecks[]</w:t>
            </w:r>
            <w:r>
              <w:t xml:space="preserve">,</w:t>
            </w:r>
            <w:r>
              <w:t xml:space="preserve"> </w:t>
            </w:r>
            <w:r>
              <w:rPr>
                <w:rStyle w:val="VerbatimChar"/>
              </w:rPr>
              <w:t xml:space="preserve">StaleThresholdDays</w:t>
            </w:r>
          </w:p>
        </w:tc>
      </w:tr>
      <w:tr>
        <w:tc>
          <w:tcPr/>
          <w:p>
            <w:pPr>
              <w:pStyle w:val="Compact"/>
            </w:pPr>
            <w:r>
              <w:rPr>
                <w:rStyle w:val="VerbatimChar"/>
              </w:rPr>
              <w:t xml:space="preserve">PKIInventory.json</w:t>
            </w:r>
          </w:p>
        </w:tc>
        <w:tc>
          <w:tcPr/>
          <w:p>
            <w:pPr>
              <w:pStyle w:val="Compact"/>
            </w:pPr>
            <w:r>
              <w:t xml:space="preserve">Object</w:t>
            </w:r>
          </w:p>
        </w:tc>
        <w:tc>
          <w:tcPr/>
          <w:p>
            <w:pPr>
              <w:pStyle w:val="Compact"/>
            </w:pPr>
            <w:r>
              <w:rPr>
                <w:rStyle w:val="VerbatimChar"/>
              </w:rPr>
              <w:t xml:space="preserve">CertificationAuthorities[]</w:t>
            </w:r>
            <w:r>
              <w:t xml:space="preserve">,</w:t>
            </w:r>
            <w:r>
              <w:t xml:space="preserve"> </w:t>
            </w:r>
            <w:r>
              <w:rPr>
                <w:rStyle w:val="VerbatimChar"/>
              </w:rPr>
              <w:t xml:space="preserve">CertificateTemplates[]</w:t>
            </w:r>
            <w:r>
              <w:t xml:space="preserve">,</w:t>
            </w:r>
            <w:r>
              <w:t xml:space="preserve"> </w:t>
            </w:r>
            <w:r>
              <w:rPr>
                <w:rStyle w:val="VerbatimChar"/>
              </w:rPr>
              <w:t xml:space="preserve">CDPObjects[]</w:t>
            </w:r>
            <w:r>
              <w:t xml:space="preserve">,</w:t>
            </w:r>
            <w:r>
              <w:t xml:space="preserve"> </w:t>
            </w:r>
            <w:r>
              <w:rPr>
                <w:rStyle w:val="VerbatimChar"/>
              </w:rPr>
              <w:t xml:space="preserve">AIAObjects[]</w:t>
            </w:r>
          </w:p>
        </w:tc>
      </w:tr>
      <w:tr>
        <w:tc>
          <w:tcPr/>
          <w:p>
            <w:pPr>
              <w:pStyle w:val="Compact"/>
            </w:pPr>
            <w:r>
              <w:rPr>
                <w:rStyle w:val="VerbatimChar"/>
              </w:rPr>
              <w:t xml:space="preserve">ComputerInventory.json</w:t>
            </w:r>
          </w:p>
        </w:tc>
        <w:tc>
          <w:tcPr/>
          <w:p>
            <w:pPr>
              <w:pStyle w:val="Compact"/>
            </w:pPr>
            <w:r>
              <w:t xml:space="preserve">Array</w:t>
            </w:r>
          </w:p>
        </w:tc>
        <w:tc>
          <w:tcPr/>
          <w:p>
            <w:pPr>
              <w:pStyle w:val="Compact"/>
            </w:pPr>
            <w:r>
              <w:rPr>
                <w:rStyle w:val="VerbatimChar"/>
              </w:rPr>
              <w:t xml:space="preserve">Name</w:t>
            </w:r>
            <w:r>
              <w:t xml:space="preserve">,</w:t>
            </w:r>
            <w:r>
              <w:t xml:space="preserve"> </w:t>
            </w:r>
            <w:r>
              <w:rPr>
                <w:rStyle w:val="VerbatimChar"/>
              </w:rPr>
              <w:t xml:space="preserve">DNSHostName</w:t>
            </w:r>
            <w:r>
              <w:t xml:space="preserve">,</w:t>
            </w:r>
            <w:r>
              <w:t xml:space="preserve"> </w:t>
            </w:r>
            <w:r>
              <w:rPr>
                <w:rStyle w:val="VerbatimChar"/>
              </w:rPr>
              <w:t xml:space="preserve">OperatingSystem</w:t>
            </w:r>
            <w:r>
              <w:t xml:space="preserve">,</w:t>
            </w:r>
            <w:r>
              <w:t xml:space="preserve"> </w:t>
            </w:r>
            <w:r>
              <w:rPr>
                <w:rStyle w:val="VerbatimChar"/>
              </w:rPr>
              <w:t xml:space="preserve">Enabled</w:t>
            </w:r>
            <w:r>
              <w:t xml:space="preserve">,</w:t>
            </w:r>
            <w:r>
              <w:t xml:space="preserve"> </w:t>
            </w:r>
            <w:r>
              <w:rPr>
                <w:rStyle w:val="VerbatimChar"/>
              </w:rPr>
              <w:t xml:space="preserve">LastLogonDate</w:t>
            </w:r>
            <w:r>
              <w:t xml:space="preserve">,</w:t>
            </w:r>
            <w:r>
              <w:t xml:space="preserve"> </w:t>
            </w:r>
            <w:r>
              <w:rPr>
                <w:rStyle w:val="VerbatimChar"/>
              </w:rPr>
              <w:t xml:space="preserve">SPNs[]</w:t>
            </w:r>
            <w:r>
              <w:t xml:space="preserve">, delegation fields,</w:t>
            </w:r>
            <w:r>
              <w:t xml:space="preserve"> </w:t>
            </w:r>
            <w:r>
              <w:rPr>
                <w:rStyle w:val="VerbatimChar"/>
              </w:rPr>
              <w:t xml:space="preserve">IsDomainController</w:t>
            </w:r>
          </w:p>
        </w:tc>
      </w:tr>
      <w:tr>
        <w:tc>
          <w:tcPr/>
          <w:p>
            <w:pPr>
              <w:pStyle w:val="Compact"/>
            </w:pPr>
            <w:r>
              <w:rPr>
                <w:rStyle w:val="VerbatimChar"/>
              </w:rPr>
              <w:t xml:space="preserve">UserInventory.json</w:t>
            </w:r>
          </w:p>
        </w:tc>
        <w:tc>
          <w:tcPr/>
          <w:p>
            <w:pPr>
              <w:pStyle w:val="Compact"/>
            </w:pPr>
            <w:r>
              <w:t xml:space="preserve">Array</w:t>
            </w:r>
          </w:p>
        </w:tc>
        <w:tc>
          <w:tcPr/>
          <w:p>
            <w:pPr>
              <w:pStyle w:val="Compact"/>
            </w:pPr>
            <w:r>
              <w:rPr>
                <w:rStyle w:val="VerbatimChar"/>
              </w:rPr>
              <w:t xml:space="preserve">SamAccountName</w:t>
            </w:r>
            <w:r>
              <w:t xml:space="preserve">,</w:t>
            </w:r>
            <w:r>
              <w:t xml:space="preserve"> </w:t>
            </w:r>
            <w:r>
              <w:rPr>
                <w:rStyle w:val="VerbatimChar"/>
              </w:rPr>
              <w:t xml:space="preserve">UserPrincipalName</w:t>
            </w:r>
            <w:r>
              <w:t xml:space="preserve">,</w:t>
            </w:r>
            <w:r>
              <w:t xml:space="preserve"> </w:t>
            </w:r>
            <w:r>
              <w:rPr>
                <w:rStyle w:val="VerbatimChar"/>
              </w:rPr>
              <w:t xml:space="preserve">Enabled</w:t>
            </w:r>
            <w:r>
              <w:t xml:space="preserve">,</w:t>
            </w:r>
            <w:r>
              <w:t xml:space="preserve"> </w:t>
            </w:r>
            <w:r>
              <w:rPr>
                <w:rStyle w:val="VerbatimChar"/>
              </w:rPr>
              <w:t xml:space="preserve">LastLogonDate</w:t>
            </w:r>
            <w:r>
              <w:t xml:space="preserve">,</w:t>
            </w:r>
            <w:r>
              <w:t xml:space="preserve"> </w:t>
            </w:r>
            <w:r>
              <w:rPr>
                <w:rStyle w:val="VerbatimChar"/>
              </w:rPr>
              <w:t xml:space="preserve">AdminCount</w:t>
            </w:r>
            <w:r>
              <w:t xml:space="preserve">,</w:t>
            </w:r>
            <w:r>
              <w:t xml:space="preserve"> </w:t>
            </w:r>
            <w:r>
              <w:rPr>
                <w:rStyle w:val="VerbatimChar"/>
              </w:rPr>
              <w:t xml:space="preserve">IsStale</w:t>
            </w:r>
            <w:r>
              <w:t xml:space="preserve">,</w:t>
            </w:r>
            <w:r>
              <w:t xml:space="preserve"> </w:t>
            </w:r>
            <w:r>
              <w:rPr>
                <w:rStyle w:val="VerbatimChar"/>
              </w:rPr>
              <w:t xml:space="preserve">MemberOf[]</w:t>
            </w:r>
            <w:r>
              <w:t xml:space="preserve">,</w:t>
            </w:r>
            <w:r>
              <w:t xml:space="preserve"> </w:t>
            </w:r>
            <w:r>
              <w:rPr>
                <w:rStyle w:val="VerbatimChar"/>
              </w:rPr>
              <w:t xml:space="preserve">SPNs[]</w:t>
            </w:r>
          </w:p>
        </w:tc>
      </w:tr>
      <w:tr>
        <w:tc>
          <w:tcPr/>
          <w:p>
            <w:pPr>
              <w:pStyle w:val="Compact"/>
            </w:pPr>
            <w:r>
              <w:rPr>
                <w:rStyle w:val="VerbatimChar"/>
              </w:rPr>
              <w:t xml:space="preserve">GroupInventory.json</w:t>
            </w:r>
          </w:p>
        </w:tc>
        <w:tc>
          <w:tcPr/>
          <w:p>
            <w:pPr>
              <w:pStyle w:val="Compact"/>
            </w:pPr>
            <w:r>
              <w:t xml:space="preserve">Array</w:t>
            </w:r>
          </w:p>
        </w:tc>
        <w:tc>
          <w:tcPr/>
          <w:p>
            <w:pPr>
              <w:pStyle w:val="Compact"/>
            </w:pPr>
            <w:r>
              <w:rPr>
                <w:rStyle w:val="VerbatimChar"/>
              </w:rPr>
              <w:t xml:space="preserve">SamAccountName</w:t>
            </w:r>
            <w:r>
              <w:t xml:space="preserve">,</w:t>
            </w:r>
            <w:r>
              <w:t xml:space="preserve"> </w:t>
            </w:r>
            <w:r>
              <w:rPr>
                <w:rStyle w:val="VerbatimChar"/>
              </w:rPr>
              <w:t xml:space="preserve">Category</w:t>
            </w:r>
            <w:r>
              <w:t xml:space="preserve">,</w:t>
            </w:r>
            <w:r>
              <w:t xml:space="preserve"> </w:t>
            </w:r>
            <w:r>
              <w:rPr>
                <w:rStyle w:val="VerbatimChar"/>
              </w:rPr>
              <w:t xml:space="preserve">Scope</w:t>
            </w:r>
            <w:r>
              <w:t xml:space="preserve">,</w:t>
            </w:r>
            <w:r>
              <w:t xml:space="preserve"> </w:t>
            </w:r>
            <w:r>
              <w:rPr>
                <w:rStyle w:val="VerbatimChar"/>
              </w:rPr>
              <w:t xml:space="preserve">DirectMemberCount</w:t>
            </w:r>
            <w:r>
              <w:t xml:space="preserve">,</w:t>
            </w:r>
            <w:r>
              <w:t xml:space="preserve"> </w:t>
            </w:r>
            <w:r>
              <w:rPr>
                <w:rStyle w:val="VerbatimChar"/>
              </w:rPr>
              <w:t xml:space="preserve">IsEmpty</w:t>
            </w:r>
            <w:r>
              <w:t xml:space="preserve">,</w:t>
            </w:r>
            <w:r>
              <w:t xml:space="preserve"> </w:t>
            </w:r>
            <w:r>
              <w:rPr>
                <w:rStyle w:val="VerbatimChar"/>
              </w:rPr>
              <w:t xml:space="preserve">CountMayBeCapped</w:t>
            </w:r>
          </w:p>
        </w:tc>
      </w:tr>
      <w:tr>
        <w:tc>
          <w:tcPr/>
          <w:p>
            <w:pPr>
              <w:pStyle w:val="Compact"/>
            </w:pPr>
            <w:r>
              <w:rPr>
                <w:rStyle w:val="VerbatimChar"/>
              </w:rPr>
              <w:t xml:space="preserve">*.csv</w:t>
            </w:r>
          </w:p>
        </w:tc>
        <w:tc>
          <w:tcPr/>
          <w:p>
            <w:pPr>
              <w:pStyle w:val="Compact"/>
            </w:pPr>
            <w:r>
              <w:t xml:space="preserve">CSV</w:t>
            </w:r>
          </w:p>
        </w:tc>
        <w:tc>
          <w:tcPr/>
          <w:p>
            <w:pPr>
              <w:pStyle w:val="Compact"/>
            </w:pPr>
            <w:r>
              <w:t xml:space="preserve">Flat views for review:</w:t>
            </w:r>
            <w:r>
              <w:t xml:space="preserve"> </w:t>
            </w:r>
            <w:r>
              <w:rPr>
                <w:rStyle w:val="VerbatimChar"/>
              </w:rPr>
              <w:t xml:space="preserve">OUFlatList</w:t>
            </w:r>
            <w:r>
              <w:t xml:space="preserve">,</w:t>
            </w:r>
            <w:r>
              <w:t xml:space="preserve"> </w:t>
            </w:r>
            <w:r>
              <w:rPr>
                <w:rStyle w:val="VerbatimChar"/>
              </w:rPr>
              <w:t xml:space="preserve">ComputersByOS</w:t>
            </w:r>
            <w:r>
              <w:t xml:space="preserve">,</w:t>
            </w:r>
            <w:r>
              <w:t xml:space="preserve"> </w:t>
            </w:r>
            <w:r>
              <w:rPr>
                <w:rStyle w:val="VerbatimChar"/>
              </w:rPr>
              <w:t xml:space="preserve">StaleComputers</w:t>
            </w:r>
            <w:r>
              <w:t xml:space="preserve">,</w:t>
            </w:r>
            <w:r>
              <w:t xml:space="preserve"> </w:t>
            </w:r>
            <w:r>
              <w:rPr>
                <w:rStyle w:val="VerbatimChar"/>
              </w:rPr>
              <w:t xml:space="preserve">DelegationReport</w:t>
            </w:r>
            <w:r>
              <w:t xml:space="preserve">,</w:t>
            </w:r>
            <w:r>
              <w:t xml:space="preserve"> </w:t>
            </w:r>
            <w:r>
              <w:rPr>
                <w:rStyle w:val="VerbatimChar"/>
              </w:rPr>
              <w:t xml:space="preserve">PrivilegedUsers</w:t>
            </w:r>
            <w:r>
              <w:t xml:space="preserve">,</w:t>
            </w:r>
            <w:r>
              <w:t xml:space="preserve"> </w:t>
            </w:r>
            <w:r>
              <w:rPr>
                <w:rStyle w:val="VerbatimChar"/>
              </w:rPr>
              <w:t xml:space="preserve">AdminCountReport</w:t>
            </w:r>
            <w:r>
              <w:t xml:space="preserve">,</w:t>
            </w:r>
            <w:r>
              <w:t xml:space="preserve"> </w:t>
            </w:r>
            <w:r>
              <w:rPr>
                <w:rStyle w:val="VerbatimChar"/>
              </w:rPr>
              <w:t xml:space="preserve">ServiceAccounts</w:t>
            </w:r>
          </w:p>
        </w:tc>
      </w:tr>
    </w:tbl>
    <w:bookmarkEnd w:id="1304"/>
    <w:bookmarkEnd w:id="1305"/>
    <w:bookmarkStart w:id="1306" w:name="continue-the-book-12"/>
    <w:p>
      <w:pPr>
        <w:pStyle w:val="Heading2"/>
      </w:pPr>
      <w:bookmarkStart w:id="1523" w:name="_Toc00001523"/>
      <w:r>
        <w:t xml:space="preserve">Continue the book</w:t>
      </w:r>
      <w:bookmarkEnd w:id="1523"/>
    </w:p>
    <w:p>
      <w:pPr>
        <w:pStyle w:val="FirstParagraph"/>
      </w:pPr>
      <w:r>
        <w:t xml:space="preserve">← Previous: Appendix A — Federal Requirements Crosswalk · Book index · Next: Appendix C — Identity Assessment Module →</w:t>
      </w:r>
    </w:p>
    <w:bookmarkEnd w:id="1306"/>
    <w:bookmarkEnd w:id="1307"/>
    <w:bookmarkStart w:id="1361" w:name="appendix-c-identity-assessment-module"/>
    <w:p>
      <w:pPr>
        <w:pStyle w:val="Heading1"/>
      </w:pPr>
      <w:bookmarkStart w:id="1524" w:name="_Toc00001524"/>
      <w:r>
        <w:t xml:space="preserve">Appendix C — Identity Assessment Module</w:t>
      </w:r>
      <w:bookmarkEnd w:id="1524"/>
    </w:p>
    <w:p>
      <w:pPr>
        <w:pStyle w:val="FirstParagraph"/>
      </w:pPr>
      <w:r>
        <w:rPr>
          <w:i/>
          <w:iCs/>
        </w:rPr>
        <w:t xml:space="preserve">The reference material behind the identity chapters: what each attribute becomes, what each policy looks like on the wire, and the code that measures the gap.</w:t>
      </w:r>
    </w:p>
    <w:bookmarkStart w:id="1308" w:name="in-this-appendix-2"/>
    <w:p>
      <w:pPr>
        <w:pStyle w:val="Heading2"/>
      </w:pPr>
      <w:bookmarkStart w:id="1525" w:name="_Toc00001525"/>
      <w:r>
        <w:t xml:space="preserve">In this appendix</w:t>
      </w:r>
      <w:bookmarkEnd w:id="1525"/>
    </w:p>
    <w:p>
      <w:pPr>
        <w:pStyle w:val="FirstParagraph"/>
      </w:pPr>
      <w:r>
        <w:t xml:space="preserve">The full mapping of commonly used Active Directory user attributes to Microsoft Graph properties, including the program’s assignments for the fifteen extension attributes. Conditional Access policy templates in Microsoft Graph JSON for the policy set in Chapter 09. The FMPIdentityAssessment PowerShell module that Chapter 10 schedules for drift detection, written against Microsoft Graph PowerShell.</w:t>
      </w:r>
    </w:p>
    <w:bookmarkEnd w:id="1308"/>
    <w:bookmarkStart w:id="1317" w:name="attribute-mapping-reference"/>
    <w:p>
      <w:pPr>
        <w:pStyle w:val="Heading2"/>
      </w:pPr>
      <w:bookmarkStart w:id="1526" w:name="_Toc00001526"/>
      <w:r>
        <w:t xml:space="preserve">Attribute mapping reference</w:t>
      </w:r>
      <w:bookmarkEnd w:id="1526"/>
    </w:p>
    <w:p>
      <w:pPr>
        <w:pStyle w:val="FirstParagraph"/>
      </w:pPr>
      <w:r>
        <w:t xml:space="preserve">The table maps commonly used Active Directory user attributes to Microsoft Graph user properties. Whether an attribute actually flows depends on the sync engine’s attribute mappings; Microsoft publishes the list of attributes Connect Sync synchronizes, grouped by workload.</w:t>
      </w:r>
      <w:r>
        <w:rPr>
          <w:rStyle w:val="FootnoteReference"/>
        </w:rPr>
        <w:footnoteReference w:id="1309"/>
      </w:r>
      <w:r>
        <w:t xml:space="preserve"> </w:t>
      </w:r>
      <w:r>
        <w:t xml:space="preserve">Property names are from the Microsoft Graph v1.0 user resource.</w:t>
      </w:r>
      <w:r>
        <w:rPr>
          <w:rStyle w:val="FootnoteReference"/>
        </w:rPr>
        <w:footnoteReference w:id="1311"/>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AD attribute</w:t>
            </w:r>
          </w:p>
        </w:tc>
        <w:tc>
          <w:tcPr/>
          <w:p>
            <w:pPr>
              <w:pStyle w:val="Compact"/>
            </w:pPr>
            <w:r>
              <w:t xml:space="preserve">Microsoft Graph property</w:t>
            </w:r>
          </w:p>
        </w:tc>
        <w:tc>
          <w:tcPr/>
          <w:p>
            <w:pPr>
              <w:pStyle w:val="Compact"/>
            </w:pPr>
            <w:r>
              <w:t xml:space="preserve">Notes</w:t>
            </w:r>
          </w:p>
        </w:tc>
      </w:tr>
      <w:tr>
        <w:tc>
          <w:tcPr/>
          <w:p>
            <w:pPr>
              <w:pStyle w:val="Compact"/>
            </w:pPr>
            <w:r>
              <w:rPr>
                <w:rStyle w:val="VerbatimChar"/>
              </w:rPr>
              <w:t xml:space="preserve">sAMAccountName</w:t>
            </w:r>
          </w:p>
        </w:tc>
        <w:tc>
          <w:tcPr/>
          <w:p>
            <w:pPr>
              <w:pStyle w:val="Compact"/>
            </w:pPr>
            <w:r>
              <w:rPr>
                <w:rStyle w:val="VerbatimChar"/>
              </w:rPr>
              <w:t xml:space="preserve">onPremisesSamAccountName</w:t>
            </w:r>
          </w:p>
        </w:tc>
        <w:tc>
          <w:tcPr/>
          <w:p>
            <w:pPr>
              <w:pStyle w:val="Compact"/>
            </w:pPr>
            <w:r>
              <w:t xml:space="preserve">Read-only in Entra ID for synced users</w:t>
            </w:r>
          </w:p>
        </w:tc>
      </w:tr>
      <w:tr>
        <w:tc>
          <w:tcPr/>
          <w:p>
            <w:pPr>
              <w:pStyle w:val="Compact"/>
            </w:pPr>
            <w:r>
              <w:rPr>
                <w:rStyle w:val="VerbatimChar"/>
              </w:rPr>
              <w:t xml:space="preserve">userPrincipalName</w:t>
            </w:r>
          </w:p>
        </w:tc>
        <w:tc>
          <w:tcPr/>
          <w:p>
            <w:pPr>
              <w:pStyle w:val="Compact"/>
            </w:pPr>
            <w:r>
              <w:rPr>
                <w:rStyle w:val="VerbatimChar"/>
              </w:rPr>
              <w:t xml:space="preserve">userPrincipalName</w:t>
            </w:r>
          </w:p>
        </w:tc>
        <w:tc>
          <w:tcPr/>
          <w:p>
            <w:pPr>
              <w:pStyle w:val="Compact"/>
            </w:pPr>
            <w:r>
              <w:t xml:space="preserve">Suffix must be a verified domain</w:t>
            </w:r>
          </w:p>
        </w:tc>
      </w:tr>
      <w:tr>
        <w:tc>
          <w:tcPr/>
          <w:p>
            <w:pPr>
              <w:pStyle w:val="Compact"/>
            </w:pPr>
            <w:r>
              <w:rPr>
                <w:rStyle w:val="VerbatimChar"/>
              </w:rPr>
              <w:t xml:space="preserve">mS-DS-ConsistencyGuid</w:t>
            </w:r>
          </w:p>
        </w:tc>
        <w:tc>
          <w:tcPr/>
          <w:p>
            <w:pPr>
              <w:pStyle w:val="Compact"/>
            </w:pPr>
            <w:r>
              <w:rPr>
                <w:rStyle w:val="VerbatimChar"/>
              </w:rPr>
              <w:t xml:space="preserve">onPremisesImmutableId</w:t>
            </w:r>
            <w:r>
              <w:t xml:space="preserve"> </w:t>
            </w:r>
            <w:r>
              <w:t xml:space="preserve">(Base64)</w:t>
            </w:r>
          </w:p>
        </w:tc>
        <w:tc>
          <w:tcPr/>
          <w:p>
            <w:pPr>
              <w:pStyle w:val="Compact"/>
            </w:pPr>
            <w:r>
              <w:t xml:space="preserve">The default source anchor; the hard-match key</w:t>
            </w:r>
          </w:p>
        </w:tc>
      </w:tr>
      <w:tr>
        <w:tc>
          <w:tcPr/>
          <w:p>
            <w:pPr>
              <w:pStyle w:val="Compact"/>
            </w:pPr>
            <w:r>
              <w:rPr>
                <w:rStyle w:val="VerbatimChar"/>
              </w:rPr>
              <w:t xml:space="preserve">objectGUID</w:t>
            </w:r>
          </w:p>
        </w:tc>
        <w:tc>
          <w:tcPr/>
          <w:p>
            <w:pPr>
              <w:pStyle w:val="Compact"/>
            </w:pPr>
            <w:r>
              <w:rPr>
                <w:rStyle w:val="VerbatimChar"/>
              </w:rPr>
              <w:t xml:space="preserve">onPremisesImmutableId</w:t>
            </w:r>
            <w:r>
              <w:t xml:space="preserve"> </w:t>
            </w:r>
            <w:r>
              <w:t xml:space="preserve">(Base64), only where</w:t>
            </w:r>
            <w:r>
              <w:t xml:space="preserve"> </w:t>
            </w:r>
            <w:r>
              <w:rPr>
                <w:rStyle w:val="VerbatimChar"/>
              </w:rPr>
              <w:t xml:space="preserve">objectGUID</w:t>
            </w:r>
            <w:r>
              <w:t xml:space="preserve"> </w:t>
            </w:r>
            <w:r>
              <w:t xml:space="preserve">is the configured source anchor</w:t>
            </w:r>
          </w:p>
        </w:tc>
        <w:tc>
          <w:tcPr/>
          <w:p>
            <w:pPr>
              <w:pStyle w:val="Compact"/>
            </w:pPr>
            <w:r>
              <w:t xml:space="preserve">Older installations; can’t be changed on the AD object</w:t>
            </w:r>
          </w:p>
        </w:tc>
      </w:tr>
      <w:tr>
        <w:tc>
          <w:tcPr/>
          <w:p>
            <w:pPr>
              <w:pStyle w:val="Compact"/>
            </w:pPr>
            <w:r>
              <w:rPr>
                <w:rStyle w:val="VerbatimChar"/>
              </w:rPr>
              <w:t xml:space="preserve">objectSid</w:t>
            </w:r>
          </w:p>
        </w:tc>
        <w:tc>
          <w:tcPr/>
          <w:p>
            <w:pPr>
              <w:pStyle w:val="Compact"/>
            </w:pPr>
            <w:r>
              <w:rPr>
                <w:rStyle w:val="VerbatimChar"/>
              </w:rPr>
              <w:t xml:space="preserve">onPremisesSecurityIdentifier</w:t>
            </w:r>
          </w:p>
        </w:tc>
        <w:tc>
          <w:tcPr/>
          <w:p>
            <w:pPr>
              <w:pStyle w:val="Compact"/>
            </w:pPr>
            <w:r>
              <w:t xml:space="preserve">Must be unique in the tenant</w:t>
            </w:r>
          </w:p>
        </w:tc>
      </w:tr>
      <w:tr>
        <w:tc>
          <w:tcPr/>
          <w:p>
            <w:pPr>
              <w:pStyle w:val="Compact"/>
            </w:pPr>
            <w:r>
              <w:rPr>
                <w:rStyle w:val="VerbatimChar"/>
              </w:rPr>
              <w:t xml:space="preserve">distinguishedName</w:t>
            </w:r>
          </w:p>
        </w:tc>
        <w:tc>
          <w:tcPr/>
          <w:p>
            <w:pPr>
              <w:pStyle w:val="Compact"/>
            </w:pPr>
            <w:r>
              <w:rPr>
                <w:rStyle w:val="VerbatimChar"/>
              </w:rPr>
              <w:t xml:space="preserve">onPremisesDistinguishedName</w:t>
            </w:r>
          </w:p>
        </w:tc>
        <w:tc>
          <w:tcPr/>
          <w:p>
            <w:pPr>
              <w:pStyle w:val="Compact"/>
            </w:pPr>
            <w:r>
              <w:t xml:space="preserve">Read-only; useful for tracing OU placement during the transition</w:t>
            </w:r>
          </w:p>
        </w:tc>
      </w:tr>
      <w:tr>
        <w:tc>
          <w:tcPr/>
          <w:p>
            <w:pPr>
              <w:pStyle w:val="Compact"/>
            </w:pPr>
            <w:r>
              <w:rPr>
                <w:rStyle w:val="VerbatimChar"/>
              </w:rPr>
              <w:t xml:space="preserve">cn</w:t>
            </w:r>
          </w:p>
        </w:tc>
        <w:tc>
          <w:tcPr/>
          <w:p>
            <w:pPr>
              <w:pStyle w:val="Compact"/>
            </w:pPr>
            <w:r>
              <w:t xml:space="preserve">No separate property</w:t>
            </w:r>
          </w:p>
        </w:tc>
        <w:tc>
          <w:tcPr/>
          <w:p>
            <w:pPr>
              <w:pStyle w:val="Compact"/>
            </w:pPr>
            <w:r>
              <w:t xml:space="preserve">Synced, but not exposed as its own Graph user property</w:t>
            </w:r>
          </w:p>
        </w:tc>
      </w:tr>
      <w:tr>
        <w:tc>
          <w:tcPr/>
          <w:p>
            <w:pPr>
              <w:pStyle w:val="Compact"/>
            </w:pPr>
            <w:r>
              <w:rPr>
                <w:rStyle w:val="VerbatimChar"/>
              </w:rPr>
              <w:t xml:space="preserve">displayName</w:t>
            </w:r>
            <w:r>
              <w:t xml:space="preserve">,</w:t>
            </w:r>
            <w:r>
              <w:t xml:space="preserve"> </w:t>
            </w:r>
            <w:r>
              <w:rPr>
                <w:rStyle w:val="VerbatimChar"/>
              </w:rPr>
              <w:t xml:space="preserve">givenName</w:t>
            </w:r>
            <w:r>
              <w:t xml:space="preserve">,</w:t>
            </w:r>
            <w:r>
              <w:t xml:space="preserve"> </w:t>
            </w:r>
            <w:r>
              <w:rPr>
                <w:rStyle w:val="VerbatimChar"/>
              </w:rPr>
              <w:t xml:space="preserve">sn</w:t>
            </w:r>
          </w:p>
        </w:tc>
        <w:tc>
          <w:tcPr/>
          <w:p>
            <w:pPr>
              <w:pStyle w:val="Compact"/>
            </w:pPr>
            <w:r>
              <w:rPr>
                <w:rStyle w:val="VerbatimChar"/>
              </w:rPr>
              <w:t xml:space="preserve">displayName</w:t>
            </w:r>
            <w:r>
              <w:t xml:space="preserve">,</w:t>
            </w:r>
            <w:r>
              <w:t xml:space="preserve"> </w:t>
            </w:r>
            <w:r>
              <w:rPr>
                <w:rStyle w:val="VerbatimChar"/>
              </w:rPr>
              <w:t xml:space="preserve">givenName</w:t>
            </w:r>
            <w:r>
              <w:t xml:space="preserve">,</w:t>
            </w:r>
            <w:r>
              <w:t xml:space="preserve"> </w:t>
            </w:r>
            <w:r>
              <w:rPr>
                <w:rStyle w:val="VerbatimChar"/>
              </w:rPr>
              <w:t xml:space="preserve">surname</w:t>
            </w:r>
          </w:p>
        </w:tc>
        <w:tc>
          <w:tcPr/>
          <w:p>
            <w:pPr>
              <w:pStyle w:val="Compact"/>
            </w:pPr>
            <w:r>
              <w:t xml:space="preserve">Direct</w:t>
            </w:r>
          </w:p>
        </w:tc>
      </w:tr>
      <w:tr>
        <w:tc>
          <w:tcPr/>
          <w:p>
            <w:pPr>
              <w:pStyle w:val="Compact"/>
            </w:pPr>
            <w:r>
              <w:rPr>
                <w:rStyle w:val="VerbatimChar"/>
              </w:rPr>
              <w:t xml:space="preserve">mail</w:t>
            </w:r>
            <w:r>
              <w:t xml:space="preserve">,</w:t>
            </w:r>
            <w:r>
              <w:t xml:space="preserve"> </w:t>
            </w:r>
            <w:r>
              <w:rPr>
                <w:rStyle w:val="VerbatimChar"/>
              </w:rPr>
              <w:t xml:space="preserve">mailNickname</w:t>
            </w:r>
            <w:r>
              <w:t xml:space="preserve">,</w:t>
            </w:r>
            <w:r>
              <w:t xml:space="preserve"> </w:t>
            </w:r>
            <w:r>
              <w:rPr>
                <w:rStyle w:val="VerbatimChar"/>
              </w:rPr>
              <w:t xml:space="preserve">proxyAddresses</w:t>
            </w:r>
          </w:p>
        </w:tc>
        <w:tc>
          <w:tcPr/>
          <w:p>
            <w:pPr>
              <w:pStyle w:val="Compact"/>
            </w:pPr>
            <w:r>
              <w:rPr>
                <w:rStyle w:val="VerbatimChar"/>
              </w:rPr>
              <w:t xml:space="preserve">mail</w:t>
            </w:r>
            <w:r>
              <w:t xml:space="preserve">,</w:t>
            </w:r>
            <w:r>
              <w:t xml:space="preserve"> </w:t>
            </w:r>
            <w:r>
              <w:rPr>
                <w:rStyle w:val="VerbatimChar"/>
              </w:rPr>
              <w:t xml:space="preserve">mailNickname</w:t>
            </w:r>
            <w:r>
              <w:t xml:space="preserve">,</w:t>
            </w:r>
            <w:r>
              <w:t xml:space="preserve"> </w:t>
            </w:r>
            <w:r>
              <w:rPr>
                <w:rStyle w:val="VerbatimChar"/>
              </w:rPr>
              <w:t xml:space="preserve">proxyAddresses</w:t>
            </w:r>
          </w:p>
        </w:tc>
        <w:tc>
          <w:tcPr/>
          <w:p>
            <w:pPr>
              <w:pStyle w:val="Compact"/>
            </w:pPr>
            <w:r>
              <w:t xml:space="preserve">The primary SMTP address in</w:t>
            </w:r>
            <w:r>
              <w:t xml:space="preserve"> </w:t>
            </w:r>
            <w:r>
              <w:rPr>
                <w:rStyle w:val="VerbatimChar"/>
              </w:rPr>
              <w:t xml:space="preserve">proxyAddresses</w:t>
            </w:r>
            <w:r>
              <w:t xml:space="preserve"> </w:t>
            </w:r>
            <w:r>
              <w:t xml:space="preserve">is a soft-match key</w:t>
            </w:r>
          </w:p>
        </w:tc>
      </w:tr>
      <w:tr>
        <w:tc>
          <w:tcPr/>
          <w:p>
            <w:pPr>
              <w:pStyle w:val="Compact"/>
            </w:pPr>
            <w:r>
              <w:rPr>
                <w:rStyle w:val="VerbatimChar"/>
              </w:rPr>
              <w:t xml:space="preserve">userAccountControl</w:t>
            </w:r>
          </w:p>
        </w:tc>
        <w:tc>
          <w:tcPr/>
          <w:p>
            <w:pPr>
              <w:pStyle w:val="Compact"/>
            </w:pPr>
            <w:r>
              <w:rPr>
                <w:rStyle w:val="VerbatimChar"/>
              </w:rPr>
              <w:t xml:space="preserve">accountEnabled</w:t>
            </w:r>
          </w:p>
        </w:tc>
        <w:tc>
          <w:tcPr/>
          <w:p>
            <w:pPr>
              <w:pStyle w:val="Compact"/>
            </w:pPr>
            <w:r>
              <w:t xml:space="preserve">The disabled bit becomes a Boolean</w:t>
            </w:r>
          </w:p>
        </w:tc>
      </w:tr>
      <w:tr>
        <w:tc>
          <w:tcPr/>
          <w:p>
            <w:pPr>
              <w:pStyle w:val="Compact"/>
            </w:pPr>
            <w:r>
              <w:rPr>
                <w:rStyle w:val="VerbatimChar"/>
              </w:rPr>
              <w:t xml:space="preserve">pwdLastSet</w:t>
            </w:r>
          </w:p>
        </w:tc>
        <w:tc>
          <w:tcPr/>
          <w:p>
            <w:pPr>
              <w:pStyle w:val="Compact"/>
            </w:pPr>
            <w:r>
              <w:rPr>
                <w:rStyle w:val="VerbatimChar"/>
              </w:rPr>
              <w:t xml:space="preserve">lastPasswordChangeDateTime</w:t>
            </w:r>
          </w:p>
        </w:tc>
        <w:tc>
          <w:tcPr/>
          <w:p>
            <w:pPr>
              <w:pStyle w:val="Compact"/>
            </w:pPr>
            <w:r>
              <w:t xml:space="preserve">Also used to invalidate issued tokens after a password change</w:t>
            </w:r>
            <w:r>
              <w:rPr>
                <w:rStyle w:val="FootnoteReference"/>
              </w:rPr>
              <w:footnoteReference w:id="1312"/>
            </w:r>
          </w:p>
        </w:tc>
      </w:tr>
      <w:tr>
        <w:tc>
          <w:tcPr/>
          <w:p>
            <w:pPr>
              <w:pStyle w:val="Compact"/>
            </w:pPr>
            <w:r>
              <w:rPr>
                <w:rStyle w:val="VerbatimChar"/>
              </w:rPr>
              <w:t xml:space="preserve">whenCreated</w:t>
            </w:r>
          </w:p>
        </w:tc>
        <w:tc>
          <w:tcPr/>
          <w:p>
            <w:pPr>
              <w:pStyle w:val="Compact"/>
            </w:pPr>
            <w:r>
              <w:rPr>
                <w:rStyle w:val="VerbatimChar"/>
              </w:rPr>
              <w:t xml:space="preserve">createdDateTime</w:t>
            </w:r>
          </w:p>
        </w:tc>
        <w:tc>
          <w:tcPr/>
          <w:p>
            <w:pPr>
              <w:pStyle w:val="Compact"/>
            </w:pPr>
            <w:r>
              <w:t xml:space="preserve">The date the object reached Entra ID, not the AD creation date</w:t>
            </w:r>
          </w:p>
        </w:tc>
      </w:tr>
      <w:tr>
        <w:tc>
          <w:tcPr/>
          <w:p>
            <w:pPr>
              <w:pStyle w:val="Compact"/>
            </w:pPr>
            <w:r>
              <w:rPr>
                <w:rStyle w:val="VerbatimChar"/>
              </w:rPr>
              <w:t xml:space="preserve">whenChanged</w:t>
            </w:r>
          </w:p>
        </w:tc>
        <w:tc>
          <w:tcPr/>
          <w:p>
            <w:pPr>
              <w:pStyle w:val="Compact"/>
            </w:pPr>
            <w:r>
              <w:t xml:space="preserve">No equivalent</w:t>
            </w:r>
          </w:p>
        </w:tc>
        <w:tc>
          <w:tcPr/>
          <w:p>
            <w:pPr>
              <w:pStyle w:val="Compact"/>
            </w:pPr>
          </w:p>
        </w:tc>
      </w:tr>
      <w:tr>
        <w:tc>
          <w:tcPr/>
          <w:p>
            <w:pPr>
              <w:pStyle w:val="Compact"/>
            </w:pPr>
            <w:r>
              <w:rPr>
                <w:rStyle w:val="VerbatimChar"/>
              </w:rPr>
              <w:t xml:space="preserve">lastLogonTimestamp</w:t>
            </w:r>
          </w:p>
        </w:tc>
        <w:tc>
          <w:tcPr/>
          <w:p>
            <w:pPr>
              <w:pStyle w:val="Compact"/>
            </w:pPr>
            <w:r>
              <w:t xml:space="preserve">No mapping; use</w:t>
            </w:r>
            <w:r>
              <w:t xml:space="preserve"> </w:t>
            </w:r>
            <w:r>
              <w:rPr>
                <w:rStyle w:val="VerbatimChar"/>
              </w:rPr>
              <w:t xml:space="preserve">signInActivity/lastSignInDateTime</w:t>
            </w:r>
          </w:p>
        </w:tc>
        <w:tc>
          <w:tcPr/>
          <w:p>
            <w:pPr>
              <w:pStyle w:val="Compact"/>
            </w:pPr>
            <w:r>
              <w:t xml:space="preserve">A separate signal from Entra ID sign-ins; needs P1 and</w:t>
            </w:r>
            <w:r>
              <w:t xml:space="preserve"> </w:t>
            </w:r>
            <w:r>
              <w:rPr>
                <w:rStyle w:val="VerbatimChar"/>
              </w:rPr>
              <w:t xml:space="preserve">AuditLog.Read.All</w:t>
            </w:r>
            <w:r>
              <w:rPr>
                <w:rStyle w:val="FootnoteReference"/>
              </w:rPr>
              <w:footnoteReference w:id="1313"/>
            </w:r>
          </w:p>
        </w:tc>
      </w:tr>
      <w:tr>
        <w:tc>
          <w:tcPr/>
          <w:p>
            <w:pPr>
              <w:pStyle w:val="Compact"/>
            </w:pPr>
            <w:r>
              <w:rPr>
                <w:rStyle w:val="VerbatimChar"/>
              </w:rPr>
              <w:t xml:space="preserve">department</w:t>
            </w:r>
            <w:r>
              <w:t xml:space="preserve">,</w:t>
            </w:r>
            <w:r>
              <w:t xml:space="preserve"> </w:t>
            </w:r>
            <w:r>
              <w:rPr>
                <w:rStyle w:val="VerbatimChar"/>
              </w:rPr>
              <w:t xml:space="preserve">title</w:t>
            </w:r>
            <w:r>
              <w:t xml:space="preserve">,</w:t>
            </w:r>
            <w:r>
              <w:t xml:space="preserve"> </w:t>
            </w:r>
            <w:r>
              <w:rPr>
                <w:rStyle w:val="VerbatimChar"/>
              </w:rPr>
              <w:t xml:space="preserve">company</w:t>
            </w:r>
          </w:p>
        </w:tc>
        <w:tc>
          <w:tcPr/>
          <w:p>
            <w:pPr>
              <w:pStyle w:val="Compact"/>
            </w:pPr>
            <w:r>
              <w:rPr>
                <w:rStyle w:val="VerbatimChar"/>
              </w:rPr>
              <w:t xml:space="preserve">department</w:t>
            </w:r>
            <w:r>
              <w:t xml:space="preserve">,</w:t>
            </w:r>
            <w:r>
              <w:t xml:space="preserve"> </w:t>
            </w:r>
            <w:r>
              <w:rPr>
                <w:rStyle w:val="VerbatimChar"/>
              </w:rPr>
              <w:t xml:space="preserve">jobTitle</w:t>
            </w:r>
            <w:r>
              <w:t xml:space="preserve">,</w:t>
            </w:r>
            <w:r>
              <w:t xml:space="preserve"> </w:t>
            </w:r>
            <w:r>
              <w:rPr>
                <w:rStyle w:val="VerbatimChar"/>
              </w:rPr>
              <w:t xml:space="preserve">companyName</w:t>
            </w:r>
          </w:p>
        </w:tc>
        <w:tc>
          <w:tcPr/>
          <w:p>
            <w:pPr>
              <w:pStyle w:val="Compact"/>
            </w:pPr>
            <w:r>
              <w:t xml:space="preserve">Direct</w:t>
            </w:r>
          </w:p>
        </w:tc>
      </w:tr>
      <w:tr>
        <w:tc>
          <w:tcPr/>
          <w:p>
            <w:pPr>
              <w:pStyle w:val="Compact"/>
            </w:pPr>
            <w:r>
              <w:rPr>
                <w:rStyle w:val="VerbatimChar"/>
              </w:rPr>
              <w:t xml:space="preserve">manager</w:t>
            </w:r>
            <w:r>
              <w:t xml:space="preserve">,</w:t>
            </w:r>
            <w:r>
              <w:t xml:space="preserve"> </w:t>
            </w:r>
            <w:r>
              <w:rPr>
                <w:rStyle w:val="VerbatimChar"/>
              </w:rPr>
              <w:t xml:space="preserve">directReports</w:t>
            </w:r>
          </w:p>
        </w:tc>
        <w:tc>
          <w:tcPr/>
          <w:p>
            <w:pPr>
              <w:pStyle w:val="Compact"/>
            </w:pPr>
            <w:r>
              <w:rPr>
                <w:rStyle w:val="VerbatimChar"/>
              </w:rPr>
              <w:t xml:space="preserve">manager</w:t>
            </w:r>
            <w:r>
              <w:t xml:space="preserve">,</w:t>
            </w:r>
            <w:r>
              <w:t xml:space="preserve"> </w:t>
            </w:r>
            <w:r>
              <w:rPr>
                <w:rStyle w:val="VerbatimChar"/>
              </w:rPr>
              <w:t xml:space="preserve">directReports</w:t>
            </w:r>
            <w:r>
              <w:t xml:space="preserve"> </w:t>
            </w:r>
            <w:r>
              <w:t xml:space="preserve">(relationships)</w:t>
            </w:r>
          </w:p>
        </w:tc>
        <w:tc>
          <w:tcPr/>
          <w:p>
            <w:pPr>
              <w:pStyle w:val="Compact"/>
            </w:pPr>
            <w:r>
              <w:t xml:space="preserve">Resolved as relationships</w:t>
            </w:r>
          </w:p>
        </w:tc>
      </w:tr>
      <w:tr>
        <w:tc>
          <w:tcPr/>
          <w:p>
            <w:pPr>
              <w:pStyle w:val="Compact"/>
            </w:pPr>
            <w:r>
              <w:rPr>
                <w:rStyle w:val="VerbatimChar"/>
              </w:rPr>
              <w:t xml:space="preserve">telephoneNumber</w:t>
            </w:r>
            <w:r>
              <w:t xml:space="preserve">,</w:t>
            </w:r>
            <w:r>
              <w:t xml:space="preserve"> </w:t>
            </w:r>
            <w:r>
              <w:rPr>
                <w:rStyle w:val="VerbatimChar"/>
              </w:rPr>
              <w:t xml:space="preserve">mobile</w:t>
            </w:r>
            <w:r>
              <w:t xml:space="preserve">,</w:t>
            </w:r>
            <w:r>
              <w:t xml:space="preserve"> </w:t>
            </w:r>
            <w:r>
              <w:rPr>
                <w:rStyle w:val="VerbatimChar"/>
              </w:rPr>
              <w:t xml:space="preserve">facsimileTelephoneNumber</w:t>
            </w:r>
          </w:p>
        </w:tc>
        <w:tc>
          <w:tcPr/>
          <w:p>
            <w:pPr>
              <w:pStyle w:val="Compact"/>
            </w:pPr>
            <w:r>
              <w:rPr>
                <w:rStyle w:val="VerbatimChar"/>
              </w:rPr>
              <w:t xml:space="preserve">businessPhones</w:t>
            </w:r>
            <w:r>
              <w:t xml:space="preserve">,</w:t>
            </w:r>
            <w:r>
              <w:t xml:space="preserve"> </w:t>
            </w:r>
            <w:r>
              <w:rPr>
                <w:rStyle w:val="VerbatimChar"/>
              </w:rPr>
              <w:t xml:space="preserve">mobilePhone</w:t>
            </w:r>
            <w:r>
              <w:t xml:space="preserve">,</w:t>
            </w:r>
            <w:r>
              <w:t xml:space="preserve"> </w:t>
            </w:r>
            <w:r>
              <w:rPr>
                <w:rStyle w:val="VerbatimChar"/>
              </w:rPr>
              <w:t xml:space="preserve">faxNumber</w:t>
            </w:r>
          </w:p>
        </w:tc>
        <w:tc>
          <w:tcPr/>
          <w:p>
            <w:pPr>
              <w:pStyle w:val="Compact"/>
            </w:pPr>
            <w:r>
              <w:t xml:space="preserve">Direct</w:t>
            </w:r>
          </w:p>
        </w:tc>
      </w:tr>
      <w:tr>
        <w:tc>
          <w:tcPr/>
          <w:p>
            <w:pPr>
              <w:pStyle w:val="Compact"/>
            </w:pPr>
            <w:r>
              <w:rPr>
                <w:rStyle w:val="VerbatimChar"/>
              </w:rPr>
              <w:t xml:space="preserve">streetAddress</w:t>
            </w:r>
            <w:r>
              <w:t xml:space="preserve">,</w:t>
            </w:r>
            <w:r>
              <w:t xml:space="preserve"> </w:t>
            </w:r>
            <w:r>
              <w:rPr>
                <w:rStyle w:val="VerbatimChar"/>
              </w:rPr>
              <w:t xml:space="preserve">l</w:t>
            </w:r>
            <w:r>
              <w:t xml:space="preserve">,</w:t>
            </w:r>
            <w:r>
              <w:t xml:space="preserve"> </w:t>
            </w:r>
            <w:r>
              <w:rPr>
                <w:rStyle w:val="VerbatimChar"/>
              </w:rPr>
              <w:t xml:space="preserve">st</w:t>
            </w:r>
            <w:r>
              <w:t xml:space="preserve">,</w:t>
            </w:r>
            <w:r>
              <w:t xml:space="preserve"> </w:t>
            </w:r>
            <w:r>
              <w:rPr>
                <w:rStyle w:val="VerbatimChar"/>
              </w:rPr>
              <w:t xml:space="preserve">postalCode</w:t>
            </w:r>
          </w:p>
        </w:tc>
        <w:tc>
          <w:tcPr/>
          <w:p>
            <w:pPr>
              <w:pStyle w:val="Compact"/>
            </w:pPr>
            <w:r>
              <w:rPr>
                <w:rStyle w:val="VerbatimChar"/>
              </w:rPr>
              <w:t xml:space="preserve">streetAddress</w:t>
            </w:r>
            <w:r>
              <w:t xml:space="preserve">,</w:t>
            </w:r>
            <w:r>
              <w:t xml:space="preserve"> </w:t>
            </w:r>
            <w:r>
              <w:rPr>
                <w:rStyle w:val="VerbatimChar"/>
              </w:rPr>
              <w:t xml:space="preserve">city</w:t>
            </w:r>
            <w:r>
              <w:t xml:space="preserve">,</w:t>
            </w:r>
            <w:r>
              <w:t xml:space="preserve"> </w:t>
            </w:r>
            <w:r>
              <w:rPr>
                <w:rStyle w:val="VerbatimChar"/>
              </w:rPr>
              <w:t xml:space="preserve">state</w:t>
            </w:r>
            <w:r>
              <w:t xml:space="preserve">,</w:t>
            </w:r>
            <w:r>
              <w:t xml:space="preserve"> </w:t>
            </w:r>
            <w:r>
              <w:rPr>
                <w:rStyle w:val="VerbatimChar"/>
              </w:rPr>
              <w:t xml:space="preserve">postalCode</w:t>
            </w:r>
          </w:p>
        </w:tc>
        <w:tc>
          <w:tcPr/>
          <w:p>
            <w:pPr>
              <w:pStyle w:val="Compact"/>
            </w:pPr>
            <w:r>
              <w:t xml:space="preserve">Direct</w:t>
            </w:r>
          </w:p>
        </w:tc>
      </w:tr>
      <w:tr>
        <w:tc>
          <w:tcPr/>
          <w:p>
            <w:pPr>
              <w:pStyle w:val="Compact"/>
            </w:pPr>
            <w:r>
              <w:rPr>
                <w:rStyle w:val="VerbatimChar"/>
              </w:rPr>
              <w:t xml:space="preserve">c</w:t>
            </w:r>
            <w:r>
              <w:t xml:space="preserve">,</w:t>
            </w:r>
            <w:r>
              <w:t xml:space="preserve"> </w:t>
            </w:r>
            <w:r>
              <w:rPr>
                <w:rStyle w:val="VerbatimChar"/>
              </w:rPr>
              <w:t xml:space="preserve">co</w:t>
            </w:r>
            <w:r>
              <w:t xml:space="preserve">,</w:t>
            </w:r>
            <w:r>
              <w:t xml:space="preserve"> </w:t>
            </w:r>
            <w:r>
              <w:rPr>
                <w:rStyle w:val="VerbatimChar"/>
              </w:rPr>
              <w:t xml:space="preserve">countryCode</w:t>
            </w:r>
          </w:p>
        </w:tc>
        <w:tc>
          <w:tcPr/>
          <w:p>
            <w:pPr>
              <w:pStyle w:val="Compact"/>
            </w:pPr>
            <w:r>
              <w:rPr>
                <w:rStyle w:val="VerbatimChar"/>
              </w:rPr>
              <w:t xml:space="preserve">country</w:t>
            </w:r>
          </w:p>
        </w:tc>
        <w:tc>
          <w:tcPr/>
          <w:p>
            <w:pPr>
              <w:pStyle w:val="Compact"/>
            </w:pPr>
            <w:r>
              <w:t xml:space="preserve">All three are synced; confirm which one your mapping writes to</w:t>
            </w:r>
            <w:r>
              <w:t xml:space="preserve"> </w:t>
            </w:r>
            <w:r>
              <w:rPr>
                <w:rStyle w:val="VerbatimChar"/>
              </w:rPr>
              <w:t xml:space="preserve">country</w:t>
            </w:r>
          </w:p>
        </w:tc>
      </w:tr>
      <w:tr>
        <w:tc>
          <w:tcPr/>
          <w:p>
            <w:pPr>
              <w:pStyle w:val="Compact"/>
            </w:pPr>
            <w:r>
              <w:rPr>
                <w:rStyle w:val="VerbatimChar"/>
              </w:rPr>
              <w:t xml:space="preserve">physicalDeliveryOfficeName</w:t>
            </w:r>
          </w:p>
        </w:tc>
        <w:tc>
          <w:tcPr/>
          <w:p>
            <w:pPr>
              <w:pStyle w:val="Compact"/>
            </w:pPr>
            <w:r>
              <w:rPr>
                <w:rStyle w:val="VerbatimChar"/>
              </w:rPr>
              <w:t xml:space="preserve">officeLocation</w:t>
            </w:r>
          </w:p>
        </w:tc>
        <w:tc>
          <w:tcPr/>
          <w:p>
            <w:pPr>
              <w:pStyle w:val="Compact"/>
            </w:pPr>
            <w:r>
              <w:t xml:space="preserve">Direct</w:t>
            </w:r>
          </w:p>
        </w:tc>
      </w:tr>
      <w:tr>
        <w:tc>
          <w:tcPr/>
          <w:p>
            <w:pPr>
              <w:pStyle w:val="Compact"/>
            </w:pPr>
            <w:r>
              <w:rPr>
                <w:rStyle w:val="VerbatimChar"/>
              </w:rPr>
              <w:t xml:space="preserve">employeeID</w:t>
            </w:r>
            <w:r>
              <w:t xml:space="preserve">,</w:t>
            </w:r>
            <w:r>
              <w:t xml:space="preserve"> </w:t>
            </w:r>
            <w:r>
              <w:rPr>
                <w:rStyle w:val="VerbatimChar"/>
              </w:rPr>
              <w:t xml:space="preserve">employeeType</w:t>
            </w:r>
          </w:p>
        </w:tc>
        <w:tc>
          <w:tcPr/>
          <w:p>
            <w:pPr>
              <w:pStyle w:val="Compact"/>
            </w:pPr>
            <w:r>
              <w:rPr>
                <w:rStyle w:val="VerbatimChar"/>
              </w:rPr>
              <w:t xml:space="preserve">employeeId</w:t>
            </w:r>
            <w:r>
              <w:t xml:space="preserve">,</w:t>
            </w:r>
            <w:r>
              <w:t xml:space="preserve"> </w:t>
            </w:r>
            <w:r>
              <w:rPr>
                <w:rStyle w:val="VerbatimChar"/>
              </w:rPr>
              <w:t xml:space="preserve">employeeType</w:t>
            </w:r>
          </w:p>
        </w:tc>
        <w:tc>
          <w:tcPr/>
          <w:p>
            <w:pPr>
              <w:pStyle w:val="Compact"/>
            </w:pPr>
            <w:r>
              <w:t xml:space="preserve">Direct; both usable in Lifecycle Workflows scope rules</w:t>
            </w:r>
          </w:p>
        </w:tc>
      </w:tr>
      <w:tr>
        <w:tc>
          <w:tcPr/>
          <w:p>
            <w:pPr>
              <w:pStyle w:val="Compact"/>
            </w:pPr>
            <w:r>
              <w:rPr>
                <w:rStyle w:val="VerbatimChar"/>
              </w:rPr>
              <w:t xml:space="preserve">memberOf</w:t>
            </w:r>
            <w:r>
              <w:t xml:space="preserve">,</w:t>
            </w:r>
            <w:r>
              <w:t xml:space="preserve"> </w:t>
            </w:r>
            <w:r>
              <w:rPr>
                <w:rStyle w:val="VerbatimChar"/>
              </w:rPr>
              <w:t xml:space="preserve">member</w:t>
            </w:r>
          </w:p>
        </w:tc>
        <w:tc>
          <w:tcPr/>
          <w:p>
            <w:pPr>
              <w:pStyle w:val="Compact"/>
            </w:pPr>
            <w:r>
              <w:rPr>
                <w:rStyle w:val="VerbatimChar"/>
              </w:rPr>
              <w:t xml:space="preserve">memberOf</w:t>
            </w:r>
            <w:r>
              <w:t xml:space="preserve">,</w:t>
            </w:r>
            <w:r>
              <w:t xml:space="preserve"> </w:t>
            </w:r>
            <w:r>
              <w:rPr>
                <w:rStyle w:val="VerbatimChar"/>
              </w:rPr>
              <w:t xml:space="preserve">members</w:t>
            </w:r>
            <w:r>
              <w:t xml:space="preserve"> </w:t>
            </w:r>
            <w:r>
              <w:t xml:space="preserve">(relationships)</w:t>
            </w:r>
          </w:p>
        </w:tc>
        <w:tc>
          <w:tcPr/>
          <w:p>
            <w:pPr>
              <w:pStyle w:val="Compact"/>
            </w:pPr>
            <w:r>
              <w:t xml:space="preserve">Resolved by the sync engine</w:t>
            </w:r>
          </w:p>
        </w:tc>
      </w:tr>
      <w:tr>
        <w:tc>
          <w:tcPr/>
          <w:p>
            <w:pPr>
              <w:pStyle w:val="Compact"/>
            </w:pPr>
            <w:r>
              <w:rPr>
                <w:rStyle w:val="VerbatimChar"/>
              </w:rPr>
              <w:t xml:space="preserve">description</w:t>
            </w:r>
            <w:r>
              <w:t xml:space="preserve">,</w:t>
            </w:r>
            <w:r>
              <w:t xml:space="preserve"> </w:t>
            </w:r>
            <w:r>
              <w:rPr>
                <w:rStyle w:val="VerbatimChar"/>
              </w:rPr>
              <w:t xml:space="preserve">info</w:t>
            </w:r>
          </w:p>
        </w:tc>
        <w:tc>
          <w:tcPr/>
          <w:p>
            <w:pPr>
              <w:pStyle w:val="Compact"/>
            </w:pPr>
            <w:r>
              <w:t xml:space="preserve">No user property</w:t>
            </w:r>
          </w:p>
        </w:tc>
        <w:tc>
          <w:tcPr/>
          <w:p>
            <w:pPr>
              <w:pStyle w:val="Compact"/>
            </w:pPr>
            <w:r>
              <w:t xml:space="preserve">Not carried on the user object</w:t>
            </w:r>
          </w:p>
        </w:tc>
      </w:tr>
      <w:tr>
        <w:tc>
          <w:tcPr/>
          <w:p>
            <w:pPr>
              <w:pStyle w:val="Compact"/>
            </w:pPr>
            <w:r>
              <w:rPr>
                <w:rStyle w:val="VerbatimChar"/>
              </w:rPr>
              <w:t xml:space="preserve">servicePrincipalName</w:t>
            </w:r>
          </w:p>
        </w:tc>
        <w:tc>
          <w:tcPr/>
          <w:p>
            <w:pPr>
              <w:pStyle w:val="Compact"/>
            </w:pPr>
            <w:r>
              <w:t xml:space="preserve">No user property</w:t>
            </w:r>
          </w:p>
        </w:tc>
        <w:tc>
          <w:tcPr/>
          <w:p>
            <w:pPr>
              <w:pStyle w:val="Compact"/>
            </w:pPr>
            <w:r>
              <w:t xml:space="preserve">Service principal objects have</w:t>
            </w:r>
            <w:r>
              <w:t xml:space="preserve"> </w:t>
            </w:r>
            <w:r>
              <w:rPr>
                <w:rStyle w:val="VerbatimChar"/>
              </w:rPr>
              <w:t xml:space="preserve">servicePrincipalNames</w:t>
            </w:r>
            <w:r>
              <w:t xml:space="preserve">, a different concept</w:t>
            </w:r>
          </w:p>
        </w:tc>
      </w:tr>
      <w:tr>
        <w:tc>
          <w:tcPr/>
          <w:p>
            <w:pPr>
              <w:pStyle w:val="Compact"/>
            </w:pPr>
            <w:r>
              <w:rPr>
                <w:rStyle w:val="VerbatimChar"/>
              </w:rPr>
              <w:t xml:space="preserve">thumbnailPhoto</w:t>
            </w:r>
          </w:p>
        </w:tc>
        <w:tc>
          <w:tcPr/>
          <w:p>
            <w:pPr>
              <w:pStyle w:val="Compact"/>
            </w:pPr>
            <w:r>
              <w:t xml:space="preserve">Profile photo</w:t>
            </w:r>
          </w:p>
        </w:tc>
        <w:tc>
          <w:tcPr/>
          <w:p>
            <w:pPr>
              <w:pStyle w:val="Compact"/>
            </w:pPr>
            <w:r>
              <w:t xml:space="preserve">Synced to the Microsoft 365 profile photo periodically</w:t>
            </w:r>
            <w:r>
              <w:rPr>
                <w:rStyle w:val="FootnoteReference"/>
              </w:rPr>
              <w:footnoteReference w:id="1314"/>
            </w:r>
          </w:p>
        </w:tc>
      </w:tr>
      <w:tr>
        <w:tc>
          <w:tcPr/>
          <w:p>
            <w:pPr>
              <w:pStyle w:val="Compact"/>
            </w:pPr>
            <w:r>
              <w:rPr>
                <w:rStyle w:val="VerbatimChar"/>
              </w:rPr>
              <w:t xml:space="preserve">userCertificate</w:t>
            </w:r>
          </w:p>
        </w:tc>
        <w:tc>
          <w:tcPr/>
          <w:p>
            <w:pPr>
              <w:pStyle w:val="Compact"/>
            </w:pPr>
            <w:r>
              <w:t xml:space="preserve">No user property in Graph v1.0</w:t>
            </w:r>
          </w:p>
        </w:tc>
        <w:tc>
          <w:tcPr/>
          <w:p>
            <w:pPr>
              <w:pStyle w:val="Compact"/>
            </w:pPr>
            <w:r>
              <w:t xml:space="preserve">Synced for Exchange; certificate-based authentication uses its own username bindings instead</w:t>
            </w:r>
          </w:p>
        </w:tc>
      </w:tr>
      <w:tr>
        <w:tc>
          <w:tcPr/>
          <w:p>
            <w:pPr>
              <w:pStyle w:val="Compact"/>
            </w:pPr>
            <w:r>
              <w:rPr>
                <w:rStyle w:val="VerbatimChar"/>
              </w:rPr>
              <w:t xml:space="preserve">msDS-UserPasswordExpiryTimeComputed</w:t>
            </w:r>
          </w:p>
        </w:tc>
        <w:tc>
          <w:tcPr/>
          <w:p>
            <w:pPr>
              <w:pStyle w:val="Compact"/>
            </w:pPr>
            <w:r>
              <w:t xml:space="preserve">No equivalent</w:t>
            </w:r>
          </w:p>
        </w:tc>
        <w:tc>
          <w:tcPr/>
          <w:p>
            <w:pPr>
              <w:pStyle w:val="Compact"/>
            </w:pPr>
            <w:r>
              <w:t xml:space="preserve">Cloud password policy is separate</w:t>
            </w:r>
          </w:p>
        </w:tc>
      </w:tr>
      <w:tr>
        <w:tc>
          <w:tcPr/>
          <w:p>
            <w:pPr>
              <w:pStyle w:val="Compact"/>
            </w:pPr>
            <w:r>
              <w:rPr>
                <w:rStyle w:val="VerbatimChar"/>
              </w:rPr>
              <w:t xml:space="preserve">adminCount</w:t>
            </w:r>
          </w:p>
        </w:tc>
        <w:tc>
          <w:tcPr/>
          <w:p>
            <w:pPr>
              <w:pStyle w:val="Compact"/>
            </w:pPr>
            <w:r>
              <w:t xml:space="preserve">No equivalent</w:t>
            </w:r>
          </w:p>
        </w:tc>
        <w:tc>
          <w:tcPr/>
          <w:p>
            <w:pPr>
              <w:pStyle w:val="Compact"/>
            </w:pPr>
            <w:r>
              <w:t xml:space="preserve">PIM replaces AdminSDHolder protection</w:t>
            </w:r>
          </w:p>
        </w:tc>
      </w:tr>
      <w:tr>
        <w:tc>
          <w:tcPr/>
          <w:p>
            <w:pPr>
              <w:pStyle w:val="Compact"/>
            </w:pPr>
            <w:r>
              <w:rPr>
                <w:rStyle w:val="VerbatimChar"/>
              </w:rPr>
              <w:t xml:space="preserve">accountExpires</w:t>
            </w:r>
          </w:p>
        </w:tc>
        <w:tc>
          <w:tcPr/>
          <w:p>
            <w:pPr>
              <w:pStyle w:val="Compact"/>
            </w:pPr>
            <w:r>
              <w:t xml:space="preserve">No equivalent</w:t>
            </w:r>
          </w:p>
        </w:tc>
        <w:tc>
          <w:tcPr/>
          <w:p>
            <w:pPr>
              <w:pStyle w:val="Compact"/>
            </w:pPr>
            <w:r>
              <w:t xml:space="preserve">The program copies the HR end date to</w:t>
            </w:r>
            <w:r>
              <w:t xml:space="preserve"> </w:t>
            </w:r>
            <w:r>
              <w:rPr>
                <w:rStyle w:val="VerbatimChar"/>
              </w:rPr>
              <w:t xml:space="preserve">extensionAttribute8</w:t>
            </w:r>
          </w:p>
        </w:tc>
      </w:tr>
      <w:tr>
        <w:tc>
          <w:tcPr/>
          <w:p>
            <w:pPr>
              <w:pStyle w:val="Compact"/>
            </w:pPr>
            <w:r>
              <w:rPr>
                <w:rStyle w:val="VerbatimChar"/>
              </w:rPr>
              <w:t xml:space="preserve">extensionAttribute1</w:t>
            </w:r>
            <w:r>
              <w:t xml:space="preserve">–</w:t>
            </w:r>
            <w:r>
              <w:rPr>
                <w:rStyle w:val="VerbatimChar"/>
              </w:rPr>
              <w:t xml:space="preserve">15</w:t>
            </w:r>
          </w:p>
        </w:tc>
        <w:tc>
          <w:tcPr/>
          <w:p>
            <w:pPr>
              <w:pStyle w:val="Compact"/>
            </w:pPr>
            <w:r>
              <w:rPr>
                <w:rStyle w:val="VerbatimChar"/>
              </w:rPr>
              <w:t xml:space="preserve">onPremisesExtensionAttributes/extensionAttribute1</w:t>
            </w:r>
            <w:r>
              <w:t xml:space="preserve">–</w:t>
            </w:r>
            <w:r>
              <w:rPr>
                <w:rStyle w:val="VerbatimChar"/>
              </w:rPr>
              <w:t xml:space="preserve">15</w:t>
            </w:r>
          </w:p>
        </w:tc>
        <w:tc>
          <w:tcPr/>
          <w:p>
            <w:pPr>
              <w:pStyle w:val="Compact"/>
            </w:pPr>
            <w:r>
              <w:t xml:space="preserve">Program assignments below</w:t>
            </w:r>
          </w:p>
        </w:tc>
      </w:tr>
    </w:tbl>
    <w:bookmarkStart w:id="1316" w:name="extension-attribute-assignments"/>
    <w:p>
      <w:pPr>
        <w:pStyle w:val="Heading3"/>
      </w:pPr>
      <w:r>
        <w:t xml:space="preserve">Extension attribute assignments</w:t>
      </w:r>
    </w:p>
    <w:p>
      <w:pPr>
        <w:pStyle w:val="FirstParagraph"/>
      </w:pPr>
      <w:r>
        <w:t xml:space="preserve">The program assigns the fifteen extension attributes as follows. These are design choices; any agency can reassign them, but the dynamic groups, Conditional Access personas, and workflows in Chapters 09 and 10 assume this layout.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Attribute</w:t>
            </w:r>
          </w:p>
        </w:tc>
        <w:tc>
          <w:tcPr/>
          <w:p>
            <w:pPr>
              <w:pStyle w:val="Compact"/>
            </w:pPr>
            <w:r>
              <w:t xml:space="preserve">Program meaning</w:t>
            </w:r>
          </w:p>
        </w:tc>
        <w:tc>
          <w:tcPr/>
          <w:p>
            <w:pPr>
              <w:pStyle w:val="Compact"/>
            </w:pPr>
            <w:r>
              <w:t xml:space="preserve">Used by</w:t>
            </w:r>
          </w:p>
        </w:tc>
      </w:tr>
      <w:tr>
        <w:tc>
          <w:tcPr/>
          <w:p>
            <w:pPr>
              <w:pStyle w:val="Compact"/>
            </w:pPr>
            <w:r>
              <w:rPr>
                <w:rStyle w:val="VerbatimChar"/>
              </w:rPr>
              <w:t xml:space="preserve">extensionAttribute1</w:t>
            </w:r>
          </w:p>
        </w:tc>
        <w:tc>
          <w:tcPr/>
          <w:p>
            <w:pPr>
              <w:pStyle w:val="Compact"/>
            </w:pPr>
            <w:r>
              <w:t xml:space="preserve">Region</w:t>
            </w:r>
          </w:p>
        </w:tc>
        <w:tc>
          <w:tcPr/>
          <w:p>
            <w:pPr>
              <w:pStyle w:val="Compact"/>
            </w:pPr>
            <w:r>
              <w:t xml:space="preserve">Dynamic groups</w:t>
            </w:r>
          </w:p>
        </w:tc>
      </w:tr>
      <w:tr>
        <w:tc>
          <w:tcPr/>
          <w:p>
            <w:pPr>
              <w:pStyle w:val="Compact"/>
            </w:pPr>
            <w:r>
              <w:rPr>
                <w:rStyle w:val="VerbatimChar"/>
              </w:rPr>
              <w:t xml:space="preserve">extensionAttribute2</w:t>
            </w:r>
          </w:p>
        </w:tc>
        <w:tc>
          <w:tcPr/>
          <w:p>
            <w:pPr>
              <w:pStyle w:val="Compact"/>
            </w:pPr>
            <w:r>
              <w:t xml:space="preserve">Department code</w:t>
            </w:r>
          </w:p>
        </w:tc>
        <w:tc>
          <w:tcPr/>
          <w:p>
            <w:pPr>
              <w:pStyle w:val="Compact"/>
            </w:pPr>
            <w:r>
              <w:t xml:space="preserve">Dynamic groups (alongside</w:t>
            </w:r>
            <w:r>
              <w:t xml:space="preserve"> </w:t>
            </w:r>
            <w:r>
              <w:rPr>
                <w:rStyle w:val="VerbatimChar"/>
              </w:rPr>
              <w:t xml:space="preserve">department</w:t>
            </w:r>
            <w:r>
              <w:t xml:space="preserve">)</w:t>
            </w:r>
          </w:p>
        </w:tc>
      </w:tr>
      <w:tr>
        <w:tc>
          <w:tcPr/>
          <w:p>
            <w:pPr>
              <w:pStyle w:val="Compact"/>
            </w:pPr>
            <w:r>
              <w:rPr>
                <w:rStyle w:val="VerbatimChar"/>
              </w:rPr>
              <w:t xml:space="preserve">extensionAttribute3</w:t>
            </w:r>
          </w:p>
        </w:tc>
        <w:tc>
          <w:tcPr/>
          <w:p>
            <w:pPr>
              <w:pStyle w:val="Compact"/>
            </w:pPr>
            <w:r>
              <w:t xml:space="preserve">Division</w:t>
            </w:r>
          </w:p>
        </w:tc>
        <w:tc>
          <w:tcPr/>
          <w:p>
            <w:pPr>
              <w:pStyle w:val="Compact"/>
            </w:pPr>
            <w:r>
              <w:t xml:space="preserve">Mover trigger; dynamic administrative units</w:t>
            </w:r>
          </w:p>
        </w:tc>
      </w:tr>
      <w:tr>
        <w:tc>
          <w:tcPr/>
          <w:p>
            <w:pPr>
              <w:pStyle w:val="Compact"/>
            </w:pPr>
            <w:r>
              <w:rPr>
                <w:rStyle w:val="VerbatimChar"/>
              </w:rPr>
              <w:t xml:space="preserve">extensionAttribute4</w:t>
            </w:r>
          </w:p>
        </w:tc>
        <w:tc>
          <w:tcPr/>
          <w:p>
            <w:pPr>
              <w:pStyle w:val="Compact"/>
            </w:pPr>
            <w:r>
              <w:t xml:space="preserve">Role</w:t>
            </w:r>
          </w:p>
        </w:tc>
        <w:tc>
          <w:tcPr/>
          <w:p>
            <w:pPr>
              <w:pStyle w:val="Compact"/>
            </w:pPr>
            <w:r>
              <w:t xml:space="preserve">Mover trigger; access package auto-assignment</w:t>
            </w:r>
          </w:p>
        </w:tc>
      </w:tr>
      <w:tr>
        <w:tc>
          <w:tcPr/>
          <w:p>
            <w:pPr>
              <w:pStyle w:val="Compact"/>
            </w:pPr>
            <w:r>
              <w:rPr>
                <w:rStyle w:val="VerbatimChar"/>
              </w:rPr>
              <w:t xml:space="preserve">extensionAttribute5</w:t>
            </w:r>
          </w:p>
        </w:tc>
        <w:tc>
          <w:tcPr/>
          <w:p>
            <w:pPr>
              <w:pStyle w:val="Compact"/>
            </w:pPr>
            <w:r>
              <w:t xml:space="preserve">Cost center</w:t>
            </w:r>
          </w:p>
        </w:tc>
        <w:tc>
          <w:tcPr/>
          <w:p>
            <w:pPr>
              <w:pStyle w:val="Compact"/>
            </w:pPr>
            <w:r>
              <w:t xml:space="preserve">License assignment groups</w:t>
            </w:r>
          </w:p>
        </w:tc>
      </w:tr>
      <w:tr>
        <w:tc>
          <w:tcPr/>
          <w:p>
            <w:pPr>
              <w:pStyle w:val="Compact"/>
            </w:pPr>
            <w:r>
              <w:rPr>
                <w:rStyle w:val="VerbatimChar"/>
              </w:rPr>
              <w:t xml:space="preserve">extensionAttribute6</w:t>
            </w:r>
          </w:p>
        </w:tc>
        <w:tc>
          <w:tcPr/>
          <w:p>
            <w:pPr>
              <w:pStyle w:val="Compact"/>
            </w:pPr>
            <w:r>
              <w:t xml:space="preserve">Classification (worker type: Employee, Contractor)</w:t>
            </w:r>
          </w:p>
        </w:tc>
        <w:tc>
          <w:tcPr/>
          <w:p>
            <w:pPr>
              <w:pStyle w:val="Compact"/>
            </w:pPr>
            <w:r>
              <w:t xml:space="preserve">Conditional Access Internals persona</w:t>
            </w:r>
          </w:p>
        </w:tc>
      </w:tr>
      <w:tr>
        <w:tc>
          <w:tcPr/>
          <w:p>
            <w:pPr>
              <w:pStyle w:val="Compact"/>
            </w:pPr>
            <w:r>
              <w:rPr>
                <w:rStyle w:val="VerbatimChar"/>
              </w:rPr>
              <w:t xml:space="preserve">extensionAttribute7</w:t>
            </w:r>
          </w:p>
        </w:tc>
        <w:tc>
          <w:tcPr/>
          <w:p>
            <w:pPr>
              <w:pStyle w:val="Compact"/>
            </w:pPr>
            <w:r>
              <w:t xml:space="preserve">Hire date from HR</w:t>
            </w:r>
          </w:p>
        </w:tc>
        <w:tc>
          <w:tcPr/>
          <w:p>
            <w:pPr>
              <w:pStyle w:val="Compact"/>
            </w:pPr>
            <w:r>
              <w:t xml:space="preserve">Mapped to</w:t>
            </w:r>
            <w:r>
              <w:t xml:space="preserve"> </w:t>
            </w:r>
            <w:r>
              <w:rPr>
                <w:rStyle w:val="VerbatimChar"/>
              </w:rPr>
              <w:t xml:space="preserve">employeeHireDate</w:t>
            </w:r>
            <w:r>
              <w:t xml:space="preserve"> </w:t>
            </w:r>
            <w:r>
              <w:t xml:space="preserve">by a sync rule</w:t>
            </w:r>
          </w:p>
        </w:tc>
      </w:tr>
      <w:tr>
        <w:tc>
          <w:tcPr/>
          <w:p>
            <w:pPr>
              <w:pStyle w:val="Compact"/>
            </w:pPr>
            <w:r>
              <w:rPr>
                <w:rStyle w:val="VerbatimChar"/>
              </w:rPr>
              <w:t xml:space="preserve">extensionAttribute8</w:t>
            </w:r>
          </w:p>
        </w:tc>
        <w:tc>
          <w:tcPr/>
          <w:p>
            <w:pPr>
              <w:pStyle w:val="Compact"/>
            </w:pPr>
            <w:r>
              <w:t xml:space="preserve">End date from HR</w:t>
            </w:r>
          </w:p>
        </w:tc>
        <w:tc>
          <w:tcPr/>
          <w:p>
            <w:pPr>
              <w:pStyle w:val="Compact"/>
            </w:pPr>
            <w:r>
              <w:t xml:space="preserve">Mapped to</w:t>
            </w:r>
            <w:r>
              <w:t xml:space="preserve"> </w:t>
            </w:r>
            <w:r>
              <w:rPr>
                <w:rStyle w:val="VerbatimChar"/>
              </w:rPr>
              <w:t xml:space="preserve">employeeLeaveDateTime</w:t>
            </w:r>
            <w:r>
              <w:t xml:space="preserve"> </w:t>
            </w:r>
            <w:r>
              <w:t xml:space="preserve">by a sync rule</w:t>
            </w:r>
          </w:p>
        </w:tc>
      </w:tr>
      <w:tr>
        <w:tc>
          <w:tcPr/>
          <w:p>
            <w:pPr>
              <w:pStyle w:val="Compact"/>
            </w:pPr>
            <w:r>
              <w:rPr>
                <w:rStyle w:val="VerbatimChar"/>
              </w:rPr>
              <w:t xml:space="preserve">extensionAttribute9</w:t>
            </w:r>
          </w:p>
        </w:tc>
        <w:tc>
          <w:tcPr/>
          <w:p>
            <w:pPr>
              <w:pStyle w:val="Compact"/>
            </w:pPr>
            <w:r>
              <w:t xml:space="preserve">Clearance level</w:t>
            </w:r>
          </w:p>
        </w:tc>
        <w:tc>
          <w:tcPr/>
          <w:p>
            <w:pPr>
              <w:pStyle w:val="Compact"/>
            </w:pPr>
            <w:r>
              <w:t xml:space="preserve">Restricted access packages</w:t>
            </w:r>
          </w:p>
        </w:tc>
      </w:tr>
      <w:tr>
        <w:tc>
          <w:tcPr/>
          <w:p>
            <w:pPr>
              <w:pStyle w:val="Compact"/>
            </w:pPr>
            <w:r>
              <w:rPr>
                <w:rStyle w:val="VerbatimChar"/>
              </w:rPr>
              <w:t xml:space="preserve">extensionAttribute10</w:t>
            </w:r>
          </w:p>
        </w:tc>
        <w:tc>
          <w:tcPr/>
          <w:p>
            <w:pPr>
              <w:pStyle w:val="Compact"/>
            </w:pPr>
            <w:r>
              <w:t xml:space="preserve">Account type (Standard, Service, Privileged)</w:t>
            </w:r>
          </w:p>
        </w:tc>
        <w:tc>
          <w:tcPr/>
          <w:p>
            <w:pPr>
              <w:pStyle w:val="Compact"/>
            </w:pPr>
            <w:r>
              <w:t xml:space="preserve">Conditional Access Admins persona; service account scoping</w:t>
            </w:r>
          </w:p>
        </w:tc>
      </w:tr>
      <w:tr>
        <w:tc>
          <w:tcPr/>
          <w:p>
            <w:pPr>
              <w:pStyle w:val="Compact"/>
            </w:pPr>
            <w:r>
              <w:rPr>
                <w:rStyle w:val="VerbatimChar"/>
              </w:rPr>
              <w:t xml:space="preserve">extensionAttribute11</w:t>
            </w:r>
            <w:r>
              <w:t xml:space="preserve">–</w:t>
            </w:r>
            <w:r>
              <w:rPr>
                <w:rStyle w:val="VerbatimChar"/>
              </w:rPr>
              <w:t xml:space="preserve">15</w:t>
            </w:r>
          </w:p>
        </w:tc>
        <w:tc>
          <w:tcPr/>
          <w:p>
            <w:pPr>
              <w:pStyle w:val="Compact"/>
            </w:pPr>
            <w:r>
              <w:t xml:space="preserve">Reserved</w:t>
            </w:r>
          </w:p>
        </w:tc>
        <w:tc>
          <w:tcPr/>
          <w:p>
            <w:pPr>
              <w:pStyle w:val="Compact"/>
            </w:pPr>
            <w:r>
              <w:rPr>
                <w:rStyle w:val="VerbatimChar"/>
              </w:rPr>
              <w:t xml:space="preserve">extensionAttribute15</w:t>
            </w:r>
            <w:r>
              <w:t xml:space="preserve"> </w:t>
            </w:r>
            <w:r>
              <w:t xml:space="preserve">=</w:t>
            </w:r>
            <w:r>
              <w:t xml:space="preserve"> </w:t>
            </w:r>
            <w:r>
              <w:rPr>
                <w:rStyle w:val="VerbatimChar"/>
              </w:rPr>
              <w:t xml:space="preserve">DoNotSync</w:t>
            </w:r>
            <w:r>
              <w:t xml:space="preserve"> </w:t>
            </w:r>
            <w:r>
              <w:t xml:space="preserve">excludes an object from sync</w:t>
            </w:r>
          </w:p>
        </w:tc>
      </w:tr>
    </w:tbl>
    <w:p>
      <w:pPr>
        <w:pStyle w:val="BodyText"/>
      </w:pPr>
      <w:r>
        <w:t xml:space="preserve">Lifecycle Workflows read the native</w:t>
      </w:r>
      <w:r>
        <w:t xml:space="preserve"> </w:t>
      </w:r>
      <w:r>
        <w:rPr>
          <w:rStyle w:val="VerbatimChar"/>
        </w:rPr>
        <w:t xml:space="preserve">employeeHireDate</w:t>
      </w:r>
      <w:r>
        <w:t xml:space="preserve"> </w:t>
      </w:r>
      <w:r>
        <w:t xml:space="preserve">and</w:t>
      </w:r>
      <w:r>
        <w:t xml:space="preserve"> </w:t>
      </w:r>
      <w:r>
        <w:rPr>
          <w:rStyle w:val="VerbatimChar"/>
        </w:rPr>
        <w:t xml:space="preserve">employeeLeaveDateTime</w:t>
      </w:r>
      <w:r>
        <w:t xml:space="preserve"> </w:t>
      </w:r>
      <w:r>
        <w:t xml:space="preserve">properties, not the extension attributes. For synced users, map the HR dates from AD into those properties during sync, as Microsoft documents for Lifecycle Workflows.</w:t>
      </w:r>
      <w:r>
        <w:rPr>
          <w:rStyle w:val="FootnoteReference"/>
        </w:rPr>
        <w:footnoteReference w:id="1315"/>
      </w:r>
      <w:r>
        <w:t xml:space="preserve"> </w:t>
      </w:r>
      <w:r>
        <w:t xml:space="preserve">Extension attributes 7 and 8 are the AD-side carriers for that mapping.</w:t>
      </w:r>
    </w:p>
    <w:bookmarkEnd w:id="1316"/>
    <w:bookmarkEnd w:id="1317"/>
    <w:bookmarkStart w:id="1318" w:name="conditional-access-policy-templates"/>
    <w:p>
      <w:pPr>
        <w:pStyle w:val="Heading2"/>
      </w:pPr>
      <w:bookmarkStart w:id="1527" w:name="_Toc00001527"/>
      <w:r>
        <w:t xml:space="preserve">Conditional Access policy templates</w:t>
      </w:r>
      <w:bookmarkEnd w:id="1527"/>
    </w:p>
    <w:p>
      <w:pPr>
        <w:pStyle w:val="FirstParagraph"/>
      </w:pPr>
      <w:r>
        <w:t xml:space="preserve">These templates express policies from Chapter 09 as Microsoft Graph</w:t>
      </w:r>
      <w:r>
        <w:t xml:space="preserve"> </w:t>
      </w:r>
      <w:r>
        <w:rPr>
          <w:rStyle w:val="VerbatimChar"/>
        </w:rPr>
        <w:t xml:space="preserve">conditionalAccessPolicy</w:t>
      </w:r>
      <w:r>
        <w:t xml:space="preserve"> </w:t>
      </w:r>
      <w:r>
        <w:t xml:space="preserve">JSON. Import them with</w:t>
      </w:r>
      <w:r>
        <w:t xml:space="preserve"> </w:t>
      </w:r>
      <w:r>
        <w:rPr>
          <w:rStyle w:val="VerbatimChar"/>
        </w:rPr>
        <w:t xml:space="preserve">New-MgIdentityConditionalAccessPolicy -BodyParameter</w:t>
      </w:r>
      <w:r>
        <w:t xml:space="preserve">, or export your own configured policies with the snippet at the end of this section.</w:t>
      </w:r>
    </w:p>
    <w:bookmarkEnd w:id="1318"/>
    <w:bookmarkStart w:id="1321" w:name="placeholders-and-endpoints"/>
    <w:p>
      <w:pPr>
        <w:pStyle w:val="Heading2"/>
      </w:pPr>
      <w:bookmarkStart w:id="1528" w:name="_Toc00001528"/>
      <w:r>
        <w:t xml:space="preserve">Placeholders and endpoints</w:t>
      </w:r>
      <w:bookmarkEnd w:id="1528"/>
    </w:p>
    <w:p>
      <w:pPr>
        <w:pStyle w:val="FirstParagraph"/>
      </w:pPr>
      <w:r>
        <w:t xml:space="preserve">The templates use placeholders such as</w:t>
      </w:r>
      <w:r>
        <w:t xml:space="preserve"> </w:t>
      </w:r>
      <w:r>
        <w:rPr>
          <w:rStyle w:val="VerbatimChar"/>
        </w:rPr>
        <w:t xml:space="preserve">&lt;GUID-BreakGlassExclusionGroup&gt;</w:t>
      </w:r>
      <w:r>
        <w:t xml:space="preserve"> </w:t>
      </w:r>
      <w:r>
        <w:t xml:space="preserve">for group, named location, and authentication strength IDs. Replace every placeholder with your tenant’s values before import. List the built-in authentication strengths and their IDs with</w:t>
      </w:r>
      <w:r>
        <w:t xml:space="preserve"> </w:t>
      </w:r>
      <w:r>
        <w:rPr>
          <w:rStyle w:val="VerbatimChar"/>
        </w:rPr>
        <w:t xml:space="preserve">GET /policies/authenticationStrengthPolicies?$filter=policyType eq 'builtIn'</w:t>
      </w:r>
      <w:r>
        <w:t xml:space="preserve"> </w:t>
      </w:r>
      <w:r>
        <w:t xml:space="preserve">(beta).</w:t>
      </w:r>
      <w:r>
        <w:rPr>
          <w:rStyle w:val="FootnoteReference"/>
        </w:rPr>
        <w:footnoteReference w:id="1319"/>
      </w:r>
      <w:r>
        <w:t xml:space="preserve"> </w:t>
      </w:r>
      <w:r>
        <w:t xml:space="preserve">A GCC tenant uses the worldwide Microsoft Graph endpoint,</w:t>
      </w:r>
      <w:r>
        <w:t xml:space="preserve"> </w:t>
      </w:r>
      <w:r>
        <w:rPr>
          <w:rStyle w:val="VerbatimChar"/>
        </w:rPr>
        <w:t xml:space="preserve">https://graph.microsoft.com</w:t>
      </w:r>
      <w:r>
        <w:t xml:space="preserve">;</w:t>
      </w:r>
      <w:r>
        <w:t xml:space="preserve"> </w:t>
      </w:r>
      <w:r>
        <w:rPr>
          <w:rStyle w:val="VerbatimChar"/>
        </w:rPr>
        <w:t xml:space="preserve">https://graph.microsoft.us</w:t>
      </w:r>
      <w:r>
        <w:t xml:space="preserve"> </w:t>
      </w:r>
      <w:r>
        <w:t xml:space="preserve">is for GCC High.</w:t>
      </w:r>
      <w:r>
        <w:rPr>
          <w:rStyle w:val="FootnoteReference"/>
        </w:rPr>
        <w:footnoteReference w:id="1320"/>
      </w:r>
      <w:r>
        <w:t xml:space="preserve"> </w:t>
      </w:r>
      <w:r>
        <w:t xml:space="preserve">Every template is created in report-only state (</w:t>
      </w:r>
      <w:r>
        <w:rPr>
          <w:rStyle w:val="VerbatimChar"/>
        </w:rPr>
        <w:t xml:space="preserve">enabledForReportingButNotEnforced</w:t>
      </w:r>
      <w:r>
        <w:t xml:space="preserve">).</w:t>
      </w:r>
    </w:p>
    <w:bookmarkEnd w:id="1321"/>
    <w:bookmarkStart w:id="1322" w:name="ca001-block-legacy-authentication"/>
    <w:p>
      <w:pPr>
        <w:pStyle w:val="Heading3"/>
      </w:pPr>
      <w:r>
        <w:t xml:space="preserve">CA001: block legacy authentication</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"CA001-AllUsers-BlockLegacyAuth"</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"&lt;GUID-BreakGlassExclusionGroup&gt;"</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"exchangeActiveSync"</w:t>
      </w:r>
      <w:r>
        <w:rPr>
          <w:rStyle w:val="OtherTok"/>
        </w:rPr>
        <w:t xml:space="preserve">,</w:t>
      </w:r>
      <w:r>
        <w:rPr>
          <w:rStyle w:val="NormalTok"/>
        </w:rPr>
        <w:t xml:space="preserve"> </w:t>
      </w:r>
      <w:r>
        <w:rPr>
          <w:rStyle w:val="StringTok"/>
        </w:rPr>
        <w:t xml:space="preserve">"other"</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br/>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"block"</w:t>
      </w:r>
      <w:r>
        <w:rPr>
          <w:rStyle w:val="OtherTok"/>
        </w:rPr>
        <w:t xml:space="preserve">]</w:t>
      </w:r>
      <w:r>
        <w:br/>
      </w:r>
      <w:r>
        <w:rPr>
          <w:rStyle w:val="NormalTok"/>
        </w:rPr>
        <w:t xml:space="preserve">  </w:t>
      </w:r>
      <w:r>
        <w:rPr>
          <w:rStyle w:val="FunctionTok"/>
        </w:rPr>
        <w:t xml:space="preserve">}</w:t>
      </w:r>
      <w:r>
        <w:br/>
      </w:r>
      <w:r>
        <w:rPr>
          <w:rStyle w:val="FunctionTok"/>
        </w:rPr>
        <w:t xml:space="preserve">}</w:t>
      </w:r>
    </w:p>
    <w:bookmarkEnd w:id="1322"/>
    <w:bookmarkStart w:id="1323" w:name="X0a009c796c2316889049b62207ae78645139967"/>
    <w:p>
      <w:pPr>
        <w:pStyle w:val="Heading3"/>
      </w:pPr>
      <w:r>
        <w:t xml:space="preserve">CA003: admins require phishing-resistant MFA</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"CA003-Admins-RequirePhishResistantMFA"</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"includeGroups"</w:t>
      </w:r>
      <w:r>
        <w:rPr>
          <w:rStyle w:val="FunctionTok"/>
        </w:rPr>
        <w:t xml:space="preserve">:</w:t>
      </w:r>
      <w:r>
        <w:rPr>
          <w:rStyle w:val="NormalTok"/>
        </w:rPr>
        <w:t xml:space="preserve"> </w:t>
      </w:r>
      <w:r>
        <w:rPr>
          <w:rStyle w:val="OtherTok"/>
        </w:rPr>
        <w:t xml:space="preserve">[</w:t>
      </w:r>
      <w:r>
        <w:rPr>
          <w:rStyle w:val="StringTok"/>
        </w:rPr>
        <w:t xml:space="preserve">"&lt;GUID-AdminsGroup&gt;"</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"&lt;GUID-BreakGlassExclusionGroup&gt;"</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"browser"</w:t>
      </w:r>
      <w:r>
        <w:rPr>
          <w:rStyle w:val="OtherTok"/>
        </w:rPr>
        <w:t xml:space="preserve">,</w:t>
      </w:r>
      <w:r>
        <w:rPr>
          <w:rStyle w:val="NormalTok"/>
        </w:rPr>
        <w:t xml:space="preserve"> </w:t>
      </w:r>
      <w:r>
        <w:rPr>
          <w:rStyle w:val="StringTok"/>
        </w:rPr>
        <w:t xml:space="preserve">"mobileAppsAndDesktopClients"</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br/>
      </w:r>
      <w:r>
        <w:rPr>
          <w:rStyle w:val="NormalTok"/>
        </w:rPr>
        <w:t xml:space="preserve">    </w:t>
      </w:r>
      <w:r>
        <w:rPr>
          <w:rStyle w:val="DataTypeTok"/>
        </w:rPr>
        <w:t xml:space="preserve">"authenticationStrength"</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"&lt;GUID-PhishingResistantMFA&gt;"</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"sessionControls"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"signInFrequency"</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"value"</w:t>
      </w:r>
      <w:r>
        <w:rPr>
          <w:rStyle w:val="FunctionTok"/>
        </w:rPr>
        <w:t xml:space="preserve">:</w:t>
      </w:r>
      <w:r>
        <w:rPr>
          <w:rStyle w:val="NormalTok"/>
        </w:rPr>
        <w:t xml:space="preserve"> </w:t>
      </w:r>
      <w:r>
        <w:rPr>
          <w:rStyle w:val="DecValTok"/>
        </w:rPr>
        <w:t xml:space="preserve">4</w:t>
      </w:r>
      <w:r>
        <w:rPr>
          <w:rStyle w:val="FunctionTok"/>
        </w:rPr>
        <w:t xml:space="preserve">,</w:t>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"hours"</w:t>
      </w:r>
      <w:r>
        <w:rPr>
          <w:rStyle w:val="FunctionTok"/>
        </w:rPr>
        <w:t xml:space="preserve">,</w:t>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FunctionTok"/>
        </w:rPr>
        <w:t xml:space="preserve">}</w:t>
      </w:r>
    </w:p>
    <w:bookmarkEnd w:id="1323"/>
    <w:bookmarkStart w:id="1324" w:name="ca006-internals-require-mfa"/>
    <w:p>
      <w:pPr>
        <w:pStyle w:val="Heading3"/>
      </w:pPr>
      <w:r>
        <w:t xml:space="preserve">CA006: internals require MFA</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"CA006-Internals-RequireMFA"</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"includeGroups"</w:t>
      </w:r>
      <w:r>
        <w:rPr>
          <w:rStyle w:val="FunctionTok"/>
        </w:rPr>
        <w:t xml:space="preserve">:</w:t>
      </w:r>
      <w:r>
        <w:rPr>
          <w:rStyle w:val="NormalTok"/>
        </w:rPr>
        <w:t xml:space="preserve"> </w:t>
      </w:r>
      <w:r>
        <w:rPr>
          <w:rStyle w:val="OtherTok"/>
        </w:rPr>
        <w:t xml:space="preserve">[</w:t>
      </w:r>
      <w:r>
        <w:rPr>
          <w:rStyle w:val="StringTok"/>
        </w:rPr>
        <w:t xml:space="preserve">"&lt;GUID-InternalsGroup&gt;"</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"&lt;GUID-BreakGlassExclusionGroup&gt;"</w:t>
      </w:r>
      <w:r>
        <w:rPr>
          <w:rStyle w:val="OtherTok"/>
        </w:rPr>
        <w:t xml:space="preserve">,</w:t>
      </w:r>
      <w:r>
        <w:rPr>
          <w:rStyle w:val="NormalTok"/>
        </w:rPr>
        <w:t xml:space="preserve"> </w:t>
      </w:r>
      <w:r>
        <w:rPr>
          <w:rStyle w:val="StringTok"/>
        </w:rPr>
        <w:t xml:space="preserve">"&lt;GUID-AdminsGroup&gt;"</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"browser"</w:t>
      </w:r>
      <w:r>
        <w:rPr>
          <w:rStyle w:val="OtherTok"/>
        </w:rPr>
        <w:t xml:space="preserve">,</w:t>
      </w:r>
      <w:r>
        <w:rPr>
          <w:rStyle w:val="NormalTok"/>
        </w:rPr>
        <w:t xml:space="preserve"> </w:t>
      </w:r>
      <w:r>
        <w:rPr>
          <w:rStyle w:val="StringTok"/>
        </w:rPr>
        <w:t xml:space="preserve">"mobileAppsAndDesktopClients"</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br/>
      </w:r>
      <w:r>
        <w:rPr>
          <w:rStyle w:val="NormalTok"/>
        </w:rPr>
        <w:t xml:space="preserve">    </w:t>
      </w:r>
      <w:r>
        <w:rPr>
          <w:rStyle w:val="DataTypeTok"/>
        </w:rPr>
        <w:t xml:space="preserve">"authenticationStrength"</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"&lt;GUID-MFA&gt;"</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"sessionControls"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"signInFrequency"</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"value"</w:t>
      </w:r>
      <w:r>
        <w:rPr>
          <w:rStyle w:val="FunctionTok"/>
        </w:rPr>
        <w:t xml:space="preserve">:</w:t>
      </w:r>
      <w:r>
        <w:rPr>
          <w:rStyle w:val="NormalTok"/>
        </w:rPr>
        <w:t xml:space="preserve"> </w:t>
      </w:r>
      <w:r>
        <w:rPr>
          <w:rStyle w:val="DecValTok"/>
        </w:rPr>
        <w:t xml:space="preserve">12</w:t>
      </w:r>
      <w:r>
        <w:rPr>
          <w:rStyle w:val="FunctionTok"/>
        </w:rPr>
        <w:t xml:space="preserve">,</w:t>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"hours"</w:t>
      </w:r>
      <w:r>
        <w:rPr>
          <w:rStyle w:val="FunctionTok"/>
        </w:rPr>
        <w:t xml:space="preserve">,</w:t>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FunctionTok"/>
        </w:rPr>
        <w:t xml:space="preserve">}</w:t>
      </w:r>
    </w:p>
    <w:bookmarkEnd w:id="1324"/>
    <w:bookmarkStart w:id="1325" w:name="Xa29f18fd07b5fe509e94926beed65405b168da1"/>
    <w:p>
      <w:pPr>
        <w:pStyle w:val="Heading3"/>
      </w:pPr>
      <w:r>
        <w:t xml:space="preserve">CA008: block sign-ins from outside the United States for internals</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"CA008-Internals-BlockNonUSLocations"</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"includeGroups"</w:t>
      </w:r>
      <w:r>
        <w:rPr>
          <w:rStyle w:val="FunctionTok"/>
        </w:rPr>
        <w:t xml:space="preserve">:</w:t>
      </w:r>
      <w:r>
        <w:rPr>
          <w:rStyle w:val="NormalTok"/>
        </w:rPr>
        <w:t xml:space="preserve"> </w:t>
      </w:r>
      <w:r>
        <w:rPr>
          <w:rStyle w:val="OtherTok"/>
        </w:rPr>
        <w:t xml:space="preserve">[</w:t>
      </w:r>
      <w:r>
        <w:rPr>
          <w:rStyle w:val="StringTok"/>
        </w:rPr>
        <w:t xml:space="preserve">"&lt;GUID-InternalsGroup&gt;"</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"&lt;GUID-BreakGlassExclusionGroup&gt;"</w:t>
      </w:r>
      <w:r>
        <w:rPr>
          <w:rStyle w:val="OtherTok"/>
        </w:rPr>
        <w:t xml:space="preserve">,</w:t>
      </w:r>
      <w:r>
        <w:rPr>
          <w:rStyle w:val="NormalTok"/>
        </w:rPr>
        <w:t xml:space="preserve"> </w:t>
      </w:r>
      <w:r>
        <w:rPr>
          <w:rStyle w:val="StringTok"/>
        </w:rPr>
        <w:t xml:space="preserve">"&lt;GUID-ApprovedTravelExceptions&gt;"</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"locations"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"includeLocations"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br/>
      </w:r>
      <w:r>
        <w:rPr>
          <w:rStyle w:val="NormalTok"/>
        </w:rPr>
        <w:t xml:space="preserve">      </w:t>
      </w:r>
      <w:r>
        <w:rPr>
          <w:rStyle w:val="DataTypeTok"/>
        </w:rPr>
        <w:t xml:space="preserve">"excludeLocations"</w:t>
      </w:r>
      <w:r>
        <w:rPr>
          <w:rStyle w:val="FunctionTok"/>
        </w:rPr>
        <w:t xml:space="preserve">:</w:t>
      </w:r>
      <w:r>
        <w:rPr>
          <w:rStyle w:val="NormalTok"/>
        </w:rPr>
        <w:t xml:space="preserve"> </w:t>
      </w:r>
      <w:r>
        <w:rPr>
          <w:rStyle w:val="OtherTok"/>
        </w:rPr>
        <w:t xml:space="preserve">[</w:t>
      </w:r>
      <w:r>
        <w:rPr>
          <w:rStyle w:val="StringTok"/>
        </w:rPr>
        <w:t xml:space="preserve">"&lt;GUID-TrustedCountriesUS&gt;"</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"browser"</w:t>
      </w:r>
      <w:r>
        <w:rPr>
          <w:rStyle w:val="OtherTok"/>
        </w:rPr>
        <w:t xml:space="preserve">,</w:t>
      </w:r>
      <w:r>
        <w:rPr>
          <w:rStyle w:val="NormalTok"/>
        </w:rPr>
        <w:t xml:space="preserve"> </w:t>
      </w:r>
      <w:r>
        <w:rPr>
          <w:rStyle w:val="StringTok"/>
        </w:rPr>
        <w:t xml:space="preserve">"mobileAppsAndDesktopClients"</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br/>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"block"</w:t>
      </w:r>
      <w:r>
        <w:rPr>
          <w:rStyle w:val="OtherTok"/>
        </w:rPr>
        <w:t xml:space="preserve">]</w:t>
      </w:r>
      <w:r>
        <w:br/>
      </w:r>
      <w:r>
        <w:rPr>
          <w:rStyle w:val="NormalTok"/>
        </w:rPr>
        <w:t xml:space="preserve">  </w:t>
      </w:r>
      <w:r>
        <w:rPr>
          <w:rStyle w:val="FunctionTok"/>
        </w:rPr>
        <w:t xml:space="preserve">}</w:t>
      </w:r>
      <w:r>
        <w:br/>
      </w:r>
      <w:r>
        <w:rPr>
          <w:rStyle w:val="FunctionTok"/>
        </w:rPr>
        <w:t xml:space="preserve">}</w:t>
      </w:r>
    </w:p>
    <w:bookmarkEnd w:id="1325"/>
    <w:bookmarkStart w:id="1329" w:name="X43458533e919fb564c6c7895ad2184d828f3b57"/>
    <w:p>
      <w:pPr>
        <w:pStyle w:val="Heading3"/>
      </w:pPr>
      <w:r>
        <w:t xml:space="preserve">CA013: high user risk requires risk remediation</w:t>
      </w:r>
    </w:p>
    <w:p>
      <w:pPr>
        <w:pStyle w:val="FirstParagraph"/>
      </w:pPr>
      <w:r>
        <w:t xml:space="preserve">This template replaces the earlier</w:t>
      </w:r>
      <w:r>
        <w:t xml:space="preserve"> </w:t>
      </w:r>
      <w:r>
        <w:t xml:space="preserve">“require password change and MFA”</w:t>
      </w:r>
      <w:r>
        <w:t xml:space="preserve"> </w:t>
      </w:r>
      <w:r>
        <w:t xml:space="preserve">version.</w:t>
      </w:r>
      <w:r>
        <w:t xml:space="preserve"> </w:t>
      </w:r>
      <w:r>
        <w:rPr>
          <w:rStyle w:val="VerbatimChar"/>
        </w:rPr>
        <w:t xml:space="preserve">riskRemediation</w:t>
      </w:r>
      <w:r>
        <w:t xml:space="preserve"> </w:t>
      </w:r>
      <w:r>
        <w:t xml:space="preserve">is a newer member of the grant control enumeration; Microsoft Graph returns it only when the request carries the header</w:t>
      </w:r>
      <w:r>
        <w:t xml:space="preserve"> </w:t>
      </w:r>
      <w:r>
        <w:rPr>
          <w:rStyle w:val="VerbatimChar"/>
        </w:rPr>
        <w:t xml:space="preserve">Prefer: include-unknown-enum-members</w:t>
      </w:r>
      <w:r>
        <w:t xml:space="preserve">.</w:t>
      </w:r>
      <w:r>
        <w:rPr>
          <w:rStyle w:val="FootnoteReference"/>
        </w:rPr>
        <w:footnoteReference w:id="1326"/>
      </w:r>
      <w:r>
        <w:t xml:space="preserve"> </w:t>
      </w:r>
      <w:r>
        <w:t xml:space="preserve">When you select it in the admin center, the authentication strength and an every-time sign-in frequency are applied automatically and are mandatory,</w:t>
      </w:r>
      <w:r>
        <w:rPr>
          <w:rStyle w:val="FootnoteReference"/>
        </w:rPr>
        <w:footnoteReference w:id="1328"/>
      </w:r>
      <w:r>
        <w:t xml:space="preserve"> </w:t>
      </w:r>
      <w:r>
        <w:t xml:space="preserve">so the safest way to get the exact shape for your tenant is to create the policy in the admin center and export it.</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"CA013-AllUsers-HighUserRisk-RequireRemediation"</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"&lt;GUID-BreakGlassExclusionGroup&gt;"</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"userRiskLevels"</w:t>
      </w:r>
      <w:r>
        <w:rPr>
          <w:rStyle w:val="FunctionTok"/>
        </w:rPr>
        <w:t xml:space="preserve">:</w:t>
      </w:r>
      <w:r>
        <w:rPr>
          <w:rStyle w:val="NormalTok"/>
        </w:rPr>
        <w:t xml:space="preserve"> </w:t>
      </w:r>
      <w:r>
        <w:rPr>
          <w:rStyle w:val="OtherTok"/>
        </w:rPr>
        <w:t xml:space="preserve">[</w:t>
      </w:r>
      <w:r>
        <w:rPr>
          <w:rStyle w:val="StringTok"/>
        </w:rPr>
        <w:t xml:space="preserve">"high"</w:t>
      </w:r>
      <w:r>
        <w:rPr>
          <w:rStyle w:val="OtherTok"/>
        </w:rPr>
        <w:t xml:space="preserve">]</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"AND"</w:t>
      </w:r>
      <w:r>
        <w:rPr>
          <w:rStyle w:val="FunctionTok"/>
        </w:rPr>
        <w:t xml:space="preserve">,</w:t>
      </w:r>
      <w:r>
        <w:br/>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"riskRemediation"</w:t>
      </w:r>
      <w:r>
        <w:rPr>
          <w:rStyle w:val="OtherTok"/>
        </w:rPr>
        <w:t xml:space="preserve">]</w:t>
      </w:r>
      <w:r>
        <w:rPr>
          <w:rStyle w:val="FunctionTok"/>
        </w:rPr>
        <w:t xml:space="preserve">,</w:t>
      </w:r>
      <w:r>
        <w:br/>
      </w:r>
      <w:r>
        <w:rPr>
          <w:rStyle w:val="NormalTok"/>
        </w:rPr>
        <w:t xml:space="preserve">    </w:t>
      </w:r>
      <w:r>
        <w:rPr>
          <w:rStyle w:val="DataTypeTok"/>
        </w:rPr>
        <w:t xml:space="preserve">"authenticationStrength"</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"&lt;GUID-MFA&gt;"</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"sessionControls"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"signInFrequency"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NormalTok"/>
        </w:rPr>
        <w:t xml:space="preserve">      </w:t>
      </w:r>
      <w:r>
        <w:rPr>
          <w:rStyle w:val="DataTypeTok"/>
        </w:rPr>
        <w:t xml:space="preserve">"frequencyInterval"</w:t>
      </w:r>
      <w:r>
        <w:rPr>
          <w:rStyle w:val="FunctionTok"/>
        </w:rPr>
        <w:t xml:space="preserve">:</w:t>
      </w:r>
      <w:r>
        <w:rPr>
          <w:rStyle w:val="NormalTok"/>
        </w:rPr>
        <w:t xml:space="preserve"> </w:t>
      </w:r>
      <w:r>
        <w:rPr>
          <w:rStyle w:val="StringTok"/>
        </w:rPr>
        <w:t xml:space="preserve">"everyTime"</w:t>
      </w:r>
      <w:r>
        <w:rPr>
          <w:rStyle w:val="FunctionTok"/>
        </w:rPr>
        <w:t xml:space="preserve">,</w:t>
      </w:r>
      <w:r>
        <w:br/>
      </w:r>
      <w:r>
        <w:rPr>
          <w:rStyle w:val="NormalTok"/>
        </w:rPr>
        <w:t xml:space="preserve">      </w:t>
      </w:r>
      <w:r>
        <w:rPr>
          <w:rStyle w:val="DataTypeTok"/>
        </w:rPr>
        <w:t xml:space="preserve">"authenticationType"</w:t>
      </w:r>
      <w:r>
        <w:rPr>
          <w:rStyle w:val="FunctionTok"/>
        </w:rPr>
        <w:t xml:space="preserve">:</w:t>
      </w:r>
      <w:r>
        <w:rPr>
          <w:rStyle w:val="NormalTok"/>
        </w:rPr>
        <w:t xml:space="preserve"> </w:t>
      </w:r>
      <w:r>
        <w:rPr>
          <w:rStyle w:val="StringTok"/>
        </w:rPr>
        <w:t xml:space="preserve">"primaryAndSecondaryAuthentication"</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FunctionTok"/>
        </w:rPr>
        <w:t xml:space="preserve">}</w:t>
      </w:r>
    </w:p>
    <w:bookmarkEnd w:id="1329"/>
    <w:bookmarkStart w:id="1331" w:name="X351a63e0c1255007b4caa58c36a9e92a3ea83ec"/>
    <w:p>
      <w:pPr>
        <w:pStyle w:val="Heading3"/>
      </w:pPr>
      <w:r>
        <w:t xml:space="preserve">CA015: service accounts restricted to trusted networks</w:t>
      </w:r>
    </w:p>
    <w:p>
      <w:pPr>
        <w:pStyle w:val="FirstParagraph"/>
      </w:pPr>
      <w:r>
        <w:t xml:space="preserve">Conditional Access for workload identities needs Workload Identities Premium licensing and applies only to single-tenant service principals. Microsoft’s sample uses the Graph beta endpoint.</w:t>
      </w:r>
      <w:r>
        <w:rPr>
          <w:rStyle w:val="FootnoteReference"/>
        </w:rPr>
        <w:footnoteReference w:id="1330"/>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"CA015-ServiceAccounts-LocationRestriction"</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"clientApplications"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"includeServicePrincipals"</w:t>
      </w:r>
      <w:r>
        <w:rPr>
          <w:rStyle w:val="FunctionTok"/>
        </w:rPr>
        <w:t xml:space="preserve">:</w:t>
      </w:r>
      <w:r>
        <w:rPr>
          <w:rStyle w:val="NormalTok"/>
        </w:rPr>
        <w:t xml:space="preserve"> </w:t>
      </w:r>
      <w:r>
        <w:rPr>
          <w:rStyle w:val="OtherTok"/>
        </w:rPr>
        <w:t xml:space="preserve">[</w:t>
      </w:r>
      <w:r>
        <w:rPr>
          <w:rStyle w:val="StringTok"/>
        </w:rPr>
        <w:t xml:space="preserve">"ServicePrincipalsInMyTenant"</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"locations"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"includeLocations"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br/>
      </w:r>
      <w:r>
        <w:rPr>
          <w:rStyle w:val="NormalTok"/>
        </w:rPr>
        <w:t xml:space="preserve">      </w:t>
      </w:r>
      <w:r>
        <w:rPr>
          <w:rStyle w:val="DataTypeTok"/>
        </w:rPr>
        <w:t xml:space="preserve">"excludeLocations"</w:t>
      </w:r>
      <w:r>
        <w:rPr>
          <w:rStyle w:val="FunctionTok"/>
        </w:rPr>
        <w:t xml:space="preserve">:</w:t>
      </w:r>
      <w:r>
        <w:rPr>
          <w:rStyle w:val="NormalTok"/>
        </w:rPr>
        <w:t xml:space="preserve"> </w:t>
      </w:r>
      <w:r>
        <w:rPr>
          <w:rStyle w:val="OtherTok"/>
        </w:rPr>
        <w:t xml:space="preserve">[</w:t>
      </w:r>
      <w:r>
        <w:rPr>
          <w:rStyle w:val="StringTok"/>
        </w:rPr>
        <w:t xml:space="preserve">"&lt;GUID-TrustedNetworks&gt;"</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"AND"</w:t>
      </w:r>
      <w:r>
        <w:rPr>
          <w:rStyle w:val="FunctionTok"/>
        </w:rPr>
        <w:t xml:space="preserve">,</w:t>
      </w:r>
      <w:r>
        <w:br/>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"block"</w:t>
      </w:r>
      <w:r>
        <w:rPr>
          <w:rStyle w:val="OtherTok"/>
        </w:rPr>
        <w:t xml:space="preserve">]</w:t>
      </w:r>
      <w:r>
        <w:br/>
      </w:r>
      <w:r>
        <w:rPr>
          <w:rStyle w:val="NormalTok"/>
        </w:rPr>
        <w:t xml:space="preserve">  </w:t>
      </w:r>
      <w:r>
        <w:rPr>
          <w:rStyle w:val="FunctionTok"/>
        </w:rPr>
        <w:t xml:space="preserve">}</w:t>
      </w:r>
      <w:r>
        <w:br/>
      </w:r>
      <w:r>
        <w:rPr>
          <w:rStyle w:val="FunctionTok"/>
        </w:rPr>
        <w:t xml:space="preserve">}</w:t>
      </w:r>
    </w:p>
    <w:p>
      <w:pPr>
        <w:pStyle w:val="FirstParagraph"/>
      </w:pPr>
      <w:r>
        <w:t xml:space="preserve">The other policies in the set (CA004, CA005, CA007, CA009 through CA012, CA014, CA016, and CA017) follow the same structure. CA002 is retired; the break-glass exemption is the exclusion on every policy. Export your configured policies as JSON for the Git baseline:</w:t>
      </w:r>
    </w:p>
    <w:bookmarkEnd w:id="1331"/>
    <w:bookmarkStart w:id="1332" w:name="illustrative-code-7"/>
    <w:p>
      <w:pPr>
        <w:pStyle w:val="Heading2"/>
      </w:pPr>
      <w:bookmarkStart w:id="1529" w:name="_Toc00001529"/>
      <w:r>
        <w:t xml:space="preserve">Illustrative code</w:t>
      </w:r>
      <w:bookmarkEnd w:id="1529"/>
    </w:p>
    <w:p>
      <w:pPr>
        <w:pStyle w:val="FirstParagraph"/>
      </w:pPr>
      <w:r>
        <w:t xml:space="preserve">The PowerShell in this appendix is illustrative. It hasn’t been tested against a production forest or tenant. Review it, and run it first against a lab forest and a test tenant with read-only permissions. The write operations (creating groups and issues) run only when you call them explicitly.</w:t>
      </w:r>
    </w:p>
    <w:bookmarkEnd w:id="1332"/>
    <w:p>
      <w:pPr>
        <w:pStyle w:val="SourceCode"/>
      </w:pPr>
      <w:r>
        <w:rPr>
          <w:rStyle w:val="CommentTok"/>
        </w:rPr>
        <w:t xml:space="preserve">#Requires -Modules Microsoft.Graph.Identity.SignIns</w:t>
      </w:r>
      <w:r>
        <w:br/>
      </w:r>
      <w:r>
        <w:rPr>
          <w:rStyle w:val="NormalTok"/>
        </w:rPr>
        <w:t xml:space="preserve">Connect-MgGraph </w:t>
      </w:r>
      <w:r>
        <w:rPr>
          <w:rStyle w:val="OperatorTok"/>
        </w:rPr>
        <w:t xml:space="preserve">-</w:t>
      </w:r>
      <w:r>
        <w:rPr>
          <w:rStyle w:val="NormalTok"/>
        </w:rPr>
        <w:t xml:space="preserve">Scopes </w:t>
      </w:r>
      <w:r>
        <w:rPr>
          <w:rStyle w:val="StringTok"/>
        </w:rPr>
        <w:t xml:space="preserve">'Policy.Read.All'</w:t>
      </w:r>
      <w:r>
        <w:br/>
      </w:r>
      <w:r>
        <w:br/>
      </w:r>
      <w:r>
        <w:rPr>
          <w:rStyle w:val="VariableTok"/>
        </w:rPr>
        <w:t xml:space="preserve">$exportPath</w:t>
      </w:r>
      <w:r>
        <w:rPr>
          <w:rStyle w:val="NormalTok"/>
        </w:rPr>
        <w:t xml:space="preserve"> </w:t>
      </w:r>
      <w:r>
        <w:rPr>
          <w:rStyle w:val="OperatorTok"/>
        </w:rPr>
        <w:t xml:space="preserve">=</w:t>
      </w:r>
      <w:r>
        <w:rPr>
          <w:rStyle w:val="NormalTok"/>
        </w:rPr>
        <w:t xml:space="preserve"> </w:t>
      </w:r>
      <w:r>
        <w:rPr>
          <w:rStyle w:val="StringTok"/>
        </w:rPr>
        <w:t xml:space="preserve">"C:\FMP\Exports\CA_Policies_</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w:t>
      </w:r>
      <w:r>
        <w:rPr>
          <w:rStyle w:val="OperatorTok"/>
        </w:rPr>
        <w:t xml:space="preserve">)</w:t>
      </w:r>
      <w:r>
        <w:rPr>
          <w:rStyle w:val="StringTok"/>
        </w:rPr>
        <w:t xml:space="preserve">.json"</w:t>
      </w:r>
      <w:r>
        <w:br/>
      </w:r>
      <w:r>
        <w:rPr>
          <w:rStyle w:val="VariableTok"/>
        </w:rPr>
        <w:t xml:space="preserve">$policies</w:t>
      </w:r>
      <w:r>
        <w:rPr>
          <w:rStyle w:val="NormalTok"/>
        </w:rPr>
        <w:t xml:space="preserve"> </w:t>
      </w:r>
      <w:r>
        <w:rPr>
          <w:rStyle w:val="OperatorTok"/>
        </w:rPr>
        <w:t xml:space="preserve">=</w:t>
      </w:r>
      <w:r>
        <w:rPr>
          <w:rStyle w:val="NormalTok"/>
        </w:rPr>
        <w:t xml:space="preserve"> Get-MgIdentityConditionalAccessPolicy </w:t>
      </w:r>
      <w:r>
        <w:rPr>
          <w:rStyle w:val="OperatorTok"/>
        </w:rPr>
        <w:t xml:space="preserve">-</w:t>
      </w:r>
      <w:r>
        <w:rPr>
          <w:rStyle w:val="NormalTok"/>
        </w:rPr>
        <w:t xml:space="preserve">All</w:t>
      </w:r>
      <w:r>
        <w:br/>
      </w:r>
      <w:r>
        <w:rPr>
          <w:rStyle w:val="VariableTok"/>
        </w:rPr>
        <w:t xml:space="preserve">$policies</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10</w:t>
      </w:r>
      <w:r>
        <w:rPr>
          <w:rStyle w:val="NormalTok"/>
        </w:rPr>
        <w:t xml:space="preserve"> </w:t>
      </w:r>
      <w:r>
        <w:rPr>
          <w:rStyle w:val="OperatorTok"/>
        </w:rPr>
        <w:t xml:space="preserve">|</w:t>
      </w:r>
      <w:r>
        <w:rPr>
          <w:rStyle w:val="NormalTok"/>
        </w:rPr>
        <w:t xml:space="preserve"> </w:t>
      </w:r>
      <w:r>
        <w:rPr>
          <w:rStyle w:val="FunctionTok"/>
        </w:rPr>
        <w:t xml:space="preserve">Out-File</w:t>
      </w:r>
      <w:r>
        <w:rPr>
          <w:rStyle w:val="NormalTok"/>
        </w:rPr>
        <w:t xml:space="preserve"> </w:t>
      </w:r>
      <w:r>
        <w:rPr>
          <w:rStyle w:val="OperatorTok"/>
        </w:rPr>
        <w:t xml:space="preserve">-</w:t>
      </w:r>
      <w:r>
        <w:rPr>
          <w:rStyle w:val="NormalTok"/>
        </w:rPr>
        <w:t xml:space="preserve">FilePath </w:t>
      </w:r>
      <w:r>
        <w:rPr>
          <w:rStyle w:val="VariableTok"/>
        </w:rPr>
        <w:t xml:space="preserve">$exportPath</w:t>
      </w:r>
      <w:r>
        <w:rPr>
          <w:rStyle w:val="NormalTok"/>
        </w:rPr>
        <w:t xml:space="preserve"> </w:t>
      </w:r>
      <w:r>
        <w:rPr>
          <w:rStyle w:val="OperatorTok"/>
        </w:rPr>
        <w:t xml:space="preserve">-</w:t>
      </w:r>
      <w:r>
        <w:rPr>
          <w:rStyle w:val="NormalTok"/>
        </w:rPr>
        <w:t xml:space="preserve">Encoding UTF8</w:t>
      </w:r>
      <w:r>
        <w:br/>
      </w:r>
      <w:r>
        <w:rPr>
          <w:rStyle w:val="FunctionTok"/>
        </w:rPr>
        <w:t xml:space="preserve">Write-Host</w:t>
      </w:r>
      <w:r>
        <w:rPr>
          <w:rStyle w:val="NormalTok"/>
        </w:rPr>
        <w:t xml:space="preserve"> </w:t>
      </w:r>
      <w:r>
        <w:rPr>
          <w:rStyle w:val="StringTok"/>
        </w:rPr>
        <w:t xml:space="preserve">"Exported </w:t>
      </w:r>
      <w:r>
        <w:rPr>
          <w:rStyle w:val="OperatorTok"/>
        </w:rPr>
        <w:t xml:space="preserve">$(</w:t>
      </w:r>
      <w:r>
        <w:rPr>
          <w:rStyle w:val="VariableTok"/>
        </w:rPr>
        <w:t xml:space="preserve">$policies</w:t>
      </w:r>
      <w:r>
        <w:rPr>
          <w:rStyle w:val="OperatorTok"/>
        </w:rPr>
        <w:t xml:space="preserve">.</w:t>
      </w:r>
      <w:r>
        <w:rPr>
          <w:rStyle w:val="FunctionTok"/>
        </w:rPr>
        <w:t xml:space="preserve">Count</w:t>
      </w:r>
      <w:r>
        <w:rPr>
          <w:rStyle w:val="OperatorTok"/>
        </w:rPr>
        <w:t xml:space="preserve">)</w:t>
      </w:r>
      <w:r>
        <w:rPr>
          <w:rStyle w:val="StringTok"/>
        </w:rPr>
        <w:t xml:space="preserve"> Conditional Access policies to </w:t>
      </w:r>
      <w:r>
        <w:rPr>
          <w:rStyle w:val="VariableTok"/>
        </w:rPr>
        <w:t xml:space="preserve">$exportPath</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br/>
      </w:r>
      <w:r>
        <w:rPr>
          <w:rStyle w:val="NormalTok"/>
        </w:rPr>
        <w:t xml:space="preserve">Disconnect-MgGraph</w:t>
      </w:r>
    </w:p>
    <w:bookmarkStart w:id="1359" w:name="the-fmpidentityassessment-module"/>
    <w:p>
      <w:pPr>
        <w:pStyle w:val="Heading2"/>
      </w:pPr>
      <w:bookmarkStart w:id="1530" w:name="_Toc00001530"/>
      <w:r>
        <w:t xml:space="preserve">The FMPIdentityAssessment module</w:t>
      </w:r>
      <w:bookmarkEnd w:id="1530"/>
    </w:p>
    <w:p>
      <w:pPr>
        <w:pStyle w:val="FirstParagraph"/>
      </w:pPr>
      <w:r>
        <w:t xml:space="preserve">The FMPIdentityAssessment module packages the identity assessment and drift functions used in Chapters 09 and 10. It’s a script module (</w:t>
      </w:r>
      <w:r>
        <w:rPr>
          <w:rStyle w:val="VerbatimChar"/>
        </w:rPr>
        <w:t xml:space="preserve">.psm1</w:t>
      </w:r>
      <w:r>
        <w:t xml:space="preserve">) with a manifest (</w:t>
      </w:r>
      <w:r>
        <w:rPr>
          <w:rStyle w:val="VerbatimChar"/>
        </w:rPr>
        <w:t xml:space="preserve">.psd1</w:t>
      </w:r>
      <w:r>
        <w:t xml:space="preserve">).</w:t>
      </w:r>
    </w:p>
    <w:bookmarkStart w:id="1344" w:name="tooling-microsoft-graph-powershell-only"/>
    <w:p>
      <w:pPr>
        <w:pStyle w:val="Heading3"/>
      </w:pPr>
      <w:r>
        <w:t xml:space="preserve">Tooling: Microsoft Graph PowerShell only</w:t>
      </w:r>
    </w:p>
    <w:p>
      <w:pPr>
        <w:pStyle w:val="FirstParagraph"/>
      </w:pPr>
      <w:r>
        <w:t xml:space="preserve">The module uses the</w:t>
      </w:r>
      <w:r>
        <w:t xml:space="preserve"> </w:t>
      </w:r>
      <w:r>
        <w:rPr>
          <w:rStyle w:val="VerbatimChar"/>
        </w:rPr>
        <w:t xml:space="preserve">ActiveDirectory</w:t>
      </w:r>
      <w:r>
        <w:t xml:space="preserve"> </w:t>
      </w:r>
      <w:r>
        <w:t xml:space="preserve">module for the forest and the Microsoft Graph PowerShell SDK for the tenant. It doesn’t use the MSOnline or AzureAD modules, and nothing in this book should. Microsoft deprecated both on March 30, 2024. MSOnline was retired, and stopped working, between early April and late May 2025; AzureAD lost support after March 30, 2025 and was retired in early July 2025.</w:t>
      </w:r>
      <w:r>
        <w:rPr>
          <w:rStyle w:val="FootnoteReference"/>
        </w:rPr>
        <w:footnoteReference w:id="1333"/>
      </w:r>
      <w:r>
        <w:t xml:space="preserve"> </w:t>
      </w:r>
      <w:r>
        <w:t xml:space="preserve">Microsoft’s migration guide and cmdlet map cover the replacements,</w:t>
      </w:r>
      <w:r>
        <w:rPr>
          <w:rStyle w:val="FootnoteReference"/>
        </w:rPr>
        <w:footnoteReference w:id="1334"/>
      </w:r>
      <w:r>
        <w:rPr>
          <w:rStyle w:val="FootnoteReference"/>
        </w:rPr>
        <w:footnoteReference w:id="1336"/>
      </w:r>
      <w:r>
        <w:t xml:space="preserve"> </w:t>
      </w:r>
      <w:r>
        <w:t xml:space="preserve">and the ones that matter for this book are: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Retired cmdlet</w:t>
            </w:r>
          </w:p>
        </w:tc>
        <w:tc>
          <w:tcPr/>
          <w:p>
            <w:pPr>
              <w:pStyle w:val="Compact"/>
            </w:pPr>
            <w:r>
              <w:t xml:space="preserve">Microsoft Graph PowerShell replacement</w:t>
            </w:r>
          </w:p>
        </w:tc>
      </w:tr>
      <w:tr>
        <w:tc>
          <w:tcPr/>
          <w:p>
            <w:pPr>
              <w:pStyle w:val="Compact"/>
            </w:pPr>
            <w:r>
              <w:rPr>
                <w:rStyle w:val="VerbatimChar"/>
              </w:rPr>
              <w:t xml:space="preserve">Connect-MsolService</w:t>
            </w:r>
            <w:r>
              <w:t xml:space="preserve">,</w:t>
            </w:r>
            <w:r>
              <w:t xml:space="preserve"> </w:t>
            </w:r>
            <w:r>
              <w:rPr>
                <w:rStyle w:val="VerbatimChar"/>
              </w:rPr>
              <w:t xml:space="preserve">Connect-AzureAD</w:t>
            </w:r>
          </w:p>
        </w:tc>
        <w:tc>
          <w:tcPr/>
          <w:p>
            <w:pPr>
              <w:pStyle w:val="Compact"/>
            </w:pPr>
            <w:r>
              <w:rPr>
                <w:rStyle w:val="VerbatimChar"/>
              </w:rPr>
              <w:t xml:space="preserve">Connect-MgGraph</w:t>
            </w:r>
          </w:p>
        </w:tc>
      </w:tr>
      <w:tr>
        <w:tc>
          <w:tcPr/>
          <w:p>
            <w:pPr>
              <w:pStyle w:val="Compact"/>
            </w:pPr>
            <w:r>
              <w:rPr>
                <w:rStyle w:val="VerbatimChar"/>
              </w:rPr>
              <w:t xml:space="preserve">Get-MsolUser</w:t>
            </w:r>
            <w:r>
              <w:t xml:space="preserve">,</w:t>
            </w:r>
            <w:r>
              <w:t xml:space="preserve"> </w:t>
            </w:r>
            <w:r>
              <w:rPr>
                <w:rStyle w:val="VerbatimChar"/>
              </w:rPr>
              <w:t xml:space="preserve">Get-AzureADUser</w:t>
            </w:r>
          </w:p>
        </w:tc>
        <w:tc>
          <w:tcPr/>
          <w:p>
            <w:pPr>
              <w:pStyle w:val="Compact"/>
            </w:pPr>
            <w:r>
              <w:rPr>
                <w:rStyle w:val="VerbatimChar"/>
              </w:rPr>
              <w:t xml:space="preserve">Get-MgUser</w:t>
            </w:r>
          </w:p>
        </w:tc>
      </w:tr>
      <w:tr>
        <w:tc>
          <w:tcPr/>
          <w:p>
            <w:pPr>
              <w:pStyle w:val="Compact"/>
            </w:pPr>
            <w:r>
              <w:rPr>
                <w:rStyle w:val="VerbatimChar"/>
              </w:rPr>
              <w:t xml:space="preserve">Convert-MsolDomainToStandard</w:t>
            </w:r>
          </w:p>
        </w:tc>
        <w:tc>
          <w:tcPr/>
          <w:p>
            <w:pPr>
              <w:pStyle w:val="Compact"/>
            </w:pPr>
            <w:r>
              <w:rPr>
                <w:rStyle w:val="VerbatimChar"/>
              </w:rPr>
              <w:t xml:space="preserve">Update-MgDomain -AuthenticationType "Managed"</w:t>
            </w:r>
            <w:r>
              <w:t xml:space="preserve"> </w:t>
            </w:r>
            <w:r>
              <w:t xml:space="preserve">after staged rollout;</w:t>
            </w:r>
            <w:r>
              <w:t xml:space="preserve"> </w:t>
            </w:r>
            <w:r>
              <w:rPr>
                <w:rStyle w:val="VerbatimChar"/>
              </w:rPr>
              <w:t xml:space="preserve">Remove-MgDomainFederationConfiguration</w:t>
            </w:r>
            <w:r>
              <w:t xml:space="preserve"> </w:t>
            </w:r>
            <w:r>
              <w:t xml:space="preserve">to remove the federation settings</w:t>
            </w:r>
            <w:r>
              <w:rPr>
                <w:rStyle w:val="FootnoteReference"/>
              </w:rPr>
              <w:footnoteReference w:id="1338"/>
            </w:r>
            <w:r>
              <w:rPr>
                <w:rStyle w:val="FootnoteReference"/>
              </w:rPr>
              <w:footnoteReference w:id="1339"/>
            </w:r>
          </w:p>
        </w:tc>
      </w:tr>
      <w:tr>
        <w:tc>
          <w:tcPr/>
          <w:p>
            <w:pPr>
              <w:pStyle w:val="Compact"/>
            </w:pPr>
            <w:r>
              <w:rPr>
                <w:rStyle w:val="VerbatimChar"/>
              </w:rPr>
              <w:t xml:space="preserve">Convert-MsolDomainToFederated</w:t>
            </w:r>
          </w:p>
        </w:tc>
        <w:tc>
          <w:tcPr/>
          <w:p>
            <w:pPr>
              <w:pStyle w:val="Compact"/>
            </w:pPr>
            <w:r>
              <w:rPr>
                <w:rStyle w:val="VerbatimChar"/>
              </w:rPr>
              <w:t xml:space="preserve">New-MgDomainFederationConfiguration</w:t>
            </w:r>
          </w:p>
        </w:tc>
      </w:tr>
      <w:tr>
        <w:tc>
          <w:tcPr/>
          <w:p>
            <w:pPr>
              <w:pStyle w:val="Compact"/>
            </w:pPr>
            <w:r>
              <w:rPr>
                <w:rStyle w:val="VerbatimChar"/>
              </w:rPr>
              <w:t xml:space="preserve">Get-AzureADDirectoryRoleMember</w:t>
            </w:r>
          </w:p>
        </w:tc>
        <w:tc>
          <w:tcPr/>
          <w:p>
            <w:pPr>
              <w:pStyle w:val="Compact"/>
            </w:pPr>
            <w:r>
              <w:rPr>
                <w:rStyle w:val="VerbatimChar"/>
              </w:rPr>
              <w:t xml:space="preserve">Get-MgRoleManagementDirectoryRoleAssignment</w:t>
            </w:r>
            <w:r>
              <w:t xml:space="preserve"> </w:t>
            </w:r>
            <w:r>
              <w:t xml:space="preserve">and the PIM schedule cmdlets</w:t>
            </w:r>
          </w:p>
        </w:tc>
      </w:tr>
    </w:tbl>
    <w:p>
      <w:pPr>
        <w:pStyle w:val="BodyText"/>
      </w:pPr>
      <w:r>
        <w:t xml:space="preserve">Role reporting uses the PIM schedule APIs. Active assignments, including activated ones, come from role assignment schedules, whose</w:t>
      </w:r>
      <w:r>
        <w:t xml:space="preserve"> </w:t>
      </w:r>
      <w:r>
        <w:rPr>
          <w:rStyle w:val="VerbatimChar"/>
        </w:rPr>
        <w:t xml:space="preserve">assignmentType</w:t>
      </w:r>
      <w:r>
        <w:t xml:space="preserve"> </w:t>
      </w:r>
      <w:r>
        <w:t xml:space="preserve">is</w:t>
      </w:r>
      <w:r>
        <w:t xml:space="preserve"> </w:t>
      </w:r>
      <w:r>
        <w:rPr>
          <w:rStyle w:val="VerbatimChar"/>
        </w:rPr>
        <w:t xml:space="preserve">Assigned</w:t>
      </w:r>
      <w:r>
        <w:t xml:space="preserve"> </w:t>
      </w:r>
      <w:r>
        <w:t xml:space="preserve">for a standing assignment or</w:t>
      </w:r>
      <w:r>
        <w:t xml:space="preserve"> </w:t>
      </w:r>
      <w:r>
        <w:rPr>
          <w:rStyle w:val="VerbatimChar"/>
        </w:rPr>
        <w:t xml:space="preserve">Activated</w:t>
      </w:r>
      <w:r>
        <w:t xml:space="preserve"> </w:t>
      </w:r>
      <w:r>
        <w:t xml:space="preserve">for one made through PIM;</w:t>
      </w:r>
      <w:r>
        <w:rPr>
          <w:rStyle w:val="FootnoteReference"/>
        </w:rPr>
        <w:footnoteReference w:id="1340"/>
      </w:r>
      <w:r>
        <w:t xml:space="preserve"> </w:t>
      </w:r>
      <w:r>
        <w:t xml:space="preserve">eligible assignments come from</w:t>
      </w:r>
      <w:r>
        <w:t xml:space="preserve"> </w:t>
      </w:r>
      <w:r>
        <w:rPr>
          <w:rStyle w:val="VerbatimChar"/>
        </w:rPr>
        <w:t xml:space="preserve">Get-MgRoleManagementDirectoryRoleEligibilitySchedule</w:t>
      </w:r>
      <w:r>
        <w:t xml:space="preserve"> </w:t>
      </w:r>
      <w:r>
        <w:t xml:space="preserve">in the</w:t>
      </w:r>
      <w:r>
        <w:t xml:space="preserve"> </w:t>
      </w:r>
      <w:r>
        <w:rPr>
          <w:rStyle w:val="VerbatimChar"/>
        </w:rPr>
        <w:t xml:space="preserve">Microsoft.Graph.Identity.Governance</w:t>
      </w:r>
      <w:r>
        <w:t xml:space="preserve"> </w:t>
      </w:r>
      <w:r>
        <w:t xml:space="preserve">module.</w:t>
      </w:r>
      <w:r>
        <w:rPr>
          <w:rStyle w:val="FootnoteReference"/>
        </w:rPr>
        <w:footnoteReference w:id="1342"/>
      </w:r>
      <w:r>
        <w:t xml:space="preserve"> </w:t>
      </w:r>
      <w:r>
        <w:t xml:space="preserve">An earlier version of this module tried to tell eligible from active assignments by looking for a</w:t>
      </w:r>
      <w:r>
        <w:t xml:space="preserve"> </w:t>
      </w:r>
      <w:r>
        <w:rPr>
          <w:rStyle w:val="VerbatimChar"/>
        </w:rPr>
        <w:t xml:space="preserve">ScheduleInfo</w:t>
      </w:r>
      <w:r>
        <w:t xml:space="preserve"> </w:t>
      </w:r>
      <w:r>
        <w:t xml:space="preserve">property on</w:t>
      </w:r>
      <w:r>
        <w:t xml:space="preserve"> </w:t>
      </w:r>
      <w:r>
        <w:rPr>
          <w:rStyle w:val="VerbatimChar"/>
        </w:rPr>
        <w:t xml:space="preserve">Get-MgRoleManagementDirectoryRoleAssignment</w:t>
      </w:r>
      <w:r>
        <w:t xml:space="preserve"> </w:t>
      </w:r>
      <w:r>
        <w:t xml:space="preserve">output; that property doesn’t exist there, so every assignment was reported as active. The version below fixes it.</w:t>
      </w:r>
    </w:p>
    <w:bookmarkEnd w:id="1344"/>
    <w:bookmarkStart w:id="1345" w:name="module-manifest"/>
    <w:p>
      <w:pPr>
        <w:pStyle w:val="Heading3"/>
      </w:pPr>
      <w:r>
        <w:t xml:space="preserve">Module manifest</w:t>
      </w:r>
    </w:p>
    <w:p>
      <w:pPr>
        <w:pStyle w:val="FirstParagraph"/>
      </w:pPr>
      <w:r>
        <w:t xml:space="preserve">Generate a fresh GUID for your copy with</w:t>
      </w:r>
      <w:r>
        <w:t xml:space="preserve"> </w:t>
      </w:r>
      <w:r>
        <w:rPr>
          <w:rStyle w:val="VerbatimChar"/>
        </w:rPr>
        <w:t xml:space="preserve">New-Guid</w:t>
      </w:r>
      <w:r>
        <w:t xml:space="preserve">; the one shown is a placeholder.</w:t>
      </w:r>
    </w:p>
    <w:p>
      <w:pPr>
        <w:pStyle w:val="SourceCode"/>
      </w:pPr>
      <w:r>
        <w:rPr>
          <w:rStyle w:val="CommentTok"/>
        </w:rPr>
        <w:t xml:space="preserve"># FMPIdentityAssessment.psd1</w:t>
      </w:r>
      <w:r>
        <w:br/>
      </w:r>
      <w:r>
        <w:rPr>
          <w:rStyle w:val="NormalTok"/>
        </w:rPr>
        <w:t xml:space="preserve">@</w:t>
      </w:r>
      <w:r>
        <w:rPr>
          <w:rStyle w:val="OperatorTok"/>
        </w:rPr>
        <w:t xml:space="preserve">{</w:t>
      </w:r>
      <w:r>
        <w:br/>
      </w:r>
      <w:r>
        <w:rPr>
          <w:rStyle w:val="NormalTok"/>
        </w:rPr>
        <w:t xml:space="preserve">    RootModule        </w:t>
      </w:r>
      <w:r>
        <w:rPr>
          <w:rStyle w:val="OperatorTok"/>
        </w:rPr>
        <w:t xml:space="preserve">=</w:t>
      </w:r>
      <w:r>
        <w:rPr>
          <w:rStyle w:val="NormalTok"/>
        </w:rPr>
        <w:t xml:space="preserve"> </w:t>
      </w:r>
      <w:r>
        <w:rPr>
          <w:rStyle w:val="StringTok"/>
        </w:rPr>
        <w:t xml:space="preserve">'FMPIdentityAssessment.psm1'</w:t>
      </w:r>
      <w:r>
        <w:br/>
      </w:r>
      <w:r>
        <w:rPr>
          <w:rStyle w:val="NormalTok"/>
        </w:rPr>
        <w:t xml:space="preserve">    ModuleVersion     </w:t>
      </w:r>
      <w:r>
        <w:rPr>
          <w:rStyle w:val="OperatorTok"/>
        </w:rPr>
        <w:t xml:space="preserve">=</w:t>
      </w:r>
      <w:r>
        <w:rPr>
          <w:rStyle w:val="NormalTok"/>
        </w:rPr>
        <w:t xml:space="preserve"> </w:t>
      </w:r>
      <w:r>
        <w:rPr>
          <w:rStyle w:val="StringTok"/>
        </w:rPr>
        <w:t xml:space="preserve">'1.1.0'</w:t>
      </w:r>
      <w:r>
        <w:br/>
      </w:r>
      <w:r>
        <w:rPr>
          <w:rStyle w:val="NormalTok"/>
        </w:rPr>
        <w:t xml:space="preserve">    GUID              </w:t>
      </w:r>
      <w:r>
        <w:rPr>
          <w:rStyle w:val="OperatorTok"/>
        </w:rPr>
        <w:t xml:space="preserve">=</w:t>
      </w:r>
      <w:r>
        <w:rPr>
          <w:rStyle w:val="NormalTok"/>
        </w:rPr>
        <w:t xml:space="preserve"> </w:t>
      </w:r>
      <w:r>
        <w:rPr>
          <w:rStyle w:val="StringTok"/>
        </w:rPr>
        <w:t xml:space="preserve">'00000000-0000-0000-0000-000000000000'</w:t>
      </w:r>
      <w:r>
        <w:rPr>
          <w:rStyle w:val="NormalTok"/>
        </w:rPr>
        <w:t xml:space="preserve">   </w:t>
      </w:r>
      <w:r>
        <w:rPr>
          <w:rStyle w:val="CommentTok"/>
        </w:rPr>
        <w:t xml:space="preserve"># replace with New-Guid</w:t>
      </w:r>
      <w:r>
        <w:br/>
      </w:r>
      <w:r>
        <w:rPr>
          <w:rStyle w:val="NormalTok"/>
        </w:rPr>
        <w:t xml:space="preserve">    Author            </w:t>
      </w:r>
      <w:r>
        <w:rPr>
          <w:rStyle w:val="OperatorTok"/>
        </w:rPr>
        <w:t xml:space="preserve">=</w:t>
      </w:r>
      <w:r>
        <w:rPr>
          <w:rStyle w:val="NormalTok"/>
        </w:rPr>
        <w:t xml:space="preserve"> </w:t>
      </w:r>
      <w:r>
        <w:rPr>
          <w:rStyle w:val="StringTok"/>
        </w:rPr>
        <w:t xml:space="preserve">'Federal Modernization Program Identity Team'</w:t>
      </w:r>
      <w:r>
        <w:br/>
      </w:r>
      <w:r>
        <w:rPr>
          <w:rStyle w:val="NormalTok"/>
        </w:rPr>
        <w:t xml:space="preserve">    Description       </w:t>
      </w:r>
      <w:r>
        <w:rPr>
          <w:rStyle w:val="OperatorTok"/>
        </w:rPr>
        <w:t xml:space="preserve">=</w:t>
      </w:r>
      <w:r>
        <w:rPr>
          <w:rStyle w:val="NormalTok"/>
        </w:rPr>
        <w:t xml:space="preserve"> </w:t>
      </w:r>
      <w:r>
        <w:rPr>
          <w:rStyle w:val="StringTok"/>
        </w:rPr>
        <w:t xml:space="preserve">'Federal Modernization Program identity assessment: Active Directory to Microsoft Entra ID'</w:t>
      </w:r>
      <w:r>
        <w:br/>
      </w:r>
      <w:r>
        <w:rPr>
          <w:rStyle w:val="NormalTok"/>
        </w:rPr>
        <w:t xml:space="preserve">    PowerShellVersion </w:t>
      </w:r>
      <w:r>
        <w:rPr>
          <w:rStyle w:val="OperatorTok"/>
        </w:rPr>
        <w:t xml:space="preserve">=</w:t>
      </w:r>
      <w:r>
        <w:rPr>
          <w:rStyle w:val="NormalTok"/>
        </w:rPr>
        <w:t xml:space="preserve"> </w:t>
      </w:r>
      <w:r>
        <w:rPr>
          <w:rStyle w:val="StringTok"/>
        </w:rPr>
        <w:t xml:space="preserve">'7.4'</w:t>
      </w:r>
      <w:r>
        <w:br/>
      </w:r>
      <w:r>
        <w:rPr>
          <w:rStyle w:val="NormalTok"/>
        </w:rPr>
        <w:t xml:space="preserve">    RequiredModules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'ActiveDirectory'</w:t>
      </w:r>
      <w:r>
        <w:rPr>
          <w:rStyle w:val="OperatorTok"/>
        </w:rPr>
        <w:t xml:space="preserve">,</w:t>
      </w:r>
      <w:r>
        <w:br/>
      </w:r>
      <w:r>
        <w:rPr>
          <w:rStyle w:val="NormalTok"/>
        </w:rPr>
        <w:t xml:space="preserve">        @</w:t>
      </w:r>
      <w:r>
        <w:rPr>
          <w:rStyle w:val="OperatorTok"/>
        </w:rPr>
        <w:t xml:space="preserve">{</w:t>
      </w:r>
      <w:r>
        <w:rPr>
          <w:rStyle w:val="NormalTok"/>
        </w:rPr>
        <w:t xml:space="preserve"> ModuleName </w:t>
      </w:r>
      <w:r>
        <w:rPr>
          <w:rStyle w:val="OperatorTok"/>
        </w:rPr>
        <w:t xml:space="preserve">=</w:t>
      </w:r>
      <w:r>
        <w:rPr>
          <w:rStyle w:val="NormalTok"/>
        </w:rPr>
        <w:t xml:space="preserve"> </w:t>
      </w:r>
      <w:r>
        <w:rPr>
          <w:rStyle w:val="StringTok"/>
        </w:rPr>
        <w:t xml:space="preserve">'Microsoft.Graph.Authentication'</w:t>
      </w:r>
      <w:r>
        <w:rPr>
          <w:rStyle w:val="OperatorTok"/>
        </w:rPr>
        <w:t xml:space="preserve">;</w:t>
      </w:r>
      <w:r>
        <w:rPr>
          <w:rStyle w:val="NormalTok"/>
        </w:rPr>
        <w:t xml:space="preserve">        ModuleVersion </w:t>
      </w:r>
      <w:r>
        <w:rPr>
          <w:rStyle w:val="OperatorTok"/>
        </w:rPr>
        <w:t xml:space="preserve">=</w:t>
      </w:r>
      <w:r>
        <w:rPr>
          <w:rStyle w:val="NormalTok"/>
        </w:rPr>
        <w:t xml:space="preserve"> </w:t>
      </w:r>
      <w:r>
        <w:rPr>
          <w:rStyle w:val="StringTok"/>
        </w:rPr>
        <w:t xml:space="preserve">'2.0.0'</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ModuleName </w:t>
      </w:r>
      <w:r>
        <w:rPr>
          <w:rStyle w:val="OperatorTok"/>
        </w:rPr>
        <w:t xml:space="preserve">=</w:t>
      </w:r>
      <w:r>
        <w:rPr>
          <w:rStyle w:val="NormalTok"/>
        </w:rPr>
        <w:t xml:space="preserve"> </w:t>
      </w:r>
      <w:r>
        <w:rPr>
          <w:rStyle w:val="StringTok"/>
        </w:rPr>
        <w:t xml:space="preserve">'Microsoft.Graph.Identity.Governance'</w:t>
      </w:r>
      <w:r>
        <w:rPr>
          <w:rStyle w:val="OperatorTok"/>
        </w:rPr>
        <w:t xml:space="preserve">;</w:t>
      </w:r>
      <w:r>
        <w:rPr>
          <w:rStyle w:val="NormalTok"/>
        </w:rPr>
        <w:t xml:space="preserve">   ModuleVersion </w:t>
      </w:r>
      <w:r>
        <w:rPr>
          <w:rStyle w:val="OperatorTok"/>
        </w:rPr>
        <w:t xml:space="preserve">=</w:t>
      </w:r>
      <w:r>
        <w:rPr>
          <w:rStyle w:val="NormalTok"/>
        </w:rPr>
        <w:t xml:space="preserve"> </w:t>
      </w:r>
      <w:r>
        <w:rPr>
          <w:rStyle w:val="StringTok"/>
        </w:rPr>
        <w:t xml:space="preserve">'2.0.0'</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ModuleName </w:t>
      </w:r>
      <w:r>
        <w:rPr>
          <w:rStyle w:val="OperatorTok"/>
        </w:rPr>
        <w:t xml:space="preserve">=</w:t>
      </w:r>
      <w:r>
        <w:rPr>
          <w:rStyle w:val="NormalTok"/>
        </w:rPr>
        <w:t xml:space="preserve"> </w:t>
      </w:r>
      <w:r>
        <w:rPr>
          <w:rStyle w:val="StringTok"/>
        </w:rPr>
        <w:t xml:space="preserve">'Microsoft.Graph.Identity.DirectoryManagement'</w:t>
      </w:r>
      <w:r>
        <w:rPr>
          <w:rStyle w:val="OperatorTok"/>
        </w:rPr>
        <w:t xml:space="preserve">;</w:t>
      </w:r>
      <w:r>
        <w:rPr>
          <w:rStyle w:val="NormalTok"/>
        </w:rPr>
        <w:t xml:space="preserve"> ModuleVersion </w:t>
      </w:r>
      <w:r>
        <w:rPr>
          <w:rStyle w:val="OperatorTok"/>
        </w:rPr>
        <w:t xml:space="preserve">=</w:t>
      </w:r>
      <w:r>
        <w:rPr>
          <w:rStyle w:val="NormalTok"/>
        </w:rPr>
        <w:t xml:space="preserve"> </w:t>
      </w:r>
      <w:r>
        <w:rPr>
          <w:rStyle w:val="StringTok"/>
        </w:rPr>
        <w:t xml:space="preserve">'2.0.0'</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ModuleName </w:t>
      </w:r>
      <w:r>
        <w:rPr>
          <w:rStyle w:val="OperatorTok"/>
        </w:rPr>
        <w:t xml:space="preserve">=</w:t>
      </w:r>
      <w:r>
        <w:rPr>
          <w:rStyle w:val="NormalTok"/>
        </w:rPr>
        <w:t xml:space="preserve"> </w:t>
      </w:r>
      <w:r>
        <w:rPr>
          <w:rStyle w:val="StringTok"/>
        </w:rPr>
        <w:t xml:space="preserve">'Microsoft.Graph.Reports'</w:t>
      </w:r>
      <w:r>
        <w:rPr>
          <w:rStyle w:val="OperatorTok"/>
        </w:rPr>
        <w:t xml:space="preserve">;</w:t>
      </w:r>
      <w:r>
        <w:rPr>
          <w:rStyle w:val="NormalTok"/>
        </w:rPr>
        <w:t xml:space="preserve">               ModuleVersion </w:t>
      </w:r>
      <w:r>
        <w:rPr>
          <w:rStyle w:val="OperatorTok"/>
        </w:rPr>
        <w:t xml:space="preserve">=</w:t>
      </w:r>
      <w:r>
        <w:rPr>
          <w:rStyle w:val="NormalTok"/>
        </w:rPr>
        <w:t xml:space="preserve"> </w:t>
      </w:r>
      <w:r>
        <w:rPr>
          <w:rStyle w:val="StringTok"/>
        </w:rPr>
        <w:t xml:space="preserve">'2.0.0'</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FunctionsToExport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'Get-FMPUserInventory'</w:t>
      </w:r>
      <w:r>
        <w:rPr>
          <w:rStyle w:val="OperatorTok"/>
        </w:rPr>
        <w:t xml:space="preserve">,</w:t>
      </w:r>
      <w:r>
        <w:br/>
      </w:r>
      <w:r>
        <w:rPr>
          <w:rStyle w:val="NormalTok"/>
        </w:rPr>
        <w:t xml:space="preserve">        </w:t>
      </w:r>
      <w:r>
        <w:rPr>
          <w:rStyle w:val="StringTok"/>
        </w:rPr>
        <w:t xml:space="preserve">'Get-FMPGroupInventory'</w:t>
      </w:r>
      <w:r>
        <w:rPr>
          <w:rStyle w:val="OperatorTok"/>
        </w:rPr>
        <w:t xml:space="preserve">,</w:t>
      </w:r>
      <w:r>
        <w:br/>
      </w:r>
      <w:r>
        <w:rPr>
          <w:rStyle w:val="NormalTok"/>
        </w:rPr>
        <w:t xml:space="preserve">        </w:t>
      </w:r>
      <w:r>
        <w:rPr>
          <w:rStyle w:val="StringTok"/>
        </w:rPr>
        <w:t xml:space="preserve">'Get-FMPServiceAccountInventory'</w:t>
      </w:r>
      <w:r>
        <w:rPr>
          <w:rStyle w:val="OperatorTok"/>
        </w:rPr>
        <w:t xml:space="preserve">,</w:t>
      </w:r>
      <w:r>
        <w:br/>
      </w:r>
      <w:r>
        <w:rPr>
          <w:rStyle w:val="NormalTok"/>
        </w:rPr>
        <w:t xml:space="preserve">        </w:t>
      </w:r>
      <w:r>
        <w:rPr>
          <w:rStyle w:val="StringTok"/>
        </w:rPr>
        <w:t xml:space="preserve">'Get-FMPPrivilegedAccessReport'</w:t>
      </w:r>
      <w:r>
        <w:rPr>
          <w:rStyle w:val="OperatorTok"/>
        </w:rPr>
        <w:t xml:space="preserve">,</w:t>
      </w:r>
      <w:r>
        <w:br/>
      </w:r>
      <w:r>
        <w:rPr>
          <w:rStyle w:val="NormalTok"/>
        </w:rPr>
        <w:t xml:space="preserve">        </w:t>
      </w:r>
      <w:r>
        <w:rPr>
          <w:rStyle w:val="StringTok"/>
        </w:rPr>
        <w:t xml:space="preserve">'Get-FMPLegacyAuthReport'</w:t>
      </w:r>
      <w:r>
        <w:rPr>
          <w:rStyle w:val="OperatorTok"/>
        </w:rPr>
        <w:t xml:space="preserve">,</w:t>
      </w:r>
      <w:r>
        <w:br/>
      </w:r>
      <w:r>
        <w:rPr>
          <w:rStyle w:val="NormalTok"/>
        </w:rPr>
        <w:t xml:space="preserve">        </w:t>
      </w:r>
      <w:r>
        <w:rPr>
          <w:rStyle w:val="StringTok"/>
        </w:rPr>
        <w:t xml:space="preserve">'Export-FMPIdentityBaseline'</w:t>
      </w:r>
      <w:r>
        <w:rPr>
          <w:rStyle w:val="OperatorTok"/>
        </w:rPr>
        <w:t xml:space="preserve">,</w:t>
      </w:r>
      <w:r>
        <w:br/>
      </w:r>
      <w:r>
        <w:rPr>
          <w:rStyle w:val="NormalTok"/>
        </w:rPr>
        <w:t xml:space="preserve">        </w:t>
      </w:r>
      <w:r>
        <w:rPr>
          <w:rStyle w:val="StringTok"/>
        </w:rPr>
        <w:t xml:space="preserve">'Invoke-FMPIdentityAssessment'</w:t>
      </w:r>
      <w:r>
        <w:rPr>
          <w:rStyle w:val="OperatorTok"/>
        </w:rPr>
        <w:t xml:space="preserve">,</w:t>
      </w:r>
      <w:r>
        <w:br/>
      </w:r>
      <w:r>
        <w:rPr>
          <w:rStyle w:val="NormalTok"/>
        </w:rPr>
        <w:t xml:space="preserve">        </w:t>
      </w:r>
      <w:r>
        <w:rPr>
          <w:rStyle w:val="StringTok"/>
        </w:rPr>
        <w:t xml:space="preserve">'Get-FMPGiteaLabelId'</w:t>
      </w:r>
      <w:r>
        <w:rPr>
          <w:rStyle w:val="OperatorTok"/>
        </w:rPr>
        <w:t xml:space="preserve">,</w:t>
      </w:r>
      <w:r>
        <w:br/>
      </w:r>
      <w:r>
        <w:rPr>
          <w:rStyle w:val="NormalTok"/>
        </w:rPr>
        <w:t xml:space="preserve">        </w:t>
      </w:r>
      <w:r>
        <w:rPr>
          <w:rStyle w:val="StringTok"/>
        </w:rPr>
        <w:t xml:space="preserve">'New-FMPGiteaDriftIssue'</w:t>
      </w:r>
      <w:r>
        <w:br/>
      </w:r>
      <w:r>
        <w:rPr>
          <w:rStyle w:val="NormalTok"/>
        </w:rPr>
        <w:t xml:space="preserve">    </w:t>
      </w:r>
      <w:r>
        <w:rPr>
          <w:rStyle w:val="OperatorTok"/>
        </w:rPr>
        <w:t xml:space="preserve">)</w:t>
      </w:r>
      <w:r>
        <w:br/>
      </w:r>
      <w:r>
        <w:rPr>
          <w:rStyle w:val="NormalTok"/>
        </w:rPr>
        <w:t xml:space="preserve">    CmdletsToExport   </w:t>
      </w:r>
      <w:r>
        <w:rPr>
          <w:rStyle w:val="OperatorTok"/>
        </w:rPr>
        <w:t xml:space="preserve">=</w:t>
      </w:r>
      <w:r>
        <w:rPr>
          <w:rStyle w:val="NormalTok"/>
        </w:rPr>
        <w:t xml:space="preserve"> </w:t>
      </w:r>
      <w:r>
        <w:rPr>
          <w:rStyle w:val="OperatorTok"/>
        </w:rPr>
        <w:t xml:space="preserve">@()</w:t>
      </w:r>
      <w:r>
        <w:br/>
      </w:r>
      <w:r>
        <w:rPr>
          <w:rStyle w:val="NormalTok"/>
        </w:rPr>
        <w:t xml:space="preserve">    VariablesToExport </w:t>
      </w:r>
      <w:r>
        <w:rPr>
          <w:rStyle w:val="OperatorTok"/>
        </w:rPr>
        <w:t xml:space="preserve">=</w:t>
      </w:r>
      <w:r>
        <w:rPr>
          <w:rStyle w:val="NormalTok"/>
        </w:rPr>
        <w:t xml:space="preserve"> </w:t>
      </w:r>
      <w:r>
        <w:rPr>
          <w:rStyle w:val="OperatorTok"/>
        </w:rPr>
        <w:t xml:space="preserve">@()</w:t>
      </w:r>
      <w:r>
        <w:br/>
      </w:r>
      <w:r>
        <w:rPr>
          <w:rStyle w:val="NormalTok"/>
        </w:rPr>
        <w:t xml:space="preserve">    AliasesToExport   </w:t>
      </w:r>
      <w:r>
        <w:rPr>
          <w:rStyle w:val="OperatorTok"/>
        </w:rPr>
        <w:t xml:space="preserve">=</w:t>
      </w:r>
      <w:r>
        <w:rPr>
          <w:rStyle w:val="NormalTok"/>
        </w:rPr>
        <w:t xml:space="preserve"> </w:t>
      </w:r>
      <w:r>
        <w:rPr>
          <w:rStyle w:val="OperatorTok"/>
        </w:rPr>
        <w:t xml:space="preserve">@()</w:t>
      </w:r>
      <w:r>
        <w:br/>
      </w:r>
      <w:r>
        <w:rPr>
          <w:rStyle w:val="OperatorTok"/>
        </w:rPr>
        <w:t xml:space="preserve">}</w:t>
      </w:r>
    </w:p>
    <w:bookmarkEnd w:id="1345"/>
    <w:bookmarkStart w:id="1358" w:name="module-implementation"/>
    <w:p>
      <w:pPr>
        <w:pStyle w:val="Heading3"/>
      </w:pPr>
      <w:r>
        <w:t xml:space="preserve">Module implementation</w:t>
      </w:r>
    </w:p>
    <w:p>
      <w:pPr>
        <w:pStyle w:val="FirstParagraph"/>
      </w:pPr>
      <w:r>
        <w:t xml:space="preserve">The module is shown in sections; together they form</w:t>
      </w:r>
      <w:r>
        <w:t xml:space="preserve"> </w:t>
      </w:r>
      <w:r>
        <w:rPr>
          <w:rStyle w:val="VerbatimChar"/>
        </w:rPr>
        <w:t xml:space="preserve">FMPIdentityAssessment.psm1</w:t>
      </w:r>
      <w:r>
        <w:t xml:space="preserve">.</w:t>
      </w:r>
    </w:p>
    <w:bookmarkStart w:id="1347" w:name="module-settings-and-user-inventory"/>
    <w:p>
      <w:pPr>
        <w:pStyle w:val="Heading4"/>
      </w:pPr>
      <w:r>
        <w:t xml:space="preserve">Module settings and user inventory</w:t>
      </w:r>
    </w:p>
    <w:p>
      <w:pPr>
        <w:pStyle w:val="FirstParagraph"/>
      </w:pPr>
      <w:r>
        <w:rPr>
          <w:rStyle w:val="VerbatimChar"/>
        </w:rPr>
        <w:t xml:space="preserve">Get-FMPUserInventory</w:t>
      </w:r>
      <w:r>
        <w:t xml:space="preserve"> </w:t>
      </w:r>
      <w:r>
        <w:t xml:space="preserve">exports AD users with the attributes that matter for migration and flags the problems Chapter 09 cares about. Pass</w:t>
      </w:r>
      <w:r>
        <w:t xml:space="preserve"> </w:t>
      </w:r>
      <w:r>
        <w:rPr>
          <w:rStyle w:val="VerbatimChar"/>
        </w:rPr>
        <w:t xml:space="preserve">-VerifiedDomain</w:t>
      </w:r>
      <w:r>
        <w:t xml:space="preserve"> </w:t>
      </w:r>
      <w:r>
        <w:t xml:space="preserve">with the tenant’s verified domains to test UPN suffixes exactly; without it, the function falls back to a pattern for common non-routable suffixes.</w:t>
      </w:r>
    </w:p>
    <w:p>
      <w:pPr>
        <w:pStyle w:val="SourceCode"/>
      </w:pPr>
      <w:r>
        <w:rPr>
          <w:rStyle w:val="CommentTok"/>
        </w:rPr>
        <w:t xml:space="preserve"># FMPIdentityAssessment.psm1</w:t>
      </w:r>
      <w:r>
        <w:br/>
      </w:r>
      <w:r>
        <w:rPr>
          <w:rStyle w:val="CommentTok"/>
        </w:rPr>
        <w:t xml:space="preserve"># Federal Modernization Program identity assessment module, version 1.1.0</w:t>
      </w:r>
      <w:r>
        <w:br/>
      </w:r>
      <w:r>
        <w:rPr>
          <w:rStyle w:val="CommentTok"/>
        </w:rPr>
        <w:t xml:space="preserve">#Requires -Version 7.4</w:t>
      </w:r>
      <w:r>
        <w:br/>
      </w:r>
      <w:r>
        <w:br/>
      </w:r>
      <w:r>
        <w:rPr>
          <w:rStyle w:val="VariableTok"/>
        </w:rPr>
        <w:t xml:space="preserve">$script</w:t>
      </w:r>
      <w:r>
        <w:rPr>
          <w:rStyle w:val="OperatorTok"/>
        </w:rPr>
        <w:t xml:space="preserve">:</w:t>
      </w:r>
      <w:r>
        <w:rPr>
          <w:rStyle w:val="VariableTok"/>
        </w:rPr>
        <w:t xml:space="preserve">ExportBasePath</w:t>
      </w:r>
      <w:r>
        <w:rPr>
          <w:rStyle w:val="NormalTok"/>
        </w:rPr>
        <w:t xml:space="preserve">   </w:t>
      </w:r>
      <w:r>
        <w:rPr>
          <w:rStyle w:val="OperatorTok"/>
        </w:rPr>
        <w:t xml:space="preserve">=</w:t>
      </w:r>
      <w:r>
        <w:rPr>
          <w:rStyle w:val="NormalTok"/>
        </w:rPr>
        <w:t xml:space="preserve"> </w:t>
      </w:r>
      <w:r>
        <w:rPr>
          <w:rStyle w:val="StringTok"/>
        </w:rPr>
        <w:t xml:space="preserve">'C:\FMP\Exports'</w:t>
      </w:r>
      <w:r>
        <w:br/>
      </w:r>
      <w:r>
        <w:rPr>
          <w:rStyle w:val="VariableTok"/>
        </w:rPr>
        <w:t xml:space="preserve">$script</w:t>
      </w:r>
      <w:r>
        <w:rPr>
          <w:rStyle w:val="OperatorTok"/>
        </w:rPr>
        <w:t xml:space="preserve">:</w:t>
      </w:r>
      <w:r>
        <w:rPr>
          <w:rStyle w:val="VariableTok"/>
        </w:rPr>
        <w:t xml:space="preserve">GraphEnvironment</w:t>
      </w:r>
      <w:r>
        <w:rPr>
          <w:rStyle w:val="NormalTok"/>
        </w:rPr>
        <w:t xml:space="preserve"> </w:t>
      </w:r>
      <w:r>
        <w:rPr>
          <w:rStyle w:val="OperatorTok"/>
        </w:rPr>
        <w:t xml:space="preserve">=</w:t>
      </w:r>
      <w:r>
        <w:rPr>
          <w:rStyle w:val="NormalTok"/>
        </w:rPr>
        <w:t xml:space="preserve"> </w:t>
      </w:r>
      <w:r>
        <w:rPr>
          <w:rStyle w:val="StringTok"/>
        </w:rPr>
        <w:t xml:space="preserve">'Global'</w:t>
      </w:r>
      <w:r>
        <w:rPr>
          <w:rStyle w:val="NormalTok"/>
        </w:rPr>
        <w:t xml:space="preserve">   </w:t>
      </w:r>
      <w:r>
        <w:rPr>
          <w:rStyle w:val="CommentTok"/>
        </w:rPr>
        <w:t xml:space="preserve"># GCC uses the worldwide endpoints</w:t>
      </w:r>
      <w:r>
        <w:br/>
      </w:r>
      <w:r>
        <w:br/>
      </w:r>
      <w:r>
        <w:rPr>
          <w:rStyle w:val="KeywordTok"/>
        </w:rPr>
        <w:t xml:space="preserve">function</w:t>
      </w:r>
      <w:r>
        <w:rPr>
          <w:rStyle w:val="NormalTok"/>
        </w:rPr>
        <w:t xml:space="preserve"> Get-FMPUserInventory </w:t>
      </w:r>
      <w:r>
        <w:rPr>
          <w:rStyle w:val="OperatorTok"/>
        </w:rPr>
        <w:t xml:space="preserve">{</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$SearchBase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DistinguishedName</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$ExportPath</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$script</w:t>
      </w:r>
      <w:r>
        <w:rPr>
          <w:rStyle w:val="OperatorTok"/>
        </w:rPr>
        <w:t xml:space="preserve">:</w:t>
      </w:r>
      <w:r>
        <w:rPr>
          <w:rStyle w:val="VariableTok"/>
        </w:rPr>
        <w:t xml:space="preserve">ExportBasePath</w:t>
      </w:r>
      <w:r>
        <w:rPr>
          <w:rStyle w:val="StringTok"/>
        </w:rPr>
        <w:t xml:space="preserve">\Users_</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'yyyyMMdd_HHmmss'</w:t>
      </w:r>
      <w:r>
        <w:rPr>
          <w:rStyle w:val="OperatorTok"/>
        </w:rPr>
        <w:t xml:space="preserve">)</w:t>
      </w:r>
      <w:r>
        <w:rPr>
          <w:rStyle w:val="StringTok"/>
        </w:rPr>
        <w:t xml:space="preserve">.json"</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$VerifiedDomain</w:t>
      </w:r>
      <w:r>
        <w:rPr>
          <w:rStyle w:val="OperatorTok"/>
        </w:rPr>
        <w:t xml:space="preserve">,</w:t>
      </w:r>
      <w:r>
        <w:br/>
      </w:r>
      <w:r>
        <w:rPr>
          <w:rStyle w:val="NormalTok"/>
        </w:rPr>
        <w:t xml:space="preserve">        </w:t>
      </w:r>
      <w:r>
        <w:rPr>
          <w:rStyle w:val="OperatorTok"/>
        </w:rPr>
        <w:t xml:space="preserve">[</w:t>
      </w:r>
      <w:r>
        <w:rPr>
          <w:rStyle w:val="DataTypeTok"/>
        </w:rPr>
        <w:t xml:space="preserve">switch</w:t>
      </w:r>
      <w:r>
        <w:rPr>
          <w:rStyle w:val="OperatorTok"/>
        </w:rPr>
        <w:t xml:space="preserve">]</w:t>
      </w:r>
      <w:r>
        <w:rPr>
          <w:rStyle w:val="VariableTok"/>
        </w:rPr>
        <w:t xml:space="preserve">$IncludeDisabled</w:t>
      </w:r>
      <w:r>
        <w:br/>
      </w:r>
      <w:r>
        <w:rPr>
          <w:rStyle w:val="NormalTok"/>
        </w:rPr>
        <w:t xml:space="preserve">    </w:t>
      </w:r>
      <w:r>
        <w:rPr>
          <w:rStyle w:val="OperatorTok"/>
        </w:rPr>
        <w:t xml:space="preserve">)</w:t>
      </w:r>
      <w:r>
        <w:br/>
      </w:r>
      <w:r>
        <w:br/>
      </w:r>
      <w:r>
        <w:rPr>
          <w:rStyle w:val="NormalTok"/>
        </w:rPr>
        <w:t xml:space="preserve">    </w:t>
      </w:r>
      <w:r>
        <w:rPr>
          <w:rStyle w:val="VariableTok"/>
        </w:rPr>
        <w:t xml:space="preserve">$filter</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$IncludeDisabled</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'Enabled -eq $true'</w:t>
      </w:r>
      <w:r>
        <w:rPr>
          <w:rStyle w:val="NormalTok"/>
        </w:rPr>
        <w:t xml:space="preserve"> </w:t>
      </w:r>
      <w:r>
        <w:rPr>
          <w:rStyle w:val="OperatorTok"/>
        </w:rPr>
        <w:t xml:space="preserve">}</w:t>
      </w:r>
      <w:r>
        <w:br/>
      </w:r>
      <w:r>
        <w:rPr>
          <w:rStyle w:val="NormalTok"/>
        </w:rPr>
        <w:t xml:space="preserve">    </w:t>
      </w:r>
      <w:r>
        <w:rPr>
          <w:rStyle w:val="VariableTok"/>
        </w:rPr>
        <w:t xml:space="preserve">$properties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'UserPrincipalName'</w:t>
      </w:r>
      <w:r>
        <w:rPr>
          <w:rStyle w:val="OperatorTok"/>
        </w:rPr>
        <w:t xml:space="preserve">,</w:t>
      </w:r>
      <w:r>
        <w:rPr>
          <w:rStyle w:val="NormalTok"/>
        </w:rPr>
        <w:t xml:space="preserve"> </w:t>
      </w:r>
      <w:r>
        <w:rPr>
          <w:rStyle w:val="StringTok"/>
        </w:rPr>
        <w:t xml:space="preserve">'DisplayName'</w:t>
      </w:r>
      <w:r>
        <w:rPr>
          <w:rStyle w:val="OperatorTok"/>
        </w:rPr>
        <w:t xml:space="preserve">,</w:t>
      </w:r>
      <w:r>
        <w:rPr>
          <w:rStyle w:val="NormalTok"/>
        </w:rPr>
        <w:t xml:space="preserve"> </w:t>
      </w:r>
      <w:r>
        <w:rPr>
          <w:rStyle w:val="StringTok"/>
        </w:rPr>
        <w:t xml:space="preserve">'GivenName'</w:t>
      </w:r>
      <w:r>
        <w:rPr>
          <w:rStyle w:val="OperatorTok"/>
        </w:rPr>
        <w:t xml:space="preserve">,</w:t>
      </w:r>
      <w:r>
        <w:rPr>
          <w:rStyle w:val="NormalTok"/>
        </w:rPr>
        <w:t xml:space="preserve"> </w:t>
      </w:r>
      <w:r>
        <w:rPr>
          <w:rStyle w:val="StringTok"/>
        </w:rPr>
        <w:t xml:space="preserve">'Surname'</w:t>
      </w:r>
      <w:r>
        <w:rPr>
          <w:rStyle w:val="OperatorTok"/>
        </w:rPr>
        <w:t xml:space="preserve">,</w:t>
      </w:r>
      <w:r>
        <w:rPr>
          <w:rStyle w:val="NormalTok"/>
        </w:rPr>
        <w:t xml:space="preserve"> </w:t>
      </w:r>
      <w:r>
        <w:rPr>
          <w:rStyle w:val="StringTok"/>
        </w:rPr>
        <w:t xml:space="preserve">'Mail'</w:t>
      </w:r>
      <w:r>
        <w:rPr>
          <w:rStyle w:val="OperatorTok"/>
        </w:rPr>
        <w:t xml:space="preserve">,</w:t>
      </w:r>
      <w:r>
        <w:rPr>
          <w:rStyle w:val="NormalTok"/>
        </w:rPr>
        <w:t xml:space="preserve"> </w:t>
      </w:r>
      <w:r>
        <w:rPr>
          <w:rStyle w:val="StringTok"/>
        </w:rPr>
        <w:t xml:space="preserve">'Department'</w:t>
      </w:r>
      <w:r>
        <w:rPr>
          <w:rStyle w:val="OperatorTok"/>
        </w:rPr>
        <w:t xml:space="preserve">,</w:t>
      </w:r>
      <w:r>
        <w:br/>
      </w:r>
      <w:r>
        <w:rPr>
          <w:rStyle w:val="NormalTok"/>
        </w:rPr>
        <w:t xml:space="preserve">        </w:t>
      </w:r>
      <w:r>
        <w:rPr>
          <w:rStyle w:val="StringTok"/>
        </w:rPr>
        <w:t xml:space="preserve">'Title'</w:t>
      </w:r>
      <w:r>
        <w:rPr>
          <w:rStyle w:val="OperatorTok"/>
        </w:rPr>
        <w:t xml:space="preserve">,</w:t>
      </w:r>
      <w:r>
        <w:rPr>
          <w:rStyle w:val="NormalTok"/>
        </w:rPr>
        <w:t xml:space="preserve"> </w:t>
      </w:r>
      <w:r>
        <w:rPr>
          <w:rStyle w:val="StringTok"/>
        </w:rPr>
        <w:t xml:space="preserve">'Company'</w:t>
      </w:r>
      <w:r>
        <w:rPr>
          <w:rStyle w:val="OperatorTok"/>
        </w:rPr>
        <w:t xml:space="preserve">,</w:t>
      </w:r>
      <w:r>
        <w:rPr>
          <w:rStyle w:val="NormalTok"/>
        </w:rPr>
        <w:t xml:space="preserve"> </w:t>
      </w:r>
      <w:r>
        <w:rPr>
          <w:rStyle w:val="StringTok"/>
        </w:rPr>
        <w:t xml:space="preserve">'Manager'</w:t>
      </w:r>
      <w:r>
        <w:rPr>
          <w:rStyle w:val="OperatorTok"/>
        </w:rPr>
        <w:t xml:space="preserve">,</w:t>
      </w:r>
      <w:r>
        <w:rPr>
          <w:rStyle w:val="NormalTok"/>
        </w:rPr>
        <w:t xml:space="preserve"> </w:t>
      </w:r>
      <w:r>
        <w:rPr>
          <w:rStyle w:val="StringTok"/>
        </w:rPr>
        <w:t xml:space="preserve">'DistinguishedName'</w:t>
      </w:r>
      <w:r>
        <w:rPr>
          <w:rStyle w:val="OperatorTok"/>
        </w:rPr>
        <w:t xml:space="preserve">,</w:t>
      </w:r>
      <w:r>
        <w:rPr>
          <w:rStyle w:val="NormalTok"/>
        </w:rPr>
        <w:t xml:space="preserve"> </w:t>
      </w:r>
      <w:r>
        <w:rPr>
          <w:rStyle w:val="StringTok"/>
        </w:rPr>
        <w:t xml:space="preserve">'Enabled'</w:t>
      </w:r>
      <w:r>
        <w:rPr>
          <w:rStyle w:val="OperatorTok"/>
        </w:rPr>
        <w:t xml:space="preserve">,</w:t>
      </w:r>
      <w:r>
        <w:rPr>
          <w:rStyle w:val="NormalTok"/>
        </w:rPr>
        <w:t xml:space="preserve"> </w:t>
      </w:r>
      <w:r>
        <w:rPr>
          <w:rStyle w:val="StringTok"/>
        </w:rPr>
        <w:t xml:space="preserve">'PasswordNeverExpires'</w:t>
      </w:r>
      <w:r>
        <w:rPr>
          <w:rStyle w:val="OperatorTok"/>
        </w:rPr>
        <w:t xml:space="preserve">,</w:t>
      </w:r>
      <w:r>
        <w:br/>
      </w:r>
      <w:r>
        <w:rPr>
          <w:rStyle w:val="NormalTok"/>
        </w:rPr>
        <w:t xml:space="preserve">        </w:t>
      </w:r>
      <w:r>
        <w:rPr>
          <w:rStyle w:val="StringTok"/>
        </w:rPr>
        <w:t xml:space="preserve">'PasswordLastSet'</w:t>
      </w:r>
      <w:r>
        <w:rPr>
          <w:rStyle w:val="OperatorTok"/>
        </w:rPr>
        <w:t xml:space="preserve">,</w:t>
      </w:r>
      <w:r>
        <w:rPr>
          <w:rStyle w:val="NormalTok"/>
        </w:rPr>
        <w:t xml:space="preserve"> </w:t>
      </w:r>
      <w:r>
        <w:rPr>
          <w:rStyle w:val="StringTok"/>
        </w:rPr>
        <w:t xml:space="preserve">'LastLogonDate'</w:t>
      </w:r>
      <w:r>
        <w:rPr>
          <w:rStyle w:val="OperatorTok"/>
        </w:rPr>
        <w:t xml:space="preserve">,</w:t>
      </w:r>
      <w:r>
        <w:rPr>
          <w:rStyle w:val="NormalTok"/>
        </w:rPr>
        <w:t xml:space="preserve"> </w:t>
      </w:r>
      <w:r>
        <w:rPr>
          <w:rStyle w:val="StringTok"/>
        </w:rPr>
        <w:t xml:space="preserve">'WhenCreated'</w:t>
      </w:r>
      <w:r>
        <w:rPr>
          <w:rStyle w:val="OperatorTok"/>
        </w:rPr>
        <w:t xml:space="preserve">,</w:t>
      </w:r>
      <w:r>
        <w:rPr>
          <w:rStyle w:val="NormalTok"/>
        </w:rPr>
        <w:t xml:space="preserve"> </w:t>
      </w:r>
      <w:r>
        <w:rPr>
          <w:rStyle w:val="StringTok"/>
        </w:rPr>
        <w:t xml:space="preserve">'WhenChanged'</w:t>
      </w:r>
      <w:r>
        <w:rPr>
          <w:rStyle w:val="OperatorTok"/>
        </w:rPr>
        <w:t xml:space="preserve">,</w:t>
      </w:r>
      <w:r>
        <w:rPr>
          <w:rStyle w:val="NormalTok"/>
        </w:rPr>
        <w:t xml:space="preserve"> </w:t>
      </w:r>
      <w:r>
        <w:rPr>
          <w:rStyle w:val="StringTok"/>
        </w:rPr>
        <w:t xml:space="preserve">'MemberOf'</w:t>
      </w:r>
      <w:r>
        <w:rPr>
          <w:rStyle w:val="OperatorTok"/>
        </w:rPr>
        <w:t xml:space="preserve">,</w:t>
      </w:r>
      <w:r>
        <w:br/>
      </w:r>
      <w:r>
        <w:rPr>
          <w:rStyle w:val="NormalTok"/>
        </w:rPr>
        <w:t xml:space="preserve">        </w:t>
      </w:r>
      <w:r>
        <w:rPr>
          <w:rStyle w:val="StringTok"/>
        </w:rPr>
        <w:t xml:space="preserve">'ServicePrincipalName'</w:t>
      </w:r>
      <w:r>
        <w:rPr>
          <w:rStyle w:val="OperatorTok"/>
        </w:rPr>
        <w:t xml:space="preserve">,</w:t>
      </w:r>
      <w:r>
        <w:rPr>
          <w:rStyle w:val="NormalTok"/>
        </w:rPr>
        <w:t xml:space="preserve"> </w:t>
      </w:r>
      <w:r>
        <w:rPr>
          <w:rStyle w:val="StringTok"/>
        </w:rPr>
        <w:t xml:space="preserve">'AdminCount'</w:t>
      </w:r>
      <w:r>
        <w:rPr>
          <w:rStyle w:val="OperatorTok"/>
        </w:rPr>
        <w:t xml:space="preserve">,</w:t>
      </w:r>
      <w:r>
        <w:rPr>
          <w:rStyle w:val="NormalTok"/>
        </w:rPr>
        <w:t xml:space="preserve"> </w:t>
      </w:r>
      <w:r>
        <w:rPr>
          <w:rStyle w:val="StringTok"/>
        </w:rPr>
        <w:t xml:space="preserve">'AccountExpirationDate'</w:t>
      </w:r>
      <w:r>
        <w:rPr>
          <w:rStyle w:val="OperatorTok"/>
        </w:rPr>
        <w:t xml:space="preserve">,</w:t>
      </w:r>
      <w:r>
        <w:br/>
      </w:r>
      <w:r>
        <w:rPr>
          <w:rStyle w:val="NormalTok"/>
        </w:rPr>
        <w:t xml:space="preserve">        </w:t>
      </w:r>
      <w:r>
        <w:rPr>
          <w:rStyle w:val="StringTok"/>
        </w:rPr>
        <w:t xml:space="preserve">'extensionAttribute1'</w:t>
      </w:r>
      <w:r>
        <w:rPr>
          <w:rStyle w:val="OperatorTok"/>
        </w:rPr>
        <w:t xml:space="preserve">,</w:t>
      </w:r>
      <w:r>
        <w:rPr>
          <w:rStyle w:val="NormalTok"/>
        </w:rPr>
        <w:t xml:space="preserve"> </w:t>
      </w:r>
      <w:r>
        <w:rPr>
          <w:rStyle w:val="StringTok"/>
        </w:rPr>
        <w:t xml:space="preserve">'extensionAttribute2'</w:t>
      </w:r>
      <w:r>
        <w:rPr>
          <w:rStyle w:val="OperatorTok"/>
        </w:rPr>
        <w:t xml:space="preserve">,</w:t>
      </w:r>
      <w:r>
        <w:rPr>
          <w:rStyle w:val="NormalTok"/>
        </w:rPr>
        <w:t xml:space="preserve"> </w:t>
      </w:r>
      <w:r>
        <w:rPr>
          <w:rStyle w:val="StringTok"/>
        </w:rPr>
        <w:t xml:space="preserve">'extensionAttribute3'</w:t>
      </w:r>
      <w:r>
        <w:rPr>
          <w:rStyle w:val="OperatorTok"/>
        </w:rPr>
        <w:t xml:space="preserve">,</w:t>
      </w:r>
      <w:r>
        <w:rPr>
          <w:rStyle w:val="NormalTok"/>
        </w:rPr>
        <w:t xml:space="preserve"> </w:t>
      </w:r>
      <w:r>
        <w:rPr>
          <w:rStyle w:val="StringTok"/>
        </w:rPr>
        <w:t xml:space="preserve">'extensionAttribute4'</w:t>
      </w:r>
      <w:r>
        <w:rPr>
          <w:rStyle w:val="OperatorTok"/>
        </w:rPr>
        <w:t xml:space="preserve">,</w:t>
      </w:r>
      <w:r>
        <w:br/>
      </w:r>
      <w:r>
        <w:rPr>
          <w:rStyle w:val="NormalTok"/>
        </w:rPr>
        <w:t xml:space="preserve">        </w:t>
      </w:r>
      <w:r>
        <w:rPr>
          <w:rStyle w:val="StringTok"/>
        </w:rPr>
        <w:t xml:space="preserve">'extensionAttribute5'</w:t>
      </w:r>
      <w:r>
        <w:rPr>
          <w:rStyle w:val="OperatorTok"/>
        </w:rPr>
        <w:t xml:space="preserve">,</w:t>
      </w:r>
      <w:r>
        <w:rPr>
          <w:rStyle w:val="NormalTok"/>
        </w:rPr>
        <w:t xml:space="preserve"> </w:t>
      </w:r>
      <w:r>
        <w:rPr>
          <w:rStyle w:val="StringTok"/>
        </w:rPr>
        <w:t xml:space="preserve">'extensionAttribute6'</w:t>
      </w:r>
      <w:r>
        <w:rPr>
          <w:rStyle w:val="OperatorTok"/>
        </w:rPr>
        <w:t xml:space="preserve">,</w:t>
      </w:r>
      <w:r>
        <w:rPr>
          <w:rStyle w:val="NormalTok"/>
        </w:rPr>
        <w:t xml:space="preserve"> </w:t>
      </w:r>
      <w:r>
        <w:rPr>
          <w:rStyle w:val="StringTok"/>
        </w:rPr>
        <w:t xml:space="preserve">'extensionAttribute7'</w:t>
      </w:r>
      <w:r>
        <w:rPr>
          <w:rStyle w:val="OperatorTok"/>
        </w:rPr>
        <w:t xml:space="preserve">,</w:t>
      </w:r>
      <w:r>
        <w:rPr>
          <w:rStyle w:val="NormalTok"/>
        </w:rPr>
        <w:t xml:space="preserve"> </w:t>
      </w:r>
      <w:r>
        <w:rPr>
          <w:rStyle w:val="StringTok"/>
        </w:rPr>
        <w:t xml:space="preserve">'extensionAttribute8'</w:t>
      </w:r>
      <w:r>
        <w:rPr>
          <w:rStyle w:val="OperatorTok"/>
        </w:rPr>
        <w:t xml:space="preserve">,</w:t>
      </w:r>
      <w:r>
        <w:br/>
      </w:r>
      <w:r>
        <w:rPr>
          <w:rStyle w:val="NormalTok"/>
        </w:rPr>
        <w:t xml:space="preserve">        </w:t>
      </w:r>
      <w:r>
        <w:rPr>
          <w:rStyle w:val="StringTok"/>
        </w:rPr>
        <w:t xml:space="preserve">'extensionAttribute9'</w:t>
      </w:r>
      <w:r>
        <w:rPr>
          <w:rStyle w:val="OperatorTok"/>
        </w:rPr>
        <w:t xml:space="preserve">,</w:t>
      </w:r>
      <w:r>
        <w:rPr>
          <w:rStyle w:val="NormalTok"/>
        </w:rPr>
        <w:t xml:space="preserve"> </w:t>
      </w:r>
      <w:r>
        <w:rPr>
          <w:rStyle w:val="StringTok"/>
        </w:rPr>
        <w:t xml:space="preserve">'extensionAttribute10'</w:t>
      </w:r>
      <w:r>
        <w:br/>
      </w:r>
      <w:r>
        <w:rPr>
          <w:rStyle w:val="NormalTok"/>
        </w:rPr>
        <w:t xml:space="preserve">    </w:t>
      </w:r>
      <w:r>
        <w:rPr>
          <w:rStyle w:val="OperatorTok"/>
        </w:rPr>
        <w:t xml:space="preserve">)</w:t>
      </w:r>
      <w:r>
        <w:br/>
      </w:r>
      <w:r>
        <w:rPr>
          <w:rStyle w:val="NormalTok"/>
        </w:rPr>
        <w:t xml:space="preserve">    </w:t>
      </w:r>
      <w:r>
        <w:rPr>
          <w:rStyle w:val="VariableTok"/>
        </w:rPr>
        <w:t xml:space="preserve">$nonRoutablePattern</w:t>
      </w:r>
      <w:r>
        <w:rPr>
          <w:rStyle w:val="NormalTok"/>
        </w:rPr>
        <w:t xml:space="preserve"> </w:t>
      </w:r>
      <w:r>
        <w:rPr>
          <w:rStyle w:val="OperatorTok"/>
        </w:rPr>
        <w:t xml:space="preserve">=</w:t>
      </w:r>
      <w:r>
        <w:rPr>
          <w:rStyle w:val="NormalTok"/>
        </w:rPr>
        <w:t xml:space="preserve"> </w:t>
      </w:r>
      <w:r>
        <w:rPr>
          <w:rStyle w:val="StringTok"/>
        </w:rPr>
        <w:t xml:space="preserve">'\.(local|internal|corp|lan|ad)$'</w:t>
      </w:r>
      <w:r>
        <w:br/>
      </w:r>
      <w:r>
        <w:rPr>
          <w:rStyle w:val="NormalTok"/>
        </w:rPr>
        <w:t xml:space="preserve">    </w:t>
      </w:r>
      <w:r>
        <w:rPr>
          <w:rStyle w:val="VariableTok"/>
        </w:rPr>
        <w:t xml:space="preserve">$staleCutoff</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AddDays</w:t>
      </w:r>
      <w:r>
        <w:rPr>
          <w:rStyle w:val="OperatorTok"/>
        </w:rPr>
        <w:t xml:space="preserve">(-</w:t>
      </w:r>
      <w:r>
        <w:rPr>
          <w:rStyle w:val="DecValTok"/>
        </w:rPr>
        <w:t xml:space="preserve">90</w:t>
      </w:r>
      <w:r>
        <w:rPr>
          <w:rStyle w:val="OperatorTok"/>
        </w:rPr>
        <w:t xml:space="preserve">)</w:t>
      </w:r>
      <w:r>
        <w:br/>
      </w:r>
      <w:r>
        <w:br/>
      </w:r>
      <w:r>
        <w:rPr>
          <w:rStyle w:val="NormalTok"/>
        </w:rPr>
        <w:t xml:space="preserve">    </w:t>
      </w:r>
      <w:r>
        <w:rPr>
          <w:rStyle w:val="FunctionTok"/>
        </w:rPr>
        <w:t xml:space="preserve">Write-Host</w:t>
      </w:r>
      <w:r>
        <w:rPr>
          <w:rStyle w:val="NormalTok"/>
        </w:rPr>
        <w:t xml:space="preserve"> </w:t>
      </w:r>
      <w:r>
        <w:rPr>
          <w:rStyle w:val="StringTok"/>
        </w:rPr>
        <w:t xml:space="preserve">"Collecting AD user inventory from: </w:t>
      </w:r>
      <w:r>
        <w:rPr>
          <w:rStyle w:val="VariableTok"/>
        </w:rPr>
        <w:t xml:space="preserve">$SearchBase</w:t>
      </w:r>
      <w:r>
        <w:rPr>
          <w:rStyle w:val="StringTok"/>
        </w:rPr>
        <w:t xml:space="preserve">"</w:t>
      </w:r>
      <w:r>
        <w:rPr>
          <w:rStyle w:val="NormalTok"/>
        </w:rPr>
        <w:t xml:space="preserve"> </w:t>
      </w:r>
      <w:r>
        <w:rPr>
          <w:rStyle w:val="OperatorTok"/>
        </w:rPr>
        <w:t xml:space="preserve">-</w:t>
      </w:r>
      <w:r>
        <w:rPr>
          <w:rStyle w:val="NormalTok"/>
        </w:rPr>
        <w:t xml:space="preserve">ForegroundColor Cyan</w:t>
      </w:r>
      <w:r>
        <w:br/>
      </w:r>
      <w:r>
        <w:rPr>
          <w:rStyle w:val="NormalTok"/>
        </w:rPr>
        <w:t xml:space="preserve">    </w:t>
      </w:r>
      <w:r>
        <w:rPr>
          <w:rStyle w:val="VariableTok"/>
        </w:rPr>
        <w:t xml:space="preserve">$adUsers</w:t>
      </w:r>
      <w:r>
        <w:rPr>
          <w:rStyle w:val="NormalTok"/>
        </w:rPr>
        <w:t xml:space="preserve"> </w:t>
      </w:r>
      <w:r>
        <w:rPr>
          <w:rStyle w:val="OperatorTok"/>
        </w:rPr>
        <w:t xml:space="preserve">=</w:t>
      </w:r>
      <w:r>
        <w:rPr>
          <w:rStyle w:val="NormalTok"/>
        </w:rPr>
        <w:t xml:space="preserve"> </w:t>
      </w:r>
      <w:r>
        <w:rPr>
          <w:rStyle w:val="FunctionTok"/>
        </w:rPr>
        <w:t xml:space="preserve">Get-ADUser</w:t>
      </w:r>
      <w:r>
        <w:rPr>
          <w:rStyle w:val="NormalTok"/>
        </w:rPr>
        <w:t xml:space="preserve"> </w:t>
      </w:r>
      <w:r>
        <w:rPr>
          <w:rStyle w:val="OperatorTok"/>
        </w:rPr>
        <w:t xml:space="preserve">-</w:t>
      </w:r>
      <w:r>
        <w:rPr>
          <w:rStyle w:val="NormalTok"/>
        </w:rPr>
        <w:t xml:space="preserve">Filter </w:t>
      </w:r>
      <w:r>
        <w:rPr>
          <w:rStyle w:val="VariableTok"/>
        </w:rPr>
        <w:t xml:space="preserve">$filter</w:t>
      </w:r>
      <w:r>
        <w:rPr>
          <w:rStyle w:val="NormalTok"/>
        </w:rPr>
        <w:t xml:space="preserve"> </w:t>
      </w:r>
      <w:r>
        <w:rPr>
          <w:rStyle w:val="OperatorTok"/>
        </w:rPr>
        <w:t xml:space="preserve">-</w:t>
      </w:r>
      <w:r>
        <w:rPr>
          <w:rStyle w:val="NormalTok"/>
        </w:rPr>
        <w:t xml:space="preserve">SearchBase </w:t>
      </w:r>
      <w:r>
        <w:rPr>
          <w:rStyle w:val="VariableTok"/>
        </w:rPr>
        <w:t xml:space="preserve">$SearchBase</w:t>
      </w:r>
      <w:r>
        <w:rPr>
          <w:rStyle w:val="NormalTok"/>
        </w:rPr>
        <w:t xml:space="preserve"> </w:t>
      </w:r>
      <w:r>
        <w:rPr>
          <w:rStyle w:val="OperatorTok"/>
        </w:rPr>
        <w:t xml:space="preserve">-</w:t>
      </w:r>
      <w:r>
        <w:rPr>
          <w:rStyle w:val="NormalTok"/>
        </w:rPr>
        <w:t xml:space="preserve">Properties </w:t>
      </w:r>
      <w:r>
        <w:rPr>
          <w:rStyle w:val="VariableTok"/>
        </w:rPr>
        <w:t xml:space="preserve">$properties</w:t>
      </w:r>
      <w:r>
        <w:br/>
      </w:r>
      <w:r>
        <w:br/>
      </w:r>
      <w:r>
        <w:rPr>
          <w:rStyle w:val="NormalTok"/>
        </w:rPr>
        <w:t xml:space="preserve">    </w:t>
      </w:r>
      <w:r>
        <w:rPr>
          <w:rStyle w:val="VariableTok"/>
        </w:rPr>
        <w:t xml:space="preserve">$users</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$u</w:t>
      </w:r>
      <w:r>
        <w:rPr>
          <w:rStyle w:val="NormalTok"/>
        </w:rPr>
        <w:t xml:space="preserve"> </w:t>
      </w:r>
      <w:r>
        <w:rPr>
          <w:rStyle w:val="KeywordTok"/>
        </w:rPr>
        <w:t xml:space="preserve">in</w:t>
      </w:r>
      <w:r>
        <w:rPr>
          <w:rStyle w:val="NormalTok"/>
        </w:rPr>
        <w:t xml:space="preserve"> </w:t>
      </w:r>
      <w:r>
        <w:rPr>
          <w:rStyle w:val="VariableTok"/>
        </w:rPr>
        <w:t xml:space="preserve">$adUsers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$suffix</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$u</w:t>
      </w:r>
      <w:r>
        <w:rPr>
          <w:rStyle w:val="OperatorTok"/>
        </w:rPr>
        <w:t xml:space="preserve">.</w:t>
      </w:r>
      <w:r>
        <w:rPr>
          <w:rStyle w:val="FunctionTok"/>
        </w:rPr>
        <w:t xml:space="preserve">UserPrincipalName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$u</w:t>
      </w:r>
      <w:r>
        <w:rPr>
          <w:rStyle w:val="OperatorTok"/>
        </w:rPr>
        <w:t xml:space="preserve">.</w:t>
      </w:r>
      <w:r>
        <w:rPr>
          <w:rStyle w:val="FunctionTok"/>
        </w:rPr>
        <w:t xml:space="preserve">UserPrincipalName</w:t>
      </w:r>
      <w:r>
        <w:rPr>
          <w:rStyle w:val="NormalTok"/>
        </w:rPr>
        <w:t xml:space="preserve"> </w:t>
      </w:r>
      <w:r>
        <w:rPr>
          <w:rStyle w:val="OperatorTok"/>
        </w:rPr>
        <w:t xml:space="preserve">-split</w:t>
      </w:r>
      <w:r>
        <w:rPr>
          <w:rStyle w:val="NormalTok"/>
        </w:rPr>
        <w:t xml:space="preserve"> </w:t>
      </w:r>
      <w:r>
        <w:rPr>
          <w:rStyle w:val="StringTok"/>
        </w:rPr>
        <w:t xml:space="preserve">'@'</w:t>
      </w:r>
      <w:r>
        <w:rPr>
          <w:rStyle w:val="OperatorTok"/>
        </w:rPr>
        <w:t xml:space="preserve">)[</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VariableTok"/>
        </w:rPr>
        <w:t xml:space="preserve">$null</w:t>
      </w:r>
      <w:r>
        <w:rPr>
          <w:rStyle w:val="NormalTok"/>
        </w:rPr>
        <w:t xml:space="preserve"> </w:t>
      </w:r>
      <w:r>
        <w:rPr>
          <w:rStyle w:val="OperatorTok"/>
        </w:rPr>
        <w:t xml:space="preserve">}</w:t>
      </w:r>
      <w:r>
        <w:br/>
      </w:r>
      <w:r>
        <w:rPr>
          <w:rStyle w:val="NormalTok"/>
        </w:rPr>
        <w:t xml:space="preserve">        </w:t>
      </w:r>
      <w:r>
        <w:rPr>
          <w:rStyle w:val="VariableTok"/>
        </w:rPr>
        <w:t xml:space="preserve">$isRoutable</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$suffix</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$false</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$VerifiedDomain</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$suffix</w:t>
      </w:r>
      <w:r>
        <w:rPr>
          <w:rStyle w:val="NormalTok"/>
        </w:rPr>
        <w:t xml:space="preserve"> </w:t>
      </w:r>
      <w:r>
        <w:rPr>
          <w:rStyle w:val="OperatorTok"/>
        </w:rPr>
        <w:t xml:space="preserve">-</w:t>
      </w:r>
      <w:r>
        <w:rPr>
          <w:rStyle w:val="NormalTok"/>
        </w:rPr>
        <w:t xml:space="preserve">in </w:t>
      </w:r>
      <w:r>
        <w:rPr>
          <w:rStyle w:val="VariableTok"/>
        </w:rPr>
        <w:t xml:space="preserve">$VerifiedDomain</w:t>
      </w:r>
      <w:r>
        <w:rPr>
          <w:rStyle w:val="NormalTok"/>
        </w:rPr>
        <w:t xml:space="preserve"> </w:t>
      </w:r>
      <w:r>
        <w:rPr>
          <w:rStyle w:val="OperatorTok"/>
        </w:rPr>
        <w:t xml:space="preserve">}</w:t>
      </w:r>
      <w:r>
        <w:br/>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VariableTok"/>
        </w:rPr>
        <w:t xml:space="preserve">$suffix</w:t>
      </w:r>
      <w:r>
        <w:rPr>
          <w:rStyle w:val="NormalTok"/>
        </w:rPr>
        <w:t xml:space="preserve"> </w:t>
      </w:r>
      <w:r>
        <w:rPr>
          <w:rStyle w:val="OperatorTok"/>
        </w:rPr>
        <w:t xml:space="preserve">-notmatch</w:t>
      </w:r>
      <w:r>
        <w:rPr>
          <w:rStyle w:val="NormalTok"/>
        </w:rPr>
        <w:t xml:space="preserve"> </w:t>
      </w:r>
      <w:r>
        <w:rPr>
          <w:rStyle w:val="VariableTok"/>
        </w:rPr>
        <w:t xml:space="preserve">$nonRoutablePattern</w:t>
      </w:r>
      <w:r>
        <w:rPr>
          <w:rStyle w:val="NormalTok"/>
        </w:rPr>
        <w:t xml:space="preserve"> </w:t>
      </w:r>
      <w:r>
        <w:rPr>
          <w:rStyle w:val="OperatorTok"/>
        </w:rPr>
        <w:t xml:space="preserve">}</w:t>
      </w:r>
      <w:r>
        <w:br/>
      </w:r>
      <w:r>
        <w:rPr>
          <w:rStyle w:val="NormalTok"/>
        </w:rPr>
        <w:t xml:space="preserve">        </w:t>
      </w:r>
      <w:r>
        <w:rPr>
          <w:rStyle w:val="VariableTok"/>
        </w:rPr>
        <w:t xml:space="preserve">$spnCount</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$u</w:t>
      </w:r>
      <w:r>
        <w:rPr>
          <w:rStyle w:val="OperatorTok"/>
        </w:rPr>
        <w:t xml:space="preserve">.</w:t>
      </w:r>
      <w:r>
        <w:rPr>
          <w:rStyle w:val="FunctionTok"/>
        </w:rPr>
        <w:t xml:space="preserve">ServicePrincipalName</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br/>
      </w:r>
      <w:r>
        <w:br/>
      </w:r>
      <w:r>
        <w:rPr>
          <w:rStyle w:val="NormalTok"/>
        </w:rPr>
        <w:t xml:space="preserve">        </w:t>
      </w:r>
      <w:r>
        <w:rPr>
          <w:rStyle w:val="VariableTok"/>
        </w:rPr>
        <w:t xml:space="preserve">$flags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Collections</w:t>
      </w:r>
      <w:r>
        <w:rPr>
          <w:rStyle w:val="OperatorTok"/>
        </w:rPr>
        <w:t xml:space="preserve">.</w:t>
      </w:r>
      <w:r>
        <w:rPr>
          <w:rStyle w:val="FunctionTok"/>
        </w:rPr>
        <w:t xml:space="preserve">Generic</w:t>
      </w:r>
      <w:r>
        <w:rPr>
          <w:rStyle w:val="OperatorTok"/>
        </w:rPr>
        <w:t xml:space="preserve">.</w:t>
      </w:r>
      <w:r>
        <w:rPr>
          <w:rStyle w:val="FunctionTok"/>
        </w:rPr>
        <w:t xml:space="preserve">List</w:t>
      </w:r>
      <w:r>
        <w:rPr>
          <w:rStyle w:val="OperatorTok"/>
        </w:rPr>
        <w:t xml:space="preserve">[</w:t>
      </w:r>
      <w:r>
        <w:rPr>
          <w:rStyle w:val="DataTypeTok"/>
        </w:rPr>
        <w:t xml:space="preserve">string</w:t>
      </w:r>
      <w:r>
        <w:rPr>
          <w:rStyle w:val="OperatorTok"/>
        </w:rPr>
        <w:t xml:space="preserve">]]::</w:t>
      </w:r>
      <w:r>
        <w:rPr>
          <w:rStyle w:val="NormalTok"/>
        </w:rPr>
        <w:t xml:space="preserve">new</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$isRoutable</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$flags</w:t>
      </w:r>
      <w:r>
        <w:rPr>
          <w:rStyle w:val="OperatorTok"/>
        </w:rPr>
        <w:t xml:space="preserve">.</w:t>
      </w:r>
      <w:r>
        <w:rPr>
          <w:rStyle w:val="FunctionTok"/>
        </w:rPr>
        <w:t xml:space="preserve">Add</w:t>
      </w:r>
      <w:r>
        <w:rPr>
          <w:rStyle w:val="OperatorTok"/>
        </w:rPr>
        <w:t xml:space="preserve">(</w:t>
      </w:r>
      <w:r>
        <w:rPr>
          <w:rStyle w:val="StringTok"/>
        </w:rPr>
        <w:t xml:space="preserve">'UPN_REMEDIATION_REQUIRED'</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$u</w:t>
      </w:r>
      <w:r>
        <w:rPr>
          <w:rStyle w:val="OperatorTok"/>
        </w:rPr>
        <w:t xml:space="preserve">.</w:t>
      </w:r>
      <w:r>
        <w:rPr>
          <w:rStyle w:val="FunctionTok"/>
        </w:rPr>
        <w:t xml:space="preserve">PasswordNeverExpires</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$flags</w:t>
      </w:r>
      <w:r>
        <w:rPr>
          <w:rStyle w:val="OperatorTok"/>
        </w:rPr>
        <w:t xml:space="preserve">.</w:t>
      </w:r>
      <w:r>
        <w:rPr>
          <w:rStyle w:val="FunctionTok"/>
        </w:rPr>
        <w:t xml:space="preserve">Add</w:t>
      </w:r>
      <w:r>
        <w:rPr>
          <w:rStyle w:val="OperatorTok"/>
        </w:rPr>
        <w:t xml:space="preserve">(</w:t>
      </w:r>
      <w:r>
        <w:rPr>
          <w:rStyle w:val="StringTok"/>
        </w:rPr>
        <w:t xml:space="preserve">'PASSWORD_NEVER_EXPIRES'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$u</w:t>
      </w:r>
      <w:r>
        <w:rPr>
          <w:rStyle w:val="OperatorTok"/>
        </w:rPr>
        <w:t xml:space="preserve">.</w:t>
      </w:r>
      <w:r>
        <w:rPr>
          <w:rStyle w:val="FunctionTok"/>
        </w:rPr>
        <w:t xml:space="preserve">AdminCount</w:t>
      </w:r>
      <w:r>
        <w:rPr>
          <w:rStyle w:val="NormalTok"/>
        </w:rPr>
        <w:t xml:space="preserve"> </w:t>
      </w:r>
      <w:r>
        <w:rPr>
          <w:rStyle w:val="OperatorTok"/>
        </w:rPr>
        <w:t xml:space="preserve">-eq</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$flags</w:t>
      </w:r>
      <w:r>
        <w:rPr>
          <w:rStyle w:val="OperatorTok"/>
        </w:rPr>
        <w:t xml:space="preserve">.</w:t>
      </w:r>
      <w:r>
        <w:rPr>
          <w:rStyle w:val="FunctionTok"/>
        </w:rPr>
        <w:t xml:space="preserve">Add</w:t>
      </w:r>
      <w:r>
        <w:rPr>
          <w:rStyle w:val="OperatorTok"/>
        </w:rPr>
        <w:t xml:space="preserve">(</w:t>
      </w:r>
      <w:r>
        <w:rPr>
          <w:rStyle w:val="StringTok"/>
        </w:rPr>
        <w:t xml:space="preserve">'ADMINCOUNT_SET'</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$spnCount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$flags</w:t>
      </w:r>
      <w:r>
        <w:rPr>
          <w:rStyle w:val="OperatorTok"/>
        </w:rPr>
        <w:t xml:space="preserve">.</w:t>
      </w:r>
      <w:r>
        <w:rPr>
          <w:rStyle w:val="FunctionTok"/>
        </w:rPr>
        <w:t xml:space="preserve">Add</w:t>
      </w:r>
      <w:r>
        <w:rPr>
          <w:rStyle w:val="OperatorTok"/>
        </w:rPr>
        <w:t xml:space="preserve">(</w:t>
      </w:r>
      <w:r>
        <w:rPr>
          <w:rStyle w:val="StringTok"/>
        </w:rPr>
        <w:t xml:space="preserve">'HAS_SPN'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$u</w:t>
      </w:r>
      <w:r>
        <w:rPr>
          <w:rStyle w:val="OperatorTok"/>
        </w:rPr>
        <w:t xml:space="preserve">.</w:t>
      </w:r>
      <w:r>
        <w:rPr>
          <w:rStyle w:val="FunctionTok"/>
        </w:rPr>
        <w:t xml:space="preserve">LastLogonDate</w:t>
      </w:r>
      <w:r>
        <w:rPr>
          <w:rStyle w:val="NormalTok"/>
        </w:rPr>
        <w:t xml:space="preserve"> </w:t>
      </w:r>
      <w:r>
        <w:rPr>
          <w:rStyle w:val="OperatorTok"/>
        </w:rPr>
        <w:t xml:space="preserve">-or</w:t>
      </w:r>
      <w:r>
        <w:rPr>
          <w:rStyle w:val="NormalTok"/>
        </w:rPr>
        <w:t xml:space="preserve"> </w:t>
      </w:r>
      <w:r>
        <w:rPr>
          <w:rStyle w:val="VariableTok"/>
        </w:rPr>
        <w:t xml:space="preserve">$u</w:t>
      </w:r>
      <w:r>
        <w:rPr>
          <w:rStyle w:val="OperatorTok"/>
        </w:rPr>
        <w:t xml:space="preserve">.</w:t>
      </w:r>
      <w:r>
        <w:rPr>
          <w:rStyle w:val="FunctionTok"/>
        </w:rPr>
        <w:t xml:space="preserve">LastLogonDate</w:t>
      </w:r>
      <w:r>
        <w:rPr>
          <w:rStyle w:val="NormalTok"/>
        </w:rPr>
        <w:t xml:space="preserve"> </w:t>
      </w:r>
      <w:r>
        <w:rPr>
          <w:rStyle w:val="OperatorTok"/>
        </w:rPr>
        <w:t xml:space="preserve">-lt</w:t>
      </w:r>
      <w:r>
        <w:rPr>
          <w:rStyle w:val="NormalTok"/>
        </w:rPr>
        <w:t xml:space="preserve"> </w:t>
      </w:r>
      <w:r>
        <w:rPr>
          <w:rStyle w:val="VariableTok"/>
        </w:rPr>
        <w:t xml:space="preserve">$staleCutoff</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$flags</w:t>
      </w:r>
      <w:r>
        <w:rPr>
          <w:rStyle w:val="OperatorTok"/>
        </w:rPr>
        <w:t xml:space="preserve">.</w:t>
      </w:r>
      <w:r>
        <w:rPr>
          <w:rStyle w:val="FunctionTok"/>
        </w:rPr>
        <w:t xml:space="preserve">Add</w:t>
      </w:r>
      <w:r>
        <w:rPr>
          <w:rStyle w:val="OperatorTok"/>
        </w:rPr>
        <w:t xml:space="preserve">(</w:t>
      </w:r>
      <w:r>
        <w:rPr>
          <w:rStyle w:val="StringTok"/>
        </w:rPr>
        <w:t xml:space="preserve">'STALE_ACCOUNT'</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SamAccountName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SamAccountName</w:t>
      </w:r>
      <w:r>
        <w:br/>
      </w:r>
      <w:r>
        <w:rPr>
          <w:rStyle w:val="NormalTok"/>
        </w:rPr>
        <w:t xml:space="preserve">            UPN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UserPrincipalName</w:t>
      </w:r>
      <w:r>
        <w:br/>
      </w:r>
      <w:r>
        <w:rPr>
          <w:rStyle w:val="NormalTok"/>
        </w:rPr>
        <w:t xml:space="preserve">            UPNSuffix            </w:t>
      </w:r>
      <w:r>
        <w:rPr>
          <w:rStyle w:val="OperatorTok"/>
        </w:rPr>
        <w:t xml:space="preserve">=</w:t>
      </w:r>
      <w:r>
        <w:rPr>
          <w:rStyle w:val="NormalTok"/>
        </w:rPr>
        <w:t xml:space="preserve"> </w:t>
      </w:r>
      <w:r>
        <w:rPr>
          <w:rStyle w:val="VariableTok"/>
        </w:rPr>
        <w:t xml:space="preserve">$suffix</w:t>
      </w:r>
      <w:r>
        <w:br/>
      </w:r>
      <w:r>
        <w:rPr>
          <w:rStyle w:val="NormalTok"/>
        </w:rPr>
        <w:t xml:space="preserve">            IsRoutableUPN        </w:t>
      </w:r>
      <w:r>
        <w:rPr>
          <w:rStyle w:val="OperatorTok"/>
        </w:rPr>
        <w:t xml:space="preserve">=</w:t>
      </w:r>
      <w:r>
        <w:rPr>
          <w:rStyle w:val="NormalTok"/>
        </w:rPr>
        <w:t xml:space="preserve"> </w:t>
      </w:r>
      <w:r>
        <w:rPr>
          <w:rStyle w:val="VariableTok"/>
        </w:rPr>
        <w:t xml:space="preserve">$isRoutable</w:t>
      </w:r>
      <w:r>
        <w:br/>
      </w:r>
      <w:r>
        <w:rPr>
          <w:rStyle w:val="NormalTok"/>
        </w:rPr>
        <w:t xml:space="preserve">            DisplayName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DisplayName</w:t>
      </w:r>
      <w:r>
        <w:br/>
      </w:r>
      <w:r>
        <w:rPr>
          <w:rStyle w:val="NormalTok"/>
        </w:rPr>
        <w:t xml:space="preserve">            Mail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Mail</w:t>
      </w:r>
      <w:r>
        <w:br/>
      </w:r>
      <w:r>
        <w:rPr>
          <w:rStyle w:val="NormalTok"/>
        </w:rPr>
        <w:t xml:space="preserve">            Department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Department</w:t>
      </w:r>
      <w:r>
        <w:br/>
      </w:r>
      <w:r>
        <w:rPr>
          <w:rStyle w:val="NormalTok"/>
        </w:rPr>
        <w:t xml:space="preserve">            Title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Title</w:t>
      </w:r>
      <w:r>
        <w:br/>
      </w:r>
      <w:r>
        <w:rPr>
          <w:rStyle w:val="NormalTok"/>
        </w:rPr>
        <w:t xml:space="preserve">            Enabled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Enabled</w:t>
      </w:r>
      <w:r>
        <w:br/>
      </w:r>
      <w:r>
        <w:rPr>
          <w:rStyle w:val="NormalTok"/>
        </w:rPr>
        <w:t xml:space="preserve">            PasswordNeverExpires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PasswordNeverExpires</w:t>
      </w:r>
      <w:r>
        <w:br/>
      </w:r>
      <w:r>
        <w:rPr>
          <w:rStyle w:val="NormalTok"/>
        </w:rPr>
        <w:t xml:space="preserve">            PasswordLastSet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PasswordLastSet</w:t>
      </w:r>
      <w:r>
        <w:br/>
      </w:r>
      <w:r>
        <w:rPr>
          <w:rStyle w:val="NormalTok"/>
        </w:rPr>
        <w:t xml:space="preserve">            LastLogon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LastLogonDate</w:t>
      </w:r>
      <w:r>
        <w:br/>
      </w:r>
      <w:r>
        <w:rPr>
          <w:rStyle w:val="NormalTok"/>
        </w:rPr>
        <w:t xml:space="preserve">            Created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WhenCreated</w:t>
      </w:r>
      <w:r>
        <w:br/>
      </w:r>
      <w:r>
        <w:rPr>
          <w:rStyle w:val="NormalTok"/>
        </w:rPr>
        <w:t xml:space="preserve">            GroupCount           </w:t>
      </w:r>
      <w:r>
        <w:rPr>
          <w:rStyle w:val="OperatorTok"/>
        </w:rPr>
        <w:t xml:space="preserve">=</w:t>
      </w:r>
      <w:r>
        <w:rPr>
          <w:rStyle w:val="NormalTok"/>
        </w:rPr>
        <w:t xml:space="preserve"> </w:t>
      </w:r>
      <w:r>
        <w:rPr>
          <w:rStyle w:val="OperatorTok"/>
        </w:rPr>
        <w:t xml:space="preserve">(</w:t>
      </w:r>
      <w:r>
        <w:rPr>
          <w:rStyle w:val="VariableTok"/>
        </w:rPr>
        <w:t xml:space="preserve">$u</w:t>
      </w:r>
      <w:r>
        <w:rPr>
          <w:rStyle w:val="OperatorTok"/>
        </w:rPr>
        <w:t xml:space="preserve">.</w:t>
      </w:r>
      <w:r>
        <w:rPr>
          <w:rStyle w:val="FunctionTok"/>
        </w:rPr>
        <w:t xml:space="preserve">MemberOf</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br/>
      </w:r>
      <w:r>
        <w:rPr>
          <w:rStyle w:val="NormalTok"/>
        </w:rPr>
        <w:t xml:space="preserve">            HasSPN               </w:t>
      </w:r>
      <w:r>
        <w:rPr>
          <w:rStyle w:val="OperatorTok"/>
        </w:rPr>
        <w:t xml:space="preserve">=</w:t>
      </w:r>
      <w:r>
        <w:rPr>
          <w:rStyle w:val="NormalTok"/>
        </w:rPr>
        <w:t xml:space="preserve"> </w:t>
      </w:r>
      <w:r>
        <w:rPr>
          <w:rStyle w:val="OperatorTok"/>
        </w:rPr>
        <w:t xml:space="preserve">(</w:t>
      </w:r>
      <w:r>
        <w:rPr>
          <w:rStyle w:val="VariableTok"/>
        </w:rPr>
        <w:t xml:space="preserve">$spnCount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br/>
      </w:r>
      <w:r>
        <w:rPr>
          <w:rStyle w:val="NormalTok"/>
        </w:rPr>
        <w:t xml:space="preserve">            AdminCount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AdminCount</w:t>
      </w:r>
      <w:r>
        <w:br/>
      </w:r>
      <w:r>
        <w:rPr>
          <w:rStyle w:val="NormalTok"/>
        </w:rPr>
        <w:t xml:space="preserve">            OU                   </w:t>
      </w:r>
      <w:r>
        <w:rPr>
          <w:rStyle w:val="OperatorTok"/>
        </w:rPr>
        <w:t xml:space="preserve">=</w:t>
      </w:r>
      <w:r>
        <w:rPr>
          <w:rStyle w:val="NormalTok"/>
        </w:rPr>
        <w:t xml:space="preserve"> </w:t>
      </w:r>
      <w:r>
        <w:rPr>
          <w:rStyle w:val="OperatorTok"/>
        </w:rPr>
        <w:t xml:space="preserve">(</w:t>
      </w:r>
      <w:r>
        <w:rPr>
          <w:rStyle w:val="VariableTok"/>
        </w:rPr>
        <w:t xml:space="preserve">$u</w:t>
      </w:r>
      <w:r>
        <w:rPr>
          <w:rStyle w:val="OperatorTok"/>
        </w:rPr>
        <w:t xml:space="preserve">.</w:t>
      </w:r>
      <w:r>
        <w:rPr>
          <w:rStyle w:val="FunctionTok"/>
        </w:rPr>
        <w:t xml:space="preserve">DistinguishedName</w:t>
      </w:r>
      <w:r>
        <w:rPr>
          <w:rStyle w:val="NormalTok"/>
        </w:rPr>
        <w:t xml:space="preserve"> </w:t>
      </w:r>
      <w:r>
        <w:rPr>
          <w:rStyle w:val="OperatorTok"/>
        </w:rPr>
        <w:t xml:space="preserve">-split</w:t>
      </w:r>
      <w:r>
        <w:rPr>
          <w:rStyle w:val="NormalTok"/>
        </w:rPr>
        <w:t xml:space="preserve"> </w:t>
      </w:r>
      <w:r>
        <w:rPr>
          <w:rStyle w:val="StringTok"/>
        </w:rPr>
        <w:t xml:space="preserve">','</w:t>
      </w:r>
      <w:r>
        <w:rPr>
          <w:rStyle w:val="OperatorTok"/>
        </w:rPr>
        <w:t xml:space="preserve">,</w:t>
      </w:r>
      <w:r>
        <w:rPr>
          <w:rStyle w:val="NormalTok"/>
        </w:rPr>
        <w:t xml:space="preserve"> </w:t>
      </w:r>
      <w:r>
        <w:rPr>
          <w:rStyle w:val="DecValTok"/>
        </w:rPr>
        <w:t xml:space="preserve">2</w:t>
      </w:r>
      <w:r>
        <w:rPr>
          <w:rStyle w:val="OperatorTok"/>
        </w:rPr>
        <w:t xml:space="preserve">)[</w:t>
      </w:r>
      <w:r>
        <w:rPr>
          <w:rStyle w:val="DecValTok"/>
        </w:rPr>
        <w:t xml:space="preserve">1</w:t>
      </w:r>
      <w:r>
        <w:rPr>
          <w:rStyle w:val="OperatorTok"/>
        </w:rPr>
        <w:t xml:space="preserve">]</w:t>
      </w:r>
      <w:r>
        <w:br/>
      </w:r>
      <w:r>
        <w:rPr>
          <w:rStyle w:val="NormalTok"/>
        </w:rPr>
        <w:t xml:space="preserve">            ExtensionAttributes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Region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extensionAttribute1</w:t>
      </w:r>
      <w:r>
        <w:br/>
      </w:r>
      <w:r>
        <w:rPr>
          <w:rStyle w:val="NormalTok"/>
        </w:rPr>
        <w:t xml:space="preserve">                Department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extensionAttribute2</w:t>
      </w:r>
      <w:r>
        <w:br/>
      </w:r>
      <w:r>
        <w:rPr>
          <w:rStyle w:val="NormalTok"/>
        </w:rPr>
        <w:t xml:space="preserve">                Division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extensionAttribute3</w:t>
      </w:r>
      <w:r>
        <w:br/>
      </w:r>
      <w:r>
        <w:rPr>
          <w:rStyle w:val="NormalTok"/>
        </w:rPr>
        <w:t xml:space="preserve">                Role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extensionAttribute4</w:t>
      </w:r>
      <w:r>
        <w:br/>
      </w:r>
      <w:r>
        <w:rPr>
          <w:rStyle w:val="NormalTok"/>
        </w:rPr>
        <w:t xml:space="preserve">                CostCenter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extensionAttribute5</w:t>
      </w:r>
      <w:r>
        <w:br/>
      </w:r>
      <w:r>
        <w:rPr>
          <w:rStyle w:val="NormalTok"/>
        </w:rPr>
        <w:t xml:space="preserve">                Classification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extensionAttribute6</w:t>
      </w:r>
      <w:r>
        <w:br/>
      </w:r>
      <w:r>
        <w:rPr>
          <w:rStyle w:val="NormalTok"/>
        </w:rPr>
        <w:t xml:space="preserve">                HireDate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extensionAttribute7</w:t>
      </w:r>
      <w:r>
        <w:br/>
      </w:r>
      <w:r>
        <w:rPr>
          <w:rStyle w:val="NormalTok"/>
        </w:rPr>
        <w:t xml:space="preserve">                EndDate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extensionAttribute8</w:t>
      </w:r>
      <w:r>
        <w:br/>
      </w:r>
      <w:r>
        <w:rPr>
          <w:rStyle w:val="NormalTok"/>
        </w:rPr>
        <w:t xml:space="preserve">                ClearanceLevel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extensionAttribute9</w:t>
      </w:r>
      <w:r>
        <w:br/>
      </w:r>
      <w:r>
        <w:rPr>
          <w:rStyle w:val="NormalTok"/>
        </w:rPr>
        <w:t xml:space="preserve">                AccountType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extensionAttribute10</w:t>
      </w:r>
      <w:r>
        <w:br/>
      </w:r>
      <w:r>
        <w:rPr>
          <w:rStyle w:val="NormalTok"/>
        </w:rPr>
        <w:t xml:space="preserve">            </w:t>
      </w:r>
      <w:r>
        <w:rPr>
          <w:rStyle w:val="OperatorTok"/>
        </w:rPr>
        <w:t xml:space="preserve">}</w:t>
      </w:r>
      <w:r>
        <w:br/>
      </w:r>
      <w:r>
        <w:rPr>
          <w:rStyle w:val="NormalTok"/>
        </w:rPr>
        <w:t xml:space="preserve">            MigrationFlags       </w:t>
      </w:r>
      <w:r>
        <w:rPr>
          <w:rStyle w:val="OperatorTok"/>
        </w:rPr>
        <w:t xml:space="preserve">=</w:t>
      </w:r>
      <w:r>
        <w:rPr>
          <w:rStyle w:val="NormalTok"/>
        </w:rPr>
        <w:t xml:space="preserve"> </w:t>
      </w:r>
      <w:r>
        <w:rPr>
          <w:rStyle w:val="OperatorTok"/>
        </w:rPr>
        <w:t xml:space="preserve">(</w:t>
      </w:r>
      <w:r>
        <w:rPr>
          <w:rStyle w:val="VariableTok"/>
        </w:rPr>
        <w:t xml:space="preserve">$flags</w:t>
      </w:r>
      <w:r>
        <w:rPr>
          <w:rStyle w:val="NormalTok"/>
        </w:rPr>
        <w:t xml:space="preserve"> </w:t>
      </w:r>
      <w:r>
        <w:rPr>
          <w:rStyle w:val="OperatorTok"/>
        </w:rPr>
        <w:t xml:space="preserve">-join</w:t>
      </w:r>
      <w:r>
        <w:rPr>
          <w:rStyle w:val="NormalTok"/>
        </w:rPr>
        <w:t xml:space="preserve"> </w:t>
      </w:r>
      <w:r>
        <w:rPr>
          <w:rStyle w:val="String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$parent</w:t>
      </w:r>
      <w:r>
        <w:rPr>
          <w:rStyle w:val="NormalTok"/>
        </w:rPr>
        <w:t xml:space="preserve"> </w:t>
      </w:r>
      <w:r>
        <w:rPr>
          <w:rStyle w:val="OperatorTok"/>
        </w:rPr>
        <w:t xml:space="preserve">=</w:t>
      </w:r>
      <w:r>
        <w:rPr>
          <w:rStyle w:val="NormalTok"/>
        </w:rPr>
        <w:t xml:space="preserve"> </w:t>
      </w:r>
      <w:r>
        <w:rPr>
          <w:rStyle w:val="FunctionTok"/>
        </w:rPr>
        <w:t xml:space="preserve">Split-Path</w:t>
      </w:r>
      <w:r>
        <w:rPr>
          <w:rStyle w:val="NormalTok"/>
        </w:rPr>
        <w:t xml:space="preserve"> </w:t>
      </w:r>
      <w:r>
        <w:rPr>
          <w:rStyle w:val="VariableTok"/>
        </w:rPr>
        <w:t xml:space="preserve">$ExportPath</w:t>
      </w:r>
      <w:r>
        <w:rPr>
          <w:rStyle w:val="NormalTok"/>
        </w:rPr>
        <w:t xml:space="preserve"> </w:t>
      </w:r>
      <w:r>
        <w:rPr>
          <w:rStyle w:val="OperatorTok"/>
        </w:rPr>
        <w:t xml:space="preserve">-</w:t>
      </w:r>
      <w:r>
        <w:rPr>
          <w:rStyle w:val="NormalTok"/>
        </w:rPr>
        <w:t xml:space="preserve">Parent</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OperatorTok"/>
        </w:rPr>
        <w:t xml:space="preserve">(</w:t>
      </w:r>
      <w:r>
        <w:rPr>
          <w:rStyle w:val="FunctionTok"/>
        </w:rPr>
        <w:t xml:space="preserve">Test-Path</w:t>
      </w:r>
      <w:r>
        <w:rPr>
          <w:rStyle w:val="NormalTok"/>
        </w:rPr>
        <w:t xml:space="preserve"> </w:t>
      </w:r>
      <w:r>
        <w:rPr>
          <w:rStyle w:val="VariableTok"/>
        </w:rPr>
        <w:t xml:space="preserve">$parent</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New-Item</w:t>
      </w:r>
      <w:r>
        <w:rPr>
          <w:rStyle w:val="NormalTok"/>
        </w:rPr>
        <w:t xml:space="preserve"> </w:t>
      </w:r>
      <w:r>
        <w:rPr>
          <w:rStyle w:val="OperatorTok"/>
        </w:rPr>
        <w:t xml:space="preserve">-</w:t>
      </w:r>
      <w:r>
        <w:rPr>
          <w:rStyle w:val="NormalTok"/>
        </w:rPr>
        <w:t xml:space="preserve">ItemType Directory </w:t>
      </w:r>
      <w:r>
        <w:rPr>
          <w:rStyle w:val="OperatorTok"/>
        </w:rPr>
        <w:t xml:space="preserve">-</w:t>
      </w:r>
      <w:r>
        <w:rPr>
          <w:rStyle w:val="NormalTok"/>
        </w:rPr>
        <w:t xml:space="preserve">Path </w:t>
      </w:r>
      <w:r>
        <w:rPr>
          <w:rStyle w:val="VariableTok"/>
        </w:rPr>
        <w:t xml:space="preserve">$parent</w:t>
      </w:r>
      <w:r>
        <w:rPr>
          <w:rStyle w:val="NormalTok"/>
        </w:rPr>
        <w:t xml:space="preserve"> </w:t>
      </w:r>
      <w:r>
        <w:rPr>
          <w:rStyle w:val="OperatorTok"/>
        </w:rPr>
        <w:t xml:space="preserve">-</w:t>
      </w:r>
      <w:r>
        <w:rPr>
          <w:rStyle w:val="NormalTok"/>
        </w:rPr>
        <w:t xml:space="preserve">Force </w:t>
      </w:r>
      <w:r>
        <w:rPr>
          <w:rStyle w:val="OperatorTok"/>
        </w:rPr>
        <w:t xml:space="preserve">|</w:t>
      </w:r>
      <w:r>
        <w:rPr>
          <w:rStyle w:val="NormalTok"/>
        </w:rPr>
        <w:t xml:space="preserve"> </w:t>
      </w:r>
      <w:r>
        <w:rPr>
          <w:rStyle w:val="FunctionTok"/>
        </w:rPr>
        <w:t xml:space="preserve">Out-Null</w:t>
      </w:r>
      <w:r>
        <w:rPr>
          <w:rStyle w:val="NormalTok"/>
        </w:rPr>
        <w:t xml:space="preserve"> </w:t>
      </w:r>
      <w:r>
        <w:rPr>
          <w:rStyle w:val="OperatorTok"/>
        </w:rPr>
        <w:t xml:space="preserve">}</w:t>
      </w:r>
      <w:r>
        <w:br/>
      </w:r>
      <w:r>
        <w:rPr>
          <w:rStyle w:val="NormalTok"/>
        </w:rPr>
        <w:t xml:space="preserve">    </w:t>
      </w:r>
      <w:r>
        <w:rPr>
          <w:rStyle w:val="VariableTok"/>
        </w:rPr>
        <w:t xml:space="preserve">$users</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rPr>
          <w:rStyle w:val="NormalTok"/>
        </w:rPr>
        <w:t xml:space="preserve"> </w:t>
      </w:r>
      <w:r>
        <w:rPr>
          <w:rStyle w:val="OperatorTok"/>
        </w:rPr>
        <w:t xml:space="preserve">|</w:t>
      </w:r>
      <w:r>
        <w:rPr>
          <w:rStyle w:val="NormalTok"/>
        </w:rPr>
        <w:t xml:space="preserve"> </w:t>
      </w:r>
      <w:r>
        <w:rPr>
          <w:rStyle w:val="FunctionTok"/>
        </w:rPr>
        <w:t xml:space="preserve">Out-File</w:t>
      </w:r>
      <w:r>
        <w:rPr>
          <w:rStyle w:val="NormalTok"/>
        </w:rPr>
        <w:t xml:space="preserve"> </w:t>
      </w:r>
      <w:r>
        <w:rPr>
          <w:rStyle w:val="OperatorTok"/>
        </w:rPr>
        <w:t xml:space="preserve">-</w:t>
      </w:r>
      <w:r>
        <w:rPr>
          <w:rStyle w:val="NormalTok"/>
        </w:rPr>
        <w:t xml:space="preserve">FilePath </w:t>
      </w:r>
      <w:r>
        <w:rPr>
          <w:rStyle w:val="VariableTok"/>
        </w:rPr>
        <w:t xml:space="preserve">$ExportPath</w:t>
      </w:r>
      <w:r>
        <w:rPr>
          <w:rStyle w:val="NormalTok"/>
        </w:rPr>
        <w:t xml:space="preserve"> </w:t>
      </w:r>
      <w:r>
        <w:rPr>
          <w:rStyle w:val="OperatorTok"/>
        </w:rPr>
        <w:t xml:space="preserve">-</w:t>
      </w:r>
      <w:r>
        <w:rPr>
          <w:rStyle w:val="NormalTok"/>
        </w:rPr>
        <w:t xml:space="preserve">Encoding UTF8</w:t>
      </w:r>
      <w:r>
        <w:br/>
      </w:r>
      <w:r>
        <w:br/>
      </w:r>
      <w:r>
        <w:rPr>
          <w:rStyle w:val="NormalTok"/>
        </w:rPr>
        <w:t xml:space="preserve">    </w:t>
      </w:r>
      <w:r>
        <w:rPr>
          <w:rStyle w:val="FunctionTok"/>
        </w:rPr>
        <w:t xml:space="preserve">Write-Host</w:t>
      </w:r>
      <w:r>
        <w:rPr>
          <w:rStyle w:val="NormalTok"/>
        </w:rPr>
        <w:t xml:space="preserve"> </w:t>
      </w:r>
      <w:r>
        <w:rPr>
          <w:rStyle w:val="StringTok"/>
        </w:rPr>
        <w:t xml:space="preserve">"Exported </w:t>
      </w:r>
      <w:r>
        <w:rPr>
          <w:rStyle w:val="OperatorTok"/>
        </w:rPr>
        <w:t xml:space="preserve">$(@(</w:t>
      </w:r>
      <w:r>
        <w:rPr>
          <w:rStyle w:val="VariableTok"/>
        </w:rPr>
        <w:t xml:space="preserve">$users</w:t>
      </w:r>
      <w:r>
        <w:rPr>
          <w:rStyle w:val="OperatorTok"/>
        </w:rPr>
        <w:t xml:space="preserve">)</w:t>
      </w:r>
      <w:r>
        <w:rPr>
          <w:rStyle w:val="StringTok"/>
        </w:rPr>
        <w:t xml:space="preserve">.Count) users to </w:t>
      </w:r>
      <w:r>
        <w:rPr>
          <w:rStyle w:val="VariableTok"/>
        </w:rPr>
        <w:t xml:space="preserve">$ExportPath</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rPr>
          <w:rStyle w:val="NormalTok"/>
        </w:rPr>
        <w:t xml:space="preserve">    </w:t>
      </w:r>
      <w:r>
        <w:rPr>
          <w:rStyle w:val="FunctionTok"/>
        </w:rPr>
        <w:t xml:space="preserve">Write-Host</w:t>
      </w:r>
      <w:r>
        <w:rPr>
          <w:rStyle w:val="NormalTok"/>
        </w:rPr>
        <w:t xml:space="preserve"> </w:t>
      </w:r>
      <w:r>
        <w:rPr>
          <w:rStyle w:val="StringTok"/>
        </w:rPr>
        <w:t xml:space="preserve">"  UPN remediation required: </w:t>
      </w:r>
      <w:r>
        <w:rPr>
          <w:rStyle w:val="OperatorTok"/>
        </w:rPr>
        <w:t xml:space="preserve">$(@(</w:t>
      </w:r>
      <w:r>
        <w:rPr>
          <w:rStyle w:val="VariableTok"/>
        </w:rPr>
        <w:t xml:space="preserve">$users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MigrationFlags</w:t>
      </w:r>
      <w:r>
        <w:rPr>
          <w:rStyle w:val="NormalTok"/>
        </w:rPr>
        <w:t xml:space="preserve"> </w:t>
      </w:r>
      <w:r>
        <w:rPr>
          <w:rStyle w:val="OperatorTok"/>
        </w:rPr>
        <w:t xml:space="preserve">-match</w:t>
      </w:r>
      <w:r>
        <w:rPr>
          <w:rStyle w:val="NormalTok"/>
        </w:rPr>
        <w:t xml:space="preserve"> </w:t>
      </w:r>
      <w:r>
        <w:rPr>
          <w:rStyle w:val="StringTok"/>
        </w:rPr>
        <w:t xml:space="preserve">'UPN_REMEDIATION'</w:t>
      </w:r>
      <w:r>
        <w:rPr>
          <w:rStyle w:val="NormalTok"/>
        </w:rPr>
        <w:t xml:space="preserve"> </w:t>
      </w:r>
      <w:r>
        <w:rPr>
          <w:rStyle w:val="OperatorTok"/>
        </w:rPr>
        <w:t xml:space="preserve">})</w:t>
      </w:r>
      <w:r>
        <w:rPr>
          <w:rStyle w:val="StringTok"/>
        </w:rPr>
        <w:t xml:space="preserve">.Count)"</w:t>
      </w:r>
      <w:r>
        <w:rPr>
          <w:rStyle w:val="NormalTok"/>
        </w:rPr>
        <w:t xml:space="preserve"> </w:t>
      </w:r>
      <w:r>
        <w:rPr>
          <w:rStyle w:val="OperatorTok"/>
        </w:rPr>
        <w:t xml:space="preserve">-</w:t>
      </w:r>
      <w:r>
        <w:rPr>
          <w:rStyle w:val="NormalTok"/>
        </w:rPr>
        <w:t xml:space="preserve">ForegroundColor Yellow</w:t>
      </w:r>
      <w:r>
        <w:br/>
      </w:r>
      <w:r>
        <w:rPr>
          <w:rStyle w:val="NormalTok"/>
        </w:rPr>
        <w:t xml:space="preserve">    </w:t>
      </w:r>
      <w:r>
        <w:rPr>
          <w:rStyle w:val="FunctionTok"/>
        </w:rPr>
        <w:t xml:space="preserve">Write-Host</w:t>
      </w:r>
      <w:r>
        <w:rPr>
          <w:rStyle w:val="NormalTok"/>
        </w:rPr>
        <w:t xml:space="preserve"> </w:t>
      </w:r>
      <w:r>
        <w:rPr>
          <w:rStyle w:val="StringTok"/>
        </w:rPr>
        <w:t xml:space="preserve">"  adminCount set:           </w:t>
      </w:r>
      <w:r>
        <w:rPr>
          <w:rStyle w:val="OperatorTok"/>
        </w:rPr>
        <w:t xml:space="preserve">$(@(</w:t>
      </w:r>
      <w:r>
        <w:rPr>
          <w:rStyle w:val="VariableTok"/>
        </w:rPr>
        <w:t xml:space="preserve">$users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AdminCount</w:t>
      </w:r>
      <w:r>
        <w:rPr>
          <w:rStyle w:val="NormalTok"/>
        </w:rPr>
        <w:t xml:space="preserve"> </w:t>
      </w:r>
      <w:r>
        <w:rPr>
          <w:rStyle w:val="OperatorTok"/>
        </w:rPr>
        <w:t xml:space="preserve">-eq</w:t>
      </w:r>
      <w:r>
        <w:rPr>
          <w:rStyle w:val="NormalTok"/>
        </w:rPr>
        <w:t xml:space="preserve"> </w:t>
      </w:r>
      <w:r>
        <w:rPr>
          <w:rStyle w:val="DecValTok"/>
        </w:rPr>
        <w:t xml:space="preserve">1</w:t>
      </w:r>
      <w:r>
        <w:rPr>
          <w:rStyle w:val="NormalTok"/>
        </w:rPr>
        <w:t xml:space="preserve"> </w:t>
      </w:r>
      <w:r>
        <w:rPr>
          <w:rStyle w:val="OperatorTok"/>
        </w:rPr>
        <w:t xml:space="preserve">})</w:t>
      </w:r>
      <w:r>
        <w:rPr>
          <w:rStyle w:val="StringTok"/>
        </w:rPr>
        <w:t xml:space="preserve">.Count)"</w:t>
      </w:r>
      <w:r>
        <w:rPr>
          <w:rStyle w:val="NormalTok"/>
        </w:rPr>
        <w:t xml:space="preserve"> </w:t>
      </w:r>
      <w:r>
        <w:rPr>
          <w:rStyle w:val="OperatorTok"/>
        </w:rPr>
        <w:t xml:space="preserve">-</w:t>
      </w:r>
      <w:r>
        <w:rPr>
          <w:rStyle w:val="NormalTok"/>
        </w:rPr>
        <w:t xml:space="preserve">ForegroundColor Yellow</w:t>
      </w:r>
      <w:r>
        <w:br/>
      </w:r>
      <w:r>
        <w:rPr>
          <w:rStyle w:val="NormalTok"/>
        </w:rPr>
        <w:t xml:space="preserve">    </w:t>
      </w:r>
      <w:r>
        <w:rPr>
          <w:rStyle w:val="FunctionTok"/>
        </w:rPr>
        <w:t xml:space="preserve">Write-Host</w:t>
      </w:r>
      <w:r>
        <w:rPr>
          <w:rStyle w:val="NormalTok"/>
        </w:rPr>
        <w:t xml:space="preserve"> </w:t>
      </w:r>
      <w:r>
        <w:rPr>
          <w:rStyle w:val="StringTok"/>
        </w:rPr>
        <w:t xml:space="preserve">"  Stale (over 90 days):     </w:t>
      </w:r>
      <w:r>
        <w:rPr>
          <w:rStyle w:val="OperatorTok"/>
        </w:rPr>
        <w:t xml:space="preserve">$(@(</w:t>
      </w:r>
      <w:r>
        <w:rPr>
          <w:rStyle w:val="VariableTok"/>
        </w:rPr>
        <w:t xml:space="preserve">$users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MigrationFlags</w:t>
      </w:r>
      <w:r>
        <w:rPr>
          <w:rStyle w:val="NormalTok"/>
        </w:rPr>
        <w:t xml:space="preserve"> </w:t>
      </w:r>
      <w:r>
        <w:rPr>
          <w:rStyle w:val="OperatorTok"/>
        </w:rPr>
        <w:t xml:space="preserve">-match</w:t>
      </w:r>
      <w:r>
        <w:rPr>
          <w:rStyle w:val="NormalTok"/>
        </w:rPr>
        <w:t xml:space="preserve"> </w:t>
      </w:r>
      <w:r>
        <w:rPr>
          <w:rStyle w:val="StringTok"/>
        </w:rPr>
        <w:t xml:space="preserve">'STALE'</w:t>
      </w:r>
      <w:r>
        <w:rPr>
          <w:rStyle w:val="NormalTok"/>
        </w:rPr>
        <w:t xml:space="preserve"> </w:t>
      </w:r>
      <w:r>
        <w:rPr>
          <w:rStyle w:val="OperatorTok"/>
        </w:rPr>
        <w:t xml:space="preserve">})</w:t>
      </w:r>
      <w:r>
        <w:rPr>
          <w:rStyle w:val="StringTok"/>
        </w:rPr>
        <w:t xml:space="preserve">.Count)"</w:t>
      </w:r>
      <w:r>
        <w:rPr>
          <w:rStyle w:val="NormalTok"/>
        </w:rPr>
        <w:t xml:space="preserve"> </w:t>
      </w:r>
      <w:r>
        <w:rPr>
          <w:rStyle w:val="OperatorTok"/>
        </w:rPr>
        <w:t xml:space="preserve">-</w:t>
      </w:r>
      <w:r>
        <w:rPr>
          <w:rStyle w:val="NormalTok"/>
        </w:rPr>
        <w:t xml:space="preserve">ForegroundColor Yellow</w:t>
      </w:r>
      <w:r>
        <w:br/>
      </w:r>
      <w:r>
        <w:br/>
      </w:r>
      <w:r>
        <w:rPr>
          <w:rStyle w:val="NormalTok"/>
        </w:rPr>
        <w:t xml:space="preserve">    </w:t>
      </w:r>
      <w:r>
        <w:rPr>
          <w:rStyle w:val="ControlFlowTok"/>
        </w:rPr>
        <w:t xml:space="preserve">return</w:t>
      </w:r>
      <w:r>
        <w:rPr>
          <w:rStyle w:val="NormalTok"/>
        </w:rPr>
        <w:t xml:space="preserve"> </w:t>
      </w:r>
      <w:r>
        <w:rPr>
          <w:rStyle w:val="VariableTok"/>
        </w:rPr>
        <w:t xml:space="preserve">$users</w:t>
      </w:r>
      <w:r>
        <w:br/>
      </w:r>
      <w:r>
        <w:rPr>
          <w:rStyle w:val="OperatorTok"/>
        </w:rPr>
        <w:t xml:space="preserve">}</w:t>
      </w:r>
    </w:p>
    <w:p>
      <w:pPr>
        <w:pStyle w:val="FirstParagraph"/>
      </w:pPr>
      <w:r>
        <w:t xml:space="preserve">Two fixes from the earlier version: the UPN check was inverted inside</w:t>
      </w:r>
      <w:r>
        <w:t xml:space="preserve"> </w:t>
      </w:r>
      <w:r>
        <w:rPr>
          <w:rStyle w:val="VerbatimChar"/>
        </w:rPr>
        <w:t xml:space="preserve">MigrationFlags</w:t>
      </w:r>
      <w:r>
        <w:t xml:space="preserve"> </w:t>
      </w:r>
      <w:r>
        <w:t xml:space="preserve">(it flagged routable suffixes and passed non-routable ones), and the flag for</w:t>
      </w:r>
      <w:r>
        <w:t xml:space="preserve"> </w:t>
      </w:r>
      <w:r>
        <w:rPr>
          <w:rStyle w:val="VerbatimChar"/>
        </w:rPr>
        <w:t xml:space="preserve">adminCount</w:t>
      </w:r>
      <w:r>
        <w:t xml:space="preserve"> </w:t>
      </w:r>
      <w:r>
        <w:t xml:space="preserve">was named</w:t>
      </w:r>
      <w:r>
        <w:t xml:space="preserve"> </w:t>
      </w:r>
      <w:r>
        <w:t xml:space="preserve">“AdminSDHolder protected.”</w:t>
      </w:r>
      <w:r>
        <w:t xml:space="preserve"> </w:t>
      </w:r>
      <w:r>
        <w:rPr>
          <w:rStyle w:val="VerbatimChar"/>
        </w:rPr>
        <w:t xml:space="preserve">adminCount</w:t>
      </w:r>
      <w:r>
        <w:t xml:space="preserve"> </w:t>
      </w:r>
      <w:r>
        <w:t xml:space="preserve">stays at 1 after an account leaves a protected group,</w:t>
      </w:r>
      <w:r>
        <w:rPr>
          <w:rStyle w:val="FootnoteReference"/>
        </w:rPr>
        <w:footnoteReference w:id="1346"/>
      </w:r>
      <w:r>
        <w:t xml:space="preserve"> </w:t>
      </w:r>
      <w:r>
        <w:t xml:space="preserve">so the flag now says what it measures.</w:t>
      </w:r>
    </w:p>
    <w:bookmarkEnd w:id="1347"/>
    <w:bookmarkStart w:id="1348" w:name="group-inventory"/>
    <w:p>
      <w:pPr>
        <w:pStyle w:val="Heading4"/>
      </w:pPr>
      <w:r>
        <w:t xml:space="preserve">Group inventory</w:t>
      </w:r>
    </w:p>
    <w:p>
      <w:pPr>
        <w:pStyle w:val="SourceCode"/>
      </w:pPr>
      <w:r>
        <w:rPr>
          <w:rStyle w:val="KeywordTok"/>
        </w:rPr>
        <w:t xml:space="preserve">function</w:t>
      </w:r>
      <w:r>
        <w:rPr>
          <w:rStyle w:val="NormalTok"/>
        </w:rPr>
        <w:t xml:space="preserve"> Get-FMPGroupInventory </w:t>
      </w:r>
      <w:r>
        <w:rPr>
          <w:rStyle w:val="OperatorTok"/>
        </w:rPr>
        <w:t xml:space="preserve">{</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$SearchBase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DistinguishedName</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$ExportPath</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$script</w:t>
      </w:r>
      <w:r>
        <w:rPr>
          <w:rStyle w:val="OperatorTok"/>
        </w:rPr>
        <w:t xml:space="preserve">:</w:t>
      </w:r>
      <w:r>
        <w:rPr>
          <w:rStyle w:val="VariableTok"/>
        </w:rPr>
        <w:t xml:space="preserve">ExportBasePath</w:t>
      </w:r>
      <w:r>
        <w:rPr>
          <w:rStyle w:val="StringTok"/>
        </w:rPr>
        <w:t xml:space="preserve">\Groups_</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'yyyyMMdd_HHmmss'</w:t>
      </w:r>
      <w:r>
        <w:rPr>
          <w:rStyle w:val="OperatorTok"/>
        </w:rPr>
        <w:t xml:space="preserve">)</w:t>
      </w:r>
      <w:r>
        <w:rPr>
          <w:rStyle w:val="StringTok"/>
        </w:rPr>
        <w:t xml:space="preserve">.json"</w:t>
      </w:r>
      <w:r>
        <w:br/>
      </w:r>
      <w:r>
        <w:rPr>
          <w:rStyle w:val="NormalTok"/>
        </w:rPr>
        <w:t xml:space="preserve">    </w:t>
      </w:r>
      <w:r>
        <w:rPr>
          <w:rStyle w:val="OperatorTok"/>
        </w:rPr>
        <w:t xml:space="preserve">)</w:t>
      </w:r>
      <w:r>
        <w:br/>
      </w:r>
      <w:r>
        <w:br/>
      </w:r>
      <w:r>
        <w:rPr>
          <w:rStyle w:val="NormalTok"/>
        </w:rPr>
        <w:t xml:space="preserve">    </w:t>
      </w:r>
      <w:r>
        <w:rPr>
          <w:rStyle w:val="FunctionTok"/>
        </w:rPr>
        <w:t xml:space="preserve">Write-Host</w:t>
      </w:r>
      <w:r>
        <w:rPr>
          <w:rStyle w:val="NormalTok"/>
        </w:rPr>
        <w:t xml:space="preserve"> </w:t>
      </w:r>
      <w:r>
        <w:rPr>
          <w:rStyle w:val="StringTok"/>
        </w:rPr>
        <w:t xml:space="preserve">"Collecting AD group inventory from: </w:t>
      </w:r>
      <w:r>
        <w:rPr>
          <w:rStyle w:val="VariableTok"/>
        </w:rPr>
        <w:t xml:space="preserve">$SearchBase</w:t>
      </w:r>
      <w:r>
        <w:rPr>
          <w:rStyle w:val="StringTok"/>
        </w:rPr>
        <w:t xml:space="preserve">"</w:t>
      </w:r>
      <w:r>
        <w:rPr>
          <w:rStyle w:val="NormalTok"/>
        </w:rPr>
        <w:t xml:space="preserve"> </w:t>
      </w:r>
      <w:r>
        <w:rPr>
          <w:rStyle w:val="OperatorTok"/>
        </w:rPr>
        <w:t xml:space="preserve">-</w:t>
      </w:r>
      <w:r>
        <w:rPr>
          <w:rStyle w:val="NormalTok"/>
        </w:rPr>
        <w:t xml:space="preserve">ForegroundColor Cyan</w:t>
      </w:r>
      <w:r>
        <w:br/>
      </w:r>
      <w:r>
        <w:rPr>
          <w:rStyle w:val="NormalTok"/>
        </w:rPr>
        <w:t xml:space="preserve">    </w:t>
      </w:r>
      <w:r>
        <w:rPr>
          <w:rStyle w:val="VariableTok"/>
        </w:rPr>
        <w:t xml:space="preserve">$groups</w:t>
      </w:r>
      <w:r>
        <w:rPr>
          <w:rStyle w:val="NormalTok"/>
        </w:rPr>
        <w:t xml:space="preserve"> </w:t>
      </w:r>
      <w:r>
        <w:rPr>
          <w:rStyle w:val="OperatorTok"/>
        </w:rPr>
        <w:t xml:space="preserve">=</w:t>
      </w:r>
      <w:r>
        <w:rPr>
          <w:rStyle w:val="NormalTok"/>
        </w:rPr>
        <w:t xml:space="preserve"> </w:t>
      </w:r>
      <w:r>
        <w:rPr>
          <w:rStyle w:val="FunctionTok"/>
        </w:rPr>
        <w:t xml:space="preserve">Get-ADGroup</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SearchBase </w:t>
      </w:r>
      <w:r>
        <w:rPr>
          <w:rStyle w:val="VariableTok"/>
        </w:rPr>
        <w:t xml:space="preserve">$SearchBase</w:t>
      </w:r>
      <w:r>
        <w:rPr>
          <w:rStyle w:val="NormalTok"/>
        </w:rPr>
        <w:t xml:space="preserve"> </w:t>
      </w:r>
      <w:r>
        <w:rPr>
          <w:rStyle w:val="OperatorTok"/>
        </w:rPr>
        <w:t xml:space="preserve">-</w:t>
      </w:r>
      <w:r>
        <w:rPr>
          <w:rStyle w:val="NormalTok"/>
        </w:rPr>
        <w:t xml:space="preserve">Properties Description</w:t>
      </w:r>
      <w:r>
        <w:rPr>
          <w:rStyle w:val="OperatorTok"/>
        </w:rPr>
        <w:t xml:space="preserve">,</w:t>
      </w:r>
      <w:r>
        <w:rPr>
          <w:rStyle w:val="NormalTok"/>
        </w:rPr>
        <w:t xml:space="preserve"> GroupScope</w:t>
      </w:r>
      <w:r>
        <w:rPr>
          <w:rStyle w:val="OperatorTok"/>
        </w:rPr>
        <w:t xml:space="preserve">,</w:t>
      </w:r>
      <w:r>
        <w:br/>
      </w:r>
      <w:r>
        <w:rPr>
          <w:rStyle w:val="NormalTok"/>
        </w:rPr>
        <w:t xml:space="preserve">            GroupCategory</w:t>
      </w:r>
      <w:r>
        <w:rPr>
          <w:rStyle w:val="OperatorTok"/>
        </w:rPr>
        <w:t xml:space="preserve">,</w:t>
      </w:r>
      <w:r>
        <w:rPr>
          <w:rStyle w:val="NormalTok"/>
        </w:rPr>
        <w:t xml:space="preserve"> ManagedBy</w:t>
      </w:r>
      <w:r>
        <w:rPr>
          <w:rStyle w:val="OperatorTok"/>
        </w:rPr>
        <w:t xml:space="preserve">,</w:t>
      </w:r>
      <w:r>
        <w:rPr>
          <w:rStyle w:val="NormalTok"/>
        </w:rPr>
        <w:t xml:space="preserve"> Members</w:t>
      </w:r>
      <w:r>
        <w:rPr>
          <w:rStyle w:val="OperatorTok"/>
        </w:rPr>
        <w:t xml:space="preserve">,</w:t>
      </w:r>
      <w:r>
        <w:rPr>
          <w:rStyle w:val="NormalTok"/>
        </w:rPr>
        <w:t xml:space="preserve"> MemberOf</w:t>
      </w:r>
      <w:r>
        <w:rPr>
          <w:rStyle w:val="OperatorTok"/>
        </w:rPr>
        <w:t xml:space="preserve">,</w:t>
      </w:r>
      <w:r>
        <w:rPr>
          <w:rStyle w:val="NormalTok"/>
        </w:rPr>
        <w:t xml:space="preserve"> Mail</w:t>
      </w:r>
      <w:r>
        <w:rPr>
          <w:rStyle w:val="OperatorTok"/>
        </w:rPr>
        <w:t xml:space="preserve">,</w:t>
      </w:r>
      <w:r>
        <w:rPr>
          <w:rStyle w:val="NormalTok"/>
        </w:rPr>
        <w:t xml:space="preserve"> WhenCreated</w:t>
      </w:r>
      <w:r>
        <w:rPr>
          <w:rStyle w:val="OperatorTok"/>
        </w:rPr>
        <w:t xml:space="preserve">,</w:t>
      </w:r>
      <w:r>
        <w:rPr>
          <w:rStyle w:val="NormalTok"/>
        </w:rPr>
        <w:t xml:space="preserve"> WhenChanged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'Name'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'Description'</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Description</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'Scope'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GroupScope</w:t>
      </w:r>
      <w:r>
        <w:rPr>
          <w:rStyle w:val="OperatorTok"/>
        </w:rPr>
        <w:t xml:space="preserve">.</w:t>
      </w:r>
      <w:r>
        <w:rPr>
          <w:rStyle w:val="FunctionTok"/>
        </w:rPr>
        <w:t xml:space="preserve">ToString</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'Category'</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GroupCategory</w:t>
      </w:r>
      <w:r>
        <w:rPr>
          <w:rStyle w:val="OperatorTok"/>
        </w:rPr>
        <w:t xml:space="preserve">.</w:t>
      </w:r>
      <w:r>
        <w:rPr>
          <w:rStyle w:val="FunctionTok"/>
        </w:rPr>
        <w:t xml:space="preserve">ToString</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'ManagedBy'</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ManagedBy</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Get-ADObject</w:t>
      </w:r>
      <w:r>
        <w:rPr>
          <w:rStyle w:val="NormalTok"/>
        </w:rPr>
        <w:t xml:space="preserve"> </w:t>
      </w:r>
      <w:r>
        <w:rPr>
          <w:rStyle w:val="VariableTok"/>
        </w:rPr>
        <w:t xml:space="preserve">$_</w:t>
      </w:r>
      <w:r>
        <w:rPr>
          <w:rStyle w:val="OperatorTok"/>
        </w:rPr>
        <w:t xml:space="preserve">.</w:t>
      </w:r>
      <w:r>
        <w:rPr>
          <w:rStyle w:val="FunctionTok"/>
        </w:rPr>
        <w:t xml:space="preserve">ManagedBy</w:t>
      </w:r>
      <w:r>
        <w:rPr>
          <w:rStyle w:val="NormalTok"/>
        </w:rPr>
        <w:t xml:space="preserve"> </w:t>
      </w:r>
      <w:r>
        <w:rPr>
          <w:rStyle w:val="OperatorTok"/>
        </w:rPr>
        <w:t xml:space="preserve">-</w:t>
      </w:r>
      <w:r>
        <w:rPr>
          <w:rStyle w:val="NormalTok"/>
        </w:rPr>
        <w:t xml:space="preserve">Properties DisplayName</w:t>
      </w:r>
      <w:r>
        <w:rPr>
          <w:rStyle w:val="OperatorTok"/>
        </w:rPr>
        <w:t xml:space="preserve">).</w:t>
      </w:r>
      <w:r>
        <w:rPr>
          <w:rStyle w:val="FunctionTok"/>
        </w:rPr>
        <w:t xml:space="preserve">DisplayName</w:t>
      </w:r>
      <w:r>
        <w:rPr>
          <w:rStyle w:val="NormalTok"/>
        </w:rPr>
        <w:t xml:space="preserve"> </w:t>
      </w:r>
      <w:r>
        <w:rPr>
          <w:rStyle w:val="OperatorTok"/>
        </w:rPr>
        <w:t xml:space="preserve">}</w:t>
      </w:r>
      <w:r>
        <w:br/>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'UNMANAGED'</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'MemberCount'</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Members</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'NestedInCount'</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MemberOf</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'HasMail'</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ataTypeTok"/>
        </w:rPr>
        <w:t xml:space="preserve">bool</w:t>
      </w:r>
      <w:r>
        <w:rPr>
          <w:rStyle w:val="OperatorTok"/>
        </w:rPr>
        <w:t xml:space="preserve">]</w:t>
      </w:r>
      <w:r>
        <w:rPr>
          <w:rStyle w:val="VariableTok"/>
        </w:rPr>
        <w:t xml:space="preserve">$_</w:t>
      </w:r>
      <w:r>
        <w:rPr>
          <w:rStyle w:val="OperatorTok"/>
        </w:rPr>
        <w:t xml:space="preserve">.</w:t>
      </w:r>
      <w:r>
        <w:rPr>
          <w:rStyle w:val="FunctionTok"/>
        </w:rPr>
        <w:t xml:space="preserve">Mail</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'OU'</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DistinguishedName</w:t>
      </w:r>
      <w:r>
        <w:rPr>
          <w:rStyle w:val="NormalTok"/>
        </w:rPr>
        <w:t xml:space="preserve"> </w:t>
      </w:r>
      <w:r>
        <w:rPr>
          <w:rStyle w:val="OperatorTok"/>
        </w:rPr>
        <w:t xml:space="preserve">-split</w:t>
      </w:r>
      <w:r>
        <w:rPr>
          <w:rStyle w:val="NormalTok"/>
        </w:rPr>
        <w:t xml:space="preserve"> </w:t>
      </w:r>
      <w:r>
        <w:rPr>
          <w:rStyle w:val="StringTok"/>
        </w:rPr>
        <w:t xml:space="preserve">','</w:t>
      </w:r>
      <w:r>
        <w:rPr>
          <w:rStyle w:val="OperatorTok"/>
        </w:rPr>
        <w:t xml:space="preserve">,</w:t>
      </w:r>
      <w:r>
        <w:rPr>
          <w:rStyle w:val="NormalTok"/>
        </w:rPr>
        <w:t xml:space="preserve"> </w:t>
      </w:r>
      <w:r>
        <w:rPr>
          <w:rStyle w:val="DecValTok"/>
        </w:rPr>
        <w:t xml:space="preserve">2</w:t>
      </w:r>
      <w:r>
        <w:rPr>
          <w:rStyle w:val="OperatorTok"/>
        </w:rPr>
        <w:t xml:space="preserve">)[</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'Created'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WhenCreated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'Modified'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WhenChanged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'MigrationDecision'</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$mc</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Members</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$mc</w:t>
      </w:r>
      <w:r>
        <w:rPr>
          <w:rStyle w:val="NormalTok"/>
        </w:rPr>
        <w:t xml:space="preserve"> </w:t>
      </w:r>
      <w:r>
        <w:rPr>
          <w:rStyle w:val="OperatorTok"/>
        </w:rPr>
        <w:t xml:space="preserve">-eq</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'DECOMMISSION'</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GroupCategory</w:t>
      </w:r>
      <w:r>
        <w:rPr>
          <w:rStyle w:val="NormalTok"/>
        </w:rPr>
        <w:t xml:space="preserve"> </w:t>
      </w:r>
      <w:r>
        <w:rPr>
          <w:rStyle w:val="OperatorTok"/>
        </w:rPr>
        <w:t xml:space="preserve">-eq</w:t>
      </w:r>
      <w:r>
        <w:rPr>
          <w:rStyle w:val="NormalTok"/>
        </w:rPr>
        <w:t xml:space="preserve"> </w:t>
      </w:r>
      <w:r>
        <w:rPr>
          <w:rStyle w:val="StringTok"/>
        </w:rPr>
        <w:t xml:space="preserve">'Distribution'</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'EVALUATE_M365_GROUP'</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Mail</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'SYNC_MAIL_ENABLED_SECURITY'</w:t>
      </w:r>
      <w:r>
        <w:rPr>
          <w:rStyle w:val="NormalTok"/>
        </w:rPr>
        <w:t xml:space="preserve"> </w:t>
      </w:r>
      <w:r>
        <w:rPr>
          <w:rStyle w:val="OperatorTok"/>
        </w:rPr>
        <w:t xml:space="preserve">}</w:t>
      </w:r>
      <w:r>
        <w:br/>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'EVALUATE_SYNC_OR_DYNAMIC'</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VariableTok"/>
        </w:rPr>
        <w:t xml:space="preserve">$groups</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rPr>
          <w:rStyle w:val="NormalTok"/>
        </w:rPr>
        <w:t xml:space="preserve"> </w:t>
      </w:r>
      <w:r>
        <w:rPr>
          <w:rStyle w:val="OperatorTok"/>
        </w:rPr>
        <w:t xml:space="preserve">|</w:t>
      </w:r>
      <w:r>
        <w:rPr>
          <w:rStyle w:val="NormalTok"/>
        </w:rPr>
        <w:t xml:space="preserve"> </w:t>
      </w:r>
      <w:r>
        <w:rPr>
          <w:rStyle w:val="FunctionTok"/>
        </w:rPr>
        <w:t xml:space="preserve">Out-File</w:t>
      </w:r>
      <w:r>
        <w:rPr>
          <w:rStyle w:val="NormalTok"/>
        </w:rPr>
        <w:t xml:space="preserve"> </w:t>
      </w:r>
      <w:r>
        <w:rPr>
          <w:rStyle w:val="OperatorTok"/>
        </w:rPr>
        <w:t xml:space="preserve">-</w:t>
      </w:r>
      <w:r>
        <w:rPr>
          <w:rStyle w:val="NormalTok"/>
        </w:rPr>
        <w:t xml:space="preserve">FilePath </w:t>
      </w:r>
      <w:r>
        <w:rPr>
          <w:rStyle w:val="VariableTok"/>
        </w:rPr>
        <w:t xml:space="preserve">$ExportPath</w:t>
      </w:r>
      <w:r>
        <w:rPr>
          <w:rStyle w:val="NormalTok"/>
        </w:rPr>
        <w:t xml:space="preserve"> </w:t>
      </w:r>
      <w:r>
        <w:rPr>
          <w:rStyle w:val="OperatorTok"/>
        </w:rPr>
        <w:t xml:space="preserve">-</w:t>
      </w:r>
      <w:r>
        <w:rPr>
          <w:rStyle w:val="NormalTok"/>
        </w:rPr>
        <w:t xml:space="preserve">Encoding UTF8</w:t>
      </w:r>
      <w:r>
        <w:br/>
      </w:r>
      <w:r>
        <w:rPr>
          <w:rStyle w:val="NormalTok"/>
        </w:rPr>
        <w:t xml:space="preserve">    </w:t>
      </w:r>
      <w:r>
        <w:rPr>
          <w:rStyle w:val="FunctionTok"/>
        </w:rPr>
        <w:t xml:space="preserve">Write-Host</w:t>
      </w:r>
      <w:r>
        <w:rPr>
          <w:rStyle w:val="NormalTok"/>
        </w:rPr>
        <w:t xml:space="preserve"> </w:t>
      </w:r>
      <w:r>
        <w:rPr>
          <w:rStyle w:val="StringTok"/>
        </w:rPr>
        <w:t xml:space="preserve">"Exported </w:t>
      </w:r>
      <w:r>
        <w:rPr>
          <w:rStyle w:val="OperatorTok"/>
        </w:rPr>
        <w:t xml:space="preserve">$(@(</w:t>
      </w:r>
      <w:r>
        <w:rPr>
          <w:rStyle w:val="VariableTok"/>
        </w:rPr>
        <w:t xml:space="preserve">$groups</w:t>
      </w:r>
      <w:r>
        <w:rPr>
          <w:rStyle w:val="OperatorTok"/>
        </w:rPr>
        <w:t xml:space="preserve">)</w:t>
      </w:r>
      <w:r>
        <w:rPr>
          <w:rStyle w:val="StringTok"/>
        </w:rPr>
        <w:t xml:space="preserve">.Count) groups to </w:t>
      </w:r>
      <w:r>
        <w:rPr>
          <w:rStyle w:val="VariableTok"/>
        </w:rPr>
        <w:t xml:space="preserve">$ExportPath</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rPr>
          <w:rStyle w:val="NormalTok"/>
        </w:rPr>
        <w:t xml:space="preserve">    </w:t>
      </w:r>
      <w:r>
        <w:rPr>
          <w:rStyle w:val="ControlFlowTok"/>
        </w:rPr>
        <w:t xml:space="preserve">return</w:t>
      </w:r>
      <w:r>
        <w:rPr>
          <w:rStyle w:val="NormalTok"/>
        </w:rPr>
        <w:t xml:space="preserve"> </w:t>
      </w:r>
      <w:r>
        <w:rPr>
          <w:rStyle w:val="VariableTok"/>
        </w:rPr>
        <w:t xml:space="preserve">$groups</w:t>
      </w:r>
      <w:r>
        <w:br/>
      </w:r>
      <w:r>
        <w:rPr>
          <w:rStyle w:val="OperatorTok"/>
        </w:rPr>
        <w:t xml:space="preserve">}</w:t>
      </w:r>
    </w:p>
    <w:bookmarkEnd w:id="1348"/>
    <w:bookmarkStart w:id="1349" w:name="service-account-inventory"/>
    <w:p>
      <w:pPr>
        <w:pStyle w:val="Heading4"/>
      </w:pPr>
      <w:r>
        <w:t xml:space="preserve">Service account inventory</w:t>
      </w:r>
    </w:p>
    <w:p>
      <w:pPr>
        <w:pStyle w:val="FirstParagraph"/>
      </w:pPr>
      <w:r>
        <w:t xml:space="preserve">The earlier module had only a stub here that pointed elsewhere for the body. The module now carries the full function; it’s the same code as Chapter 09, with the export path tied to the module’s base path.</w:t>
      </w:r>
    </w:p>
    <w:p>
      <w:pPr>
        <w:pStyle w:val="SourceCode"/>
      </w:pPr>
      <w:r>
        <w:rPr>
          <w:rStyle w:val="KeywordTok"/>
        </w:rPr>
        <w:t xml:space="preserve">function</w:t>
      </w:r>
      <w:r>
        <w:rPr>
          <w:rStyle w:val="NormalTok"/>
        </w:rPr>
        <w:t xml:space="preserve"> Get-FMPServiceAccountInventory </w:t>
      </w:r>
      <w:r>
        <w:rPr>
          <w:rStyle w:val="OperatorTok"/>
        </w:rPr>
        <w:t xml:space="preserve">{</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$SearchBase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DistinguishedName</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$ExportPath</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$script</w:t>
      </w:r>
      <w:r>
        <w:rPr>
          <w:rStyle w:val="OperatorTok"/>
        </w:rPr>
        <w:t xml:space="preserve">:</w:t>
      </w:r>
      <w:r>
        <w:rPr>
          <w:rStyle w:val="VariableTok"/>
        </w:rPr>
        <w:t xml:space="preserve">ExportBasePath</w:t>
      </w:r>
      <w:r>
        <w:rPr>
          <w:rStyle w:val="StringTok"/>
        </w:rPr>
        <w:t xml:space="preserve">\ServiceAccounts_</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'yyyyMMdd_HHmmss'</w:t>
      </w:r>
      <w:r>
        <w:rPr>
          <w:rStyle w:val="OperatorTok"/>
        </w:rPr>
        <w:t xml:space="preserve">)</w:t>
      </w:r>
      <w:r>
        <w:rPr>
          <w:rStyle w:val="StringTok"/>
        </w:rPr>
        <w:t xml:space="preserve">.json"</w:t>
      </w:r>
      <w:r>
        <w:br/>
      </w:r>
      <w:r>
        <w:rPr>
          <w:rStyle w:val="NormalTok"/>
        </w:rPr>
        <w:t xml:space="preserve">    </w:t>
      </w:r>
      <w:r>
        <w:rPr>
          <w:rStyle w:val="OperatorTok"/>
        </w:rPr>
        <w:t xml:space="preserve">)</w:t>
      </w:r>
      <w:r>
        <w:br/>
      </w:r>
      <w:r>
        <w:br/>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Collections</w:t>
      </w:r>
      <w:r>
        <w:rPr>
          <w:rStyle w:val="OperatorTok"/>
        </w:rPr>
        <w:t xml:space="preserve">.</w:t>
      </w:r>
      <w:r>
        <w:rPr>
          <w:rStyle w:val="FunctionTok"/>
        </w:rPr>
        <w:t xml:space="preserve">Generic</w:t>
      </w:r>
      <w:r>
        <w:rPr>
          <w:rStyle w:val="OperatorTok"/>
        </w:rPr>
        <w:t xml:space="preserve">.</w:t>
      </w:r>
      <w:r>
        <w:rPr>
          <w:rStyle w:val="FunctionTok"/>
        </w:rPr>
        <w:t xml:space="preserve">List</w:t>
      </w:r>
      <w:r>
        <w:rPr>
          <w:rStyle w:val="OperatorTok"/>
        </w:rPr>
        <w:t xml:space="preserve">[</w:t>
      </w:r>
      <w:r>
        <w:rPr>
          <w:rStyle w:val="DataTypeTok"/>
        </w:rPr>
        <w:t xml:space="preserve">object</w:t>
      </w:r>
      <w:r>
        <w:rPr>
          <w:rStyle w:val="OperatorTok"/>
        </w:rPr>
        <w:t xml:space="preserve">]]::</w:t>
      </w:r>
      <w:r>
        <w:rPr>
          <w:rStyle w:val="NormalTok"/>
        </w:rPr>
        <w:t xml:space="preserve">new</w:t>
      </w:r>
      <w:r>
        <w:rPr>
          <w:rStyle w:val="OperatorTok"/>
        </w:rPr>
        <w:t xml:space="preserve">()</w:t>
      </w:r>
      <w:r>
        <w:br/>
      </w:r>
      <w:r>
        <w:rPr>
          <w:rStyle w:val="NormalTok"/>
        </w:rPr>
        <w:t xml:space="preserve">    </w:t>
      </w:r>
      <w:r>
        <w:rPr>
          <w:rStyle w:val="VariableTok"/>
        </w:rPr>
        <w:t xml:space="preserve">$staleCutoff</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AddDays</w:t>
      </w:r>
      <w:r>
        <w:rPr>
          <w:rStyle w:val="OperatorTok"/>
        </w:rPr>
        <w:t xml:space="preserve">(-</w:t>
      </w:r>
      <w:r>
        <w:rPr>
          <w:rStyle w:val="DecValTok"/>
        </w:rPr>
        <w:t xml:space="preserve">90</w:t>
      </w:r>
      <w:r>
        <w:rPr>
          <w:rStyle w:val="OperatorTok"/>
        </w:rPr>
        <w:t xml:space="preserve">)</w:t>
      </w:r>
      <w:r>
        <w:br/>
      </w:r>
      <w:r>
        <w:br/>
      </w:r>
      <w:r>
        <w:rPr>
          <w:rStyle w:val="NormalTok"/>
        </w:rPr>
        <w:t xml:space="preserve">    </w:t>
      </w:r>
      <w:r>
        <w:rPr>
          <w:rStyle w:val="VariableTok"/>
        </w:rPr>
        <w:t xml:space="preserve">$svcUsers</w:t>
      </w:r>
      <w:r>
        <w:rPr>
          <w:rStyle w:val="NormalTok"/>
        </w:rPr>
        <w:t xml:space="preserve"> </w:t>
      </w:r>
      <w:r>
        <w:rPr>
          <w:rStyle w:val="OperatorTok"/>
        </w:rPr>
        <w:t xml:space="preserve">=</w:t>
      </w:r>
      <w:r>
        <w:rPr>
          <w:rStyle w:val="NormalTok"/>
        </w:rPr>
        <w:t xml:space="preserve"> </w:t>
      </w:r>
      <w:r>
        <w:rPr>
          <w:rStyle w:val="FunctionTok"/>
        </w:rPr>
        <w:t xml:space="preserve">Get-ADUser</w:t>
      </w:r>
      <w:r>
        <w:rPr>
          <w:rStyle w:val="NormalTok"/>
        </w:rPr>
        <w:t xml:space="preserve"> </w:t>
      </w:r>
      <w:r>
        <w:rPr>
          <w:rStyle w:val="OperatorTok"/>
        </w:rPr>
        <w:t xml:space="preserve">-</w:t>
      </w:r>
      <w:r>
        <w:rPr>
          <w:rStyle w:val="NormalTok"/>
        </w:rPr>
        <w:t xml:space="preserve">SearchBase </w:t>
      </w:r>
      <w:r>
        <w:rPr>
          <w:rStyle w:val="VariableTok"/>
        </w:rPr>
        <w:t xml:space="preserve">$SearchBase</w:t>
      </w:r>
      <w:r>
        <w:rPr>
          <w:rStyle w:val="NormalTok"/>
        </w:rPr>
        <w:t xml:space="preserve"> </w:t>
      </w:r>
      <w:r>
        <w:rPr>
          <w:rStyle w:val="OperatorTok"/>
        </w:rPr>
        <w:t xml:space="preserve">-</w:t>
      </w:r>
      <w:r>
        <w:rPr>
          <w:rStyle w:val="NormalTok"/>
        </w:rPr>
        <w:t xml:space="preserve">Filter </w:t>
      </w:r>
      <w:r>
        <w:rPr>
          <w:rStyle w:val="OperatorTok"/>
        </w:rPr>
        <w:t xml:space="preserve">{</w:t>
      </w:r>
      <w:r>
        <w:br/>
      </w:r>
      <w:r>
        <w:rPr>
          <w:rStyle w:val="NormalTok"/>
        </w:rPr>
        <w:t xml:space="preserve">            </w:t>
      </w:r>
      <w:r>
        <w:rPr>
          <w:rStyle w:val="OperatorTok"/>
        </w:rPr>
        <w:t xml:space="preserve">(</w:t>
      </w:r>
      <w:r>
        <w:rPr>
          <w:rStyle w:val="NormalTok"/>
        </w:rPr>
        <w:t xml:space="preserve">ServicePrincipalName </w:t>
      </w:r>
      <w:r>
        <w:rPr>
          <w:rStyle w:val="OperatorTok"/>
        </w:rPr>
        <w:t xml:space="preserve">-like</w:t>
      </w:r>
      <w:r>
        <w:rPr>
          <w:rStyle w:val="NormalTok"/>
        </w:rPr>
        <w:t xml:space="preserve"> </w:t>
      </w:r>
      <w:r>
        <w:rPr>
          <w:rStyle w:val="StringTok"/>
        </w:rPr>
        <w:t xml:space="preserve">'*'</w:t>
      </w:r>
      <w:r>
        <w:rPr>
          <w:rStyle w:val="OperatorTok"/>
        </w:rPr>
        <w:t xml:space="preserve">)</w:t>
      </w:r>
      <w:r>
        <w:rPr>
          <w:rStyle w:val="NormalTok"/>
        </w:rPr>
        <w:t xml:space="preserve"> </w:t>
      </w:r>
      <w:r>
        <w:rPr>
          <w:rStyle w:val="OperatorTok"/>
        </w:rPr>
        <w:t xml:space="preserve">-or</w:t>
      </w:r>
      <w:r>
        <w:rPr>
          <w:rStyle w:val="NormalTok"/>
        </w:rPr>
        <w:t xml:space="preserve"> </w:t>
      </w:r>
      <w:r>
        <w:rPr>
          <w:rStyle w:val="OperatorTok"/>
        </w:rPr>
        <w:t xml:space="preserve">(</w:t>
      </w:r>
      <w:r>
        <w:rPr>
          <w:rStyle w:val="NormalTok"/>
        </w:rPr>
        <w:t xml:space="preserve">SamAccountName </w:t>
      </w:r>
      <w:r>
        <w:rPr>
          <w:rStyle w:val="OperatorTok"/>
        </w:rPr>
        <w:t xml:space="preserve">-like</w:t>
      </w:r>
      <w:r>
        <w:rPr>
          <w:rStyle w:val="NormalTok"/>
        </w:rPr>
        <w:t xml:space="preserve"> </w:t>
      </w:r>
      <w:r>
        <w:rPr>
          <w:rStyle w:val="StringTok"/>
        </w:rPr>
        <w:t xml:space="preserve">'svc-*'</w:t>
      </w:r>
      <w:r>
        <w:rPr>
          <w:rStyle w:val="OperatorTok"/>
        </w:rPr>
        <w:t xml:space="preserve">)</w:t>
      </w:r>
      <w:r>
        <w:rPr>
          <w:rStyle w:val="NormalTok"/>
        </w:rPr>
        <w:t xml:space="preserve"> </w:t>
      </w:r>
      <w:r>
        <w:rPr>
          <w:rStyle w:val="OperatorTok"/>
        </w:rPr>
        <w:t xml:space="preserve">-or</w:t>
      </w:r>
      <w:r>
        <w:br/>
      </w:r>
      <w:r>
        <w:rPr>
          <w:rStyle w:val="NormalTok"/>
        </w:rPr>
        <w:t xml:space="preserve">            </w:t>
      </w:r>
      <w:r>
        <w:rPr>
          <w:rStyle w:val="OperatorTok"/>
        </w:rPr>
        <w:t xml:space="preserve">(</w:t>
      </w:r>
      <w:r>
        <w:rPr>
          <w:rStyle w:val="NormalTok"/>
        </w:rPr>
        <w:t xml:space="preserve">SamAccountName </w:t>
      </w:r>
      <w:r>
        <w:rPr>
          <w:rStyle w:val="OperatorTok"/>
        </w:rPr>
        <w:t xml:space="preserve">-like</w:t>
      </w:r>
      <w:r>
        <w:rPr>
          <w:rStyle w:val="NormalTok"/>
        </w:rPr>
        <w:t xml:space="preserve"> </w:t>
      </w:r>
      <w:r>
        <w:rPr>
          <w:rStyle w:val="StringTok"/>
        </w:rPr>
        <w:t xml:space="preserve">'svc_*'</w:t>
      </w:r>
      <w:r>
        <w:rPr>
          <w:rStyle w:val="OperatorTok"/>
        </w:rPr>
        <w:t xml:space="preserve">)</w:t>
      </w:r>
      <w:r>
        <w:rPr>
          <w:rStyle w:val="NormalTok"/>
        </w:rPr>
        <w:t xml:space="preserve"> </w:t>
      </w:r>
      <w:r>
        <w:rPr>
          <w:rStyle w:val="OperatorTok"/>
        </w:rPr>
        <w:t xml:space="preserve">-or</w:t>
      </w:r>
      <w:r>
        <w:rPr>
          <w:rStyle w:val="NormalTok"/>
        </w:rPr>
        <w:t xml:space="preserve"> </w:t>
      </w:r>
      <w:r>
        <w:rPr>
          <w:rStyle w:val="OperatorTok"/>
        </w:rPr>
        <w:t xml:space="preserve">(</w:t>
      </w:r>
      <w:r>
        <w:rPr>
          <w:rStyle w:val="NormalTok"/>
        </w:rPr>
        <w:t xml:space="preserve">SamAccountName </w:t>
      </w:r>
      <w:r>
        <w:rPr>
          <w:rStyle w:val="OperatorTok"/>
        </w:rPr>
        <w:t xml:space="preserve">-like</w:t>
      </w:r>
      <w:r>
        <w:rPr>
          <w:rStyle w:val="NormalTok"/>
        </w:rPr>
        <w:t xml:space="preserve"> </w:t>
      </w:r>
      <w:r>
        <w:rPr>
          <w:rStyle w:val="StringTok"/>
        </w:rPr>
        <w:t xml:space="preserve">'sa-*'</w:t>
      </w:r>
      <w:r>
        <w:rPr>
          <w:rStyle w:val="OperatorTok"/>
        </w:rPr>
        <w:t xml:space="preserve">)</w:t>
      </w:r>
      <w:r>
        <w:rPr>
          <w:rStyle w:val="NormalTok"/>
        </w:rPr>
        <w:t xml:space="preserve"> </w:t>
      </w:r>
      <w:r>
        <w:rPr>
          <w:rStyle w:val="OperatorTok"/>
        </w:rPr>
        <w:t xml:space="preserve">-or</w:t>
      </w:r>
      <w:r>
        <w:br/>
      </w:r>
      <w:r>
        <w:rPr>
          <w:rStyle w:val="NormalTok"/>
        </w:rPr>
        <w:t xml:space="preserve">            </w:t>
      </w:r>
      <w:r>
        <w:rPr>
          <w:rStyle w:val="OperatorTok"/>
        </w:rPr>
        <w:t xml:space="preserve">(</w:t>
      </w:r>
      <w:r>
        <w:rPr>
          <w:rStyle w:val="NormalTok"/>
        </w:rPr>
        <w:t xml:space="preserve">Description </w:t>
      </w:r>
      <w:r>
        <w:rPr>
          <w:rStyle w:val="OperatorTok"/>
        </w:rPr>
        <w:t xml:space="preserve">-like</w:t>
      </w:r>
      <w:r>
        <w:rPr>
          <w:rStyle w:val="NormalTok"/>
        </w:rPr>
        <w:t xml:space="preserve"> </w:t>
      </w:r>
      <w:r>
        <w:rPr>
          <w:rStyle w:val="StringTok"/>
        </w:rPr>
        <w:t xml:space="preserve">'*service*account*'</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Properties UserPrincipalName</w:t>
      </w:r>
      <w:r>
        <w:rPr>
          <w:rStyle w:val="OperatorTok"/>
        </w:rPr>
        <w:t xml:space="preserve">,</w:t>
      </w:r>
      <w:r>
        <w:rPr>
          <w:rStyle w:val="NormalTok"/>
        </w:rPr>
        <w:t xml:space="preserve"> DisplayName</w:t>
      </w:r>
      <w:r>
        <w:rPr>
          <w:rStyle w:val="OperatorTok"/>
        </w:rPr>
        <w:t xml:space="preserve">,</w:t>
      </w:r>
      <w:r>
        <w:rPr>
          <w:rStyle w:val="NormalTok"/>
        </w:rPr>
        <w:t xml:space="preserve"> Description</w:t>
      </w:r>
      <w:r>
        <w:rPr>
          <w:rStyle w:val="OperatorTok"/>
        </w:rPr>
        <w:t xml:space="preserve">,</w:t>
      </w:r>
      <w:r>
        <w:rPr>
          <w:rStyle w:val="NormalTok"/>
        </w:rPr>
        <w:t xml:space="preserve"> ServicePrincipalName</w:t>
      </w:r>
      <w:r>
        <w:rPr>
          <w:rStyle w:val="OperatorTok"/>
        </w:rPr>
        <w:t xml:space="preserve">,</w:t>
      </w:r>
      <w:r>
        <w:br/>
      </w:r>
      <w:r>
        <w:rPr>
          <w:rStyle w:val="NormalTok"/>
        </w:rPr>
        <w:t xml:space="preserve">                      Enabled</w:t>
      </w:r>
      <w:r>
        <w:rPr>
          <w:rStyle w:val="OperatorTok"/>
        </w:rPr>
        <w:t xml:space="preserve">,</w:t>
      </w:r>
      <w:r>
        <w:rPr>
          <w:rStyle w:val="NormalTok"/>
        </w:rPr>
        <w:t xml:space="preserve"> PasswordNeverExpires</w:t>
      </w:r>
      <w:r>
        <w:rPr>
          <w:rStyle w:val="OperatorTok"/>
        </w:rPr>
        <w:t xml:space="preserve">,</w:t>
      </w:r>
      <w:r>
        <w:rPr>
          <w:rStyle w:val="NormalTok"/>
        </w:rPr>
        <w:t xml:space="preserve"> PasswordLastSet</w:t>
      </w:r>
      <w:r>
        <w:rPr>
          <w:rStyle w:val="OperatorTok"/>
        </w:rPr>
        <w:t xml:space="preserve">,</w:t>
      </w:r>
      <w:r>
        <w:rPr>
          <w:rStyle w:val="NormalTok"/>
        </w:rPr>
        <w:t xml:space="preserve"> LastLogonDate</w:t>
      </w:r>
      <w:r>
        <w:rPr>
          <w:rStyle w:val="OperatorTok"/>
        </w:rPr>
        <w:t xml:space="preserve">,</w:t>
      </w:r>
      <w:r>
        <w:br/>
      </w:r>
      <w:r>
        <w:rPr>
          <w:rStyle w:val="NormalTok"/>
        </w:rPr>
        <w:t xml:space="preserve">                      WhenCreated</w:t>
      </w:r>
      <w:r>
        <w:rPr>
          <w:rStyle w:val="OperatorTok"/>
        </w:rPr>
        <w:t xml:space="preserve">,</w:t>
      </w:r>
      <w:r>
        <w:rPr>
          <w:rStyle w:val="NormalTok"/>
        </w:rPr>
        <w:t xml:space="preserve"> MemberOf</w:t>
      </w:r>
      <w:r>
        <w:rPr>
          <w:rStyle w:val="OperatorTok"/>
        </w:rPr>
        <w:t xml:space="preserve">,</w:t>
      </w:r>
      <w:r>
        <w:rPr>
          <w:rStyle w:val="NormalTok"/>
        </w:rPr>
        <w:t xml:space="preserve"> DistinguishedName</w:t>
      </w:r>
      <w:r>
        <w:br/>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$svc</w:t>
      </w:r>
      <w:r>
        <w:rPr>
          <w:rStyle w:val="NormalTok"/>
        </w:rPr>
        <w:t xml:space="preserve"> </w:t>
      </w:r>
      <w:r>
        <w:rPr>
          <w:rStyle w:val="KeywordTok"/>
        </w:rPr>
        <w:t xml:space="preserve">in</w:t>
      </w:r>
      <w:r>
        <w:rPr>
          <w:rStyle w:val="NormalTok"/>
        </w:rPr>
        <w:t xml:space="preserve"> </w:t>
      </w:r>
      <w:r>
        <w:rPr>
          <w:rStyle w:val="VariableTok"/>
        </w:rPr>
        <w:t xml:space="preserve">$svcUsers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$spnCount</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ServicePrincipalName</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br/>
      </w:r>
      <w:r>
        <w:rPr>
          <w:rStyle w:val="NormalTok"/>
        </w:rPr>
        <w:t xml:space="preserve">        </w:t>
      </w:r>
      <w:r>
        <w:rPr>
          <w:rStyle w:val="VariableTok"/>
        </w:rPr>
        <w:t xml:space="preserve">$daysSincePasswordChange</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PasswordLastSet</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FunctionTok"/>
        </w:rPr>
        <w:t xml:space="preserve">New-TimeSpan</w:t>
      </w:r>
      <w:r>
        <w:rPr>
          <w:rStyle w:val="NormalTok"/>
        </w:rPr>
        <w:t xml:space="preserve"> </w:t>
      </w:r>
      <w:r>
        <w:rPr>
          <w:rStyle w:val="OperatorTok"/>
        </w:rPr>
        <w:t xml:space="preserve">-</w:t>
      </w:r>
      <w:r>
        <w:rPr>
          <w:rStyle w:val="NormalTok"/>
        </w:rPr>
        <w:t xml:space="preserve">Start </w:t>
      </w:r>
      <w:r>
        <w:rPr>
          <w:rStyle w:val="VariableTok"/>
        </w:rPr>
        <w:t xml:space="preserve">$svc</w:t>
      </w:r>
      <w:r>
        <w:rPr>
          <w:rStyle w:val="OperatorTok"/>
        </w:rPr>
        <w:t xml:space="preserve">.</w:t>
      </w:r>
      <w:r>
        <w:rPr>
          <w:rStyle w:val="FunctionTok"/>
        </w:rPr>
        <w:t xml:space="preserve">PasswordLastSet</w:t>
      </w:r>
      <w:r>
        <w:rPr>
          <w:rStyle w:val="NormalTok"/>
        </w:rPr>
        <w:t xml:space="preserve"> </w:t>
      </w:r>
      <w:r>
        <w:rPr>
          <w:rStyle w:val="OperatorTok"/>
        </w:rPr>
        <w:t xml:space="preserve">-</w:t>
      </w:r>
      <w:r>
        <w:rPr>
          <w:rStyle w:val="NormalTok"/>
        </w:rPr>
        <w:t xml:space="preserve">End </w:t>
      </w:r>
      <w:r>
        <w:rPr>
          <w:rStyle w:val="OperatorTok"/>
        </w:rPr>
        <w:t xml:space="preserve">(</w:t>
      </w:r>
      <w:r>
        <w:rPr>
          <w:rStyle w:val="FunctionTok"/>
        </w:rPr>
        <w:t xml:space="preserve">Get-Date</w:t>
      </w:r>
      <w:r>
        <w:rPr>
          <w:rStyle w:val="OperatorTok"/>
        </w:rPr>
        <w:t xml:space="preserve">)).</w:t>
      </w:r>
      <w:r>
        <w:rPr>
          <w:rStyle w:val="FunctionTok"/>
        </w:rPr>
        <w:t xml:space="preserve">Days</w:t>
      </w:r>
      <w:r>
        <w:br/>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w:t>
      </w:r>
      <w:r>
        <w:rPr>
          <w:rStyle w:val="NormalTok"/>
        </w:rPr>
        <w:t xml:space="preserve"> </w:t>
      </w:r>
      <w:r>
        <w:rPr>
          <w:rStyle w:val="OperatorTok"/>
        </w:rPr>
        <w:t xml:space="preserve">}</w:t>
      </w:r>
      <w:r>
        <w:br/>
      </w:r>
      <w:r>
        <w:br/>
      </w:r>
      <w:r>
        <w:rPr>
          <w:rStyle w:val="NormalTok"/>
        </w:rPr>
        <w:t xml:space="preserve">        </w:t>
      </w:r>
      <w:r>
        <w:rPr>
          <w:rStyle w:val="VariableTok"/>
        </w:rPr>
        <w:t xml:space="preserve">$recommendation</w:t>
      </w:r>
      <w:r>
        <w:rPr>
          <w:rStyle w:val="NormalTok"/>
        </w:rPr>
        <w:t xml:space="preserve"> </w:t>
      </w:r>
      <w:r>
        <w:rPr>
          <w:rStyle w:val="OperatorTok"/>
        </w:rPr>
        <w:t xml:space="preserve">=</w:t>
      </w:r>
      <w:r>
        <w:rPr>
          <w:rStyle w:val="NormalTok"/>
        </w:rPr>
        <w:t xml:space="preserve"> </w:t>
      </w:r>
      <w:r>
        <w:rPr>
          <w:rStyle w:val="ControlFlowTok"/>
        </w:rPr>
        <w:t xml:space="preserve">switch</w:t>
      </w:r>
      <w:r>
        <w:rPr>
          <w:rStyle w:val="NormalTok"/>
        </w:rPr>
        <w:t xml:space="preserve"> </w:t>
      </w:r>
      <w:r>
        <w:rPr>
          <w:rStyle w:val="OperatorTok"/>
        </w:rPr>
        <w:t xml:space="preserve">(</w:t>
      </w:r>
      <w:r>
        <w:rPr>
          <w:rStyle w:val="VariableTok"/>
        </w:rPr>
        <w:t xml:space="preserve">$true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(-not</w:t>
      </w:r>
      <w:r>
        <w:rPr>
          <w:rStyle w:val="NormalTok"/>
        </w:rPr>
        <w:t xml:space="preserve"> </w:t>
      </w:r>
      <w:r>
        <w:rPr>
          <w:rStyle w:val="VariableTok"/>
        </w:rPr>
        <w:t xml:space="preserve">$svc</w:t>
      </w:r>
      <w:r>
        <w:rPr>
          <w:rStyle w:val="OperatorTok"/>
        </w:rPr>
        <w:t xml:space="preserve">.</w:t>
      </w:r>
      <w:r>
        <w:rPr>
          <w:rStyle w:val="FunctionTok"/>
        </w:rPr>
        <w:t xml:space="preserve">Enabled</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'Disabled: verify and retire'</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LastLogonDate</w:t>
      </w:r>
      <w:r>
        <w:rPr>
          <w:rStyle w:val="NormalTok"/>
        </w:rPr>
        <w:t xml:space="preserve"> </w:t>
      </w:r>
      <w:r>
        <w:rPr>
          <w:rStyle w:val="OperatorTok"/>
        </w:rPr>
        <w:t xml:space="preserve">-lt</w:t>
      </w:r>
      <w:r>
        <w:rPr>
          <w:rStyle w:val="NormalTok"/>
        </w:rPr>
        <w:t xml:space="preserve"> </w:t>
      </w:r>
      <w:r>
        <w:rPr>
          <w:rStyle w:val="VariableTok"/>
        </w:rPr>
        <w:t xml:space="preserve">$staleCutoff</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'Stale: verify use and retire if unused'</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PasswordNeverExpires</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'HIGH RISK: move to a workload identity (federated credential, managed identity, or certificate)'</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$spnCount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'Kerberos service: convert to gMSA, then evaluate workload identity federation'</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default                               </w:t>
      </w:r>
      <w:r>
        <w:rPr>
          <w:rStyle w:val="OperatorTok"/>
        </w:rPr>
        <w:t xml:space="preserve">{</w:t>
      </w:r>
      <w:r>
        <w:rPr>
          <w:rStyle w:val="NormalTok"/>
        </w:rPr>
        <w:t xml:space="preserve"> </w:t>
      </w:r>
      <w:r>
        <w:rPr>
          <w:rStyle w:val="StringTok"/>
        </w:rPr>
        <w:t xml:space="preserve">'Evaluate the workload; target a managed identity or application registration'</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$riskLevel</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Enabled</w:t>
      </w:r>
      <w:r>
        <w:rPr>
          <w:rStyle w:val="NormalTok"/>
        </w:rPr>
        <w:t xml:space="preserve"> </w:t>
      </w:r>
      <w:r>
        <w:rPr>
          <w:rStyle w:val="OperatorTok"/>
        </w:rPr>
        <w:t xml:space="preserve">-and</w:t>
      </w:r>
      <w:r>
        <w:rPr>
          <w:rStyle w:val="NormalTok"/>
        </w:rPr>
        <w:t xml:space="preserve"> </w:t>
      </w:r>
      <w:r>
        <w:rPr>
          <w:rStyle w:val="VariableTok"/>
        </w:rPr>
        <w:t xml:space="preserve">$svc</w:t>
      </w:r>
      <w:r>
        <w:rPr>
          <w:rStyle w:val="OperatorTok"/>
        </w:rPr>
        <w:t xml:space="preserve">.</w:t>
      </w:r>
      <w:r>
        <w:rPr>
          <w:rStyle w:val="FunctionTok"/>
        </w:rPr>
        <w:t xml:space="preserve">PasswordNeverExpires</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'HIGH'</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$daysSincePasswordChange</w:t>
      </w:r>
      <w:r>
        <w:rPr>
          <w:rStyle w:val="NormalTok"/>
        </w:rPr>
        <w:t xml:space="preserve"> </w:t>
      </w:r>
      <w:r>
        <w:rPr>
          <w:rStyle w:val="OperatorTok"/>
        </w:rPr>
        <w:t xml:space="preserve">-gt</w:t>
      </w:r>
      <w:r>
        <w:rPr>
          <w:rStyle w:val="NormalTok"/>
        </w:rPr>
        <w:t xml:space="preserve"> </w:t>
      </w:r>
      <w:r>
        <w:rPr>
          <w:rStyle w:val="DecValTok"/>
        </w:rPr>
        <w:t xml:space="preserve">365</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'HIGH'</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Enabled</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'MEDIUM'</w:t>
      </w:r>
      <w:r>
        <w:rPr>
          <w:rStyle w:val="NormalTok"/>
        </w:rPr>
        <w:t xml:space="preserve"> </w:t>
      </w:r>
      <w:r>
        <w:rPr>
          <w:rStyle w:val="OperatorTok"/>
        </w:rPr>
        <w:t xml:space="preserve">}</w:t>
      </w:r>
      <w:r>
        <w:br/>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'LOW'</w:t>
      </w:r>
      <w:r>
        <w:rPr>
          <w:rStyle w:val="NormalTok"/>
        </w:rPr>
        <w:t xml:space="preserve"> </w:t>
      </w:r>
      <w:r>
        <w:rPr>
          <w:rStyle w:val="OperatorTok"/>
        </w:rPr>
        <w:t xml:space="preserve">}</w:t>
      </w:r>
      <w:r>
        <w:br/>
      </w:r>
      <w:r>
        <w:br/>
      </w:r>
      <w:r>
        <w:rPr>
          <w:rStyle w:val="NormalTok"/>
        </w:rPr>
        <w:t xml:space="preserve">        </w:t>
      </w:r>
      <w:r>
        <w:rPr>
          <w:rStyle w:val="VariableTok"/>
        </w:rPr>
        <w:t xml:space="preserve">$results</w:t>
      </w:r>
      <w:r>
        <w:rPr>
          <w:rStyle w:val="OperatorTok"/>
        </w:rPr>
        <w:t xml:space="preserve">.</w:t>
      </w:r>
      <w:r>
        <w:rPr>
          <w:rStyle w:val="FunctionTok"/>
        </w:rPr>
        <w:t xml:space="preserve">Add</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'TraditionalServiceAccount'</w:t>
      </w:r>
      <w:r>
        <w:br/>
      </w:r>
      <w:r>
        <w:rPr>
          <w:rStyle w:val="NormalTok"/>
        </w:rPr>
        <w:t xml:space="preserve">            SamAccountName          </w:t>
      </w:r>
      <w:r>
        <w:rPr>
          <w:rStyle w:val="OperatorTok"/>
        </w:rPr>
        <w:t xml:space="preserve">=</w:t>
      </w:r>
      <w:r>
        <w:rPr>
          <w:rStyle w:val="NormalTok"/>
        </w:rPr>
        <w:t xml:space="preserve"> </w:t>
      </w:r>
      <w:r>
        <w:rPr>
          <w:rStyle w:val="VariableTok"/>
        </w:rPr>
        <w:t xml:space="preserve">$svc</w:t>
      </w:r>
      <w:r>
        <w:rPr>
          <w:rStyle w:val="OperatorTok"/>
        </w:rPr>
        <w:t xml:space="preserve">.</w:t>
      </w:r>
      <w:r>
        <w:rPr>
          <w:rStyle w:val="FunctionTok"/>
        </w:rPr>
        <w:t xml:space="preserve">SamAccountName</w:t>
      </w:r>
      <w:r>
        <w:br/>
      </w:r>
      <w:r>
        <w:rPr>
          <w:rStyle w:val="NormalTok"/>
        </w:rPr>
        <w:t xml:space="preserve">            DisplayName             </w:t>
      </w:r>
      <w:r>
        <w:rPr>
          <w:rStyle w:val="OperatorTok"/>
        </w:rPr>
        <w:t xml:space="preserve">=</w:t>
      </w:r>
      <w:r>
        <w:rPr>
          <w:rStyle w:val="NormalTok"/>
        </w:rPr>
        <w:t xml:space="preserve"> </w:t>
      </w:r>
      <w:r>
        <w:rPr>
          <w:rStyle w:val="VariableTok"/>
        </w:rPr>
        <w:t xml:space="preserve">$svc</w:t>
      </w:r>
      <w:r>
        <w:rPr>
          <w:rStyle w:val="OperatorTok"/>
        </w:rPr>
        <w:t xml:space="preserve">.</w:t>
      </w:r>
      <w:r>
        <w:rPr>
          <w:rStyle w:val="FunctionTok"/>
        </w:rPr>
        <w:t xml:space="preserve">DisplayName</w:t>
      </w:r>
      <w:r>
        <w:br/>
      </w:r>
      <w:r>
        <w:rPr>
          <w:rStyle w:val="NormalTok"/>
        </w:rPr>
        <w:t xml:space="preserve">            Description             </w:t>
      </w:r>
      <w:r>
        <w:rPr>
          <w:rStyle w:val="OperatorTok"/>
        </w:rPr>
        <w:t xml:space="preserve">=</w:t>
      </w:r>
      <w:r>
        <w:rPr>
          <w:rStyle w:val="NormalTok"/>
        </w:rPr>
        <w:t xml:space="preserve"> </w:t>
      </w:r>
      <w:r>
        <w:rPr>
          <w:rStyle w:val="VariableTok"/>
        </w:rPr>
        <w:t xml:space="preserve">$svc</w:t>
      </w:r>
      <w:r>
        <w:rPr>
          <w:rStyle w:val="OperatorTok"/>
        </w:rPr>
        <w:t xml:space="preserve">.</w:t>
      </w:r>
      <w:r>
        <w:rPr>
          <w:rStyle w:val="FunctionTok"/>
        </w:rPr>
        <w:t xml:space="preserve">Description</w:t>
      </w:r>
      <w:r>
        <w:br/>
      </w:r>
      <w:r>
        <w:rPr>
          <w:rStyle w:val="NormalTok"/>
        </w:rPr>
        <w:t xml:space="preserve">            Enabled                 </w:t>
      </w:r>
      <w:r>
        <w:rPr>
          <w:rStyle w:val="OperatorTok"/>
        </w:rPr>
        <w:t xml:space="preserve">=</w:t>
      </w:r>
      <w:r>
        <w:rPr>
          <w:rStyle w:val="NormalTok"/>
        </w:rPr>
        <w:t xml:space="preserve"> </w:t>
      </w:r>
      <w:r>
        <w:rPr>
          <w:rStyle w:val="VariableTok"/>
        </w:rPr>
        <w:t xml:space="preserve">$svc</w:t>
      </w:r>
      <w:r>
        <w:rPr>
          <w:rStyle w:val="OperatorTok"/>
        </w:rPr>
        <w:t xml:space="preserve">.</w:t>
      </w:r>
      <w:r>
        <w:rPr>
          <w:rStyle w:val="FunctionTok"/>
        </w:rPr>
        <w:t xml:space="preserve">Enabled</w:t>
      </w:r>
      <w:r>
        <w:br/>
      </w:r>
      <w:r>
        <w:rPr>
          <w:rStyle w:val="NormalTok"/>
        </w:rPr>
        <w:t xml:space="preserve">            PasswordNeverExpires    </w:t>
      </w:r>
      <w:r>
        <w:rPr>
          <w:rStyle w:val="OperatorTok"/>
        </w:rPr>
        <w:t xml:space="preserve">=</w:t>
      </w:r>
      <w:r>
        <w:rPr>
          <w:rStyle w:val="NormalTok"/>
        </w:rPr>
        <w:t xml:space="preserve"> </w:t>
      </w:r>
      <w:r>
        <w:rPr>
          <w:rStyle w:val="VariableTok"/>
        </w:rPr>
        <w:t xml:space="preserve">$svc</w:t>
      </w:r>
      <w:r>
        <w:rPr>
          <w:rStyle w:val="OperatorTok"/>
        </w:rPr>
        <w:t xml:space="preserve">.</w:t>
      </w:r>
      <w:r>
        <w:rPr>
          <w:rStyle w:val="FunctionTok"/>
        </w:rPr>
        <w:t xml:space="preserve">PasswordNeverExpires</w:t>
      </w:r>
      <w:r>
        <w:br/>
      </w:r>
      <w:r>
        <w:rPr>
          <w:rStyle w:val="NormalTok"/>
        </w:rPr>
        <w:t xml:space="preserve">            DaysSincePasswordChange </w:t>
      </w:r>
      <w:r>
        <w:rPr>
          <w:rStyle w:val="OperatorTok"/>
        </w:rPr>
        <w:t xml:space="preserve">=</w:t>
      </w:r>
      <w:r>
        <w:rPr>
          <w:rStyle w:val="NormalTok"/>
        </w:rPr>
        <w:t xml:space="preserve"> </w:t>
      </w:r>
      <w:r>
        <w:rPr>
          <w:rStyle w:val="VariableTok"/>
        </w:rPr>
        <w:t xml:space="preserve">$daysSincePasswordChange</w:t>
      </w:r>
      <w:r>
        <w:br/>
      </w:r>
      <w:r>
        <w:rPr>
          <w:rStyle w:val="NormalTok"/>
        </w:rPr>
        <w:t xml:space="preserve">            SPNCount                </w:t>
      </w:r>
      <w:r>
        <w:rPr>
          <w:rStyle w:val="OperatorTok"/>
        </w:rPr>
        <w:t xml:space="preserve">=</w:t>
      </w:r>
      <w:r>
        <w:rPr>
          <w:rStyle w:val="NormalTok"/>
        </w:rPr>
        <w:t xml:space="preserve"> </w:t>
      </w:r>
      <w:r>
        <w:rPr>
          <w:rStyle w:val="VariableTok"/>
        </w:rPr>
        <w:t xml:space="preserve">$spnCount</w:t>
      </w:r>
      <w:r>
        <w:br/>
      </w:r>
      <w:r>
        <w:rPr>
          <w:rStyle w:val="NormalTok"/>
        </w:rPr>
        <w:t xml:space="preserve">            SPNs                    </w:t>
      </w:r>
      <w:r>
        <w:rPr>
          <w:rStyle w:val="OperatorTok"/>
        </w:rPr>
        <w:t xml:space="preserve">=</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ServicePrincipalName</w:t>
      </w:r>
      <w:r>
        <w:rPr>
          <w:rStyle w:val="NormalTok"/>
        </w:rPr>
        <w:t xml:space="preserve"> </w:t>
      </w:r>
      <w:r>
        <w:rPr>
          <w:rStyle w:val="OperatorTok"/>
        </w:rPr>
        <w:t xml:space="preserve">-join</w:t>
      </w:r>
      <w:r>
        <w:rPr>
          <w:rStyle w:val="NormalTok"/>
        </w:rPr>
        <w:t xml:space="preserve"> </w:t>
      </w:r>
      <w:r>
        <w:rPr>
          <w:rStyle w:val="StringTok"/>
        </w:rPr>
        <w:t xml:space="preserve">'; '</w:t>
      </w:r>
      <w:r>
        <w:rPr>
          <w:rStyle w:val="OperatorTok"/>
        </w:rPr>
        <w:t xml:space="preserve">)</w:t>
      </w:r>
      <w:r>
        <w:br/>
      </w:r>
      <w:r>
        <w:rPr>
          <w:rStyle w:val="NormalTok"/>
        </w:rPr>
        <w:t xml:space="preserve">            LastLogon               </w:t>
      </w:r>
      <w:r>
        <w:rPr>
          <w:rStyle w:val="OperatorTok"/>
        </w:rPr>
        <w:t xml:space="preserve">=</w:t>
      </w:r>
      <w:r>
        <w:rPr>
          <w:rStyle w:val="NormalTok"/>
        </w:rPr>
        <w:t xml:space="preserve"> </w:t>
      </w:r>
      <w:r>
        <w:rPr>
          <w:rStyle w:val="VariableTok"/>
        </w:rPr>
        <w:t xml:space="preserve">$svc</w:t>
      </w:r>
      <w:r>
        <w:rPr>
          <w:rStyle w:val="OperatorTok"/>
        </w:rPr>
        <w:t xml:space="preserve">.</w:t>
      </w:r>
      <w:r>
        <w:rPr>
          <w:rStyle w:val="FunctionTok"/>
        </w:rPr>
        <w:t xml:space="preserve">LastLogonDate</w:t>
      </w:r>
      <w:r>
        <w:br/>
      </w:r>
      <w:r>
        <w:rPr>
          <w:rStyle w:val="NormalTok"/>
        </w:rPr>
        <w:t xml:space="preserve">            GroupMembershipCount    </w:t>
      </w:r>
      <w:r>
        <w:rPr>
          <w:rStyle w:val="OperatorTok"/>
        </w:rPr>
        <w:t xml:space="preserve">=</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MemberOf</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br/>
      </w:r>
      <w:r>
        <w:rPr>
          <w:rStyle w:val="NormalTok"/>
        </w:rPr>
        <w:t xml:space="preserve">            OU                      </w:t>
      </w:r>
      <w:r>
        <w:rPr>
          <w:rStyle w:val="OperatorTok"/>
        </w:rPr>
        <w:t xml:space="preserve">=</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DistinguishedName</w:t>
      </w:r>
      <w:r>
        <w:rPr>
          <w:rStyle w:val="NormalTok"/>
        </w:rPr>
        <w:t xml:space="preserve"> </w:t>
      </w:r>
      <w:r>
        <w:rPr>
          <w:rStyle w:val="OperatorTok"/>
        </w:rPr>
        <w:t xml:space="preserve">-split</w:t>
      </w:r>
      <w:r>
        <w:rPr>
          <w:rStyle w:val="NormalTok"/>
        </w:rPr>
        <w:t xml:space="preserve"> </w:t>
      </w:r>
      <w:r>
        <w:rPr>
          <w:rStyle w:val="StringTok"/>
        </w:rPr>
        <w:t xml:space="preserve">','</w:t>
      </w:r>
      <w:r>
        <w:rPr>
          <w:rStyle w:val="OperatorTok"/>
        </w:rPr>
        <w:t xml:space="preserve">,</w:t>
      </w:r>
      <w:r>
        <w:rPr>
          <w:rStyle w:val="NormalTok"/>
        </w:rPr>
        <w:t xml:space="preserve"> </w:t>
      </w:r>
      <w:r>
        <w:rPr>
          <w:rStyle w:val="DecValTok"/>
        </w:rPr>
        <w:t xml:space="preserve">2</w:t>
      </w:r>
      <w:r>
        <w:rPr>
          <w:rStyle w:val="OperatorTok"/>
        </w:rPr>
        <w:t xml:space="preserve">)[</w:t>
      </w:r>
      <w:r>
        <w:rPr>
          <w:rStyle w:val="DecValTok"/>
        </w:rPr>
        <w:t xml:space="preserve">1</w:t>
      </w:r>
      <w:r>
        <w:rPr>
          <w:rStyle w:val="OperatorTok"/>
        </w:rPr>
        <w:t xml:space="preserve">]</w:t>
      </w:r>
      <w:r>
        <w:br/>
      </w:r>
      <w:r>
        <w:rPr>
          <w:rStyle w:val="NormalTok"/>
        </w:rPr>
        <w:t xml:space="preserve">            RiskLevel               </w:t>
      </w:r>
      <w:r>
        <w:rPr>
          <w:rStyle w:val="OperatorTok"/>
        </w:rPr>
        <w:t xml:space="preserve">=</w:t>
      </w:r>
      <w:r>
        <w:rPr>
          <w:rStyle w:val="NormalTok"/>
        </w:rPr>
        <w:t xml:space="preserve"> </w:t>
      </w:r>
      <w:r>
        <w:rPr>
          <w:rStyle w:val="VariableTok"/>
        </w:rPr>
        <w:t xml:space="preserve">$riskLevel</w:t>
      </w:r>
      <w:r>
        <w:br/>
      </w:r>
      <w:r>
        <w:rPr>
          <w:rStyle w:val="NormalTok"/>
        </w:rPr>
        <w:t xml:space="preserve">            Recommendation          </w:t>
      </w:r>
      <w:r>
        <w:rPr>
          <w:rStyle w:val="OperatorTok"/>
        </w:rPr>
        <w:t xml:space="preserve">=</w:t>
      </w:r>
      <w:r>
        <w:rPr>
          <w:rStyle w:val="NormalTok"/>
        </w:rPr>
        <w:t xml:space="preserve"> </w:t>
      </w:r>
      <w:r>
        <w:rPr>
          <w:rStyle w:val="VariableTok"/>
        </w:rPr>
        <w:t xml:space="preserve">$recommendation</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$msaAccounts</w:t>
      </w:r>
      <w:r>
        <w:rPr>
          <w:rStyle w:val="NormalTok"/>
        </w:rPr>
        <w:t xml:space="preserve"> </w:t>
      </w:r>
      <w:r>
        <w:rPr>
          <w:rStyle w:val="OperatorTok"/>
        </w:rPr>
        <w:t xml:space="preserve">=</w:t>
      </w:r>
      <w:r>
        <w:rPr>
          <w:rStyle w:val="NormalTok"/>
        </w:rPr>
        <w:t xml:space="preserve"> </w:t>
      </w:r>
      <w:r>
        <w:rPr>
          <w:rStyle w:val="FunctionTok"/>
        </w:rPr>
        <w:t xml:space="preserve">Get-ADServiceAccount</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SearchBase </w:t>
      </w:r>
      <w:r>
        <w:rPr>
          <w:rStyle w:val="VariableTok"/>
        </w:rPr>
        <w:t xml:space="preserve">$SearchBase</w:t>
      </w:r>
      <w:r>
        <w:rPr>
          <w:rStyle w:val="NormalTok"/>
        </w:rPr>
        <w:t xml:space="preserve"> </w:t>
      </w:r>
      <w:r>
        <w:rPr>
          <w:rStyle w:val="OperatorTok"/>
        </w:rPr>
        <w:t xml:space="preserve">-</w:t>
      </w:r>
      <w:r>
        <w:rPr>
          <w:rStyle w:val="NormalTok"/>
        </w:rPr>
        <w:t xml:space="preserve">Properties Enabled</w:t>
      </w:r>
      <w:r>
        <w:rPr>
          <w:rStyle w:val="OperatorTok"/>
        </w:rPr>
        <w:t xml:space="preserve">,</w:t>
      </w:r>
      <w:r>
        <w:br/>
      </w:r>
      <w:r>
        <w:rPr>
          <w:rStyle w:val="NormalTok"/>
        </w:rPr>
        <w:t xml:space="preserve">        DistinguishedName</w:t>
      </w:r>
      <w:r>
        <w:rPr>
          <w:rStyle w:val="OperatorTok"/>
        </w:rPr>
        <w:t xml:space="preserve">,</w:t>
      </w:r>
      <w:r>
        <w:rPr>
          <w:rStyle w:val="NormalTok"/>
        </w:rPr>
        <w:t xml:space="preserve"> ObjectClass</w:t>
      </w:r>
      <w:r>
        <w:rPr>
          <w:rStyle w:val="OperatorTok"/>
        </w:rPr>
        <w:t xml:space="preserve">,</w:t>
      </w:r>
      <w:r>
        <w:rPr>
          <w:rStyle w:val="NormalTok"/>
        </w:rPr>
        <w:t xml:space="preserve"> </w:t>
      </w:r>
      <w:r>
        <w:rPr>
          <w:rStyle w:val="StringTok"/>
        </w:rPr>
        <w:t xml:space="preserve">'msDS-ManagedPasswordInterval'</w:t>
      </w:r>
      <w:r>
        <w:rPr>
          <w:rStyle w:val="OperatorTok"/>
        </w:rPr>
        <w:t xml:space="preserve">,</w:t>
      </w:r>
      <w:r>
        <w:rPr>
          <w:rStyle w:val="NormalTok"/>
        </w:rPr>
        <w:t xml:space="preserve"> WhenCreated</w:t>
      </w:r>
      <w:r>
        <w:br/>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$msa</w:t>
      </w:r>
      <w:r>
        <w:rPr>
          <w:rStyle w:val="NormalTok"/>
        </w:rPr>
        <w:t xml:space="preserve"> </w:t>
      </w:r>
      <w:r>
        <w:rPr>
          <w:rStyle w:val="KeywordTok"/>
        </w:rPr>
        <w:t xml:space="preserve">in</w:t>
      </w:r>
      <w:r>
        <w:rPr>
          <w:rStyle w:val="NormalTok"/>
        </w:rPr>
        <w:t xml:space="preserve"> </w:t>
      </w:r>
      <w:r>
        <w:rPr>
          <w:rStyle w:val="VariableTok"/>
        </w:rPr>
        <w:t xml:space="preserve">$msaAccounts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$isGmsa</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$msa</w:t>
      </w:r>
      <w:r>
        <w:rPr>
          <w:rStyle w:val="OperatorTok"/>
        </w:rPr>
        <w:t xml:space="preserve">.</w:t>
      </w:r>
      <w:r>
        <w:rPr>
          <w:rStyle w:val="FunctionTok"/>
        </w:rPr>
        <w:t xml:space="preserve">ObjectClass</w:t>
      </w:r>
      <w:r>
        <w:rPr>
          <w:rStyle w:val="NormalTok"/>
        </w:rPr>
        <w:t xml:space="preserve"> </w:t>
      </w:r>
      <w:r>
        <w:rPr>
          <w:rStyle w:val="OperatorTok"/>
        </w:rPr>
        <w:t xml:space="preserve">-eq</w:t>
      </w:r>
      <w:r>
        <w:rPr>
          <w:rStyle w:val="NormalTok"/>
        </w:rPr>
        <w:t xml:space="preserve"> </w:t>
      </w:r>
      <w:r>
        <w:rPr>
          <w:rStyle w:val="StringTok"/>
        </w:rPr>
        <w:t xml:space="preserve">'msDS-GroupManagedServiceAccount'</w:t>
      </w:r>
      <w:r>
        <w:rPr>
          <w:rStyle w:val="OperatorTok"/>
        </w:rPr>
        <w:t xml:space="preserve">)</w:t>
      </w:r>
      <w:r>
        <w:br/>
      </w:r>
      <w:r>
        <w:rPr>
          <w:rStyle w:val="NormalTok"/>
        </w:rPr>
        <w:t xml:space="preserve">        </w:t>
      </w:r>
      <w:r>
        <w:rPr>
          <w:rStyle w:val="VariableTok"/>
        </w:rPr>
        <w:t xml:space="preserve">$results</w:t>
      </w:r>
      <w:r>
        <w:rPr>
          <w:rStyle w:val="OperatorTok"/>
        </w:rPr>
        <w:t xml:space="preserve">.</w:t>
      </w:r>
      <w:r>
        <w:rPr>
          <w:rStyle w:val="FunctionTok"/>
        </w:rPr>
        <w:t xml:space="preserve">Add</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$isGmsa</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'gMSA'</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'MSA'</w:t>
      </w:r>
      <w:r>
        <w:rPr>
          <w:rStyle w:val="NormalTok"/>
        </w:rPr>
        <w:t xml:space="preserve"> </w:t>
      </w:r>
      <w:r>
        <w:rPr>
          <w:rStyle w:val="OperatorTok"/>
        </w:rPr>
        <w:t xml:space="preserve">}</w:t>
      </w:r>
      <w:r>
        <w:br/>
      </w:r>
      <w:r>
        <w:rPr>
          <w:rStyle w:val="NormalTok"/>
        </w:rPr>
        <w:t xml:space="preserve">            SamAccountName          </w:t>
      </w:r>
      <w:r>
        <w:rPr>
          <w:rStyle w:val="OperatorTok"/>
        </w:rPr>
        <w:t xml:space="preserve">=</w:t>
      </w:r>
      <w:r>
        <w:rPr>
          <w:rStyle w:val="NormalTok"/>
        </w:rPr>
        <w:t xml:space="preserve"> </w:t>
      </w:r>
      <w:r>
        <w:rPr>
          <w:rStyle w:val="VariableTok"/>
        </w:rPr>
        <w:t xml:space="preserve">$msa</w:t>
      </w:r>
      <w:r>
        <w:rPr>
          <w:rStyle w:val="OperatorTok"/>
        </w:rPr>
        <w:t xml:space="preserve">.</w:t>
      </w:r>
      <w:r>
        <w:rPr>
          <w:rStyle w:val="FunctionTok"/>
        </w:rPr>
        <w:t xml:space="preserve">SamAccountName</w:t>
      </w:r>
      <w:r>
        <w:br/>
      </w:r>
      <w:r>
        <w:rPr>
          <w:rStyle w:val="NormalTok"/>
        </w:rPr>
        <w:t xml:space="preserve">            DisplayName             </w:t>
      </w:r>
      <w:r>
        <w:rPr>
          <w:rStyle w:val="OperatorTok"/>
        </w:rPr>
        <w:t xml:space="preserve">=</w:t>
      </w:r>
      <w:r>
        <w:rPr>
          <w:rStyle w:val="NormalTok"/>
        </w:rPr>
        <w:t xml:space="preserve"> </w:t>
      </w:r>
      <w:r>
        <w:rPr>
          <w:rStyle w:val="VariableTok"/>
        </w:rPr>
        <w:t xml:space="preserve">$msa</w:t>
      </w:r>
      <w:r>
        <w:rPr>
          <w:rStyle w:val="OperatorTok"/>
        </w:rPr>
        <w:t xml:space="preserve">.</w:t>
      </w:r>
      <w:r>
        <w:rPr>
          <w:rStyle w:val="FunctionTok"/>
        </w:rPr>
        <w:t xml:space="preserve">SamAccountName</w:t>
      </w:r>
      <w:r>
        <w:br/>
      </w:r>
      <w:r>
        <w:rPr>
          <w:rStyle w:val="NormalTok"/>
        </w:rPr>
        <w:t xml:space="preserve">            Description             </w:t>
      </w:r>
      <w:r>
        <w:rPr>
          <w:rStyle w:val="OperatorTok"/>
        </w:rPr>
        <w:t xml:space="preserve">=</w:t>
      </w:r>
      <w:r>
        <w:rPr>
          <w:rStyle w:val="NormalTok"/>
        </w:rPr>
        <w:t xml:space="preserve"> </w:t>
      </w:r>
      <w:r>
        <w:rPr>
          <w:rStyle w:val="StringTok"/>
        </w:rPr>
        <w:t xml:space="preserve">''</w:t>
      </w:r>
      <w:r>
        <w:br/>
      </w:r>
      <w:r>
        <w:rPr>
          <w:rStyle w:val="NormalTok"/>
        </w:rPr>
        <w:t xml:space="preserve">            Enabled                 </w:t>
      </w:r>
      <w:r>
        <w:rPr>
          <w:rStyle w:val="OperatorTok"/>
        </w:rPr>
        <w:t xml:space="preserve">=</w:t>
      </w:r>
      <w:r>
        <w:rPr>
          <w:rStyle w:val="NormalTok"/>
        </w:rPr>
        <w:t xml:space="preserve"> </w:t>
      </w:r>
      <w:r>
        <w:rPr>
          <w:rStyle w:val="VariableTok"/>
        </w:rPr>
        <w:t xml:space="preserve">$msa</w:t>
      </w:r>
      <w:r>
        <w:rPr>
          <w:rStyle w:val="OperatorTok"/>
        </w:rPr>
        <w:t xml:space="preserve">.</w:t>
      </w:r>
      <w:r>
        <w:rPr>
          <w:rStyle w:val="FunctionTok"/>
        </w:rPr>
        <w:t xml:space="preserve">Enabled</w:t>
      </w:r>
      <w:r>
        <w:br/>
      </w:r>
      <w:r>
        <w:rPr>
          <w:rStyle w:val="NormalTok"/>
        </w:rPr>
        <w:t xml:space="preserve">            PasswordNeverExpires    </w:t>
      </w:r>
      <w:r>
        <w:rPr>
          <w:rStyle w:val="OperatorTok"/>
        </w:rPr>
        <w:t xml:space="preserve">=</w:t>
      </w:r>
      <w:r>
        <w:rPr>
          <w:rStyle w:val="NormalTok"/>
        </w:rPr>
        <w:t xml:space="preserve"> </w:t>
      </w:r>
      <w:r>
        <w:rPr>
          <w:rStyle w:val="VariableTok"/>
        </w:rPr>
        <w:t xml:space="preserve">$false</w:t>
      </w:r>
      <w:r>
        <w:br/>
      </w:r>
      <w:r>
        <w:rPr>
          <w:rStyle w:val="NormalTok"/>
        </w:rPr>
        <w:t xml:space="preserve">            DaysSincePasswordChange </w:t>
      </w:r>
      <w:r>
        <w:rPr>
          <w:rStyle w:val="OperatorTok"/>
        </w:rPr>
        <w:t xml:space="preserve">=</w:t>
      </w:r>
      <w:r>
        <w:rPr>
          <w:rStyle w:val="NormalTok"/>
        </w:rPr>
        <w:t xml:space="preserve"> </w:t>
      </w:r>
      <w:r>
        <w:rPr>
          <w:rStyle w:val="DecValTok"/>
        </w:rPr>
        <w:t xml:space="preserve">0</w:t>
      </w:r>
      <w:r>
        <w:br/>
      </w:r>
      <w:r>
        <w:rPr>
          <w:rStyle w:val="NormalTok"/>
        </w:rPr>
        <w:t xml:space="preserve">            SPNCount                </w:t>
      </w:r>
      <w:r>
        <w:rPr>
          <w:rStyle w:val="OperatorTok"/>
        </w:rPr>
        <w:t xml:space="preserve">=</w:t>
      </w:r>
      <w:r>
        <w:rPr>
          <w:rStyle w:val="NormalTok"/>
        </w:rPr>
        <w:t xml:space="preserve"> </w:t>
      </w:r>
      <w:r>
        <w:rPr>
          <w:rStyle w:val="DecValTok"/>
        </w:rPr>
        <w:t xml:space="preserve">0</w:t>
      </w:r>
      <w:r>
        <w:br/>
      </w:r>
      <w:r>
        <w:rPr>
          <w:rStyle w:val="NormalTok"/>
        </w:rPr>
        <w:t xml:space="preserve">            SPNs                    </w:t>
      </w:r>
      <w:r>
        <w:rPr>
          <w:rStyle w:val="OperatorTok"/>
        </w:rPr>
        <w:t xml:space="preserve">=</w:t>
      </w:r>
      <w:r>
        <w:rPr>
          <w:rStyle w:val="NormalTok"/>
        </w:rPr>
        <w:t xml:space="preserve"> </w:t>
      </w:r>
      <w:r>
        <w:rPr>
          <w:rStyle w:val="StringTok"/>
        </w:rPr>
        <w:t xml:space="preserve">''</w:t>
      </w:r>
      <w:r>
        <w:br/>
      </w:r>
      <w:r>
        <w:rPr>
          <w:rStyle w:val="NormalTok"/>
        </w:rPr>
        <w:t xml:space="preserve">            LastLogon               </w:t>
      </w:r>
      <w:r>
        <w:rPr>
          <w:rStyle w:val="OperatorTok"/>
        </w:rPr>
        <w:t xml:space="preserve">=</w:t>
      </w:r>
      <w:r>
        <w:rPr>
          <w:rStyle w:val="NormalTok"/>
        </w:rPr>
        <w:t xml:space="preserve"> </w:t>
      </w:r>
      <w:r>
        <w:rPr>
          <w:rStyle w:val="VariableTok"/>
        </w:rPr>
        <w:t xml:space="preserve">$null</w:t>
      </w:r>
      <w:r>
        <w:br/>
      </w:r>
      <w:r>
        <w:rPr>
          <w:rStyle w:val="NormalTok"/>
        </w:rPr>
        <w:t xml:space="preserve">            GroupMembershipCount    </w:t>
      </w:r>
      <w:r>
        <w:rPr>
          <w:rStyle w:val="OperatorTok"/>
        </w:rPr>
        <w:t xml:space="preserve">=</w:t>
      </w:r>
      <w:r>
        <w:rPr>
          <w:rStyle w:val="NormalTok"/>
        </w:rPr>
        <w:t xml:space="preserve"> </w:t>
      </w:r>
      <w:r>
        <w:rPr>
          <w:rStyle w:val="DecValTok"/>
        </w:rPr>
        <w:t xml:space="preserve">0</w:t>
      </w:r>
      <w:r>
        <w:br/>
      </w:r>
      <w:r>
        <w:rPr>
          <w:rStyle w:val="NormalTok"/>
        </w:rPr>
        <w:t xml:space="preserve">            OU                      </w:t>
      </w:r>
      <w:r>
        <w:rPr>
          <w:rStyle w:val="OperatorTok"/>
        </w:rPr>
        <w:t xml:space="preserve">=</w:t>
      </w:r>
      <w:r>
        <w:rPr>
          <w:rStyle w:val="NormalTok"/>
        </w:rPr>
        <w:t xml:space="preserve"> </w:t>
      </w:r>
      <w:r>
        <w:rPr>
          <w:rStyle w:val="OperatorTok"/>
        </w:rPr>
        <w:t xml:space="preserve">(</w:t>
      </w:r>
      <w:r>
        <w:rPr>
          <w:rStyle w:val="VariableTok"/>
        </w:rPr>
        <w:t xml:space="preserve">$msa</w:t>
      </w:r>
      <w:r>
        <w:rPr>
          <w:rStyle w:val="OperatorTok"/>
        </w:rPr>
        <w:t xml:space="preserve">.</w:t>
      </w:r>
      <w:r>
        <w:rPr>
          <w:rStyle w:val="FunctionTok"/>
        </w:rPr>
        <w:t xml:space="preserve">DistinguishedName</w:t>
      </w:r>
      <w:r>
        <w:rPr>
          <w:rStyle w:val="NormalTok"/>
        </w:rPr>
        <w:t xml:space="preserve"> </w:t>
      </w:r>
      <w:r>
        <w:rPr>
          <w:rStyle w:val="OperatorTok"/>
        </w:rPr>
        <w:t xml:space="preserve">-split</w:t>
      </w:r>
      <w:r>
        <w:rPr>
          <w:rStyle w:val="NormalTok"/>
        </w:rPr>
        <w:t xml:space="preserve"> </w:t>
      </w:r>
      <w:r>
        <w:rPr>
          <w:rStyle w:val="StringTok"/>
        </w:rPr>
        <w:t xml:space="preserve">','</w:t>
      </w:r>
      <w:r>
        <w:rPr>
          <w:rStyle w:val="OperatorTok"/>
        </w:rPr>
        <w:t xml:space="preserve">,</w:t>
      </w:r>
      <w:r>
        <w:rPr>
          <w:rStyle w:val="NormalTok"/>
        </w:rPr>
        <w:t xml:space="preserve"> </w:t>
      </w:r>
      <w:r>
        <w:rPr>
          <w:rStyle w:val="DecValTok"/>
        </w:rPr>
        <w:t xml:space="preserve">2</w:t>
      </w:r>
      <w:r>
        <w:rPr>
          <w:rStyle w:val="OperatorTok"/>
        </w:rPr>
        <w:t xml:space="preserve">)[</w:t>
      </w:r>
      <w:r>
        <w:rPr>
          <w:rStyle w:val="DecValTok"/>
        </w:rPr>
        <w:t xml:space="preserve">1</w:t>
      </w:r>
      <w:r>
        <w:rPr>
          <w:rStyle w:val="OperatorTok"/>
        </w:rPr>
        <w:t xml:space="preserve">]</w:t>
      </w:r>
      <w:r>
        <w:br/>
      </w:r>
      <w:r>
        <w:rPr>
          <w:rStyle w:val="NormalTok"/>
        </w:rPr>
        <w:t xml:space="preserve">            RiskLevel               </w:t>
      </w:r>
      <w:r>
        <w:rPr>
          <w:rStyle w:val="OperatorTok"/>
        </w:rPr>
        <w:t xml:space="preserve">=</w:t>
      </w:r>
      <w:r>
        <w:rPr>
          <w:rStyle w:val="NormalTok"/>
        </w:rPr>
        <w:t xml:space="preserve"> </w:t>
      </w:r>
      <w:r>
        <w:rPr>
          <w:rStyle w:val="StringTok"/>
        </w:rPr>
        <w:t xml:space="preserve">'LOW'</w:t>
      </w:r>
      <w:r>
        <w:br/>
      </w:r>
      <w:r>
        <w:rPr>
          <w:rStyle w:val="NormalTok"/>
        </w:rPr>
        <w:t xml:space="preserve">            Recommendation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$isGmsa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'Keep for on-premises workloads; plan workload identity federation when the workload moves'</w:t>
      </w:r>
      <w:r>
        <w:br/>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w:t>
      </w:r>
      <w:r>
        <w:rPr>
          <w:rStyle w:val="StringTok"/>
        </w:rPr>
        <w:t xml:space="preserve">'Upgrade to gMSA first, then evaluate for cloud migration'</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rPr>
          <w:rStyle w:val="NormalTok"/>
        </w:rPr>
        <w:t xml:space="preserve"> </w:t>
      </w:r>
      <w:r>
        <w:rPr>
          <w:rStyle w:val="OperatorTok"/>
        </w:rPr>
        <w:t xml:space="preserve">|</w:t>
      </w:r>
      <w:r>
        <w:rPr>
          <w:rStyle w:val="NormalTok"/>
        </w:rPr>
        <w:t xml:space="preserve"> </w:t>
      </w:r>
      <w:r>
        <w:rPr>
          <w:rStyle w:val="FunctionTok"/>
        </w:rPr>
        <w:t xml:space="preserve">Out-File</w:t>
      </w:r>
      <w:r>
        <w:rPr>
          <w:rStyle w:val="NormalTok"/>
        </w:rPr>
        <w:t xml:space="preserve"> </w:t>
      </w:r>
      <w:r>
        <w:rPr>
          <w:rStyle w:val="OperatorTok"/>
        </w:rPr>
        <w:t xml:space="preserve">-</w:t>
      </w:r>
      <w:r>
        <w:rPr>
          <w:rStyle w:val="NormalTok"/>
        </w:rPr>
        <w:t xml:space="preserve">FilePath </w:t>
      </w:r>
      <w:r>
        <w:rPr>
          <w:rStyle w:val="VariableTok"/>
        </w:rPr>
        <w:t xml:space="preserve">$ExportPath</w:t>
      </w:r>
      <w:r>
        <w:rPr>
          <w:rStyle w:val="NormalTok"/>
        </w:rPr>
        <w:t xml:space="preserve"> </w:t>
      </w:r>
      <w:r>
        <w:rPr>
          <w:rStyle w:val="OperatorTok"/>
        </w:rPr>
        <w:t xml:space="preserve">-</w:t>
      </w:r>
      <w:r>
        <w:rPr>
          <w:rStyle w:val="NormalTok"/>
        </w:rPr>
        <w:t xml:space="preserve">Encoding UTF8</w:t>
      </w:r>
      <w:r>
        <w:br/>
      </w:r>
      <w:r>
        <w:rPr>
          <w:rStyle w:val="NormalTok"/>
        </w:rPr>
        <w:t xml:space="preserve">    </w:t>
      </w:r>
      <w:r>
        <w:rPr>
          <w:rStyle w:val="FunctionTok"/>
        </w:rPr>
        <w:t xml:space="preserve">Write-Host</w:t>
      </w:r>
      <w:r>
        <w:rPr>
          <w:rStyle w:val="NormalTok"/>
        </w:rPr>
        <w:t xml:space="preserve"> </w:t>
      </w:r>
      <w:r>
        <w:rPr>
          <w:rStyle w:val="StringTok"/>
        </w:rPr>
        <w:t xml:space="preserve">"Service account inventory: </w:t>
      </w:r>
      <w:r>
        <w:rPr>
          <w:rStyle w:val="OperatorTok"/>
        </w:rPr>
        <w:t xml:space="preserve">$(</w:t>
      </w:r>
      <w:r>
        <w:rPr>
          <w:rStyle w:val="VariableTok"/>
        </w:rPr>
        <w:t xml:space="preserve">$results</w:t>
      </w:r>
      <w:r>
        <w:rPr>
          <w:rStyle w:val="OperatorTok"/>
        </w:rPr>
        <w:t xml:space="preserve">.</w:t>
      </w:r>
      <w:r>
        <w:rPr>
          <w:rStyle w:val="FunctionTok"/>
        </w:rPr>
        <w:t xml:space="preserve">Count</w:t>
      </w:r>
      <w:r>
        <w:rPr>
          <w:rStyle w:val="OperatorTok"/>
        </w:rPr>
        <w:t xml:space="preserve">)</w:t>
      </w:r>
      <w:r>
        <w:rPr>
          <w:rStyle w:val="StringTok"/>
        </w:rPr>
        <w:t xml:space="preserve"> accounts exported to </w:t>
      </w:r>
      <w:r>
        <w:rPr>
          <w:rStyle w:val="VariableTok"/>
        </w:rPr>
        <w:t xml:space="preserve">$ExportPath</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rPr>
          <w:rStyle w:val="NormalTok"/>
        </w:rPr>
        <w:t xml:space="preserve">    </w:t>
      </w:r>
      <w:r>
        <w:rPr>
          <w:rStyle w:val="ControlFlowTok"/>
        </w:rPr>
        <w:t xml:space="preserve">return</w:t>
      </w:r>
      <w:r>
        <w:rPr>
          <w:rStyle w:val="NormalTok"/>
        </w:rPr>
        <w:t xml:space="preserve"> </w:t>
      </w:r>
      <w:r>
        <w:rPr>
          <w:rStyle w:val="VariableTok"/>
        </w:rPr>
        <w:t xml:space="preserve">$results</w:t>
      </w:r>
      <w:r>
        <w:br/>
      </w:r>
      <w:r>
        <w:rPr>
          <w:rStyle w:val="OperatorTok"/>
        </w:rPr>
        <w:t xml:space="preserve">}</w:t>
      </w:r>
    </w:p>
    <w:bookmarkEnd w:id="1349"/>
    <w:bookmarkStart w:id="1351" w:name="privileged-access-report"/>
    <w:p>
      <w:pPr>
        <w:pStyle w:val="Heading4"/>
      </w:pPr>
      <w:r>
        <w:t xml:space="preserve">Privileged access report</w:t>
      </w:r>
    </w:p>
    <w:p>
      <w:pPr>
        <w:pStyle w:val="SourceCode"/>
      </w:pPr>
      <w:r>
        <w:rPr>
          <w:rStyle w:val="KeywordTok"/>
        </w:rPr>
        <w:t xml:space="preserve">function</w:t>
      </w:r>
      <w:r>
        <w:rPr>
          <w:rStyle w:val="NormalTok"/>
        </w:rPr>
        <w:t xml:space="preserve"> Get-FMPPrivilegedAccessReport </w:t>
      </w:r>
      <w:r>
        <w:rPr>
          <w:rStyle w:val="OperatorTok"/>
        </w:rPr>
        <w:t xml:space="preserve">{</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switch</w:t>
      </w:r>
      <w:r>
        <w:rPr>
          <w:rStyle w:val="OperatorTok"/>
        </w:rPr>
        <w:t xml:space="preserve">]</w:t>
      </w:r>
      <w:r>
        <w:rPr>
          <w:rStyle w:val="VariableTok"/>
        </w:rPr>
        <w:t xml:space="preserve">$Last24Hours</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$ExportPath</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$script</w:t>
      </w:r>
      <w:r>
        <w:rPr>
          <w:rStyle w:val="OperatorTok"/>
        </w:rPr>
        <w:t xml:space="preserve">:</w:t>
      </w:r>
      <w:r>
        <w:rPr>
          <w:rStyle w:val="VariableTok"/>
        </w:rPr>
        <w:t xml:space="preserve">ExportBasePath</w:t>
      </w:r>
      <w:r>
        <w:rPr>
          <w:rStyle w:val="StringTok"/>
        </w:rPr>
        <w:t xml:space="preserve">\PrivilegedAccess_</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'yyyyMMdd_HHmmss'</w:t>
      </w:r>
      <w:r>
        <w:rPr>
          <w:rStyle w:val="OperatorTok"/>
        </w:rPr>
        <w:t xml:space="preserve">)</w:t>
      </w:r>
      <w:r>
        <w:rPr>
          <w:rStyle w:val="StringTok"/>
        </w:rPr>
        <w:t xml:space="preserve">.json"</w:t>
      </w:r>
      <w:r>
        <w:br/>
      </w:r>
      <w:r>
        <w:rPr>
          <w:rStyle w:val="NormalTok"/>
        </w:rPr>
        <w:t xml:space="preserve">    </w:t>
      </w:r>
      <w:r>
        <w:rPr>
          <w:rStyle w:val="OperatorTok"/>
        </w:rPr>
        <w:t xml:space="preserve">)</w:t>
      </w:r>
      <w:r>
        <w:br/>
      </w:r>
      <w:r>
        <w:br/>
      </w:r>
      <w:r>
        <w:rPr>
          <w:rStyle w:val="NormalTok"/>
        </w:rPr>
        <w:t xml:space="preserve">    Connect-MgGraph </w:t>
      </w:r>
      <w:r>
        <w:rPr>
          <w:rStyle w:val="OperatorTok"/>
        </w:rPr>
        <w:t xml:space="preserve">-</w:t>
      </w:r>
      <w:r>
        <w:rPr>
          <w:rStyle w:val="NormalTok"/>
        </w:rPr>
        <w:t xml:space="preserve">Scopes </w:t>
      </w:r>
      <w:r>
        <w:rPr>
          <w:rStyle w:val="StringTok"/>
        </w:rPr>
        <w:t xml:space="preserve">'RoleManagement.Read.Directory'</w:t>
      </w:r>
      <w:r>
        <w:rPr>
          <w:rStyle w:val="OperatorTok"/>
        </w:rPr>
        <w:t xml:space="preserve">,</w:t>
      </w:r>
      <w:r>
        <w:rPr>
          <w:rStyle w:val="NormalTok"/>
        </w:rPr>
        <w:t xml:space="preserve"> </w:t>
      </w:r>
      <w:r>
        <w:rPr>
          <w:rStyle w:val="StringTok"/>
        </w:rPr>
        <w:t xml:space="preserve">'AuditLog.Read.All'</w:t>
      </w:r>
      <w:r>
        <w:rPr>
          <w:rStyle w:val="NormalTok"/>
        </w:rPr>
        <w:t xml:space="preserve"> </w:t>
      </w:r>
      <w:r>
        <w:rPr>
          <w:rStyle w:val="OperatorTok"/>
        </w:rPr>
        <w:t xml:space="preserve">-</w:t>
      </w:r>
      <w:r>
        <w:rPr>
          <w:rStyle w:val="NormalTok"/>
        </w:rPr>
        <w:t xml:space="preserve">Environment </w:t>
      </w:r>
      <w:r>
        <w:rPr>
          <w:rStyle w:val="VariableTok"/>
        </w:rPr>
        <w:t xml:space="preserve">$script</w:t>
      </w:r>
      <w:r>
        <w:rPr>
          <w:rStyle w:val="OperatorTok"/>
        </w:rPr>
        <w:t xml:space="preserve">:</w:t>
      </w:r>
      <w:r>
        <w:rPr>
          <w:rStyle w:val="VariableTok"/>
        </w:rPr>
        <w:t xml:space="preserve">GraphEnvironment</w:t>
      </w:r>
      <w:r>
        <w:rPr>
          <w:rStyle w:val="NormalTok"/>
        </w:rPr>
        <w:t xml:space="preserve"> </w:t>
      </w:r>
      <w:r>
        <w:rPr>
          <w:rStyle w:val="OperatorTok"/>
        </w:rPr>
        <w:t xml:space="preserve">-</w:t>
      </w:r>
      <w:r>
        <w:rPr>
          <w:rStyle w:val="NormalTok"/>
        </w:rPr>
        <w:t xml:space="preserve">NoWelcome</w:t>
      </w:r>
      <w:r>
        <w:br/>
      </w:r>
      <w:r>
        <w:br/>
      </w:r>
      <w:r>
        <w:rPr>
          <w:rStyle w:val="NormalTok"/>
        </w:rPr>
        <w:t xml:space="preserve">    </w:t>
      </w:r>
      <w:r>
        <w:rPr>
          <w:rStyle w:val="CommentTok"/>
        </w:rPr>
        <w:t xml:space="preserve"># Role definitions, for display names</w:t>
      </w:r>
      <w:r>
        <w:br/>
      </w:r>
      <w:r>
        <w:rPr>
          <w:rStyle w:val="NormalTok"/>
        </w:rPr>
        <w:t xml:space="preserve">    </w:t>
      </w:r>
      <w:r>
        <w:rPr>
          <w:rStyle w:val="VariableTok"/>
        </w:rPr>
        <w:t xml:space="preserve">$roleNames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Get-MgRoleManagementDirectoryRoleDefinition </w:t>
      </w:r>
      <w:r>
        <w:rPr>
          <w:rStyle w:val="OperatorTok"/>
        </w:rPr>
        <w:t xml:space="preserve">-</w:t>
      </w:r>
      <w:r>
        <w:rPr>
          <w:rStyle w:val="NormalTok"/>
        </w:rPr>
        <w:t xml:space="preserve">All </w:t>
      </w:r>
      <w:r>
        <w:rPr>
          <w:rStyle w:val="OperatorTok"/>
        </w:rPr>
        <w:t xml:space="preserve">|</w:t>
      </w:r>
      <w:r>
        <w:br/>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VariableTok"/>
        </w:rPr>
        <w:t xml:space="preserve">$roleNames</w:t>
      </w:r>
      <w:r>
        <w:rPr>
          <w:rStyle w:val="OperatorTok"/>
        </w:rPr>
        <w:t xml:space="preserve">[</w:t>
      </w:r>
      <w:r>
        <w:rPr>
          <w:rStyle w:val="VariableTok"/>
        </w:rPr>
        <w:t xml:space="preserve">$_</w:t>
      </w:r>
      <w:r>
        <w:rPr>
          <w:rStyle w:val="OperatorTok"/>
        </w:rPr>
        <w:t xml:space="preserve">.</w:t>
      </w:r>
      <w:r>
        <w:rPr>
          <w:rStyle w:val="FunctionTok"/>
        </w:rPr>
        <w:t xml:space="preserve">Id</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DisplayName</w:t>
      </w:r>
      <w:r>
        <w:rPr>
          <w:rStyle w:val="NormalTok"/>
        </w:rPr>
        <w:t xml:space="preserve"> </w:t>
      </w:r>
      <w:r>
        <w:rPr>
          <w:rStyle w:val="OperatorTok"/>
        </w:rPr>
        <w:t xml:space="preserve">}</w:t>
      </w:r>
      <w:r>
        <w:br/>
      </w:r>
      <w:r>
        <w:br/>
      </w:r>
      <w:r>
        <w:rPr>
          <w:rStyle w:val="NormalTok"/>
        </w:rPr>
        <w:t xml:space="preserve">    </w:t>
      </w:r>
      <w:r>
        <w:rPr>
          <w:rStyle w:val="KeywordTok"/>
        </w:rPr>
        <w:t xml:space="preserve">function</w:t>
      </w:r>
      <w:r>
        <w:rPr>
          <w:rStyle w:val="NormalTok"/>
        </w:rPr>
        <w:t xml:space="preserve"> ConvertTo-FMPRoleRow </w:t>
      </w:r>
      <w:r>
        <w:rPr>
          <w:rStyle w:val="OperatorTok"/>
        </w:rPr>
        <w:t xml:space="preserve">{</w:t>
      </w:r>
      <w:r>
        <w:br/>
      </w:r>
      <w:r>
        <w:rPr>
          <w:rStyle w:val="NormalTok"/>
        </w:rPr>
        <w:t xml:space="preserve">        </w:t>
      </w:r>
      <w:r>
        <w:rPr>
          <w:rStyle w:val="KeywordTok"/>
        </w:rPr>
        <w:t xml:space="preserve">param</w:t>
      </w:r>
      <w:r>
        <w:rPr>
          <w:rStyle w:val="OperatorTok"/>
        </w:rPr>
        <w:t xml:space="preserve">(</w:t>
      </w:r>
      <w:r>
        <w:rPr>
          <w:rStyle w:val="VariableTok"/>
        </w:rPr>
        <w:t xml:space="preserve">$Item</w:t>
      </w:r>
      <w:r>
        <w:rPr>
          <w:rStyle w:val="OperatorTok"/>
        </w:rPr>
        <w:t xml:space="preserve">,</w:t>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$Kind</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RoleName      </w:t>
      </w:r>
      <w:r>
        <w:rPr>
          <w:rStyle w:val="OperatorTok"/>
        </w:rPr>
        <w:t xml:space="preserve">=</w:t>
      </w:r>
      <w:r>
        <w:rPr>
          <w:rStyle w:val="NormalTok"/>
        </w:rPr>
        <w:t xml:space="preserve"> </w:t>
      </w:r>
      <w:r>
        <w:rPr>
          <w:rStyle w:val="VariableTok"/>
        </w:rPr>
        <w:t xml:space="preserve">$roleNames</w:t>
      </w:r>
      <w:r>
        <w:rPr>
          <w:rStyle w:val="OperatorTok"/>
        </w:rPr>
        <w:t xml:space="preserve">[</w:t>
      </w:r>
      <w:r>
        <w:rPr>
          <w:rStyle w:val="VariableTok"/>
        </w:rPr>
        <w:t xml:space="preserve">$Item</w:t>
      </w:r>
      <w:r>
        <w:rPr>
          <w:rStyle w:val="OperatorTok"/>
        </w:rPr>
        <w:t xml:space="preserve">.</w:t>
      </w:r>
      <w:r>
        <w:rPr>
          <w:rStyle w:val="FunctionTok"/>
        </w:rPr>
        <w:t xml:space="preserve">RoleDefinitionId</w:t>
      </w:r>
      <w:r>
        <w:rPr>
          <w:rStyle w:val="OperatorTok"/>
        </w:rPr>
        <w:t xml:space="preserve">]</w:t>
      </w:r>
      <w:r>
        <w:br/>
      </w:r>
      <w:r>
        <w:rPr>
          <w:rStyle w:val="NormalTok"/>
        </w:rPr>
        <w:t xml:space="preserve">            PrincipalName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$Item</w:t>
      </w:r>
      <w:r>
        <w:rPr>
          <w:rStyle w:val="OperatorTok"/>
        </w:rPr>
        <w:t xml:space="preserve">.</w:t>
      </w:r>
      <w:r>
        <w:rPr>
          <w:rStyle w:val="FunctionTok"/>
        </w:rPr>
        <w:t xml:space="preserve">Principal</w:t>
      </w:r>
      <w:r>
        <w:rPr>
          <w:rStyle w:val="OperatorTok"/>
        </w:rPr>
        <w:t xml:space="preserve">.</w:t>
      </w:r>
      <w:r>
        <w:rPr>
          <w:rStyle w:val="FunctionTok"/>
        </w:rPr>
        <w:t xml:space="preserve">AdditionalProperties</w:t>
      </w:r>
      <w:r>
        <w:rPr>
          <w:rStyle w:val="OperatorTok"/>
        </w:rPr>
        <w:t xml:space="preserve">.</w:t>
      </w:r>
      <w:r>
        <w:rPr>
          <w:rStyle w:val="FunctionTok"/>
        </w:rPr>
        <w:t xml:space="preserve">displayName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$Item</w:t>
      </w:r>
      <w:r>
        <w:rPr>
          <w:rStyle w:val="OperatorTok"/>
        </w:rPr>
        <w:t xml:space="preserve">.</w:t>
      </w:r>
      <w:r>
        <w:rPr>
          <w:rStyle w:val="FunctionTok"/>
        </w:rPr>
        <w:t xml:space="preserve">Principal</w:t>
      </w:r>
      <w:r>
        <w:rPr>
          <w:rStyle w:val="OperatorTok"/>
        </w:rPr>
        <w:t xml:space="preserve">.</w:t>
      </w:r>
      <w:r>
        <w:rPr>
          <w:rStyle w:val="FunctionTok"/>
        </w:rPr>
        <w:t xml:space="preserve">AdditionalProperties</w:t>
      </w:r>
      <w:r>
        <w:rPr>
          <w:rStyle w:val="OperatorTok"/>
        </w:rPr>
        <w:t xml:space="preserve">.</w:t>
      </w:r>
      <w:r>
        <w:rPr>
          <w:rStyle w:val="FunctionTok"/>
        </w:rPr>
        <w:t xml:space="preserve">displayName</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VariableTok"/>
        </w:rPr>
        <w:t xml:space="preserve">$Item</w:t>
      </w:r>
      <w:r>
        <w:rPr>
          <w:rStyle w:val="OperatorTok"/>
        </w:rPr>
        <w:t xml:space="preserve">.</w:t>
      </w:r>
      <w:r>
        <w:rPr>
          <w:rStyle w:val="FunctionTok"/>
        </w:rPr>
        <w:t xml:space="preserve">PrincipalId</w:t>
      </w:r>
      <w:r>
        <w:rPr>
          <w:rStyle w:val="NormalTok"/>
        </w:rPr>
        <w:t xml:space="preserve"> </w:t>
      </w:r>
      <w:r>
        <w:rPr>
          <w:rStyle w:val="OperatorTok"/>
        </w:rPr>
        <w:t xml:space="preserve">}</w:t>
      </w:r>
      <w:r>
        <w:br/>
      </w:r>
      <w:r>
        <w:rPr>
          <w:rStyle w:val="NormalTok"/>
        </w:rPr>
        <w:t xml:space="preserve">            PrincipalType </w:t>
      </w:r>
      <w:r>
        <w:rPr>
          <w:rStyle w:val="OperatorTok"/>
        </w:rPr>
        <w:t xml:space="preserve">=</w:t>
      </w:r>
      <w:r>
        <w:rPr>
          <w:rStyle w:val="NormalTok"/>
        </w:rPr>
        <w:t xml:space="preserve"> </w:t>
      </w:r>
      <w:r>
        <w:rPr>
          <w:rStyle w:val="OperatorTok"/>
        </w:rPr>
        <w:t xml:space="preserve">(</w:t>
      </w:r>
      <w:r>
        <w:rPr>
          <w:rStyle w:val="VariableTok"/>
        </w:rPr>
        <w:t xml:space="preserve">$Item</w:t>
      </w:r>
      <w:r>
        <w:rPr>
          <w:rStyle w:val="OperatorTok"/>
        </w:rPr>
        <w:t xml:space="preserve">.</w:t>
      </w:r>
      <w:r>
        <w:rPr>
          <w:rStyle w:val="FunctionTok"/>
        </w:rPr>
        <w:t xml:space="preserve">Principal</w:t>
      </w:r>
      <w:r>
        <w:rPr>
          <w:rStyle w:val="OperatorTok"/>
        </w:rPr>
        <w:t xml:space="preserve">.</w:t>
      </w:r>
      <w:r>
        <w:rPr>
          <w:rStyle w:val="FunctionTok"/>
        </w:rPr>
        <w:t xml:space="preserve">AdditionalProperties</w:t>
      </w:r>
      <w:r>
        <w:rPr>
          <w:rStyle w:val="OperatorTok"/>
        </w:rPr>
        <w:t xml:space="preserve">.</w:t>
      </w:r>
      <w:r>
        <w:rPr>
          <w:rStyle w:val="StringTok"/>
        </w:rPr>
        <w:t xml:space="preserve">'@odata.type'</w:t>
      </w:r>
      <w:r>
        <w:rPr>
          <w:rStyle w:val="NormalTok"/>
        </w:rPr>
        <w:t xml:space="preserve"> </w:t>
      </w:r>
      <w:r>
        <w:rPr>
          <w:rStyle w:val="OperatorTok"/>
        </w:rPr>
        <w:t xml:space="preserve">-replace</w:t>
      </w:r>
      <w:r>
        <w:rPr>
          <w:rStyle w:val="NormalTok"/>
        </w:rPr>
        <w:t xml:space="preserve"> </w:t>
      </w:r>
      <w:r>
        <w:rPr>
          <w:rStyle w:val="StringTok"/>
        </w:rPr>
        <w:t xml:space="preserve">'#microsoft.graph.'</w:t>
      </w:r>
      <w:r>
        <w:rPr>
          <w:rStyle w:val="OperatorTok"/>
        </w:rPr>
        <w:t xml:space="preserve">,</w:t>
      </w:r>
      <w:r>
        <w:rPr>
          <w:rStyle w:val="NormalTok"/>
        </w:rPr>
        <w:t xml:space="preserve"> </w:t>
      </w:r>
      <w:r>
        <w:rPr>
          <w:rStyle w:val="StringTok"/>
        </w:rPr>
        <w:t xml:space="preserve">''</w:t>
      </w:r>
      <w:r>
        <w:rPr>
          <w:rStyle w:val="OperatorTok"/>
        </w:rPr>
        <w:t xml:space="preserve">)</w:t>
      </w:r>
      <w:r>
        <w:br/>
      </w:r>
      <w:r>
        <w:rPr>
          <w:rStyle w:val="NormalTok"/>
        </w:rPr>
        <w:t xml:space="preserve">            Kind          </w:t>
      </w:r>
      <w:r>
        <w:rPr>
          <w:rStyle w:val="OperatorTok"/>
        </w:rPr>
        <w:t xml:space="preserve">=</w:t>
      </w:r>
      <w:r>
        <w:rPr>
          <w:rStyle w:val="NormalTok"/>
        </w:rPr>
        <w:t xml:space="preserve"> </w:t>
      </w:r>
      <w:r>
        <w:rPr>
          <w:rStyle w:val="VariableTok"/>
        </w:rPr>
        <w:t xml:space="preserve">$Kind</w:t>
      </w:r>
      <w:r>
        <w:br/>
      </w:r>
      <w:r>
        <w:rPr>
          <w:rStyle w:val="NormalTok"/>
        </w:rPr>
        <w:t xml:space="preserve">            Expiration    </w:t>
      </w:r>
      <w:r>
        <w:rPr>
          <w:rStyle w:val="OperatorTok"/>
        </w:rPr>
        <w:t xml:space="preserve">=</w:t>
      </w:r>
      <w:r>
        <w:rPr>
          <w:rStyle w:val="NormalTok"/>
        </w:rPr>
        <w:t xml:space="preserve"> </w:t>
      </w:r>
      <w:r>
        <w:rPr>
          <w:rStyle w:val="VariableTok"/>
        </w:rPr>
        <w:t xml:space="preserve">$Item</w:t>
      </w:r>
      <w:r>
        <w:rPr>
          <w:rStyle w:val="OperatorTok"/>
        </w:rPr>
        <w:t xml:space="preserve">.</w:t>
      </w:r>
      <w:r>
        <w:rPr>
          <w:rStyle w:val="FunctionTok"/>
        </w:rPr>
        <w:t xml:space="preserve">ScheduleInfo</w:t>
      </w:r>
      <w:r>
        <w:rPr>
          <w:rStyle w:val="OperatorTok"/>
        </w:rPr>
        <w:t xml:space="preserve">.</w:t>
      </w:r>
      <w:r>
        <w:rPr>
          <w:rStyle w:val="FunctionTok"/>
        </w:rPr>
        <w:t xml:space="preserve">Expiration</w:t>
      </w:r>
      <w:r>
        <w:rPr>
          <w:rStyle w:val="OperatorTok"/>
        </w:rPr>
        <w:t xml:space="preserve">.</w:t>
      </w:r>
      <w:r>
        <w:rPr>
          <w:rStyle w:val="FunctionTok"/>
        </w:rPr>
        <w:t xml:space="preserve">Type</w:t>
      </w:r>
      <w:r>
        <w:rPr>
          <w:rStyle w:val="NormalTok"/>
        </w:rPr>
        <w:t xml:space="preserve">   </w:t>
      </w:r>
      <w:r>
        <w:rPr>
          <w:rStyle w:val="CommentTok"/>
        </w:rPr>
        <w:t xml:space="preserve"># noExpiration means permanent</w:t>
      </w:r>
      <w:r>
        <w:br/>
      </w:r>
      <w:r>
        <w:rPr>
          <w:rStyle w:val="NormalTok"/>
        </w:rPr>
        <w:t xml:space="preserve">            EndDateTime   </w:t>
      </w:r>
      <w:r>
        <w:rPr>
          <w:rStyle w:val="OperatorTok"/>
        </w:rPr>
        <w:t xml:space="preserve">=</w:t>
      </w:r>
      <w:r>
        <w:rPr>
          <w:rStyle w:val="NormalTok"/>
        </w:rPr>
        <w:t xml:space="preserve"> </w:t>
      </w:r>
      <w:r>
        <w:rPr>
          <w:rStyle w:val="VariableTok"/>
        </w:rPr>
        <w:t xml:space="preserve">$Item</w:t>
      </w:r>
      <w:r>
        <w:rPr>
          <w:rStyle w:val="OperatorTok"/>
        </w:rPr>
        <w:t xml:space="preserve">.</w:t>
      </w:r>
      <w:r>
        <w:rPr>
          <w:rStyle w:val="FunctionTok"/>
        </w:rPr>
        <w:t xml:space="preserve">ScheduleInfo</w:t>
      </w:r>
      <w:r>
        <w:rPr>
          <w:rStyle w:val="OperatorTok"/>
        </w:rPr>
        <w:t xml:space="preserve">.</w:t>
      </w:r>
      <w:r>
        <w:rPr>
          <w:rStyle w:val="FunctionTok"/>
        </w:rPr>
        <w:t xml:space="preserve">Expiration</w:t>
      </w:r>
      <w:r>
        <w:rPr>
          <w:rStyle w:val="OperatorTok"/>
        </w:rPr>
        <w:t xml:space="preserve">.</w:t>
      </w:r>
      <w:r>
        <w:rPr>
          <w:rStyle w:val="FunctionTok"/>
        </w:rPr>
        <w:t xml:space="preserve">EndDateTime</w:t>
      </w:r>
      <w:r>
        <w:br/>
      </w:r>
      <w:r>
        <w:rPr>
          <w:rStyle w:val="NormalTok"/>
        </w:rPr>
        <w:t xml:space="preserve">            DirectoryScope </w:t>
      </w:r>
      <w:r>
        <w:rPr>
          <w:rStyle w:val="OperatorTok"/>
        </w:rPr>
        <w:t xml:space="preserve">=</w:t>
      </w:r>
      <w:r>
        <w:rPr>
          <w:rStyle w:val="NormalTok"/>
        </w:rPr>
        <w:t xml:space="preserve"> </w:t>
      </w:r>
      <w:r>
        <w:rPr>
          <w:rStyle w:val="VariableTok"/>
        </w:rPr>
        <w:t xml:space="preserve">$Item</w:t>
      </w:r>
      <w:r>
        <w:rPr>
          <w:rStyle w:val="OperatorTok"/>
        </w:rPr>
        <w:t xml:space="preserve">.</w:t>
      </w:r>
      <w:r>
        <w:rPr>
          <w:rStyle w:val="FunctionTok"/>
        </w:rPr>
        <w:t xml:space="preserve">DirectoryScopeId</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CommentTok"/>
        </w:rPr>
        <w:t xml:space="preserve"># Active assignments: AssignmentType is 'Assigned' (standing) or 'Activated' (via PIM)</w:t>
      </w:r>
      <w:r>
        <w:br/>
      </w:r>
      <w:r>
        <w:rPr>
          <w:rStyle w:val="NormalTok"/>
        </w:rPr>
        <w:t xml:space="preserve">    </w:t>
      </w:r>
      <w:r>
        <w:rPr>
          <w:rStyle w:val="VariableTok"/>
        </w:rPr>
        <w:t xml:space="preserve">$active</w:t>
      </w:r>
      <w:r>
        <w:rPr>
          <w:rStyle w:val="NormalTok"/>
        </w:rPr>
        <w:t xml:space="preserve"> </w:t>
      </w:r>
      <w:r>
        <w:rPr>
          <w:rStyle w:val="OperatorTok"/>
        </w:rPr>
        <w:t xml:space="preserve">=</w:t>
      </w:r>
      <w:r>
        <w:rPr>
          <w:rStyle w:val="NormalTok"/>
        </w:rPr>
        <w:t xml:space="preserve"> Get-MgRoleManagementDirectoryRoleAssignmentSchedule </w:t>
      </w:r>
      <w:r>
        <w:rPr>
          <w:rStyle w:val="OperatorTok"/>
        </w:rPr>
        <w:t xml:space="preserve">-</w:t>
      </w:r>
      <w:r>
        <w:rPr>
          <w:rStyle w:val="NormalTok"/>
        </w:rPr>
        <w:t xml:space="preserve">All </w:t>
      </w:r>
      <w:r>
        <w:rPr>
          <w:rStyle w:val="OperatorTok"/>
        </w:rPr>
        <w:t xml:space="preserve">-</w:t>
      </w:r>
      <w:r>
        <w:rPr>
          <w:rStyle w:val="NormalTok"/>
        </w:rPr>
        <w:t xml:space="preserve">ExpandProperty Principal </w:t>
      </w:r>
      <w:r>
        <w:rPr>
          <w:rStyle w:val="OperatorTok"/>
        </w:rPr>
        <w:t xml:space="preserve">|</w:t>
      </w:r>
      <w:r>
        <w:br/>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ConvertTo-FMPRoleRow </w:t>
      </w:r>
      <w:r>
        <w:rPr>
          <w:rStyle w:val="OperatorTok"/>
        </w:rPr>
        <w:t xml:space="preserve">-</w:t>
      </w:r>
      <w:r>
        <w:rPr>
          <w:rStyle w:val="NormalTok"/>
        </w:rPr>
        <w:t xml:space="preserve">Item </w:t>
      </w:r>
      <w:r>
        <w:rPr>
          <w:rStyle w:val="VariableTok"/>
        </w:rPr>
        <w:t xml:space="preserve">$_</w:t>
      </w:r>
      <w:r>
        <w:rPr>
          <w:rStyle w:val="NormalTok"/>
        </w:rPr>
        <w:t xml:space="preserve"> </w:t>
      </w:r>
      <w:r>
        <w:rPr>
          <w:rStyle w:val="OperatorTok"/>
        </w:rPr>
        <w:t xml:space="preserve">-</w:t>
      </w:r>
      <w:r>
        <w:rPr>
          <w:rStyle w:val="NormalTok"/>
        </w:rPr>
        <w:t xml:space="preserve">Kind </w:t>
      </w:r>
      <w:r>
        <w:rPr>
          <w:rStyle w:val="StringTok"/>
        </w:rPr>
        <w:t xml:space="preserve">"Active-</w:t>
      </w:r>
      <w:r>
        <w:rPr>
          <w:rStyle w:val="OperatorTok"/>
        </w:rPr>
        <w:t xml:space="preserve">$(</w:t>
      </w:r>
      <w:r>
        <w:rPr>
          <w:rStyle w:val="VariableTok"/>
        </w:rPr>
        <w:t xml:space="preserve">$_</w:t>
      </w:r>
      <w:r>
        <w:rPr>
          <w:rStyle w:val="OperatorTok"/>
        </w:rPr>
        <w:t xml:space="preserve">.</w:t>
      </w:r>
      <w:r>
        <w:rPr>
          <w:rStyle w:val="FunctionTok"/>
        </w:rPr>
        <w:t xml:space="preserve">AssignmentType</w:t>
      </w:r>
      <w:r>
        <w:rPr>
          <w:rStyle w:val="OperatorTok"/>
        </w:rPr>
        <w:t xml:space="preserve">)</w:t>
      </w:r>
      <w:r>
        <w:rPr>
          <w:rStyle w:val="StringTok"/>
        </w:rPr>
        <w:t xml:space="preserve">"</w:t>
      </w:r>
      <w:r>
        <w:rPr>
          <w:rStyle w:val="NormalTok"/>
        </w:rPr>
        <w:t xml:space="preserve"> </w:t>
      </w:r>
      <w:r>
        <w:rPr>
          <w:rStyle w:val="OperatorTok"/>
        </w:rPr>
        <w:t xml:space="preserve">}</w:t>
      </w:r>
      <w:r>
        <w:br/>
      </w:r>
      <w:r>
        <w:br/>
      </w:r>
      <w:r>
        <w:rPr>
          <w:rStyle w:val="NormalTok"/>
        </w:rPr>
        <w:t xml:space="preserve">    </w:t>
      </w:r>
      <w:r>
        <w:rPr>
          <w:rStyle w:val="CommentTok"/>
        </w:rPr>
        <w:t xml:space="preserve"># Eligible assignments</w:t>
      </w:r>
      <w:r>
        <w:br/>
      </w:r>
      <w:r>
        <w:rPr>
          <w:rStyle w:val="NormalTok"/>
        </w:rPr>
        <w:t xml:space="preserve">    </w:t>
      </w:r>
      <w:r>
        <w:rPr>
          <w:rStyle w:val="VariableTok"/>
        </w:rPr>
        <w:t xml:space="preserve">$eligible</w:t>
      </w:r>
      <w:r>
        <w:rPr>
          <w:rStyle w:val="NormalTok"/>
        </w:rPr>
        <w:t xml:space="preserve"> </w:t>
      </w:r>
      <w:r>
        <w:rPr>
          <w:rStyle w:val="OperatorTok"/>
        </w:rPr>
        <w:t xml:space="preserve">=</w:t>
      </w:r>
      <w:r>
        <w:rPr>
          <w:rStyle w:val="NormalTok"/>
        </w:rPr>
        <w:t xml:space="preserve"> Get-MgRoleManagementDirectoryRoleEligibilitySchedule </w:t>
      </w:r>
      <w:r>
        <w:rPr>
          <w:rStyle w:val="OperatorTok"/>
        </w:rPr>
        <w:t xml:space="preserve">-</w:t>
      </w:r>
      <w:r>
        <w:rPr>
          <w:rStyle w:val="NormalTok"/>
        </w:rPr>
        <w:t xml:space="preserve">All </w:t>
      </w:r>
      <w:r>
        <w:rPr>
          <w:rStyle w:val="OperatorTok"/>
        </w:rPr>
        <w:t xml:space="preserve">-</w:t>
      </w:r>
      <w:r>
        <w:rPr>
          <w:rStyle w:val="NormalTok"/>
        </w:rPr>
        <w:t xml:space="preserve">ExpandProperty Principal </w:t>
      </w:r>
      <w:r>
        <w:rPr>
          <w:rStyle w:val="OperatorTok"/>
        </w:rPr>
        <w:t xml:space="preserve">|</w:t>
      </w:r>
      <w:r>
        <w:br/>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ConvertTo-FMPRoleRow </w:t>
      </w:r>
      <w:r>
        <w:rPr>
          <w:rStyle w:val="OperatorTok"/>
        </w:rPr>
        <w:t xml:space="preserve">-</w:t>
      </w:r>
      <w:r>
        <w:rPr>
          <w:rStyle w:val="NormalTok"/>
        </w:rPr>
        <w:t xml:space="preserve">Item </w:t>
      </w:r>
      <w:r>
        <w:rPr>
          <w:rStyle w:val="VariableTok"/>
        </w:rPr>
        <w:t xml:space="preserve">$_</w:t>
      </w:r>
      <w:r>
        <w:rPr>
          <w:rStyle w:val="NormalTok"/>
        </w:rPr>
        <w:t xml:space="preserve"> </w:t>
      </w:r>
      <w:r>
        <w:rPr>
          <w:rStyle w:val="OperatorTok"/>
        </w:rPr>
        <w:t xml:space="preserve">-</w:t>
      </w:r>
      <w:r>
        <w:rPr>
          <w:rStyle w:val="NormalTok"/>
        </w:rPr>
        <w:t xml:space="preserve">Kind </w:t>
      </w:r>
      <w:r>
        <w:rPr>
          <w:rStyle w:val="StringTok"/>
        </w:rPr>
        <w:t xml:space="preserve">'Eligible'</w:t>
      </w:r>
      <w:r>
        <w:rPr>
          <w:rStyle w:val="NormalTok"/>
        </w:rPr>
        <w:t xml:space="preserve"> </w:t>
      </w:r>
      <w:r>
        <w:rPr>
          <w:rStyle w:val="OperatorTok"/>
        </w:rPr>
        <w:t xml:space="preserve">}</w:t>
      </w:r>
      <w:r>
        <w:br/>
      </w:r>
      <w:r>
        <w:br/>
      </w:r>
      <w:r>
        <w:rPr>
          <w:rStyle w:val="NormalTok"/>
        </w:rPr>
        <w:t xml:space="preserve">    </w:t>
      </w:r>
      <w:r>
        <w:rPr>
          <w:rStyle w:val="VariableTok"/>
        </w:rPr>
        <w:t xml:space="preserve">$activations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$Last24Hours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$since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ToUniversalTime</w:t>
      </w:r>
      <w:r>
        <w:rPr>
          <w:rStyle w:val="OperatorTok"/>
        </w:rPr>
        <w:t xml:space="preserve">().</w:t>
      </w:r>
      <w:r>
        <w:rPr>
          <w:rStyle w:val="FunctionTok"/>
        </w:rPr>
        <w:t xml:space="preserve">AddHours</w:t>
      </w:r>
      <w:r>
        <w:rPr>
          <w:rStyle w:val="OperatorTok"/>
        </w:rPr>
        <w:t xml:space="preserve">(-</w:t>
      </w:r>
      <w:r>
        <w:rPr>
          <w:rStyle w:val="DecValTok"/>
        </w:rPr>
        <w:t xml:space="preserve">24</w:t>
      </w:r>
      <w:r>
        <w:rPr>
          <w:rStyle w:val="OperatorTok"/>
        </w:rPr>
        <w:t xml:space="preserve">).</w:t>
      </w:r>
      <w:r>
        <w:rPr>
          <w:rStyle w:val="FunctionTok"/>
        </w:rPr>
        <w:t xml:space="preserve">ToString</w:t>
      </w:r>
      <w:r>
        <w:rPr>
          <w:rStyle w:val="OperatorTok"/>
        </w:rPr>
        <w:t xml:space="preserve">(</w:t>
      </w:r>
      <w:r>
        <w:rPr>
          <w:rStyle w:val="StringTok"/>
        </w:rPr>
        <w:t xml:space="preserve">'yyyy-MM-ddTHH:mm:ssZ'</w:t>
      </w:r>
      <w:r>
        <w:rPr>
          <w:rStyle w:val="OperatorTok"/>
        </w:rPr>
        <w:t xml:space="preserve">)</w:t>
      </w:r>
      <w:r>
        <w:br/>
      </w:r>
      <w:r>
        <w:rPr>
          <w:rStyle w:val="NormalTok"/>
        </w:rPr>
        <w:t xml:space="preserve">        </w:t>
      </w:r>
      <w:r>
        <w:rPr>
          <w:rStyle w:val="VariableTok"/>
        </w:rPr>
        <w:t xml:space="preserve">$auditFilter</w:t>
      </w:r>
      <w:r>
        <w:rPr>
          <w:rStyle w:val="NormalTok"/>
        </w:rPr>
        <w:t xml:space="preserve"> </w:t>
      </w:r>
      <w:r>
        <w:rPr>
          <w:rStyle w:val="OperatorTok"/>
        </w:rPr>
        <w:t xml:space="preserve">=</w:t>
      </w:r>
      <w:r>
        <w:rPr>
          <w:rStyle w:val="NormalTok"/>
        </w:rPr>
        <w:t xml:space="preserve"> </w:t>
      </w:r>
      <w:r>
        <w:rPr>
          <w:rStyle w:val="StringTok"/>
        </w:rPr>
        <w:t xml:space="preserve">"activityDateTime ge </w:t>
      </w:r>
      <w:r>
        <w:rPr>
          <w:rStyle w:val="VariableTok"/>
        </w:rPr>
        <w:t xml:space="preserve">$since</w:t>
      </w:r>
      <w:r>
        <w:rPr>
          <w:rStyle w:val="StringTok"/>
        </w:rPr>
        <w:t xml:space="preserve"> and activityDisplayName eq 'Add member to role completed (PIM activation)'"</w:t>
      </w:r>
      <w:r>
        <w:br/>
      </w:r>
      <w:r>
        <w:rPr>
          <w:rStyle w:val="NormalTok"/>
        </w:rPr>
        <w:t xml:space="preserve">        </w:t>
      </w:r>
      <w:r>
        <w:rPr>
          <w:rStyle w:val="VariableTok"/>
        </w:rPr>
        <w:t xml:space="preserve">$activations</w:t>
      </w:r>
      <w:r>
        <w:rPr>
          <w:rStyle w:val="NormalTok"/>
        </w:rPr>
        <w:t xml:space="preserve"> </w:t>
      </w:r>
      <w:r>
        <w:rPr>
          <w:rStyle w:val="OperatorTok"/>
        </w:rPr>
        <w:t xml:space="preserve">=</w:t>
      </w:r>
      <w:r>
        <w:rPr>
          <w:rStyle w:val="NormalTok"/>
        </w:rPr>
        <w:t xml:space="preserve"> Get-MgAuditLogDirectoryAudit </w:t>
      </w:r>
      <w:r>
        <w:rPr>
          <w:rStyle w:val="OperatorTok"/>
        </w:rPr>
        <w:t xml:space="preserve">-</w:t>
      </w:r>
      <w:r>
        <w:rPr>
          <w:rStyle w:val="NormalTok"/>
        </w:rPr>
        <w:t xml:space="preserve">Filter </w:t>
      </w:r>
      <w:r>
        <w:rPr>
          <w:rStyle w:val="VariableTok"/>
        </w:rPr>
        <w:t xml:space="preserve">$auditFilter</w:t>
      </w:r>
      <w:r>
        <w:rPr>
          <w:rStyle w:val="NormalTok"/>
        </w:rPr>
        <w:t xml:space="preserve"> </w:t>
      </w:r>
      <w:r>
        <w:rPr>
          <w:rStyle w:val="OperatorTok"/>
        </w:rPr>
        <w:t xml:space="preserve">-</w:t>
      </w:r>
      <w:r>
        <w:rPr>
          <w:rStyle w:val="NormalTok"/>
        </w:rPr>
        <w:t xml:space="preserve">All </w:t>
      </w:r>
      <w:r>
        <w:rPr>
          <w:rStyle w:val="OperatorTok"/>
        </w:rPr>
        <w:t xml:space="preserve">|</w:t>
      </w:r>
      <w:r>
        <w:br/>
      </w:r>
      <w:r>
        <w:rPr>
          <w:rStyle w:val="NormalTok"/>
        </w:rPr>
        <w:t xml:space="preserve">            </w:t>
      </w:r>
      <w:r>
        <w:rPr>
          <w:rStyle w:val="FunctionTok"/>
        </w:rPr>
        <w:t xml:space="preserve">Select-Object</w:t>
      </w:r>
      <w:r>
        <w:rPr>
          <w:rStyle w:val="NormalTok"/>
        </w:rPr>
        <w:t xml:space="preserve"> ActivityDateTime</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'InitiatedBy'</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InitiatedBy</w:t>
      </w:r>
      <w:r>
        <w:rPr>
          <w:rStyle w:val="OperatorTok"/>
        </w:rPr>
        <w:t xml:space="preserve">.</w:t>
      </w:r>
      <w:r>
        <w:rPr>
          <w:rStyle w:val="FunctionTok"/>
        </w:rPr>
        <w:t xml:space="preserve">User</w:t>
      </w:r>
      <w:r>
        <w:rPr>
          <w:rStyle w:val="OperatorTok"/>
        </w:rPr>
        <w:t xml:space="preserve">.</w:t>
      </w:r>
      <w:r>
        <w:rPr>
          <w:rStyle w:val="FunctionTok"/>
        </w:rPr>
        <w:t xml:space="preserve">UserPrincipalName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'Role'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TargetResources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FunctionTok"/>
        </w:rPr>
        <w:t xml:space="preserve">Type</w:t>
      </w:r>
      <w:r>
        <w:rPr>
          <w:rStyle w:val="NormalTok"/>
        </w:rPr>
        <w:t xml:space="preserve"> </w:t>
      </w:r>
      <w:r>
        <w:rPr>
          <w:rStyle w:val="OperatorTok"/>
        </w:rPr>
        <w:t xml:space="preserve">-eq</w:t>
      </w:r>
      <w:r>
        <w:rPr>
          <w:rStyle w:val="NormalTok"/>
        </w:rPr>
        <w:t xml:space="preserve"> </w:t>
      </w:r>
      <w:r>
        <w:rPr>
          <w:rStyle w:val="StringTok"/>
        </w:rPr>
        <w:t xml:space="preserve">'Role'</w:t>
      </w:r>
      <w:r>
        <w:rPr>
          <w:rStyle w:val="OperatorTok"/>
        </w:rPr>
        <w:t xml:space="preserve">).</w:t>
      </w:r>
      <w:r>
        <w:rPr>
          <w:rStyle w:val="FunctionTok"/>
        </w:rPr>
        <w:t xml:space="preserve">DisplayName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$report</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GeneratedAt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ToUniversalTime</w:t>
      </w:r>
      <w:r>
        <w:rPr>
          <w:rStyle w:val="OperatorTok"/>
        </w:rPr>
        <w:t xml:space="preserve">().</w:t>
      </w:r>
      <w:r>
        <w:rPr>
          <w:rStyle w:val="FunctionTok"/>
        </w:rPr>
        <w:t xml:space="preserve">ToString</w:t>
      </w:r>
      <w:r>
        <w:rPr>
          <w:rStyle w:val="OperatorTok"/>
        </w:rPr>
        <w:t xml:space="preserve">(</w:t>
      </w:r>
      <w:r>
        <w:rPr>
          <w:rStyle w:val="StringTok"/>
        </w:rPr>
        <w:t xml:space="preserve">'o'</w:t>
      </w:r>
      <w:r>
        <w:rPr>
          <w:rStyle w:val="OperatorTok"/>
        </w:rPr>
        <w:t xml:space="preserve">)</w:t>
      </w:r>
      <w:r>
        <w:br/>
      </w:r>
      <w:r>
        <w:rPr>
          <w:rStyle w:val="NormalTok"/>
        </w:rPr>
        <w:t xml:space="preserve">        ActiveAssignments    </w:t>
      </w:r>
      <w:r>
        <w:rPr>
          <w:rStyle w:val="OperatorTok"/>
        </w:rPr>
        <w:t xml:space="preserve">=</w:t>
      </w:r>
      <w:r>
        <w:rPr>
          <w:rStyle w:val="NormalTok"/>
        </w:rPr>
        <w:t xml:space="preserve"> </w:t>
      </w:r>
      <w:r>
        <w:rPr>
          <w:rStyle w:val="OperatorTok"/>
        </w:rPr>
        <w:t xml:space="preserve">@(</w:t>
      </w:r>
      <w:r>
        <w:rPr>
          <w:rStyle w:val="VariableTok"/>
        </w:rPr>
        <w:t xml:space="preserve">$active</w:t>
      </w:r>
      <w:r>
        <w:rPr>
          <w:rStyle w:val="OperatorTok"/>
        </w:rPr>
        <w:t xml:space="preserve">)</w:t>
      </w:r>
      <w:r>
        <w:br/>
      </w:r>
      <w:r>
        <w:rPr>
          <w:rStyle w:val="NormalTok"/>
        </w:rPr>
        <w:t xml:space="preserve">        EligibleAssignments  </w:t>
      </w:r>
      <w:r>
        <w:rPr>
          <w:rStyle w:val="OperatorTok"/>
        </w:rPr>
        <w:t xml:space="preserve">=</w:t>
      </w:r>
      <w:r>
        <w:rPr>
          <w:rStyle w:val="NormalTok"/>
        </w:rPr>
        <w:t xml:space="preserve"> </w:t>
      </w:r>
      <w:r>
        <w:rPr>
          <w:rStyle w:val="OperatorTok"/>
        </w:rPr>
        <w:t xml:space="preserve">@(</w:t>
      </w:r>
      <w:r>
        <w:rPr>
          <w:rStyle w:val="VariableTok"/>
        </w:rPr>
        <w:t xml:space="preserve">$eligible</w:t>
      </w:r>
      <w:r>
        <w:rPr>
          <w:rStyle w:val="OperatorTok"/>
        </w:rPr>
        <w:t xml:space="preserve">)</w:t>
      </w:r>
      <w:r>
        <w:br/>
      </w:r>
      <w:r>
        <w:rPr>
          <w:rStyle w:val="NormalTok"/>
        </w:rPr>
        <w:t xml:space="preserve">        RecentActivations    </w:t>
      </w:r>
      <w:r>
        <w:rPr>
          <w:rStyle w:val="OperatorTok"/>
        </w:rPr>
        <w:t xml:space="preserve">=</w:t>
      </w:r>
      <w:r>
        <w:rPr>
          <w:rStyle w:val="NormalTok"/>
        </w:rPr>
        <w:t xml:space="preserve"> </w:t>
      </w:r>
      <w:r>
        <w:rPr>
          <w:rStyle w:val="OperatorTok"/>
        </w:rPr>
        <w:t xml:space="preserve">@(</w:t>
      </w:r>
      <w:r>
        <w:rPr>
          <w:rStyle w:val="VariableTok"/>
        </w:rPr>
        <w:t xml:space="preserve">$activations</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$report</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6</w:t>
      </w:r>
      <w:r>
        <w:rPr>
          <w:rStyle w:val="NormalTok"/>
        </w:rPr>
        <w:t xml:space="preserve"> </w:t>
      </w:r>
      <w:r>
        <w:rPr>
          <w:rStyle w:val="OperatorTok"/>
        </w:rPr>
        <w:t xml:space="preserve">|</w:t>
      </w:r>
      <w:r>
        <w:rPr>
          <w:rStyle w:val="NormalTok"/>
        </w:rPr>
        <w:t xml:space="preserve"> </w:t>
      </w:r>
      <w:r>
        <w:rPr>
          <w:rStyle w:val="FunctionTok"/>
        </w:rPr>
        <w:t xml:space="preserve">Out-File</w:t>
      </w:r>
      <w:r>
        <w:rPr>
          <w:rStyle w:val="NormalTok"/>
        </w:rPr>
        <w:t xml:space="preserve"> </w:t>
      </w:r>
      <w:r>
        <w:rPr>
          <w:rStyle w:val="OperatorTok"/>
        </w:rPr>
        <w:t xml:space="preserve">-</w:t>
      </w:r>
      <w:r>
        <w:rPr>
          <w:rStyle w:val="NormalTok"/>
        </w:rPr>
        <w:t xml:space="preserve">FilePath </w:t>
      </w:r>
      <w:r>
        <w:rPr>
          <w:rStyle w:val="VariableTok"/>
        </w:rPr>
        <w:t xml:space="preserve">$ExportPath</w:t>
      </w:r>
      <w:r>
        <w:rPr>
          <w:rStyle w:val="NormalTok"/>
        </w:rPr>
        <w:t xml:space="preserve"> </w:t>
      </w:r>
      <w:r>
        <w:rPr>
          <w:rStyle w:val="OperatorTok"/>
        </w:rPr>
        <w:t xml:space="preserve">-</w:t>
      </w:r>
      <w:r>
        <w:rPr>
          <w:rStyle w:val="NormalTok"/>
        </w:rPr>
        <w:t xml:space="preserve">Encoding UTF8</w:t>
      </w:r>
      <w:r>
        <w:br/>
      </w:r>
      <w:r>
        <w:br/>
      </w:r>
      <w:r>
        <w:rPr>
          <w:rStyle w:val="NormalTok"/>
        </w:rPr>
        <w:t xml:space="preserve">    </w:t>
      </w:r>
      <w:r>
        <w:rPr>
          <w:rStyle w:val="VariableTok"/>
        </w:rPr>
        <w:t xml:space="preserve">$standing</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$active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Kind</w:t>
      </w:r>
      <w:r>
        <w:rPr>
          <w:rStyle w:val="NormalTok"/>
        </w:rPr>
        <w:t xml:space="preserve"> </w:t>
      </w:r>
      <w:r>
        <w:rPr>
          <w:rStyle w:val="OperatorTok"/>
        </w:rPr>
        <w:t xml:space="preserve">-eq</w:t>
      </w:r>
      <w:r>
        <w:rPr>
          <w:rStyle w:val="NormalTok"/>
        </w:rPr>
        <w:t xml:space="preserve"> </w:t>
      </w:r>
      <w:r>
        <w:rPr>
          <w:rStyle w:val="StringTok"/>
        </w:rPr>
        <w:t xml:space="preserve">'Active-Assigned'</w:t>
      </w:r>
      <w:r>
        <w:rPr>
          <w:rStyle w:val="NormalTok"/>
        </w:rPr>
        <w:t xml:space="preserve"> </w:t>
      </w:r>
      <w:r>
        <w:rPr>
          <w:rStyle w:val="OperatorTok"/>
        </w:rPr>
        <w:t xml:space="preserve">-and</w:t>
      </w:r>
      <w:r>
        <w:rPr>
          <w:rStyle w:val="NormalTok"/>
        </w:rPr>
        <w:t xml:space="preserve"> </w:t>
      </w:r>
      <w:r>
        <w:rPr>
          <w:rStyle w:val="VariableTok"/>
        </w:rPr>
        <w:t xml:space="preserve">$_</w:t>
      </w:r>
      <w:r>
        <w:rPr>
          <w:rStyle w:val="OperatorTok"/>
        </w:rPr>
        <w:t xml:space="preserve">.</w:t>
      </w:r>
      <w:r>
        <w:rPr>
          <w:rStyle w:val="FunctionTok"/>
        </w:rPr>
        <w:t xml:space="preserve">Expiration</w:t>
      </w:r>
      <w:r>
        <w:rPr>
          <w:rStyle w:val="NormalTok"/>
        </w:rPr>
        <w:t xml:space="preserve"> </w:t>
      </w:r>
      <w:r>
        <w:rPr>
          <w:rStyle w:val="OperatorTok"/>
        </w:rPr>
        <w:t xml:space="preserve">-eq</w:t>
      </w:r>
      <w:r>
        <w:rPr>
          <w:rStyle w:val="NormalTok"/>
        </w:rPr>
        <w:t xml:space="preserve"> </w:t>
      </w:r>
      <w:r>
        <w:rPr>
          <w:rStyle w:val="StringTok"/>
        </w:rPr>
        <w:t xml:space="preserve">'noExpiration'</w:t>
      </w:r>
      <w:r>
        <w:rPr>
          <w:rStyle w:val="NormalTok"/>
        </w:rPr>
        <w:t xml:space="preserve"> </w:t>
      </w:r>
      <w:r>
        <w:rPr>
          <w:rStyle w:val="OperatorTok"/>
        </w:rPr>
        <w:t xml:space="preserve">})</w:t>
      </w:r>
      <w:r>
        <w:br/>
      </w:r>
      <w:r>
        <w:rPr>
          <w:rStyle w:val="NormalTok"/>
        </w:rPr>
        <w:t xml:space="preserve">    </w:t>
      </w:r>
      <w:r>
        <w:rPr>
          <w:rStyle w:val="FunctionTok"/>
        </w:rPr>
        <w:t xml:space="preserve">Write-Host</w:t>
      </w:r>
      <w:r>
        <w:rPr>
          <w:rStyle w:val="NormalTok"/>
        </w:rPr>
        <w:t xml:space="preserve"> </w:t>
      </w:r>
      <w:r>
        <w:rPr>
          <w:rStyle w:val="StringTok"/>
        </w:rPr>
        <w:t xml:space="preserve">"Privileged access report exported to </w:t>
      </w:r>
      <w:r>
        <w:rPr>
          <w:rStyle w:val="VariableTok"/>
        </w:rPr>
        <w:t xml:space="preserve">$ExportPath</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rPr>
          <w:rStyle w:val="NormalTok"/>
        </w:rPr>
        <w:t xml:space="preserve">    </w:t>
      </w:r>
      <w:r>
        <w:rPr>
          <w:rStyle w:val="FunctionTok"/>
        </w:rPr>
        <w:t xml:space="preserve">Write-Host</w:t>
      </w:r>
      <w:r>
        <w:rPr>
          <w:rStyle w:val="NormalTok"/>
        </w:rPr>
        <w:t xml:space="preserve"> </w:t>
      </w:r>
      <w:r>
        <w:rPr>
          <w:rStyle w:val="StringTok"/>
        </w:rPr>
        <w:t xml:space="preserve">"  Eligible assignments:          </w:t>
      </w:r>
      <w:r>
        <w:rPr>
          <w:rStyle w:val="OperatorTok"/>
        </w:rPr>
        <w:t xml:space="preserve">$(@(</w:t>
      </w:r>
      <w:r>
        <w:rPr>
          <w:rStyle w:val="VariableTok"/>
        </w:rPr>
        <w:t xml:space="preserve">$eligible</w:t>
      </w:r>
      <w:r>
        <w:rPr>
          <w:rStyle w:val="OperatorTok"/>
        </w:rPr>
        <w:t xml:space="preserve">)</w:t>
      </w:r>
      <w:r>
        <w:rPr>
          <w:rStyle w:val="StringTok"/>
        </w:rPr>
        <w:t xml:space="preserve">.Count)"</w:t>
      </w:r>
      <w:r>
        <w:br/>
      </w:r>
      <w:r>
        <w:rPr>
          <w:rStyle w:val="NormalTok"/>
        </w:rPr>
        <w:t xml:space="preserve">    </w:t>
      </w:r>
      <w:r>
        <w:rPr>
          <w:rStyle w:val="FunctionTok"/>
        </w:rPr>
        <w:t xml:space="preserve">Write-Host</w:t>
      </w:r>
      <w:r>
        <w:rPr>
          <w:rStyle w:val="NormalTok"/>
        </w:rPr>
        <w:t xml:space="preserve"> </w:t>
      </w:r>
      <w:r>
        <w:rPr>
          <w:rStyle w:val="StringTok"/>
        </w:rPr>
        <w:t xml:space="preserve">"  Permanent active assignments:  </w:t>
      </w:r>
      <w:r>
        <w:rPr>
          <w:rStyle w:val="OperatorTok"/>
        </w:rPr>
        <w:t xml:space="preserve">$(</w:t>
      </w:r>
      <w:r>
        <w:rPr>
          <w:rStyle w:val="VariableTok"/>
        </w:rPr>
        <w:t xml:space="preserve">$standing</w:t>
      </w:r>
      <w:r>
        <w:rPr>
          <w:rStyle w:val="OperatorTok"/>
        </w:rPr>
        <w:t xml:space="preserve">.</w:t>
      </w:r>
      <w:r>
        <w:rPr>
          <w:rStyle w:val="FunctionTok"/>
        </w:rPr>
        <w:t xml:space="preserve">Count</w:t>
      </w:r>
      <w:r>
        <w:rPr>
          <w:rStyle w:val="OperatorTok"/>
        </w:rPr>
        <w:t xml:space="preserve">)</w:t>
      </w:r>
      <w:r>
        <w:rPr>
          <w:rStyle w:val="StringTok"/>
        </w:rPr>
        <w:t xml:space="preserve"> (target: the emergency accounts only)"</w:t>
      </w:r>
      <w:r>
        <w:rPr>
          <w:rStyle w:val="NormalTok"/>
        </w:rPr>
        <w:t xml:space="preserve"> </w:t>
      </w:r>
      <w:r>
        <w:rPr>
          <w:rStyle w:val="OperatorTok"/>
        </w:rPr>
        <w:t xml:space="preserve">-</w:t>
      </w:r>
      <w:r>
        <w:rPr>
          <w:rStyle w:val="NormalTok"/>
        </w:rPr>
        <w:t xml:space="preserve">ForegroundColor Yellow</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$Last24Hours</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Write-Host</w:t>
      </w:r>
      <w:r>
        <w:rPr>
          <w:rStyle w:val="NormalTok"/>
        </w:rPr>
        <w:t xml:space="preserve"> </w:t>
      </w:r>
      <w:r>
        <w:rPr>
          <w:rStyle w:val="StringTok"/>
        </w:rPr>
        <w:t xml:space="preserve">"  PIM activations, last 24 hours: </w:t>
      </w:r>
      <w:r>
        <w:rPr>
          <w:rStyle w:val="OperatorTok"/>
        </w:rPr>
        <w:t xml:space="preserve">$(@(</w:t>
      </w:r>
      <w:r>
        <w:rPr>
          <w:rStyle w:val="VariableTok"/>
        </w:rPr>
        <w:t xml:space="preserve">$activations</w:t>
      </w:r>
      <w:r>
        <w:rPr>
          <w:rStyle w:val="OperatorTok"/>
        </w:rPr>
        <w:t xml:space="preserve">)</w:t>
      </w:r>
      <w:r>
        <w:rPr>
          <w:rStyle w:val="StringTok"/>
        </w:rPr>
        <w:t xml:space="preserve">.Count)"</w:t>
      </w:r>
      <w:r>
        <w:rPr>
          <w:rStyle w:val="NormalTok"/>
        </w:rPr>
        <w:t xml:space="preserve"> </w:t>
      </w:r>
      <w:r>
        <w:rPr>
          <w:rStyle w:val="OperatorTok"/>
        </w:rPr>
        <w:t xml:space="preserve">}</w:t>
      </w:r>
      <w:r>
        <w:br/>
      </w:r>
      <w:r>
        <w:br/>
      </w:r>
      <w:r>
        <w:rPr>
          <w:rStyle w:val="NormalTok"/>
        </w:rPr>
        <w:t xml:space="preserve">    Disconnect-MgGraph </w:t>
      </w:r>
      <w:r>
        <w:rPr>
          <w:rStyle w:val="OperatorTok"/>
        </w:rPr>
        <w:t xml:space="preserve">|</w:t>
      </w:r>
      <w:r>
        <w:rPr>
          <w:rStyle w:val="NormalTok"/>
        </w:rPr>
        <w:t xml:space="preserve"> </w:t>
      </w:r>
      <w:r>
        <w:rPr>
          <w:rStyle w:val="FunctionTok"/>
        </w:rPr>
        <w:t xml:space="preserve">Out-Null</w:t>
      </w:r>
      <w:r>
        <w:br/>
      </w:r>
      <w:r>
        <w:rPr>
          <w:rStyle w:val="NormalTok"/>
        </w:rPr>
        <w:t xml:space="preserve">    </w:t>
      </w:r>
      <w:r>
        <w:rPr>
          <w:rStyle w:val="ControlFlowTok"/>
        </w:rPr>
        <w:t xml:space="preserve">return</w:t>
      </w:r>
      <w:r>
        <w:rPr>
          <w:rStyle w:val="NormalTok"/>
        </w:rPr>
        <w:t xml:space="preserve"> </w:t>
      </w:r>
      <w:r>
        <w:rPr>
          <w:rStyle w:val="VariableTok"/>
        </w:rPr>
        <w:t xml:space="preserve">$report</w:t>
      </w:r>
      <w:r>
        <w:br/>
      </w:r>
      <w:r>
        <w:rPr>
          <w:rStyle w:val="OperatorTok"/>
        </w:rPr>
        <w:t xml:space="preserve">}</w:t>
      </w:r>
    </w:p>
    <w:p>
      <w:pPr>
        <w:pStyle w:val="FirstParagraph"/>
      </w:pPr>
      <w:r>
        <w:t xml:space="preserve">The activation filter uses the activity name from Microsoft’s audit activity reference.</w:t>
      </w:r>
      <w:r>
        <w:rPr>
          <w:rStyle w:val="FootnoteReference"/>
        </w:rPr>
        <w:footnoteReference w:id="1350"/>
      </w:r>
      <w:r>
        <w:t xml:space="preserve"> </w:t>
      </w:r>
      <w:r>
        <w:t xml:space="preserve">Off-hours analysis (Chapter 10’s detection) runs on the exported</w:t>
      </w:r>
      <w:r>
        <w:t xml:space="preserve"> </w:t>
      </w:r>
      <w:r>
        <w:rPr>
          <w:rStyle w:val="VerbatimChar"/>
        </w:rPr>
        <w:t xml:space="preserve">RecentActivations</w:t>
      </w:r>
      <w:r>
        <w:t xml:space="preserve">, after converting</w:t>
      </w:r>
      <w:r>
        <w:t xml:space="preserve"> </w:t>
      </w:r>
      <w:r>
        <w:rPr>
          <w:rStyle w:val="VerbatimChar"/>
        </w:rPr>
        <w:t xml:space="preserve">ActivityDateTime</w:t>
      </w:r>
      <w:r>
        <w:t xml:space="preserve"> </w:t>
      </w:r>
      <w:r>
        <w:t xml:space="preserve">from UTC to local time.</w:t>
      </w:r>
    </w:p>
    <w:bookmarkEnd w:id="1351"/>
    <w:bookmarkStart w:id="1352" w:name="legacy-authentication-report"/>
    <w:p>
      <w:pPr>
        <w:pStyle w:val="Heading4"/>
      </w:pPr>
      <w:r>
        <w:t xml:space="preserve">Legacy authentication report</w:t>
      </w:r>
    </w:p>
    <w:p>
      <w:pPr>
        <w:pStyle w:val="SourceCode"/>
      </w:pPr>
      <w:r>
        <w:rPr>
          <w:rStyle w:val="KeywordTok"/>
        </w:rPr>
        <w:t xml:space="preserve">function</w:t>
      </w:r>
      <w:r>
        <w:rPr>
          <w:rStyle w:val="NormalTok"/>
        </w:rPr>
        <w:t xml:space="preserve"> Get-FMPLegacyAuthReport </w:t>
      </w:r>
      <w:r>
        <w:rPr>
          <w:rStyle w:val="OperatorTok"/>
        </w:rPr>
        <w:t xml:space="preserve">{</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$DaysBack</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$ExportPath</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$script</w:t>
      </w:r>
      <w:r>
        <w:rPr>
          <w:rStyle w:val="OperatorTok"/>
        </w:rPr>
        <w:t xml:space="preserve">:</w:t>
      </w:r>
      <w:r>
        <w:rPr>
          <w:rStyle w:val="VariableTok"/>
        </w:rPr>
        <w:t xml:space="preserve">ExportBasePath</w:t>
      </w:r>
      <w:r>
        <w:rPr>
          <w:rStyle w:val="StringTok"/>
        </w:rPr>
        <w:t xml:space="preserve">\LegacyAuth_</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'yyyyMMdd_HHmmss'</w:t>
      </w:r>
      <w:r>
        <w:rPr>
          <w:rStyle w:val="OperatorTok"/>
        </w:rPr>
        <w:t xml:space="preserve">)</w:t>
      </w:r>
      <w:r>
        <w:rPr>
          <w:rStyle w:val="StringTok"/>
        </w:rPr>
        <w:t xml:space="preserve">.json"</w:t>
      </w:r>
      <w:r>
        <w:br/>
      </w:r>
      <w:r>
        <w:rPr>
          <w:rStyle w:val="NormalTok"/>
        </w:rPr>
        <w:t xml:space="preserve">    </w:t>
      </w:r>
      <w:r>
        <w:rPr>
          <w:rStyle w:val="OperatorTok"/>
        </w:rPr>
        <w:t xml:space="preserve">)</w:t>
      </w:r>
      <w:r>
        <w:br/>
      </w:r>
      <w:r>
        <w:br/>
      </w:r>
      <w:r>
        <w:rPr>
          <w:rStyle w:val="NormalTok"/>
        </w:rPr>
        <w:t xml:space="preserve">    Connect-MgGraph </w:t>
      </w:r>
      <w:r>
        <w:rPr>
          <w:rStyle w:val="OperatorTok"/>
        </w:rPr>
        <w:t xml:space="preserve">-</w:t>
      </w:r>
      <w:r>
        <w:rPr>
          <w:rStyle w:val="NormalTok"/>
        </w:rPr>
        <w:t xml:space="preserve">Scopes </w:t>
      </w:r>
      <w:r>
        <w:rPr>
          <w:rStyle w:val="StringTok"/>
        </w:rPr>
        <w:t xml:space="preserve">'AuditLog.Read.All'</w:t>
      </w:r>
      <w:r>
        <w:rPr>
          <w:rStyle w:val="NormalTok"/>
        </w:rPr>
        <w:t xml:space="preserve"> </w:t>
      </w:r>
      <w:r>
        <w:rPr>
          <w:rStyle w:val="OperatorTok"/>
        </w:rPr>
        <w:t xml:space="preserve">-</w:t>
      </w:r>
      <w:r>
        <w:rPr>
          <w:rStyle w:val="NormalTok"/>
        </w:rPr>
        <w:t xml:space="preserve">Environment </w:t>
      </w:r>
      <w:r>
        <w:rPr>
          <w:rStyle w:val="VariableTok"/>
        </w:rPr>
        <w:t xml:space="preserve">$script</w:t>
      </w:r>
      <w:r>
        <w:rPr>
          <w:rStyle w:val="OperatorTok"/>
        </w:rPr>
        <w:t xml:space="preserve">:</w:t>
      </w:r>
      <w:r>
        <w:rPr>
          <w:rStyle w:val="VariableTok"/>
        </w:rPr>
        <w:t xml:space="preserve">GraphEnvironment</w:t>
      </w:r>
      <w:r>
        <w:rPr>
          <w:rStyle w:val="NormalTok"/>
        </w:rPr>
        <w:t xml:space="preserve"> </w:t>
      </w:r>
      <w:r>
        <w:rPr>
          <w:rStyle w:val="OperatorTok"/>
        </w:rPr>
        <w:t xml:space="preserve">-</w:t>
      </w:r>
      <w:r>
        <w:rPr>
          <w:rStyle w:val="NormalTok"/>
        </w:rPr>
        <w:t xml:space="preserve">NoWelcome</w:t>
      </w:r>
      <w:r>
        <w:br/>
      </w:r>
      <w:r>
        <w:br/>
      </w:r>
      <w:r>
        <w:rPr>
          <w:rStyle w:val="NormalTok"/>
        </w:rPr>
        <w:t xml:space="preserve">    </w:t>
      </w:r>
      <w:r>
        <w:rPr>
          <w:rStyle w:val="VariableTok"/>
        </w:rPr>
        <w:t xml:space="preserve">$legacyClients</w:t>
      </w:r>
      <w:r>
        <w:rPr>
          <w:rStyle w:val="NormalTok"/>
        </w:rPr>
        <w:t xml:space="preserve"> </w:t>
      </w:r>
      <w:r>
        <w:rPr>
          <w:rStyle w:val="OperatorTok"/>
        </w:rPr>
        <w:t xml:space="preserve">=</w:t>
      </w:r>
      <w:r>
        <w:rPr>
          <w:rStyle w:val="NormalTok"/>
        </w:rPr>
        <w:t xml:space="preserve"> </w:t>
      </w:r>
      <w:r>
        <w:rPr>
          <w:rStyle w:val="OperatorTok"/>
        </w:rPr>
        <w:t xml:space="preserve">@(</w:t>
      </w:r>
      <w:r>
        <w:rPr>
          <w:rStyle w:val="StringTok"/>
        </w:rPr>
        <w:t xml:space="preserve">'Exchange ActiveSync'</w:t>
      </w:r>
      <w:r>
        <w:rPr>
          <w:rStyle w:val="OperatorTok"/>
        </w:rPr>
        <w:t xml:space="preserve">,</w:t>
      </w:r>
      <w:r>
        <w:rPr>
          <w:rStyle w:val="NormalTok"/>
        </w:rPr>
        <w:t xml:space="preserve"> </w:t>
      </w:r>
      <w:r>
        <w:rPr>
          <w:rStyle w:val="StringTok"/>
        </w:rPr>
        <w:t xml:space="preserve">'Authenticated SMTP'</w:t>
      </w:r>
      <w:r>
        <w:rPr>
          <w:rStyle w:val="OperatorTok"/>
        </w:rPr>
        <w:t xml:space="preserve">,</w:t>
      </w:r>
      <w:r>
        <w:rPr>
          <w:rStyle w:val="NormalTok"/>
        </w:rPr>
        <w:t xml:space="preserve"> </w:t>
      </w:r>
      <w:r>
        <w:rPr>
          <w:rStyle w:val="StringTok"/>
        </w:rPr>
        <w:t xml:space="preserve">'POP3'</w:t>
      </w:r>
      <w:r>
        <w:rPr>
          <w:rStyle w:val="OperatorTok"/>
        </w:rPr>
        <w:t xml:space="preserve">,</w:t>
      </w:r>
      <w:r>
        <w:rPr>
          <w:rStyle w:val="NormalTok"/>
        </w:rPr>
        <w:t xml:space="preserve"> </w:t>
      </w:r>
      <w:r>
        <w:rPr>
          <w:rStyle w:val="StringTok"/>
        </w:rPr>
        <w:t xml:space="preserve">'IMAP4'</w:t>
      </w:r>
      <w:r>
        <w:rPr>
          <w:rStyle w:val="OperatorTok"/>
        </w:rPr>
        <w:t xml:space="preserve">,</w:t>
      </w:r>
      <w:r>
        <w:br/>
      </w:r>
      <w:r>
        <w:rPr>
          <w:rStyle w:val="NormalTok"/>
        </w:rPr>
        <w:t xml:space="preserve">                       </w:t>
      </w:r>
      <w:r>
        <w:rPr>
          <w:rStyle w:val="StringTok"/>
        </w:rPr>
        <w:t xml:space="preserve">'Other clients'</w:t>
      </w:r>
      <w:r>
        <w:rPr>
          <w:rStyle w:val="OperatorTok"/>
        </w:rPr>
        <w:t xml:space="preserve">,</w:t>
      </w:r>
      <w:r>
        <w:rPr>
          <w:rStyle w:val="NormalTok"/>
        </w:rPr>
        <w:t xml:space="preserve"> </w:t>
      </w:r>
      <w:r>
        <w:rPr>
          <w:rStyle w:val="StringTok"/>
        </w:rPr>
        <w:t xml:space="preserve">'Outlook Anywhere (RPC over HTTP)'</w:t>
      </w:r>
      <w:r>
        <w:rPr>
          <w:rStyle w:val="OperatorTok"/>
        </w:rPr>
        <w:t xml:space="preserve">)</w:t>
      </w:r>
      <w:r>
        <w:br/>
      </w:r>
      <w:r>
        <w:rPr>
          <w:rStyle w:val="NormalTok"/>
        </w:rPr>
        <w:t xml:space="preserve">    </w:t>
      </w:r>
      <w:r>
        <w:rPr>
          <w:rStyle w:val="VariableTok"/>
        </w:rPr>
        <w:t xml:space="preserve">$startDate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ToUniversalTime</w:t>
      </w:r>
      <w:r>
        <w:rPr>
          <w:rStyle w:val="OperatorTok"/>
        </w:rPr>
        <w:t xml:space="preserve">().</w:t>
      </w:r>
      <w:r>
        <w:rPr>
          <w:rStyle w:val="FunctionTok"/>
        </w:rPr>
        <w:t xml:space="preserve">AddDays</w:t>
      </w:r>
      <w:r>
        <w:rPr>
          <w:rStyle w:val="OperatorTok"/>
        </w:rPr>
        <w:t xml:space="preserve">(-</w:t>
      </w:r>
      <w:r>
        <w:rPr>
          <w:rStyle w:val="VariableTok"/>
        </w:rPr>
        <w:t xml:space="preserve">$DaysBack</w:t>
      </w:r>
      <w:r>
        <w:rPr>
          <w:rStyle w:val="OperatorTok"/>
        </w:rPr>
        <w:t xml:space="preserve">).</w:t>
      </w:r>
      <w:r>
        <w:rPr>
          <w:rStyle w:val="FunctionTok"/>
        </w:rPr>
        <w:t xml:space="preserve">ToString</w:t>
      </w:r>
      <w:r>
        <w:rPr>
          <w:rStyle w:val="OperatorTok"/>
        </w:rPr>
        <w:t xml:space="preserve">(</w:t>
      </w:r>
      <w:r>
        <w:rPr>
          <w:rStyle w:val="StringTok"/>
        </w:rPr>
        <w:t xml:space="preserve">'yyyy-MM-ddTHH:mm:ssZ'</w:t>
      </w:r>
      <w:r>
        <w:rPr>
          <w:rStyle w:val="OperatorTok"/>
        </w:rPr>
        <w:t xml:space="preserve">)</w:t>
      </w:r>
      <w:r>
        <w:br/>
      </w:r>
      <w:r>
        <w:rPr>
          <w:rStyle w:val="NormalTok"/>
        </w:rPr>
        <w:t xml:space="preserve">    </w:t>
      </w:r>
      <w:r>
        <w:rPr>
          <w:rStyle w:val="VariableTok"/>
        </w:rPr>
        <w:t xml:space="preserve">$filter</w:t>
      </w:r>
      <w:r>
        <w:rPr>
          <w:rStyle w:val="NormalTok"/>
        </w:rPr>
        <w:t xml:space="preserve"> </w:t>
      </w:r>
      <w:r>
        <w:rPr>
          <w:rStyle w:val="OperatorTok"/>
        </w:rPr>
        <w:t xml:space="preserve">=</w:t>
      </w:r>
      <w:r>
        <w:rPr>
          <w:rStyle w:val="NormalTok"/>
        </w:rPr>
        <w:t xml:space="preserve"> </w:t>
      </w:r>
      <w:r>
        <w:rPr>
          <w:rStyle w:val="StringTok"/>
        </w:rPr>
        <w:t xml:space="preserve">"createdDateTime ge </w:t>
      </w:r>
      <w:r>
        <w:rPr>
          <w:rStyle w:val="VariableTok"/>
        </w:rPr>
        <w:t xml:space="preserve">$startDate</w:t>
      </w:r>
      <w:r>
        <w:rPr>
          <w:rStyle w:val="StringTok"/>
        </w:rPr>
        <w:t xml:space="preserve"> and status/errorCode eq 0"</w:t>
      </w:r>
      <w:r>
        <w:br/>
      </w:r>
      <w:r>
        <w:br/>
      </w:r>
      <w:r>
        <w:rPr>
          <w:rStyle w:val="NormalTok"/>
        </w:rPr>
        <w:t xml:space="preserve">    </w:t>
      </w:r>
      <w:r>
        <w:rPr>
          <w:rStyle w:val="FunctionTok"/>
        </w:rPr>
        <w:t xml:space="preserve">Write-Host</w:t>
      </w:r>
      <w:r>
        <w:rPr>
          <w:rStyle w:val="NormalTok"/>
        </w:rPr>
        <w:t xml:space="preserve"> </w:t>
      </w:r>
      <w:r>
        <w:rPr>
          <w:rStyle w:val="StringTok"/>
        </w:rPr>
        <w:t xml:space="preserve">"Scanning sign-in logs for legacy authentication (last </w:t>
      </w:r>
      <w:r>
        <w:rPr>
          <w:rStyle w:val="VariableTok"/>
        </w:rPr>
        <w:t xml:space="preserve">$DaysBack</w:t>
      </w:r>
      <w:r>
        <w:rPr>
          <w:rStyle w:val="StringTok"/>
        </w:rPr>
        <w:t xml:space="preserve"> days)..."</w:t>
      </w:r>
      <w:r>
        <w:rPr>
          <w:rStyle w:val="NormalTok"/>
        </w:rPr>
        <w:t xml:space="preserve"> </w:t>
      </w:r>
      <w:r>
        <w:rPr>
          <w:rStyle w:val="OperatorTok"/>
        </w:rPr>
        <w:t xml:space="preserve">-</w:t>
      </w:r>
      <w:r>
        <w:rPr>
          <w:rStyle w:val="NormalTok"/>
        </w:rPr>
        <w:t xml:space="preserve">ForegroundColor Cyan</w:t>
      </w:r>
      <w:r>
        <w:br/>
      </w:r>
      <w:r>
        <w:rPr>
          <w:rStyle w:val="NormalTok"/>
        </w:rPr>
        <w:t xml:space="preserve">    </w:t>
      </w:r>
      <w:r>
        <w:rPr>
          <w:rStyle w:val="VariableTok"/>
        </w:rPr>
        <w:t xml:space="preserve">$signIns</w:t>
      </w:r>
      <w:r>
        <w:rPr>
          <w:rStyle w:val="NormalTok"/>
        </w:rPr>
        <w:t xml:space="preserve"> </w:t>
      </w:r>
      <w:r>
        <w:rPr>
          <w:rStyle w:val="OperatorTok"/>
        </w:rPr>
        <w:t xml:space="preserve">=</w:t>
      </w:r>
      <w:r>
        <w:rPr>
          <w:rStyle w:val="NormalTok"/>
        </w:rPr>
        <w:t xml:space="preserve"> Get-MgAuditLogSignIn </w:t>
      </w:r>
      <w:r>
        <w:rPr>
          <w:rStyle w:val="OperatorTok"/>
        </w:rPr>
        <w:t xml:space="preserve">-</w:t>
      </w:r>
      <w:r>
        <w:rPr>
          <w:rStyle w:val="NormalTok"/>
        </w:rPr>
        <w:t xml:space="preserve">Filter </w:t>
      </w:r>
      <w:r>
        <w:rPr>
          <w:rStyle w:val="VariableTok"/>
        </w:rPr>
        <w:t xml:space="preserve">$filter</w:t>
      </w:r>
      <w:r>
        <w:rPr>
          <w:rStyle w:val="NormalTok"/>
        </w:rPr>
        <w:t xml:space="preserve"> </w:t>
      </w:r>
      <w:r>
        <w:rPr>
          <w:rStyle w:val="OperatorTok"/>
        </w:rPr>
        <w:t xml:space="preserve">-</w:t>
      </w:r>
      <w:r>
        <w:rPr>
          <w:rStyle w:val="NormalTok"/>
        </w:rPr>
        <w:t xml:space="preserve">All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ClientAppUsed</w:t>
      </w:r>
      <w:r>
        <w:rPr>
          <w:rStyle w:val="NormalTok"/>
        </w:rPr>
        <w:t xml:space="preserve"> </w:t>
      </w:r>
      <w:r>
        <w:rPr>
          <w:rStyle w:val="OperatorTok"/>
        </w:rPr>
        <w:t xml:space="preserve">-</w:t>
      </w:r>
      <w:r>
        <w:rPr>
          <w:rStyle w:val="NormalTok"/>
        </w:rPr>
        <w:t xml:space="preserve">in </w:t>
      </w:r>
      <w:r>
        <w:rPr>
          <w:rStyle w:val="VariableTok"/>
        </w:rPr>
        <w:t xml:space="preserve">$legacyClients</w:t>
      </w:r>
      <w:r>
        <w:rPr>
          <w:rStyle w:val="NormalTok"/>
        </w:rPr>
        <w:t xml:space="preserve"> </w:t>
      </w:r>
      <w:r>
        <w:rPr>
          <w:rStyle w:val="OperatorTok"/>
        </w:rPr>
        <w:t xml:space="preserve">}</w:t>
      </w:r>
      <w:r>
        <w:br/>
      </w:r>
      <w:r>
        <w:br/>
      </w:r>
      <w:r>
        <w:rPr>
          <w:rStyle w:val="NormalTok"/>
        </w:rPr>
        <w:t xml:space="preserve">    </w:t>
      </w:r>
      <w:r>
        <w:rPr>
          <w:rStyle w:val="VariableTok"/>
        </w:rPr>
        <w:t xml:space="preserve">$report</w:t>
      </w:r>
      <w:r>
        <w:rPr>
          <w:rStyle w:val="NormalTok"/>
        </w:rPr>
        <w:t xml:space="preserve"> </w:t>
      </w:r>
      <w:r>
        <w:rPr>
          <w:rStyle w:val="OperatorTok"/>
        </w:rPr>
        <w:t xml:space="preserve">=</w:t>
      </w:r>
      <w:r>
        <w:rPr>
          <w:rStyle w:val="NormalTok"/>
        </w:rPr>
        <w:t xml:space="preserve"> </w:t>
      </w:r>
      <w:r>
        <w:rPr>
          <w:rStyle w:val="VariableTok"/>
        </w:rPr>
        <w:t xml:space="preserve">$signIns</w:t>
      </w:r>
      <w:r>
        <w:rPr>
          <w:rStyle w:val="NormalTok"/>
        </w:rPr>
        <w:t xml:space="preserve"> </w:t>
      </w:r>
      <w:r>
        <w:rPr>
          <w:rStyle w:val="OperatorTok"/>
        </w:rPr>
        <w:t xml:space="preserve">|</w:t>
      </w:r>
      <w:r>
        <w:br/>
      </w:r>
      <w:r>
        <w:rPr>
          <w:rStyle w:val="NormalTok"/>
        </w:rPr>
        <w:t xml:space="preserve">        </w:t>
      </w:r>
      <w:r>
        <w:rPr>
          <w:rStyle w:val="FunctionTok"/>
        </w:rPr>
        <w:t xml:space="preserve">Group-Object</w:t>
      </w:r>
      <w:r>
        <w:rPr>
          <w:rStyle w:val="NormalTok"/>
        </w:rPr>
        <w:t xml:space="preserve"> </w:t>
      </w:r>
      <w:r>
        <w:rPr>
          <w:rStyle w:val="OperatorTok"/>
        </w:rPr>
        <w:t xml:space="preserve">-</w:t>
      </w:r>
      <w:r>
        <w:rPr>
          <w:rStyle w:val="NormalTok"/>
        </w:rPr>
        <w:t xml:space="preserve">Property UserPrincipalName</w:t>
      </w:r>
      <w:r>
        <w:rPr>
          <w:rStyle w:val="OperatorTok"/>
        </w:rPr>
        <w:t xml:space="preserve">,</w:t>
      </w:r>
      <w:r>
        <w:rPr>
          <w:rStyle w:val="NormalTok"/>
        </w:rPr>
        <w:t xml:space="preserve"> ClientAppUsed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'UserPrincipalName'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-split</w:t>
      </w:r>
      <w:r>
        <w:rPr>
          <w:rStyle w:val="NormalTok"/>
        </w:rPr>
        <w:t xml:space="preserve"> </w:t>
      </w:r>
      <w:r>
        <w:rPr>
          <w:rStyle w:val="StringTok"/>
        </w:rPr>
        <w:t xml:space="preserve">', '</w:t>
      </w:r>
      <w:r>
        <w:rPr>
          <w:rStyle w:val="OperatorTok"/>
        </w:rPr>
        <w:t xml:space="preserve">)[</w:t>
      </w:r>
      <w:r>
        <w:rPr>
          <w:rStyle w:val="DecValTok"/>
        </w:rPr>
        <w:t xml:space="preserve">0</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'ClientApp'</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-split</w:t>
      </w:r>
      <w:r>
        <w:rPr>
          <w:rStyle w:val="NormalTok"/>
        </w:rPr>
        <w:t xml:space="preserve"> </w:t>
      </w:r>
      <w:r>
        <w:rPr>
          <w:rStyle w:val="String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'SignInCount'</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'LastSignIn'</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Group</w:t>
      </w:r>
      <w:r>
        <w:rPr>
          <w:rStyle w:val="NormalTok"/>
        </w:rPr>
        <w:t xml:space="preserve"> </w:t>
      </w:r>
      <w:r>
        <w:rPr>
          <w:rStyle w:val="OperatorTok"/>
        </w:rPr>
        <w:t xml:space="preserve">|</w:t>
      </w:r>
      <w:r>
        <w:rPr>
          <w:rStyle w:val="NormalTok"/>
        </w:rPr>
        <w:t xml:space="preserve"> </w:t>
      </w:r>
      <w:r>
        <w:rPr>
          <w:rStyle w:val="FunctionTok"/>
        </w:rPr>
        <w:t xml:space="preserve">Sort-Object</w:t>
      </w:r>
      <w:r>
        <w:rPr>
          <w:rStyle w:val="NormalTok"/>
        </w:rPr>
        <w:t xml:space="preserve"> CreatedDateTime </w:t>
      </w:r>
      <w:r>
        <w:rPr>
          <w:rStyle w:val="OperatorTok"/>
        </w:rPr>
        <w:t xml:space="preserve">-</w:t>
      </w:r>
      <w:r>
        <w:rPr>
          <w:rStyle w:val="NormalTok"/>
        </w:rPr>
        <w:t xml:space="preserve">Descending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First </w:t>
      </w:r>
      <w:r>
        <w:rPr>
          <w:rStyle w:val="DecValTok"/>
        </w:rPr>
        <w:t xml:space="preserve">1</w:t>
      </w:r>
      <w:r>
        <w:rPr>
          <w:rStyle w:val="OperatorTok"/>
        </w:rPr>
        <w:t xml:space="preserve">).</w:t>
      </w:r>
      <w:r>
        <w:rPr>
          <w:rStyle w:val="FunctionTok"/>
        </w:rPr>
        <w:t xml:space="preserve">CreatedDateTime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'RemediationAction'</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switch</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-split</w:t>
      </w:r>
      <w:r>
        <w:rPr>
          <w:rStyle w:val="NormalTok"/>
        </w:rPr>
        <w:t xml:space="preserve"> </w:t>
      </w:r>
      <w:r>
        <w:rPr>
          <w:rStyle w:val="String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'Authenticated SMTP'</w:t>
      </w:r>
      <w:r>
        <w:rPr>
          <w:rStyle w:val="NormalTok"/>
        </w:rPr>
        <w:t xml:space="preserve">  </w:t>
      </w:r>
      <w:r>
        <w:rPr>
          <w:rStyle w:val="OperatorTok"/>
        </w:rPr>
        <w:t xml:space="preserve">{</w:t>
      </w:r>
      <w:r>
        <w:rPr>
          <w:rStyle w:val="NormalTok"/>
        </w:rPr>
        <w:t xml:space="preserve"> </w:t>
      </w:r>
      <w:r>
        <w:rPr>
          <w:rStyle w:val="StringTok"/>
        </w:rPr>
        <w:t xml:space="preserve">'Move to OAuth SMTP, the Microsoft Graph sendMail API, or a supported relay'</w:t>
      </w:r>
      <w:r>
        <w:rPr>
          <w:rStyle w:val="NormalTok"/>
        </w:rPr>
        <w:t xml:space="preserve"> </w:t>
      </w:r>
      <w:r>
        <w:rPr>
          <w:rStyle w:val="OperatorTok"/>
        </w:rPr>
        <w:t xml:space="preserve">}</w:t>
      </w:r>
      <w:r>
        <w:br/>
      </w:r>
      <w:r>
        <w:rPr>
          <w:rStyle w:val="NormalTok"/>
        </w:rPr>
        <w:t xml:space="preserve">                                </w:t>
      </w:r>
      <w:r>
        <w:rPr>
          <w:rStyle w:val="StringTok"/>
        </w:rPr>
        <w:t xml:space="preserve">'POP3'</w:t>
      </w:r>
      <w:r>
        <w:rPr>
          <w:rStyle w:val="NormalTok"/>
        </w:rPr>
        <w:t xml:space="preserve">                </w:t>
      </w:r>
      <w:r>
        <w:rPr>
          <w:rStyle w:val="OperatorTok"/>
        </w:rPr>
        <w:t xml:space="preserve">{</w:t>
      </w:r>
      <w:r>
        <w:rPr>
          <w:rStyle w:val="NormalTok"/>
        </w:rPr>
        <w:t xml:space="preserve"> </w:t>
      </w:r>
      <w:r>
        <w:rPr>
          <w:rStyle w:val="StringTok"/>
        </w:rPr>
        <w:t xml:space="preserve">'Move to the Microsoft Graph mail API or POP with OAuth'</w:t>
      </w:r>
      <w:r>
        <w:rPr>
          <w:rStyle w:val="NormalTok"/>
        </w:rPr>
        <w:t xml:space="preserve"> </w:t>
      </w:r>
      <w:r>
        <w:rPr>
          <w:rStyle w:val="OperatorTok"/>
        </w:rPr>
        <w:t xml:space="preserve">}</w:t>
      </w:r>
      <w:r>
        <w:br/>
      </w:r>
      <w:r>
        <w:rPr>
          <w:rStyle w:val="NormalTok"/>
        </w:rPr>
        <w:t xml:space="preserve">                                </w:t>
      </w:r>
      <w:r>
        <w:rPr>
          <w:rStyle w:val="StringTok"/>
        </w:rPr>
        <w:t xml:space="preserve">'IMAP4'</w:t>
      </w:r>
      <w:r>
        <w:rPr>
          <w:rStyle w:val="NormalTok"/>
        </w:rPr>
        <w:t xml:space="preserve">               </w:t>
      </w:r>
      <w:r>
        <w:rPr>
          <w:rStyle w:val="OperatorTok"/>
        </w:rPr>
        <w:t xml:space="preserve">{</w:t>
      </w:r>
      <w:r>
        <w:rPr>
          <w:rStyle w:val="NormalTok"/>
        </w:rPr>
        <w:t xml:space="preserve"> </w:t>
      </w:r>
      <w:r>
        <w:rPr>
          <w:rStyle w:val="StringTok"/>
        </w:rPr>
        <w:t xml:space="preserve">'Move to the Microsoft Graph mail API or IMAP with OAuth'</w:t>
      </w:r>
      <w:r>
        <w:rPr>
          <w:rStyle w:val="NormalTok"/>
        </w:rPr>
        <w:t xml:space="preserve"> </w:t>
      </w:r>
      <w:r>
        <w:rPr>
          <w:rStyle w:val="OperatorTok"/>
        </w:rPr>
        <w:t xml:space="preserve">}</w:t>
      </w:r>
      <w:r>
        <w:br/>
      </w:r>
      <w:r>
        <w:rPr>
          <w:rStyle w:val="NormalTok"/>
        </w:rPr>
        <w:t xml:space="preserve">                                </w:t>
      </w:r>
      <w:r>
        <w:rPr>
          <w:rStyle w:val="StringTok"/>
        </w:rPr>
        <w:t xml:space="preserve">'Exchange ActiveSync'</w:t>
      </w:r>
      <w:r>
        <w:rPr>
          <w:rStyle w:val="NormalTok"/>
        </w:rPr>
        <w:t xml:space="preserve"> </w:t>
      </w:r>
      <w:r>
        <w:rPr>
          <w:rStyle w:val="OperatorTok"/>
        </w:rPr>
        <w:t xml:space="preserve">{</w:t>
      </w:r>
      <w:r>
        <w:rPr>
          <w:rStyle w:val="NormalTok"/>
        </w:rPr>
        <w:t xml:space="preserve"> </w:t>
      </w:r>
      <w:r>
        <w:rPr>
          <w:rStyle w:val="StringTok"/>
        </w:rPr>
        <w:t xml:space="preserve">'Move to Outlook mobile with an Intune app protection policy'</w:t>
      </w:r>
      <w:r>
        <w:rPr>
          <w:rStyle w:val="NormalTok"/>
        </w:rPr>
        <w:t xml:space="preserve"> </w:t>
      </w:r>
      <w:r>
        <w:rPr>
          <w:rStyle w:val="OperatorTok"/>
        </w:rPr>
        <w:t xml:space="preserve">}</w:t>
      </w:r>
      <w:r>
        <w:br/>
      </w:r>
      <w:r>
        <w:rPr>
          <w:rStyle w:val="NormalTok"/>
        </w:rPr>
        <w:t xml:space="preserve">                                default               </w:t>
      </w:r>
      <w:r>
        <w:rPr>
          <w:rStyle w:val="OperatorTok"/>
        </w:rPr>
        <w:t xml:space="preserve">{</w:t>
      </w:r>
      <w:r>
        <w:rPr>
          <w:rStyle w:val="NormalTok"/>
        </w:rPr>
        <w:t xml:space="preserve"> </w:t>
      </w:r>
      <w:r>
        <w:rPr>
          <w:rStyle w:val="StringTok"/>
        </w:rPr>
        <w:t xml:space="preserve">'Identify the application and move it to modern authentication'</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VariableTok"/>
        </w:rPr>
        <w:t xml:space="preserve">$report</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rPr>
          <w:rStyle w:val="NormalTok"/>
        </w:rPr>
        <w:t xml:space="preserve"> </w:t>
      </w:r>
      <w:r>
        <w:rPr>
          <w:rStyle w:val="OperatorTok"/>
        </w:rPr>
        <w:t xml:space="preserve">|</w:t>
      </w:r>
      <w:r>
        <w:rPr>
          <w:rStyle w:val="NormalTok"/>
        </w:rPr>
        <w:t xml:space="preserve"> </w:t>
      </w:r>
      <w:r>
        <w:rPr>
          <w:rStyle w:val="FunctionTok"/>
        </w:rPr>
        <w:t xml:space="preserve">Out-File</w:t>
      </w:r>
      <w:r>
        <w:rPr>
          <w:rStyle w:val="NormalTok"/>
        </w:rPr>
        <w:t xml:space="preserve"> </w:t>
      </w:r>
      <w:r>
        <w:rPr>
          <w:rStyle w:val="OperatorTok"/>
        </w:rPr>
        <w:t xml:space="preserve">-</w:t>
      </w:r>
      <w:r>
        <w:rPr>
          <w:rStyle w:val="NormalTok"/>
        </w:rPr>
        <w:t xml:space="preserve">FilePath </w:t>
      </w:r>
      <w:r>
        <w:rPr>
          <w:rStyle w:val="VariableTok"/>
        </w:rPr>
        <w:t xml:space="preserve">$ExportPath</w:t>
      </w:r>
      <w:r>
        <w:rPr>
          <w:rStyle w:val="NormalTok"/>
        </w:rPr>
        <w:t xml:space="preserve"> </w:t>
      </w:r>
      <w:r>
        <w:rPr>
          <w:rStyle w:val="OperatorTok"/>
        </w:rPr>
        <w:t xml:space="preserve">-</w:t>
      </w:r>
      <w:r>
        <w:rPr>
          <w:rStyle w:val="NormalTok"/>
        </w:rPr>
        <w:t xml:space="preserve">Encoding UTF8</w:t>
      </w:r>
      <w:r>
        <w:br/>
      </w:r>
      <w:r>
        <w:rPr>
          <w:rStyle w:val="NormalTok"/>
        </w:rPr>
        <w:t xml:space="preserve">    </w:t>
      </w:r>
      <w:r>
        <w:rPr>
          <w:rStyle w:val="FunctionTok"/>
        </w:rPr>
        <w:t xml:space="preserve">Write-Host</w:t>
      </w:r>
      <w:r>
        <w:rPr>
          <w:rStyle w:val="NormalTok"/>
        </w:rPr>
        <w:t xml:space="preserve"> </w:t>
      </w:r>
      <w:r>
        <w:rPr>
          <w:rStyle w:val="StringTok"/>
        </w:rPr>
        <w:t xml:space="preserve">"Legacy authentication report exported to </w:t>
      </w:r>
      <w:r>
        <w:rPr>
          <w:rStyle w:val="VariableTok"/>
        </w:rPr>
        <w:t xml:space="preserve">$ExportPath</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rPr>
          <w:rStyle w:val="NormalTok"/>
        </w:rPr>
        <w:t xml:space="preserve">    </w:t>
      </w:r>
      <w:r>
        <w:rPr>
          <w:rStyle w:val="FunctionTok"/>
        </w:rPr>
        <w:t xml:space="preserve">Write-Host</w:t>
      </w:r>
      <w:r>
        <w:rPr>
          <w:rStyle w:val="NormalTok"/>
        </w:rPr>
        <w:t xml:space="preserve"> </w:t>
      </w:r>
      <w:r>
        <w:rPr>
          <w:rStyle w:val="StringTok"/>
        </w:rPr>
        <w:t xml:space="preserve">"  Users with legacy sign-ins: </w:t>
      </w:r>
      <w:r>
        <w:rPr>
          <w:rStyle w:val="OperatorTok"/>
        </w:rPr>
        <w:t xml:space="preserve">$(@(</w:t>
      </w:r>
      <w:r>
        <w:rPr>
          <w:rStyle w:val="VariableTok"/>
        </w:rPr>
        <w:t xml:space="preserve">$report</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Unique UserPrincipalName</w:t>
      </w:r>
      <w:r>
        <w:rPr>
          <w:rStyle w:val="OperatorTok"/>
        </w:rPr>
        <w:t xml:space="preserve">)</w:t>
      </w:r>
      <w:r>
        <w:rPr>
          <w:rStyle w:val="StringTok"/>
        </w:rPr>
        <w:t xml:space="preserve">.Count)"</w:t>
      </w:r>
      <w:r>
        <w:rPr>
          <w:rStyle w:val="NormalTok"/>
        </w:rPr>
        <w:t xml:space="preserve"> </w:t>
      </w:r>
      <w:r>
        <w:rPr>
          <w:rStyle w:val="OperatorTok"/>
        </w:rPr>
        <w:t xml:space="preserve">-</w:t>
      </w:r>
      <w:r>
        <w:rPr>
          <w:rStyle w:val="NormalTok"/>
        </w:rPr>
        <w:t xml:space="preserve">ForegroundColor Yellow</w:t>
      </w:r>
      <w:r>
        <w:br/>
      </w:r>
      <w:r>
        <w:rPr>
          <w:rStyle w:val="NormalTok"/>
        </w:rPr>
        <w:t xml:space="preserve">    </w:t>
      </w:r>
      <w:r>
        <w:rPr>
          <w:rStyle w:val="FunctionTok"/>
        </w:rPr>
        <w:t xml:space="preserve">Write-Host</w:t>
      </w:r>
      <w:r>
        <w:rPr>
          <w:rStyle w:val="NormalTok"/>
        </w:rPr>
        <w:t xml:space="preserve"> </w:t>
      </w:r>
      <w:r>
        <w:rPr>
          <w:rStyle w:val="StringTok"/>
        </w:rPr>
        <w:t xml:space="preserve">"  Total legacy sign-ins:      </w:t>
      </w:r>
      <w:r>
        <w:rPr>
          <w:rStyle w:val="OperatorTok"/>
        </w:rPr>
        <w:t xml:space="preserve">$((</w:t>
      </w:r>
      <w:r>
        <w:rPr>
          <w:rStyle w:val="VariableTok"/>
        </w:rPr>
        <w:t xml:space="preserve">$report</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NormalTok"/>
        </w:rPr>
        <w:t xml:space="preserve"> </w:t>
      </w:r>
      <w:r>
        <w:rPr>
          <w:rStyle w:val="OperatorTok"/>
        </w:rPr>
        <w:t xml:space="preserve">-</w:t>
      </w:r>
      <w:r>
        <w:rPr>
          <w:rStyle w:val="NormalTok"/>
        </w:rPr>
        <w:t xml:space="preserve">Property SignInCount </w:t>
      </w:r>
      <w:r>
        <w:rPr>
          <w:rStyle w:val="OperatorTok"/>
        </w:rPr>
        <w:t xml:space="preserve">-</w:t>
      </w:r>
      <w:r>
        <w:rPr>
          <w:rStyle w:val="NormalTok"/>
        </w:rPr>
        <w:t xml:space="preserve">Sum</w:t>
      </w:r>
      <w:r>
        <w:rPr>
          <w:rStyle w:val="OperatorTok"/>
        </w:rPr>
        <w:t xml:space="preserve">)</w:t>
      </w:r>
      <w:r>
        <w:rPr>
          <w:rStyle w:val="StringTok"/>
        </w:rPr>
        <w:t xml:space="preserve">.Sum)"</w:t>
      </w:r>
      <w:r>
        <w:rPr>
          <w:rStyle w:val="NormalTok"/>
        </w:rPr>
        <w:t xml:space="preserve"> </w:t>
      </w:r>
      <w:r>
        <w:rPr>
          <w:rStyle w:val="OperatorTok"/>
        </w:rPr>
        <w:t xml:space="preserve">-</w:t>
      </w:r>
      <w:r>
        <w:rPr>
          <w:rStyle w:val="NormalTok"/>
        </w:rPr>
        <w:t xml:space="preserve">ForegroundColor Yellow</w:t>
      </w:r>
      <w:r>
        <w:br/>
      </w:r>
      <w:r>
        <w:br/>
      </w:r>
      <w:r>
        <w:rPr>
          <w:rStyle w:val="NormalTok"/>
        </w:rPr>
        <w:t xml:space="preserve">    Disconnect-MgGraph </w:t>
      </w:r>
      <w:r>
        <w:rPr>
          <w:rStyle w:val="OperatorTok"/>
        </w:rPr>
        <w:t xml:space="preserve">|</w:t>
      </w:r>
      <w:r>
        <w:rPr>
          <w:rStyle w:val="NormalTok"/>
        </w:rPr>
        <w:t xml:space="preserve"> </w:t>
      </w:r>
      <w:r>
        <w:rPr>
          <w:rStyle w:val="FunctionTok"/>
        </w:rPr>
        <w:t xml:space="preserve">Out-Null</w:t>
      </w:r>
      <w:r>
        <w:br/>
      </w:r>
      <w:r>
        <w:rPr>
          <w:rStyle w:val="NormalTok"/>
        </w:rPr>
        <w:t xml:space="preserve">    </w:t>
      </w:r>
      <w:r>
        <w:rPr>
          <w:rStyle w:val="ControlFlowTok"/>
        </w:rPr>
        <w:t xml:space="preserve">return</w:t>
      </w:r>
      <w:r>
        <w:rPr>
          <w:rStyle w:val="NormalTok"/>
        </w:rPr>
        <w:t xml:space="preserve"> </w:t>
      </w:r>
      <w:r>
        <w:rPr>
          <w:rStyle w:val="VariableTok"/>
        </w:rPr>
        <w:t xml:space="preserve">$report</w:t>
      </w:r>
      <w:r>
        <w:br/>
      </w:r>
      <w:r>
        <w:rPr>
          <w:rStyle w:val="OperatorTok"/>
        </w:rPr>
        <w:t xml:space="preserve">}</w:t>
      </w:r>
    </w:p>
    <w:bookmarkEnd w:id="1352"/>
    <w:bookmarkStart w:id="1353" w:name="baseline-export"/>
    <w:p>
      <w:pPr>
        <w:pStyle w:val="Heading4"/>
      </w:pPr>
      <w:r>
        <w:t xml:space="preserve">Baseline export</w:t>
      </w:r>
    </w:p>
    <w:p>
      <w:pPr>
        <w:pStyle w:val="SourceCode"/>
      </w:pPr>
      <w:r>
        <w:rPr>
          <w:rStyle w:val="KeywordTok"/>
        </w:rPr>
        <w:t xml:space="preserve">function</w:t>
      </w:r>
      <w:r>
        <w:rPr>
          <w:rStyle w:val="NormalTok"/>
        </w:rPr>
        <w:t xml:space="preserve"> Export-FMPIdentityBaseline </w:t>
      </w:r>
      <w:r>
        <w:rPr>
          <w:rStyle w:val="OperatorTok"/>
        </w:rPr>
        <w:t xml:space="preserve">{</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$SearchBase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DistinguishedName</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$BaselinePath</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$script</w:t>
      </w:r>
      <w:r>
        <w:rPr>
          <w:rStyle w:val="OperatorTok"/>
        </w:rPr>
        <w:t xml:space="preserve">:</w:t>
      </w:r>
      <w:r>
        <w:rPr>
          <w:rStyle w:val="VariableTok"/>
        </w:rPr>
        <w:t xml:space="preserve">ExportBasePath</w:t>
      </w:r>
      <w:r>
        <w:rPr>
          <w:rStyle w:val="StringTok"/>
        </w:rPr>
        <w:t xml:space="preserve">\Baseline_</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'yyyyMMdd_HHmmss'</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$VerifiedDomain</w:t>
      </w:r>
      <w:r>
        <w:br/>
      </w:r>
      <w:r>
        <w:rPr>
          <w:rStyle w:val="NormalTok"/>
        </w:rPr>
        <w:t xml:space="preserve">    </w:t>
      </w:r>
      <w:r>
        <w:rPr>
          <w:rStyle w:val="OperatorTok"/>
        </w:rPr>
        <w:t xml:space="preserve">)</w:t>
      </w:r>
      <w:r>
        <w:br/>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OperatorTok"/>
        </w:rPr>
        <w:t xml:space="preserve">(</w:t>
      </w:r>
      <w:r>
        <w:rPr>
          <w:rStyle w:val="FunctionTok"/>
        </w:rPr>
        <w:t xml:space="preserve">Test-Path</w:t>
      </w:r>
      <w:r>
        <w:rPr>
          <w:rStyle w:val="NormalTok"/>
        </w:rPr>
        <w:t xml:space="preserve"> </w:t>
      </w:r>
      <w:r>
        <w:rPr>
          <w:rStyle w:val="VariableTok"/>
        </w:rPr>
        <w:t xml:space="preserve">$BaselinePath</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New-Item</w:t>
      </w:r>
      <w:r>
        <w:rPr>
          <w:rStyle w:val="NormalTok"/>
        </w:rPr>
        <w:t xml:space="preserve"> </w:t>
      </w:r>
      <w:r>
        <w:rPr>
          <w:rStyle w:val="OperatorTok"/>
        </w:rPr>
        <w:t xml:space="preserve">-</w:t>
      </w:r>
      <w:r>
        <w:rPr>
          <w:rStyle w:val="NormalTok"/>
        </w:rPr>
        <w:t xml:space="preserve">ItemType Directory </w:t>
      </w:r>
      <w:r>
        <w:rPr>
          <w:rStyle w:val="OperatorTok"/>
        </w:rPr>
        <w:t xml:space="preserve">-</w:t>
      </w:r>
      <w:r>
        <w:rPr>
          <w:rStyle w:val="NormalTok"/>
        </w:rPr>
        <w:t xml:space="preserve">Path </w:t>
      </w:r>
      <w:r>
        <w:rPr>
          <w:rStyle w:val="VariableTok"/>
        </w:rPr>
        <w:t xml:space="preserve">$BaselinePath</w:t>
      </w:r>
      <w:r>
        <w:rPr>
          <w:rStyle w:val="NormalTok"/>
        </w:rPr>
        <w:t xml:space="preserve"> </w:t>
      </w:r>
      <w:r>
        <w:rPr>
          <w:rStyle w:val="OperatorTok"/>
        </w:rPr>
        <w:t xml:space="preserve">-</w:t>
      </w:r>
      <w:r>
        <w:rPr>
          <w:rStyle w:val="NormalTok"/>
        </w:rPr>
        <w:t xml:space="preserve">Force </w:t>
      </w:r>
      <w:r>
        <w:rPr>
          <w:rStyle w:val="OperatorTok"/>
        </w:rPr>
        <w:t xml:space="preserve">|</w:t>
      </w:r>
      <w:r>
        <w:rPr>
          <w:rStyle w:val="NormalTok"/>
        </w:rPr>
        <w:t xml:space="preserve"> </w:t>
      </w:r>
      <w:r>
        <w:rPr>
          <w:rStyle w:val="FunctionTok"/>
        </w:rPr>
        <w:t xml:space="preserve">Out-Null</w:t>
      </w:r>
      <w:r>
        <w:rPr>
          <w:rStyle w:val="NormalTok"/>
        </w:rPr>
        <w:t xml:space="preserve"> </w:t>
      </w:r>
      <w:r>
        <w:rPr>
          <w:rStyle w:val="OperatorTok"/>
        </w:rPr>
        <w:t xml:space="preserve">}</w:t>
      </w:r>
      <w:r>
        <w:br/>
      </w:r>
      <w:r>
        <w:rPr>
          <w:rStyle w:val="NormalTok"/>
        </w:rPr>
        <w:t xml:space="preserve">    </w:t>
      </w:r>
      <w:r>
        <w:rPr>
          <w:rStyle w:val="FunctionTok"/>
        </w:rPr>
        <w:t xml:space="preserve">Write-Host</w:t>
      </w:r>
      <w:r>
        <w:rPr>
          <w:rStyle w:val="NormalTok"/>
        </w:rPr>
        <w:t xml:space="preserve"> </w:t>
      </w:r>
      <w:r>
        <w:rPr>
          <w:rStyle w:val="StringTok"/>
        </w:rPr>
        <w:t xml:space="preserve">"=== Federal Modernization Program identity baseline export ==="</w:t>
      </w:r>
      <w:r>
        <w:rPr>
          <w:rStyle w:val="NormalTok"/>
        </w:rPr>
        <w:t xml:space="preserve"> </w:t>
      </w:r>
      <w:r>
        <w:rPr>
          <w:rStyle w:val="OperatorTok"/>
        </w:rPr>
        <w:t xml:space="preserve">-</w:t>
      </w:r>
      <w:r>
        <w:rPr>
          <w:rStyle w:val="NormalTok"/>
        </w:rPr>
        <w:t xml:space="preserve">ForegroundColor Cyan</w:t>
      </w:r>
      <w:r>
        <w:br/>
      </w:r>
      <w:r>
        <w:rPr>
          <w:rStyle w:val="NormalTok"/>
        </w:rPr>
        <w:t xml:space="preserve">    </w:t>
      </w:r>
      <w:r>
        <w:rPr>
          <w:rStyle w:val="FunctionTok"/>
        </w:rPr>
        <w:t xml:space="preserve">Write-Host</w:t>
      </w:r>
      <w:r>
        <w:rPr>
          <w:rStyle w:val="NormalTok"/>
        </w:rPr>
        <w:t xml:space="preserve"> </w:t>
      </w:r>
      <w:r>
        <w:rPr>
          <w:rStyle w:val="StringTok"/>
        </w:rPr>
        <w:t xml:space="preserve">"Output directory: </w:t>
      </w:r>
      <w:r>
        <w:rPr>
          <w:rStyle w:val="VariableTok"/>
        </w:rPr>
        <w:t xml:space="preserve">$BaselinePath</w:t>
      </w:r>
      <w:r>
        <w:rPr>
          <w:rStyle w:val="StringTok"/>
        </w:rPr>
        <w:t xml:space="preserve">"</w:t>
      </w:r>
      <w:r>
        <w:rPr>
          <w:rStyle w:val="NormalTok"/>
        </w:rPr>
        <w:t xml:space="preserve"> </w:t>
      </w:r>
      <w:r>
        <w:rPr>
          <w:rStyle w:val="OperatorTok"/>
        </w:rPr>
        <w:t xml:space="preserve">-</w:t>
      </w:r>
      <w:r>
        <w:rPr>
          <w:rStyle w:val="NormalTok"/>
        </w:rPr>
        <w:t xml:space="preserve">ForegroundColor Cyan</w:t>
      </w:r>
      <w:r>
        <w:br/>
      </w:r>
      <w:r>
        <w:br/>
      </w:r>
      <w:r>
        <w:rPr>
          <w:rStyle w:val="NormalTok"/>
        </w:rPr>
        <w:t xml:space="preserve">    </w:t>
      </w:r>
      <w:r>
        <w:rPr>
          <w:rStyle w:val="VariableTok"/>
        </w:rPr>
        <w:t xml:space="preserve">$users</w:t>
      </w:r>
      <w:r>
        <w:rPr>
          <w:rStyle w:val="NormalTok"/>
        </w:rPr>
        <w:t xml:space="preserve">  </w:t>
      </w:r>
      <w:r>
        <w:rPr>
          <w:rStyle w:val="OperatorTok"/>
        </w:rPr>
        <w:t xml:space="preserve">=</w:t>
      </w:r>
      <w:r>
        <w:rPr>
          <w:rStyle w:val="NormalTok"/>
        </w:rPr>
        <w:t xml:space="preserve"> Get-FMPUserInventory </w:t>
      </w:r>
      <w:r>
        <w:rPr>
          <w:rStyle w:val="OperatorTok"/>
        </w:rPr>
        <w:t xml:space="preserve">-</w:t>
      </w:r>
      <w:r>
        <w:rPr>
          <w:rStyle w:val="NormalTok"/>
        </w:rPr>
        <w:t xml:space="preserve">SearchBase </w:t>
      </w:r>
      <w:r>
        <w:rPr>
          <w:rStyle w:val="VariableTok"/>
        </w:rPr>
        <w:t xml:space="preserve">$SearchBase</w:t>
      </w:r>
      <w:r>
        <w:rPr>
          <w:rStyle w:val="NormalTok"/>
        </w:rPr>
        <w:t xml:space="preserve"> </w:t>
      </w:r>
      <w:r>
        <w:rPr>
          <w:rStyle w:val="OperatorTok"/>
        </w:rPr>
        <w:t xml:space="preserve">-</w:t>
      </w:r>
      <w:r>
        <w:rPr>
          <w:rStyle w:val="NormalTok"/>
        </w:rPr>
        <w:t xml:space="preserve">ExportPath </w:t>
      </w:r>
      <w:r>
        <w:rPr>
          <w:rStyle w:val="StringTok"/>
        </w:rPr>
        <w:t xml:space="preserve">"</w:t>
      </w:r>
      <w:r>
        <w:rPr>
          <w:rStyle w:val="VariableTok"/>
        </w:rPr>
        <w:t xml:space="preserve">$BaselinePath</w:t>
      </w:r>
      <w:r>
        <w:rPr>
          <w:rStyle w:val="StringTok"/>
        </w:rPr>
        <w:t xml:space="preserve">\users.json"</w:t>
      </w:r>
      <w:r>
        <w:rPr>
          <w:rStyle w:val="NormalTok"/>
        </w:rPr>
        <w:t xml:space="preserve"> </w:t>
      </w:r>
      <w:r>
        <w:rPr>
          <w:rStyle w:val="OperatorTok"/>
        </w:rPr>
        <w:t xml:space="preserve">-</w:t>
      </w:r>
      <w:r>
        <w:rPr>
          <w:rStyle w:val="NormalTok"/>
        </w:rPr>
        <w:t xml:space="preserve">VerifiedDomain </w:t>
      </w:r>
      <w:r>
        <w:rPr>
          <w:rStyle w:val="VariableTok"/>
        </w:rPr>
        <w:t xml:space="preserve">$VerifiedDomain</w:t>
      </w:r>
      <w:r>
        <w:br/>
      </w:r>
      <w:r>
        <w:rPr>
          <w:rStyle w:val="NormalTok"/>
        </w:rPr>
        <w:t xml:space="preserve">    </w:t>
      </w:r>
      <w:r>
        <w:rPr>
          <w:rStyle w:val="VariableTok"/>
        </w:rPr>
        <w:t xml:space="preserve">$groups</w:t>
      </w:r>
      <w:r>
        <w:rPr>
          <w:rStyle w:val="NormalTok"/>
        </w:rPr>
        <w:t xml:space="preserve"> </w:t>
      </w:r>
      <w:r>
        <w:rPr>
          <w:rStyle w:val="OperatorTok"/>
        </w:rPr>
        <w:t xml:space="preserve">=</w:t>
      </w:r>
      <w:r>
        <w:rPr>
          <w:rStyle w:val="NormalTok"/>
        </w:rPr>
        <w:t xml:space="preserve"> Get-FMPGroupInventory </w:t>
      </w:r>
      <w:r>
        <w:rPr>
          <w:rStyle w:val="OperatorTok"/>
        </w:rPr>
        <w:t xml:space="preserve">-</w:t>
      </w:r>
      <w:r>
        <w:rPr>
          <w:rStyle w:val="NormalTok"/>
        </w:rPr>
        <w:t xml:space="preserve">SearchBase </w:t>
      </w:r>
      <w:r>
        <w:rPr>
          <w:rStyle w:val="VariableTok"/>
        </w:rPr>
        <w:t xml:space="preserve">$SearchBase</w:t>
      </w:r>
      <w:r>
        <w:rPr>
          <w:rStyle w:val="NormalTok"/>
        </w:rPr>
        <w:t xml:space="preserve"> </w:t>
      </w:r>
      <w:r>
        <w:rPr>
          <w:rStyle w:val="OperatorTok"/>
        </w:rPr>
        <w:t xml:space="preserve">-</w:t>
      </w:r>
      <w:r>
        <w:rPr>
          <w:rStyle w:val="NormalTok"/>
        </w:rPr>
        <w:t xml:space="preserve">ExportPath </w:t>
      </w:r>
      <w:r>
        <w:rPr>
          <w:rStyle w:val="StringTok"/>
        </w:rPr>
        <w:t xml:space="preserve">"</w:t>
      </w:r>
      <w:r>
        <w:rPr>
          <w:rStyle w:val="VariableTok"/>
        </w:rPr>
        <w:t xml:space="preserve">$BaselinePath</w:t>
      </w:r>
      <w:r>
        <w:rPr>
          <w:rStyle w:val="StringTok"/>
        </w:rPr>
        <w:t xml:space="preserve">\groups.json"</w:t>
      </w:r>
      <w:r>
        <w:br/>
      </w:r>
      <w:r>
        <w:rPr>
          <w:rStyle w:val="NormalTok"/>
        </w:rPr>
        <w:t xml:space="preserve">    </w:t>
      </w:r>
      <w:r>
        <w:rPr>
          <w:rStyle w:val="VariableTok"/>
        </w:rPr>
        <w:t xml:space="preserve">$svc</w:t>
      </w:r>
      <w:r>
        <w:rPr>
          <w:rStyle w:val="NormalTok"/>
        </w:rPr>
        <w:t xml:space="preserve">    </w:t>
      </w:r>
      <w:r>
        <w:rPr>
          <w:rStyle w:val="OperatorTok"/>
        </w:rPr>
        <w:t xml:space="preserve">=</w:t>
      </w:r>
      <w:r>
        <w:rPr>
          <w:rStyle w:val="NormalTok"/>
        </w:rPr>
        <w:t xml:space="preserve"> Get-FMPServiceAccountInventory </w:t>
      </w:r>
      <w:r>
        <w:rPr>
          <w:rStyle w:val="OperatorTok"/>
        </w:rPr>
        <w:t xml:space="preserve">-</w:t>
      </w:r>
      <w:r>
        <w:rPr>
          <w:rStyle w:val="NormalTok"/>
        </w:rPr>
        <w:t xml:space="preserve">SearchBase </w:t>
      </w:r>
      <w:r>
        <w:rPr>
          <w:rStyle w:val="VariableTok"/>
        </w:rPr>
        <w:t xml:space="preserve">$SearchBase</w:t>
      </w:r>
      <w:r>
        <w:rPr>
          <w:rStyle w:val="NormalTok"/>
        </w:rPr>
        <w:t xml:space="preserve"> </w:t>
      </w:r>
      <w:r>
        <w:rPr>
          <w:rStyle w:val="OperatorTok"/>
        </w:rPr>
        <w:t xml:space="preserve">-</w:t>
      </w:r>
      <w:r>
        <w:rPr>
          <w:rStyle w:val="NormalTok"/>
        </w:rPr>
        <w:t xml:space="preserve">ExportPath </w:t>
      </w:r>
      <w:r>
        <w:rPr>
          <w:rStyle w:val="StringTok"/>
        </w:rPr>
        <w:t xml:space="preserve">"</w:t>
      </w:r>
      <w:r>
        <w:rPr>
          <w:rStyle w:val="VariableTok"/>
        </w:rPr>
        <w:t xml:space="preserve">$BaselinePath</w:t>
      </w:r>
      <w:r>
        <w:rPr>
          <w:rStyle w:val="StringTok"/>
        </w:rPr>
        <w:t xml:space="preserve">\service_accounts.json"</w:t>
      </w:r>
      <w:r>
        <w:br/>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GeneratedAt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ToUniversalTime</w:t>
      </w:r>
      <w:r>
        <w:rPr>
          <w:rStyle w:val="OperatorTok"/>
        </w:rPr>
        <w:t xml:space="preserve">().</w:t>
      </w:r>
      <w:r>
        <w:rPr>
          <w:rStyle w:val="FunctionTok"/>
        </w:rPr>
        <w:t xml:space="preserve">ToString</w:t>
      </w:r>
      <w:r>
        <w:rPr>
          <w:rStyle w:val="OperatorTok"/>
        </w:rPr>
        <w:t xml:space="preserve">(</w:t>
      </w:r>
      <w:r>
        <w:rPr>
          <w:rStyle w:val="StringTok"/>
        </w:rPr>
        <w:t xml:space="preserve">'o'</w:t>
      </w:r>
      <w:r>
        <w:rPr>
          <w:rStyle w:val="OperatorTok"/>
        </w:rPr>
        <w:t xml:space="preserve">)</w:t>
      </w:r>
      <w:r>
        <w:br/>
      </w:r>
      <w:r>
        <w:rPr>
          <w:rStyle w:val="NormalTok"/>
        </w:rPr>
        <w:t xml:space="preserve">        SearchBase          </w:t>
      </w:r>
      <w:r>
        <w:rPr>
          <w:rStyle w:val="OperatorTok"/>
        </w:rPr>
        <w:t xml:space="preserve">=</w:t>
      </w:r>
      <w:r>
        <w:rPr>
          <w:rStyle w:val="NormalTok"/>
        </w:rPr>
        <w:t xml:space="preserve"> </w:t>
      </w:r>
      <w:r>
        <w:rPr>
          <w:rStyle w:val="VariableTok"/>
        </w:rPr>
        <w:t xml:space="preserve">$SearchBase</w:t>
      </w:r>
      <w:r>
        <w:br/>
      </w:r>
      <w:r>
        <w:rPr>
          <w:rStyle w:val="NormalTok"/>
        </w:rPr>
        <w:t xml:space="preserve">        Domain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DNSRoot</w:t>
      </w:r>
      <w:r>
        <w:br/>
      </w:r>
      <w:r>
        <w:rPr>
          <w:rStyle w:val="NormalTok"/>
        </w:rPr>
        <w:t xml:space="preserve">        Forest              </w:t>
      </w:r>
      <w:r>
        <w:rPr>
          <w:rStyle w:val="OperatorTok"/>
        </w:rPr>
        <w:t xml:space="preserve">=</w:t>
      </w:r>
      <w:r>
        <w:rPr>
          <w:rStyle w:val="NormalTok"/>
        </w:rPr>
        <w:t xml:space="preserve"> </w:t>
      </w:r>
      <w:r>
        <w:rPr>
          <w:rStyle w:val="OperatorTok"/>
        </w:rPr>
        <w:t xml:space="preserve">(</w:t>
      </w:r>
      <w:r>
        <w:rPr>
          <w:rStyle w:val="FunctionTok"/>
        </w:rPr>
        <w:t xml:space="preserve">Get-ADForest</w:t>
      </w:r>
      <w:r>
        <w:rPr>
          <w:rStyle w:val="OperatorTok"/>
        </w:rPr>
        <w:t xml:space="preserve">).</w:t>
      </w:r>
      <w:r>
        <w:rPr>
          <w:rStyle w:val="FunctionTok"/>
        </w:rPr>
        <w:t xml:space="preserve">Name</w:t>
      </w:r>
      <w:r>
        <w:br/>
      </w:r>
      <w:r>
        <w:rPr>
          <w:rStyle w:val="NormalTok"/>
        </w:rPr>
        <w:t xml:space="preserve">        UserCount           </w:t>
      </w:r>
      <w:r>
        <w:rPr>
          <w:rStyle w:val="OperatorTok"/>
        </w:rPr>
        <w:t xml:space="preserve">=</w:t>
      </w:r>
      <w:r>
        <w:rPr>
          <w:rStyle w:val="NormalTok"/>
        </w:rPr>
        <w:t xml:space="preserve"> </w:t>
      </w:r>
      <w:r>
        <w:rPr>
          <w:rStyle w:val="OperatorTok"/>
        </w:rPr>
        <w:t xml:space="preserve">@(</w:t>
      </w:r>
      <w:r>
        <w:rPr>
          <w:rStyle w:val="VariableTok"/>
        </w:rPr>
        <w:t xml:space="preserve">$users</w:t>
      </w:r>
      <w:r>
        <w:rPr>
          <w:rStyle w:val="OperatorTok"/>
        </w:rPr>
        <w:t xml:space="preserve">).</w:t>
      </w:r>
      <w:r>
        <w:rPr>
          <w:rStyle w:val="FunctionTok"/>
        </w:rPr>
        <w:t xml:space="preserve">Count</w:t>
      </w:r>
      <w:r>
        <w:br/>
      </w:r>
      <w:r>
        <w:rPr>
          <w:rStyle w:val="NormalTok"/>
        </w:rPr>
        <w:t xml:space="preserve">        GroupCount          </w:t>
      </w:r>
      <w:r>
        <w:rPr>
          <w:rStyle w:val="OperatorTok"/>
        </w:rPr>
        <w:t xml:space="preserve">=</w:t>
      </w:r>
      <w:r>
        <w:rPr>
          <w:rStyle w:val="NormalTok"/>
        </w:rPr>
        <w:t xml:space="preserve"> </w:t>
      </w:r>
      <w:r>
        <w:rPr>
          <w:rStyle w:val="OperatorTok"/>
        </w:rPr>
        <w:t xml:space="preserve">@(</w:t>
      </w:r>
      <w:r>
        <w:rPr>
          <w:rStyle w:val="VariableTok"/>
        </w:rPr>
        <w:t xml:space="preserve">$groups</w:t>
      </w:r>
      <w:r>
        <w:rPr>
          <w:rStyle w:val="OperatorTok"/>
        </w:rPr>
        <w:t xml:space="preserve">).</w:t>
      </w:r>
      <w:r>
        <w:rPr>
          <w:rStyle w:val="FunctionTok"/>
        </w:rPr>
        <w:t xml:space="preserve">Count</w:t>
      </w:r>
      <w:r>
        <w:br/>
      </w:r>
      <w:r>
        <w:rPr>
          <w:rStyle w:val="NormalTok"/>
        </w:rPr>
        <w:t xml:space="preserve">        ServiceAccountCount </w:t>
      </w:r>
      <w:r>
        <w:rPr>
          <w:rStyle w:val="OperatorTok"/>
        </w:rPr>
        <w:t xml:space="preserve">=</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Count</w:t>
      </w:r>
      <w:r>
        <w:br/>
      </w:r>
      <w:r>
        <w:rPr>
          <w:rStyle w:val="NormalTok"/>
        </w:rPr>
        <w:t xml:space="preserve">        ModuleVersion       </w:t>
      </w:r>
      <w:r>
        <w:rPr>
          <w:rStyle w:val="OperatorTok"/>
        </w:rPr>
        <w:t xml:space="preserve">=</w:t>
      </w:r>
      <w:r>
        <w:rPr>
          <w:rStyle w:val="NormalTok"/>
        </w:rPr>
        <w:t xml:space="preserve"> </w:t>
      </w:r>
      <w:r>
        <w:rPr>
          <w:rStyle w:val="StringTok"/>
        </w:rPr>
        <w:t xml:space="preserve">'1.1.0'</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 </w:t>
      </w:r>
      <w:r>
        <w:rPr>
          <w:rStyle w:val="FunctionTok"/>
        </w:rPr>
        <w:t xml:space="preserve">Out-File</w:t>
      </w:r>
      <w:r>
        <w:rPr>
          <w:rStyle w:val="NormalTok"/>
        </w:rPr>
        <w:t xml:space="preserve"> </w:t>
      </w:r>
      <w:r>
        <w:rPr>
          <w:rStyle w:val="OperatorTok"/>
        </w:rPr>
        <w:t xml:space="preserve">-</w:t>
      </w:r>
      <w:r>
        <w:rPr>
          <w:rStyle w:val="NormalTok"/>
        </w:rPr>
        <w:t xml:space="preserve">FilePath </w:t>
      </w:r>
      <w:r>
        <w:rPr>
          <w:rStyle w:val="StringTok"/>
        </w:rPr>
        <w:t xml:space="preserve">"</w:t>
      </w:r>
      <w:r>
        <w:rPr>
          <w:rStyle w:val="VariableTok"/>
        </w:rPr>
        <w:t xml:space="preserve">$BaselinePath</w:t>
      </w:r>
      <w:r>
        <w:rPr>
          <w:rStyle w:val="StringTok"/>
        </w:rPr>
        <w:t xml:space="preserve">\metadata.json"</w:t>
      </w:r>
      <w:r>
        <w:rPr>
          <w:rStyle w:val="NormalTok"/>
        </w:rPr>
        <w:t xml:space="preserve"> </w:t>
      </w:r>
      <w:r>
        <w:rPr>
          <w:rStyle w:val="OperatorTok"/>
        </w:rPr>
        <w:t xml:space="preserve">-</w:t>
      </w:r>
      <w:r>
        <w:rPr>
          <w:rStyle w:val="NormalTok"/>
        </w:rPr>
        <w:t xml:space="preserve">Encoding UTF8</w:t>
      </w:r>
      <w:r>
        <w:br/>
      </w:r>
      <w:r>
        <w:br/>
      </w:r>
      <w:r>
        <w:rPr>
          <w:rStyle w:val="NormalTok"/>
        </w:rPr>
        <w:t xml:space="preserve">    </w:t>
      </w:r>
      <w:r>
        <w:rPr>
          <w:rStyle w:val="FunctionTok"/>
        </w:rPr>
        <w:t xml:space="preserve">Write-Host</w:t>
      </w:r>
      <w:r>
        <w:rPr>
          <w:rStyle w:val="NormalTok"/>
        </w:rPr>
        <w:t xml:space="preserve"> </w:t>
      </w:r>
      <w:r>
        <w:rPr>
          <w:rStyle w:val="StringTok"/>
        </w:rPr>
        <w:t xml:space="preserve">"</w:t>
      </w:r>
      <w:r>
        <w:rPr>
          <w:rStyle w:val="CharTok"/>
        </w:rPr>
        <w:t xml:space="preserve">`n</w:t>
      </w:r>
      <w:r>
        <w:rPr>
          <w:rStyle w:val="StringTok"/>
        </w:rPr>
        <w:t xml:space="preserve">=== Baseline export complete: </w:t>
      </w:r>
      <w:r>
        <w:rPr>
          <w:rStyle w:val="VariableTok"/>
        </w:rPr>
        <w:t xml:space="preserve">$BaselinePath</w:t>
      </w:r>
      <w:r>
        <w:rPr>
          <w:rStyle w:val="StringTok"/>
        </w:rPr>
        <w:t xml:space="preserve"> ==="</w:t>
      </w:r>
      <w:r>
        <w:rPr>
          <w:rStyle w:val="NormalTok"/>
        </w:rPr>
        <w:t xml:space="preserve"> </w:t>
      </w:r>
      <w:r>
        <w:rPr>
          <w:rStyle w:val="OperatorTok"/>
        </w:rPr>
        <w:t xml:space="preserve">-</w:t>
      </w:r>
      <w:r>
        <w:rPr>
          <w:rStyle w:val="NormalTok"/>
        </w:rPr>
        <w:t xml:space="preserve">ForegroundColor Green</w:t>
      </w:r>
      <w:r>
        <w:br/>
      </w:r>
      <w:r>
        <w:rPr>
          <w:rStyle w:val="OperatorTok"/>
        </w:rPr>
        <w:t xml:space="preserve">}</w:t>
      </w:r>
    </w:p>
    <w:bookmarkEnd w:id="1353"/>
    <w:bookmarkStart w:id="1356" w:name="drift-issues-in-the-git-host"/>
    <w:p>
      <w:pPr>
        <w:pStyle w:val="Heading4"/>
      </w:pPr>
      <w:r>
        <w:t xml:space="preserve">Drift issues in the Git host</w:t>
      </w:r>
    </w:p>
    <w:p>
      <w:pPr>
        <w:pStyle w:val="FirstParagraph"/>
      </w:pPr>
      <w:r>
        <w:t xml:space="preserve">These two functions open a drift issue through the Gitea REST API: a token in an</w:t>
      </w:r>
      <w:r>
        <w:t xml:space="preserve"> </w:t>
      </w:r>
      <w:r>
        <w:rPr>
          <w:rStyle w:val="VerbatimChar"/>
        </w:rPr>
        <w:t xml:space="preserve">Authorization: token &lt;value&gt;</w:t>
      </w:r>
      <w:r>
        <w:t xml:space="preserve"> </w:t>
      </w:r>
      <w:r>
        <w:t xml:space="preserve">header, endpoints under</w:t>
      </w:r>
      <w:r>
        <w:t xml:space="preserve"> </w:t>
      </w:r>
      <w:r>
        <w:rPr>
          <w:rStyle w:val="VerbatimChar"/>
        </w:rPr>
        <w:t xml:space="preserve">/api/v1/</w:t>
      </w:r>
      <w:r>
        <w:t xml:space="preserve">, and label IDs as integers on the new issue.</w:t>
      </w:r>
      <w:r>
        <w:rPr>
          <w:rStyle w:val="FootnoteReference"/>
        </w:rPr>
        <w:footnoteReference w:id="1354"/>
      </w:r>
      <w:r>
        <w:rPr>
          <w:rStyle w:val="FootnoteReference"/>
        </w:rPr>
        <w:footnoteReference w:id="1355"/>
      </w:r>
      <w:r>
        <w:t xml:space="preserve"> </w:t>
      </w:r>
      <w:r>
        <w:t xml:space="preserve">The Markdown code fence inside the issue body is built from a variable so that the body doesn’t depend on PowerShell’s backtick escaping.</w:t>
      </w:r>
    </w:p>
    <w:p>
      <w:pPr>
        <w:pStyle w:val="SourceCode"/>
      </w:pPr>
      <w:r>
        <w:rPr>
          <w:rStyle w:val="KeywordTok"/>
        </w:rPr>
        <w:t xml:space="preserve">function</w:t>
      </w:r>
      <w:r>
        <w:rPr>
          <w:rStyle w:val="NormalTok"/>
        </w:rPr>
        <w:t xml:space="preserve"> Get-FMPGiteaLabelId </w:t>
      </w:r>
      <w:r>
        <w:rPr>
          <w:rStyle w:val="OperatorTok"/>
        </w:rPr>
        <w:t xml:space="preserve">{</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$Name</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$GiteaBaseUrl</w:t>
      </w:r>
      <w:r>
        <w:rPr>
          <w:rStyle w:val="NormalTok"/>
        </w:rPr>
        <w:t xml:space="preserve"> </w:t>
      </w:r>
      <w:r>
        <w:rPr>
          <w:rStyle w:val="OperatorTok"/>
        </w:rPr>
        <w:t xml:space="preserve">=</w:t>
      </w:r>
      <w:r>
        <w:rPr>
          <w:rStyle w:val="NormalTok"/>
        </w:rPr>
        <w:t xml:space="preserve"> </w:t>
      </w:r>
      <w:r>
        <w:rPr>
          <w:rStyle w:val="VariableTok"/>
        </w:rPr>
        <w:t xml:space="preserve">$env</w:t>
      </w:r>
      <w:r>
        <w:rPr>
          <w:rStyle w:val="OperatorTok"/>
        </w:rPr>
        <w:t xml:space="preserve">:</w:t>
      </w:r>
      <w:r>
        <w:rPr>
          <w:rStyle w:val="VariableTok"/>
        </w:rPr>
        <w:t xml:space="preserve">FMP_GITEA_URL</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$RepoOwner</w:t>
      </w:r>
      <w:r>
        <w:rPr>
          <w:rStyle w:val="NormalTok"/>
        </w:rPr>
        <w:t xml:space="preserve">    </w:t>
      </w:r>
      <w:r>
        <w:rPr>
          <w:rStyle w:val="OperatorTok"/>
        </w:rPr>
        <w:t xml:space="preserve">=</w:t>
      </w:r>
      <w:r>
        <w:rPr>
          <w:rStyle w:val="NormalTok"/>
        </w:rPr>
        <w:t xml:space="preserve"> </w:t>
      </w:r>
      <w:r>
        <w:rPr>
          <w:rStyle w:val="VariableTok"/>
        </w:rPr>
        <w:t xml:space="preserve">$env</w:t>
      </w:r>
      <w:r>
        <w:rPr>
          <w:rStyle w:val="OperatorTok"/>
        </w:rPr>
        <w:t xml:space="preserve">:</w:t>
      </w:r>
      <w:r>
        <w:rPr>
          <w:rStyle w:val="VariableTok"/>
        </w:rPr>
        <w:t xml:space="preserve">FMP_GITEA_OWNER</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$RepoName</w:t>
      </w:r>
      <w:r>
        <w:rPr>
          <w:rStyle w:val="NormalTok"/>
        </w:rPr>
        <w:t xml:space="preserve">     </w:t>
      </w:r>
      <w:r>
        <w:rPr>
          <w:rStyle w:val="OperatorTok"/>
        </w:rPr>
        <w:t xml:space="preserve">=</w:t>
      </w:r>
      <w:r>
        <w:rPr>
          <w:rStyle w:val="NormalTok"/>
        </w:rPr>
        <w:t xml:space="preserve"> </w:t>
      </w:r>
      <w:r>
        <w:rPr>
          <w:rStyle w:val="StringTok"/>
        </w:rPr>
        <w:t xml:space="preserve">'fmp-identity-baseline'</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$ApiToken</w:t>
      </w:r>
      <w:r>
        <w:rPr>
          <w:rStyle w:val="NormalTok"/>
        </w:rPr>
        <w:t xml:space="preserve">     </w:t>
      </w:r>
      <w:r>
        <w:rPr>
          <w:rStyle w:val="OperatorTok"/>
        </w:rPr>
        <w:t xml:space="preserve">=</w:t>
      </w:r>
      <w:r>
        <w:rPr>
          <w:rStyle w:val="NormalTok"/>
        </w:rPr>
        <w:t xml:space="preserve"> </w:t>
      </w:r>
      <w:r>
        <w:rPr>
          <w:rStyle w:val="VariableTok"/>
        </w:rPr>
        <w:t xml:space="preserve">$env</w:t>
      </w:r>
      <w:r>
        <w:rPr>
          <w:rStyle w:val="OperatorTok"/>
        </w:rPr>
        <w:t xml:space="preserve">:</w:t>
      </w:r>
      <w:r>
        <w:rPr>
          <w:rStyle w:val="VariableTok"/>
        </w:rPr>
        <w:t xml:space="preserve">FMP_GITEA_TOKEN</w:t>
      </w:r>
      <w:r>
        <w:br/>
      </w:r>
      <w:r>
        <w:rPr>
          <w:rStyle w:val="NormalTok"/>
        </w:rPr>
        <w:t xml:space="preserve">    </w:t>
      </w:r>
      <w:r>
        <w:rPr>
          <w:rStyle w:val="OperatorTok"/>
        </w:rPr>
        <w:t xml:space="preserve">)</w:t>
      </w:r>
      <w:r>
        <w:br/>
      </w:r>
      <w:r>
        <w:rPr>
          <w:rStyle w:val="NormalTok"/>
        </w:rPr>
        <w:t xml:space="preserve">    </w:t>
      </w:r>
      <w:r>
        <w:rPr>
          <w:rStyle w:val="VariableTok"/>
        </w:rPr>
        <w:t xml:space="preserve">$headers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Authorization </w:t>
      </w:r>
      <w:r>
        <w:rPr>
          <w:rStyle w:val="OperatorTok"/>
        </w:rPr>
        <w:t xml:space="preserve">=</w:t>
      </w:r>
      <w:r>
        <w:rPr>
          <w:rStyle w:val="NormalTok"/>
        </w:rPr>
        <w:t xml:space="preserve"> </w:t>
      </w:r>
      <w:r>
        <w:rPr>
          <w:rStyle w:val="StringTok"/>
        </w:rPr>
        <w:t xml:space="preserve">"token </w:t>
      </w:r>
      <w:r>
        <w:rPr>
          <w:rStyle w:val="VariableTok"/>
        </w:rPr>
        <w:t xml:space="preserve">$ApiToken</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$labels</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StringTok"/>
        </w:rPr>
        <w:t xml:space="preserve">"</w:t>
      </w:r>
      <w:r>
        <w:rPr>
          <w:rStyle w:val="VariableTok"/>
        </w:rPr>
        <w:t xml:space="preserve">$GiteaBaseUrl</w:t>
      </w:r>
      <w:r>
        <w:rPr>
          <w:rStyle w:val="StringTok"/>
        </w:rPr>
        <w:t xml:space="preserve">/api/v1/repos/</w:t>
      </w:r>
      <w:r>
        <w:rPr>
          <w:rStyle w:val="VariableTok"/>
        </w:rPr>
        <w:t xml:space="preserve">$RepoOwner</w:t>
      </w:r>
      <w:r>
        <w:rPr>
          <w:rStyle w:val="StringTok"/>
        </w:rPr>
        <w:t xml:space="preserve">/</w:t>
      </w:r>
      <w:r>
        <w:rPr>
          <w:rStyle w:val="VariableTok"/>
        </w:rPr>
        <w:t xml:space="preserve">$RepoName</w:t>
      </w:r>
      <w:r>
        <w:rPr>
          <w:rStyle w:val="StringTok"/>
        </w:rPr>
        <w:t xml:space="preserve">/labels"</w:t>
      </w:r>
      <w:r>
        <w:rPr>
          <w:rStyle w:val="NormalTok"/>
        </w:rPr>
        <w:t xml:space="preserve">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Method Get</w:t>
      </w:r>
      <w:r>
        <w:br/>
      </w:r>
      <w:r>
        <w:rPr>
          <w:rStyle w:val="NormalTok"/>
        </w:rPr>
        <w:t xml:space="preserve">    </w:t>
      </w:r>
      <w:r>
        <w:rPr>
          <w:rStyle w:val="OperatorTok"/>
        </w:rPr>
        <w:t xml:space="preserve">(</w:t>
      </w:r>
      <w:r>
        <w:rPr>
          <w:rStyle w:val="VariableTok"/>
        </w:rPr>
        <w:t xml:space="preserve">$labels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name </w:t>
      </w:r>
      <w:r>
        <w:rPr>
          <w:rStyle w:val="OperatorTok"/>
        </w:rPr>
        <w:t xml:space="preserve">-eq</w:t>
      </w:r>
      <w:r>
        <w:rPr>
          <w:rStyle w:val="NormalTok"/>
        </w:rPr>
        <w:t xml:space="preserve"> </w:t>
      </w:r>
      <w:r>
        <w:rPr>
          <w:rStyle w:val="VariableTok"/>
        </w:rPr>
        <w:t xml:space="preserve">$Name</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First </w:t>
      </w:r>
      <w:r>
        <w:rPr>
          <w:rStyle w:val="DecValTok"/>
        </w:rPr>
        <w:t xml:space="preserve">1</w:t>
      </w:r>
      <w:r>
        <w:rPr>
          <w:rStyle w:val="OperatorTok"/>
        </w:rPr>
        <w:t xml:space="preserve">).</w:t>
      </w:r>
      <w:r>
        <w:rPr>
          <w:rStyle w:val="FunctionTok"/>
        </w:rPr>
        <w:t xml:space="preserve">id</w:t>
      </w:r>
      <w:r>
        <w:br/>
      </w:r>
      <w:r>
        <w:rPr>
          <w:rStyle w:val="OperatorTok"/>
        </w:rPr>
        <w:t xml:space="preserve">}</w:t>
      </w:r>
      <w:r>
        <w:br/>
      </w:r>
      <w:r>
        <w:br/>
      </w:r>
      <w:r>
        <w:rPr>
          <w:rStyle w:val="KeywordTok"/>
        </w:rPr>
        <w:t xml:space="preserve">function</w:t>
      </w:r>
      <w:r>
        <w:rPr>
          <w:rStyle w:val="NormalTok"/>
        </w:rPr>
        <w:t xml:space="preserve"> New-FMPGiteaDriftIssue </w:t>
      </w:r>
      <w:r>
        <w:rPr>
          <w:rStyle w:val="OperatorTok"/>
        </w:rPr>
        <w:t xml:space="preserve">{</w:t>
      </w:r>
      <w:r>
        <w:br/>
      </w:r>
      <w:r>
        <w:rPr>
          <w:rStyle w:val="NormalTok"/>
        </w:rPr>
        <w:t xml:space="preserve">    </w:t>
      </w:r>
      <w:r>
        <w:rPr>
          <w:rStyle w:val="OperatorTok"/>
        </w:rPr>
        <w:t xml:space="preserve">[</w:t>
      </w:r>
      <w:r>
        <w:rPr>
          <w:rStyle w:val="NormalTok"/>
        </w:rPr>
        <w:t xml:space="preserve">CmdletBinding</w:t>
      </w:r>
      <w:r>
        <w:rPr>
          <w:rStyle w:val="OperatorTok"/>
        </w:rPr>
        <w:t xml:space="preserve">(</w:t>
      </w:r>
      <w:r>
        <w:rPr>
          <w:rStyle w:val="NormalTok"/>
        </w:rPr>
        <w:t xml:space="preserve">SupportsShouldProcess</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$DriftSummary</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NormalTok"/>
        </w:rPr>
        <w:t xml:space="preserve">ValidateSet</w:t>
      </w:r>
      <w:r>
        <w:rPr>
          <w:rStyle w:val="OperatorTok"/>
        </w:rPr>
        <w:t xml:space="preserve">(</w:t>
      </w:r>
      <w:r>
        <w:rPr>
          <w:rStyle w:val="StringTok"/>
        </w:rPr>
        <w:t xml:space="preserve">'Low'</w:t>
      </w:r>
      <w:r>
        <w:rPr>
          <w:rStyle w:val="OperatorTok"/>
        </w:rPr>
        <w:t xml:space="preserve">,</w:t>
      </w:r>
      <w:r>
        <w:rPr>
          <w:rStyle w:val="NormalTok"/>
        </w:rPr>
        <w:t xml:space="preserve"> </w:t>
      </w:r>
      <w:r>
        <w:rPr>
          <w:rStyle w:val="StringTok"/>
        </w:rPr>
        <w:t xml:space="preserve">'Medium'</w:t>
      </w:r>
      <w:r>
        <w:rPr>
          <w:rStyle w:val="OperatorTok"/>
        </w:rPr>
        <w:t xml:space="preserve">,</w:t>
      </w:r>
      <w:r>
        <w:rPr>
          <w:rStyle w:val="NormalTok"/>
        </w:rPr>
        <w:t xml:space="preserve"> </w:t>
      </w:r>
      <w:r>
        <w:rPr>
          <w:rStyle w:val="StringTok"/>
        </w:rPr>
        <w:t xml:space="preserve">'High'</w:t>
      </w:r>
      <w:r>
        <w:rPr>
          <w:rStyle w:val="OperatorTok"/>
        </w:rPr>
        <w:t xml:space="preserve">,</w:t>
      </w:r>
      <w:r>
        <w:rPr>
          <w:rStyle w:val="NormalTok"/>
        </w:rPr>
        <w:t xml:space="preserve"> </w:t>
      </w:r>
      <w:r>
        <w:rPr>
          <w:rStyle w:val="StringTok"/>
        </w:rPr>
        <w:t xml:space="preserve">'Critical'</w:t>
      </w:r>
      <w:r>
        <w:rPr>
          <w:rStyle w:val="OperatorTok"/>
        </w:rPr>
        <w:t xml:space="preserve">)][</w:t>
      </w:r>
      <w:r>
        <w:rPr>
          <w:rStyle w:val="DataTypeTok"/>
        </w:rPr>
        <w:t xml:space="preserve">string</w:t>
      </w:r>
      <w:r>
        <w:rPr>
          <w:rStyle w:val="OperatorTok"/>
        </w:rPr>
        <w:t xml:space="preserve">]</w:t>
      </w:r>
      <w:r>
        <w:rPr>
          <w:rStyle w:val="VariableTok"/>
        </w:rPr>
        <w:t xml:space="preserve">$Severity</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$DiffContent</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$GiteaBaseUrl</w:t>
      </w:r>
      <w:r>
        <w:rPr>
          <w:rStyle w:val="NormalTok"/>
        </w:rPr>
        <w:t xml:space="preserve"> </w:t>
      </w:r>
      <w:r>
        <w:rPr>
          <w:rStyle w:val="OperatorTok"/>
        </w:rPr>
        <w:t xml:space="preserve">=</w:t>
      </w:r>
      <w:r>
        <w:rPr>
          <w:rStyle w:val="NormalTok"/>
        </w:rPr>
        <w:t xml:space="preserve"> </w:t>
      </w:r>
      <w:r>
        <w:rPr>
          <w:rStyle w:val="VariableTok"/>
        </w:rPr>
        <w:t xml:space="preserve">$env</w:t>
      </w:r>
      <w:r>
        <w:rPr>
          <w:rStyle w:val="OperatorTok"/>
        </w:rPr>
        <w:t xml:space="preserve">:</w:t>
      </w:r>
      <w:r>
        <w:rPr>
          <w:rStyle w:val="VariableTok"/>
        </w:rPr>
        <w:t xml:space="preserve">FMP_GITEA_URL</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$RepoOwner</w:t>
      </w:r>
      <w:r>
        <w:rPr>
          <w:rStyle w:val="NormalTok"/>
        </w:rPr>
        <w:t xml:space="preserve">    </w:t>
      </w:r>
      <w:r>
        <w:rPr>
          <w:rStyle w:val="OperatorTok"/>
        </w:rPr>
        <w:t xml:space="preserve">=</w:t>
      </w:r>
      <w:r>
        <w:rPr>
          <w:rStyle w:val="NormalTok"/>
        </w:rPr>
        <w:t xml:space="preserve"> </w:t>
      </w:r>
      <w:r>
        <w:rPr>
          <w:rStyle w:val="VariableTok"/>
        </w:rPr>
        <w:t xml:space="preserve">$env</w:t>
      </w:r>
      <w:r>
        <w:rPr>
          <w:rStyle w:val="OperatorTok"/>
        </w:rPr>
        <w:t xml:space="preserve">:</w:t>
      </w:r>
      <w:r>
        <w:rPr>
          <w:rStyle w:val="VariableTok"/>
        </w:rPr>
        <w:t xml:space="preserve">FMP_GITEA_OWNER</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$RepoName</w:t>
      </w:r>
      <w:r>
        <w:rPr>
          <w:rStyle w:val="NormalTok"/>
        </w:rPr>
        <w:t xml:space="preserve">     </w:t>
      </w:r>
      <w:r>
        <w:rPr>
          <w:rStyle w:val="OperatorTok"/>
        </w:rPr>
        <w:t xml:space="preserve">=</w:t>
      </w:r>
      <w:r>
        <w:rPr>
          <w:rStyle w:val="NormalTok"/>
        </w:rPr>
        <w:t xml:space="preserve"> </w:t>
      </w:r>
      <w:r>
        <w:rPr>
          <w:rStyle w:val="StringTok"/>
        </w:rPr>
        <w:t xml:space="preserve">'fmp-identity-baseline'</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$ApiToken</w:t>
      </w:r>
      <w:r>
        <w:rPr>
          <w:rStyle w:val="NormalTok"/>
        </w:rPr>
        <w:t xml:space="preserve">     </w:t>
      </w:r>
      <w:r>
        <w:rPr>
          <w:rStyle w:val="OperatorTok"/>
        </w:rPr>
        <w:t xml:space="preserve">=</w:t>
      </w:r>
      <w:r>
        <w:rPr>
          <w:rStyle w:val="NormalTok"/>
        </w:rPr>
        <w:t xml:space="preserve"> </w:t>
      </w:r>
      <w:r>
        <w:rPr>
          <w:rStyle w:val="VariableTok"/>
        </w:rPr>
        <w:t xml:space="preserve">$env</w:t>
      </w:r>
      <w:r>
        <w:rPr>
          <w:rStyle w:val="OperatorTok"/>
        </w:rPr>
        <w:t xml:space="preserve">:</w:t>
      </w:r>
      <w:r>
        <w:rPr>
          <w:rStyle w:val="VariableTok"/>
        </w:rPr>
        <w:t xml:space="preserve">FMP_GITEA_TOKEN</w:t>
      </w:r>
      <w:r>
        <w:br/>
      </w:r>
      <w:r>
        <w:rPr>
          <w:rStyle w:val="NormalTok"/>
        </w:rPr>
        <w:t xml:space="preserve">    </w:t>
      </w:r>
      <w:r>
        <w:rPr>
          <w:rStyle w:val="OperatorTok"/>
        </w:rPr>
        <w:t xml:space="preserve">)</w:t>
      </w:r>
      <w:r>
        <w:br/>
      </w:r>
      <w:r>
        <w:br/>
      </w:r>
      <w:r>
        <w:rPr>
          <w:rStyle w:val="NormalTok"/>
        </w:rPr>
        <w:t xml:space="preserve">    </w:t>
      </w:r>
      <w:r>
        <w:rPr>
          <w:rStyle w:val="VariableTok"/>
        </w:rPr>
        <w:t xml:space="preserve">$severityLabel</w:t>
      </w:r>
      <w:r>
        <w:rPr>
          <w:rStyle w:val="NormalTok"/>
        </w:rPr>
        <w:t xml:space="preserve"> </w:t>
      </w:r>
      <w:r>
        <w:rPr>
          <w:rStyle w:val="OperatorTok"/>
        </w:rPr>
        <w:t xml:space="preserve">=</w:t>
      </w:r>
      <w:r>
        <w:rPr>
          <w:rStyle w:val="NormalTok"/>
        </w:rPr>
        <w:t xml:space="preserve"> </w:t>
      </w:r>
      <w:r>
        <w:rPr>
          <w:rStyle w:val="StringTok"/>
        </w:rPr>
        <w:t xml:space="preserve">"priority/</w:t>
      </w:r>
      <w:r>
        <w:rPr>
          <w:rStyle w:val="OperatorTok"/>
        </w:rPr>
        <w:t xml:space="preserve">$(</w:t>
      </w:r>
      <w:r>
        <w:rPr>
          <w:rStyle w:val="VariableTok"/>
        </w:rPr>
        <w:t xml:space="preserve">$Severity</w:t>
      </w:r>
      <w:r>
        <w:rPr>
          <w:rStyle w:val="OperatorTok"/>
        </w:rPr>
        <w:t xml:space="preserve">.</w:t>
      </w:r>
      <w:r>
        <w:rPr>
          <w:rStyle w:val="FunctionTok"/>
        </w:rPr>
        <w:t xml:space="preserve">ToLower</w:t>
      </w:r>
      <w:r>
        <w:rPr>
          <w:rStyle w:val="OperatorTok"/>
        </w:rPr>
        <w:t xml:space="preserve">()</w:t>
      </w:r>
      <w:r>
        <w:rPr>
          <w:rStyle w:val="StringTok"/>
        </w:rPr>
        <w:t xml:space="preserve">)"</w:t>
      </w:r>
      <w:r>
        <w:br/>
      </w:r>
      <w:r>
        <w:rPr>
          <w:rStyle w:val="NormalTok"/>
        </w:rPr>
        <w:t xml:space="preserve">    </w:t>
      </w:r>
      <w:r>
        <w:rPr>
          <w:rStyle w:val="VariableTok"/>
        </w:rPr>
        <w:t xml:space="preserve">$labelIds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Get-FMPGiteaLabelId </w:t>
      </w:r>
      <w:r>
        <w:rPr>
          <w:rStyle w:val="OperatorTok"/>
        </w:rPr>
        <w:t xml:space="preserve">-</w:t>
      </w:r>
      <w:r>
        <w:rPr>
          <w:rStyle w:val="NormalTok"/>
        </w:rPr>
        <w:t xml:space="preserve">Name </w:t>
      </w:r>
      <w:r>
        <w:rPr>
          <w:rStyle w:val="VariableTok"/>
        </w:rPr>
        <w:t xml:space="preserve">$severityLabel</w:t>
      </w:r>
      <w:r>
        <w:rPr>
          <w:rStyle w:val="NormalTok"/>
        </w:rPr>
        <w:t xml:space="preserve">  </w:t>
      </w:r>
      <w:r>
        <w:rPr>
          <w:rStyle w:val="OperatorTok"/>
        </w:rPr>
        <w:t xml:space="preserve">-</w:t>
      </w:r>
      <w:r>
        <w:rPr>
          <w:rStyle w:val="NormalTok"/>
        </w:rPr>
        <w:t xml:space="preserve">GiteaBaseUrl </w:t>
      </w:r>
      <w:r>
        <w:rPr>
          <w:rStyle w:val="VariableTok"/>
        </w:rPr>
        <w:t xml:space="preserve">$GiteaBaseUrl</w:t>
      </w:r>
      <w:r>
        <w:rPr>
          <w:rStyle w:val="NormalTok"/>
        </w:rPr>
        <w:t xml:space="preserve"> </w:t>
      </w:r>
      <w:r>
        <w:rPr>
          <w:rStyle w:val="OperatorTok"/>
        </w:rPr>
        <w:t xml:space="preserve">-</w:t>
      </w:r>
      <w:r>
        <w:rPr>
          <w:rStyle w:val="NormalTok"/>
        </w:rPr>
        <w:t xml:space="preserve">RepoOwner </w:t>
      </w:r>
      <w:r>
        <w:rPr>
          <w:rStyle w:val="VariableTok"/>
        </w:rPr>
        <w:t xml:space="preserve">$RepoOwner</w:t>
      </w:r>
      <w:r>
        <w:rPr>
          <w:rStyle w:val="NormalTok"/>
        </w:rPr>
        <w:t xml:space="preserve"> </w:t>
      </w:r>
      <w:r>
        <w:rPr>
          <w:rStyle w:val="OperatorTok"/>
        </w:rPr>
        <w:t xml:space="preserve">-</w:t>
      </w:r>
      <w:r>
        <w:rPr>
          <w:rStyle w:val="NormalTok"/>
        </w:rPr>
        <w:t xml:space="preserve">RepoName </w:t>
      </w:r>
      <w:r>
        <w:rPr>
          <w:rStyle w:val="VariableTok"/>
        </w:rPr>
        <w:t xml:space="preserve">$RepoName</w:t>
      </w:r>
      <w:r>
        <w:rPr>
          <w:rStyle w:val="NormalTok"/>
        </w:rPr>
        <w:t xml:space="preserve"> </w:t>
      </w:r>
      <w:r>
        <w:rPr>
          <w:rStyle w:val="OperatorTok"/>
        </w:rPr>
        <w:t xml:space="preserve">-</w:t>
      </w:r>
      <w:r>
        <w:rPr>
          <w:rStyle w:val="NormalTok"/>
        </w:rPr>
        <w:t xml:space="preserve">ApiToken </w:t>
      </w:r>
      <w:r>
        <w:rPr>
          <w:rStyle w:val="VariableTok"/>
        </w:rPr>
        <w:t xml:space="preserve">$ApiToken</w:t>
      </w:r>
      <w:r>
        <w:br/>
      </w:r>
      <w:r>
        <w:rPr>
          <w:rStyle w:val="NormalTok"/>
        </w:rPr>
        <w:t xml:space="preserve">        Get-FMPGiteaLabelId </w:t>
      </w:r>
      <w:r>
        <w:rPr>
          <w:rStyle w:val="OperatorTok"/>
        </w:rPr>
        <w:t xml:space="preserve">-</w:t>
      </w:r>
      <w:r>
        <w:rPr>
          <w:rStyle w:val="NormalTok"/>
        </w:rPr>
        <w:t xml:space="preserve">Name </w:t>
      </w:r>
      <w:r>
        <w:rPr>
          <w:rStyle w:val="StringTok"/>
        </w:rPr>
        <w:t xml:space="preserve">'identity-drift'</w:t>
      </w:r>
      <w:r>
        <w:rPr>
          <w:rStyle w:val="NormalTok"/>
        </w:rPr>
        <w:t xml:space="preserve"> </w:t>
      </w:r>
      <w:r>
        <w:rPr>
          <w:rStyle w:val="OperatorTok"/>
        </w:rPr>
        <w:t xml:space="preserve">-</w:t>
      </w:r>
      <w:r>
        <w:rPr>
          <w:rStyle w:val="NormalTok"/>
        </w:rPr>
        <w:t xml:space="preserve">GiteaBaseUrl </w:t>
      </w:r>
      <w:r>
        <w:rPr>
          <w:rStyle w:val="VariableTok"/>
        </w:rPr>
        <w:t xml:space="preserve">$GiteaBaseUrl</w:t>
      </w:r>
      <w:r>
        <w:rPr>
          <w:rStyle w:val="NormalTok"/>
        </w:rPr>
        <w:t xml:space="preserve"> </w:t>
      </w:r>
      <w:r>
        <w:rPr>
          <w:rStyle w:val="OperatorTok"/>
        </w:rPr>
        <w:t xml:space="preserve">-</w:t>
      </w:r>
      <w:r>
        <w:rPr>
          <w:rStyle w:val="NormalTok"/>
        </w:rPr>
        <w:t xml:space="preserve">RepoOwner </w:t>
      </w:r>
      <w:r>
        <w:rPr>
          <w:rStyle w:val="VariableTok"/>
        </w:rPr>
        <w:t xml:space="preserve">$RepoOwner</w:t>
      </w:r>
      <w:r>
        <w:rPr>
          <w:rStyle w:val="NormalTok"/>
        </w:rPr>
        <w:t xml:space="preserve"> </w:t>
      </w:r>
      <w:r>
        <w:rPr>
          <w:rStyle w:val="OperatorTok"/>
        </w:rPr>
        <w:t xml:space="preserve">-</w:t>
      </w:r>
      <w:r>
        <w:rPr>
          <w:rStyle w:val="NormalTok"/>
        </w:rPr>
        <w:t xml:space="preserve">RepoName </w:t>
      </w:r>
      <w:r>
        <w:rPr>
          <w:rStyle w:val="VariableTok"/>
        </w:rPr>
        <w:t xml:space="preserve">$RepoName</w:t>
      </w:r>
      <w:r>
        <w:rPr>
          <w:rStyle w:val="NormalTok"/>
        </w:rPr>
        <w:t xml:space="preserve"> </w:t>
      </w:r>
      <w:r>
        <w:rPr>
          <w:rStyle w:val="OperatorTok"/>
        </w:rPr>
        <w:t xml:space="preserve">-</w:t>
      </w:r>
      <w:r>
        <w:rPr>
          <w:rStyle w:val="NormalTok"/>
        </w:rPr>
        <w:t xml:space="preserve">ApiToken </w:t>
      </w:r>
      <w:r>
        <w:rPr>
          <w:rStyle w:val="VariableTok"/>
        </w:rPr>
        <w:t xml:space="preserve">$ApiToken</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NormalTok"/>
        </w:rPr>
        <w:t xml:space="preserve"> </w:t>
      </w:r>
      <w:r>
        <w:rPr>
          <w:rStyle w:val="OperatorTok"/>
        </w:rPr>
        <w:t xml:space="preserve">}</w:t>
      </w:r>
      <w:r>
        <w:br/>
      </w:r>
      <w:r>
        <w:br/>
      </w:r>
      <w:r>
        <w:rPr>
          <w:rStyle w:val="NormalTok"/>
        </w:rPr>
        <w:t xml:space="preserve">    </w:t>
      </w:r>
      <w:r>
        <w:rPr>
          <w:rStyle w:val="VariableTok"/>
        </w:rPr>
        <w:t xml:space="preserve">$fence</w:t>
      </w:r>
      <w:r>
        <w:rPr>
          <w:rStyle w:val="NormalTok"/>
        </w:rPr>
        <w:t xml:space="preserve"> </w:t>
      </w:r>
      <w:r>
        <w:rPr>
          <w:rStyle w:val="OperatorTok"/>
        </w:rPr>
        <w:t xml:space="preserve">=</w:t>
      </w:r>
      <w:r>
        <w:rPr>
          <w:rStyle w:val="NormalTok"/>
        </w:rPr>
        <w:t xml:space="preserve"> </w:t>
      </w:r>
      <w:r>
        <w:rPr>
          <w:rStyle w:val="StringTok"/>
        </w:rPr>
        <w:t xml:space="preserve">'```'</w:t>
      </w:r>
      <w:r>
        <w:br/>
      </w:r>
      <w:r>
        <w:rPr>
          <w:rStyle w:val="NormalTok"/>
        </w:rPr>
        <w:t xml:space="preserve">    </w:t>
      </w:r>
      <w:r>
        <w:rPr>
          <w:rStyle w:val="VariableTok"/>
        </w:rPr>
        <w:t xml:space="preserve">$detected</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ToUniversalTime</w:t>
      </w:r>
      <w:r>
        <w:rPr>
          <w:rStyle w:val="OperatorTok"/>
        </w:rPr>
        <w:t xml:space="preserve">().</w:t>
      </w:r>
      <w:r>
        <w:rPr>
          <w:rStyle w:val="FunctionTok"/>
        </w:rPr>
        <w:t xml:space="preserve">ToString</w:t>
      </w:r>
      <w:r>
        <w:rPr>
          <w:rStyle w:val="OperatorTok"/>
        </w:rPr>
        <w:t xml:space="preserve">(</w:t>
      </w:r>
      <w:r>
        <w:rPr>
          <w:rStyle w:val="StringTok"/>
        </w:rPr>
        <w:t xml:space="preserve">'yyyy-MM-dd HH:mm:ss'</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 UTC'</w:t>
      </w:r>
      <w:r>
        <w:br/>
      </w:r>
      <w:r>
        <w:rPr>
          <w:rStyle w:val="NormalTok"/>
        </w:rPr>
        <w:t xml:space="preserve">    </w:t>
      </w:r>
      <w:r>
        <w:rPr>
          <w:rStyle w:val="VariableTok"/>
        </w:rPr>
        <w:t xml:space="preserve">$issueBody</w:t>
      </w:r>
      <w:r>
        <w:rPr>
          <w:rStyle w:val="NormalTok"/>
        </w:rPr>
        <w:t xml:space="preserve"> </w:t>
      </w:r>
      <w:r>
        <w:rPr>
          <w:rStyle w:val="OperatorTok"/>
        </w:rPr>
        <w:t xml:space="preserve">=</w:t>
      </w:r>
      <w:r>
        <w:rPr>
          <w:rStyle w:val="NormalTok"/>
        </w:rPr>
        <w:t xml:space="preserve"> </w:t>
      </w:r>
      <w:r>
        <w:rPr>
          <w:rStyle w:val="VerbatimStringTok"/>
        </w:rPr>
        <w:t xml:space="preserve">@"</w:t>
      </w:r>
      <w:r>
        <w:br/>
      </w:r>
      <w:r>
        <w:rPr>
          <w:rStyle w:val="VerbatimStringTok"/>
        </w:rPr>
        <w:t xml:space="preserve">## Identity drift detection report</w:t>
      </w:r>
      <w:r>
        <w:br/>
      </w:r>
      <w:r>
        <w:br/>
      </w:r>
      <w:r>
        <w:rPr>
          <w:rStyle w:val="VerbatimStringTok"/>
        </w:rPr>
        <w:t xml:space="preserve">**Detected:** </w:t>
      </w:r>
      <w:r>
        <w:rPr>
          <w:rStyle w:val="VariableTok"/>
        </w:rPr>
        <w:t xml:space="preserve">$detected</w:t>
      </w:r>
      <w:r>
        <w:br/>
      </w:r>
      <w:r>
        <w:rPr>
          <w:rStyle w:val="VerbatimStringTok"/>
        </w:rPr>
        <w:t xml:space="preserve">**Severity:** </w:t>
      </w:r>
      <w:r>
        <w:rPr>
          <w:rStyle w:val="VariableTok"/>
        </w:rPr>
        <w:t xml:space="preserve">$Severity</w:t>
      </w:r>
      <w:r>
        <w:br/>
      </w:r>
      <w:r>
        <w:rPr>
          <w:rStyle w:val="VerbatimStringTok"/>
        </w:rPr>
        <w:t xml:space="preserve">**Summary:** </w:t>
      </w:r>
      <w:r>
        <w:rPr>
          <w:rStyle w:val="VariableTok"/>
        </w:rPr>
        <w:t xml:space="preserve">$DriftSummary</w:t>
      </w:r>
      <w:r>
        <w:br/>
      </w:r>
      <w:r>
        <w:br/>
      </w:r>
      <w:r>
        <w:rPr>
          <w:rStyle w:val="VerbatimStringTok"/>
        </w:rPr>
        <w:t xml:space="preserve">### Diff</w:t>
      </w:r>
      <w:r>
        <w:br/>
      </w:r>
      <w:r>
        <w:br/>
      </w:r>
      <w:r>
        <w:rPr>
          <w:rStyle w:val="PreprocessorTok"/>
        </w:rPr>
        <w:t xml:space="preserve">${</w:t>
      </w:r>
      <w:r>
        <w:rPr>
          <w:rStyle w:val="VariableTok"/>
        </w:rPr>
        <w:t xml:space="preserve">fence</w:t>
      </w:r>
      <w:r>
        <w:rPr>
          <w:rStyle w:val="PreprocessorTok"/>
        </w:rPr>
        <w:t xml:space="preserve">}</w:t>
      </w:r>
      <w:r>
        <w:rPr>
          <w:rStyle w:val="VerbatimStringTok"/>
        </w:rPr>
        <w:t xml:space="preserve">json</w:t>
      </w:r>
      <w:r>
        <w:br/>
      </w:r>
      <w:r>
        <w:rPr>
          <w:rStyle w:val="VariableTok"/>
        </w:rPr>
        <w:t xml:space="preserve">$DiffContent</w:t>
      </w:r>
      <w:r>
        <w:br/>
      </w:r>
      <w:r>
        <w:rPr>
          <w:rStyle w:val="PreprocessorTok"/>
        </w:rPr>
        <w:t xml:space="preserve">${</w:t>
      </w:r>
      <w:r>
        <w:rPr>
          <w:rStyle w:val="VariableTok"/>
        </w:rPr>
        <w:t xml:space="preserve">fence</w:t>
      </w:r>
      <w:r>
        <w:rPr>
          <w:rStyle w:val="PreprocessorTok"/>
        </w:rPr>
        <w:t xml:space="preserve">}</w:t>
      </w:r>
      <w:r>
        <w:br/>
      </w:r>
      <w:r>
        <w:br/>
      </w:r>
      <w:r>
        <w:rPr>
          <w:rStyle w:val="VerbatimStringTok"/>
        </w:rPr>
        <w:t xml:space="preserve">### Recommended actions</w:t>
      </w:r>
      <w:r>
        <w:br/>
      </w:r>
      <w:r>
        <w:br/>
      </w:r>
      <w:r>
        <w:rPr>
          <w:rStyle w:val="VerbatimStringTok"/>
        </w:rPr>
        <w:t xml:space="preserve">- Review the diff for unauthorized changes.</w:t>
      </w:r>
      <w:r>
        <w:br/>
      </w:r>
      <w:r>
        <w:rPr>
          <w:rStyle w:val="VerbatimStringTok"/>
        </w:rPr>
        <w:t xml:space="preserve">- Cross-check against change management records.</w:t>
      </w:r>
      <w:r>
        <w:br/>
      </w:r>
      <w:r>
        <w:rPr>
          <w:rStyle w:val="VerbatimStringTok"/>
        </w:rPr>
        <w:t xml:space="preserve">- Fix the source record or rule for unauthorized drift; update the baseline only for approved changes.</w:t>
      </w:r>
      <w:r>
        <w:br/>
      </w:r>
      <w:r>
        <w:rPr>
          <w:rStyle w:val="VerbatimStringTok"/>
        </w:rPr>
        <w:t xml:space="preserve">- Commit the updated baseline to Git.</w:t>
      </w:r>
      <w:r>
        <w:br/>
      </w:r>
      <w:r>
        <w:br/>
      </w:r>
      <w:r>
        <w:rPr>
          <w:rStyle w:val="VerbatimStringTok"/>
        </w:rPr>
        <w:t xml:space="preserve">*Generated by Invoke-FMPIdentityAssessment*</w:t>
      </w:r>
      <w:r>
        <w:br/>
      </w:r>
      <w:r>
        <w:rPr>
          <w:rStyle w:val="VerbatimStringTok"/>
        </w:rPr>
        <w:t xml:space="preserve">"@</w:t>
      </w:r>
      <w:r>
        <w:br/>
      </w:r>
      <w:r>
        <w:br/>
      </w:r>
      <w:r>
        <w:rPr>
          <w:rStyle w:val="NormalTok"/>
        </w:rPr>
        <w:t xml:space="preserve">    </w:t>
      </w:r>
      <w:r>
        <w:rPr>
          <w:rStyle w:val="VariableTok"/>
        </w:rPr>
        <w:t xml:space="preserve">$body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title  </w:t>
      </w:r>
      <w:r>
        <w:rPr>
          <w:rStyle w:val="OperatorTok"/>
        </w:rPr>
        <w:t xml:space="preserve">=</w:t>
      </w:r>
      <w:r>
        <w:rPr>
          <w:rStyle w:val="NormalTok"/>
        </w:rPr>
        <w:t xml:space="preserve"> </w:t>
      </w:r>
      <w:r>
        <w:rPr>
          <w:rStyle w:val="StringTok"/>
        </w:rPr>
        <w:t xml:space="preserve">"[Identity Drift] </w:t>
      </w:r>
      <w:r>
        <w:rPr>
          <w:rStyle w:val="VariableTok"/>
        </w:rPr>
        <w:t xml:space="preserve">$DriftSummary</w:t>
      </w:r>
      <w:r>
        <w:rPr>
          <w:rStyle w:val="StringTok"/>
        </w:rPr>
        <w:t xml:space="preserve"> - </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w:t>
      </w:r>
      <w:r>
        <w:rPr>
          <w:rStyle w:val="OperatorTok"/>
        </w:rPr>
        <w:t xml:space="preserve">)</w:t>
      </w:r>
      <w:r>
        <w:rPr>
          <w:rStyle w:val="StringTok"/>
        </w:rPr>
        <w:t xml:space="preserve">"</w:t>
      </w:r>
      <w:r>
        <w:br/>
      </w:r>
      <w:r>
        <w:rPr>
          <w:rStyle w:val="NormalTok"/>
        </w:rPr>
        <w:t xml:space="preserve">        body   </w:t>
      </w:r>
      <w:r>
        <w:rPr>
          <w:rStyle w:val="OperatorTok"/>
        </w:rPr>
        <w:t xml:space="preserve">=</w:t>
      </w:r>
      <w:r>
        <w:rPr>
          <w:rStyle w:val="NormalTok"/>
        </w:rPr>
        <w:t xml:space="preserve"> </w:t>
      </w:r>
      <w:r>
        <w:rPr>
          <w:rStyle w:val="VariableTok"/>
        </w:rPr>
        <w:t xml:space="preserve">$issueBody</w:t>
      </w:r>
      <w:r>
        <w:br/>
      </w:r>
      <w:r>
        <w:rPr>
          <w:rStyle w:val="NormalTok"/>
        </w:rPr>
        <w:t xml:space="preserve">        labels </w:t>
      </w:r>
      <w:r>
        <w:rPr>
          <w:rStyle w:val="OperatorTok"/>
        </w:rPr>
        <w:t xml:space="preserve">=</w:t>
      </w:r>
      <w:r>
        <w:rPr>
          <w:rStyle w:val="NormalTok"/>
        </w:rPr>
        <w:t xml:space="preserve"> </w:t>
      </w:r>
      <w:r>
        <w:rPr>
          <w:rStyle w:val="OperatorTok"/>
        </w:rPr>
        <w:t xml:space="preserve">@(</w:t>
      </w:r>
      <w:r>
        <w:rPr>
          <w:rStyle w:val="VariableTok"/>
        </w:rPr>
        <w:t xml:space="preserve">$labelIds</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br/>
      </w:r>
      <w:r>
        <w:br/>
      </w:r>
      <w:r>
        <w:rPr>
          <w:rStyle w:val="NormalTok"/>
        </w:rPr>
        <w:t xml:space="preserve">    </w:t>
      </w:r>
      <w:r>
        <w:rPr>
          <w:rStyle w:val="VariableTok"/>
        </w:rPr>
        <w:t xml:space="preserve">$headers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Authorization </w:t>
      </w:r>
      <w:r>
        <w:rPr>
          <w:rStyle w:val="OperatorTok"/>
        </w:rPr>
        <w:t xml:space="preserve">=</w:t>
      </w:r>
      <w:r>
        <w:rPr>
          <w:rStyle w:val="NormalTok"/>
        </w:rPr>
        <w:t xml:space="preserve"> </w:t>
      </w:r>
      <w:r>
        <w:rPr>
          <w:rStyle w:val="StringTok"/>
        </w:rPr>
        <w:t xml:space="preserve">"token </w:t>
      </w:r>
      <w:r>
        <w:rPr>
          <w:rStyle w:val="VariableTok"/>
        </w:rPr>
        <w:t xml:space="preserve">$ApiToken</w:t>
      </w:r>
      <w:r>
        <w:rPr>
          <w:rStyle w:val="StringTok"/>
        </w:rPr>
        <w:t xml:space="preserve">"</w:t>
      </w:r>
      <w:r>
        <w:rPr>
          <w:rStyle w:val="OperatorTok"/>
        </w:rPr>
        <w:t xml:space="preserve">;</w:t>
      </w:r>
      <w:r>
        <w:rPr>
          <w:rStyle w:val="NormalTok"/>
        </w:rPr>
        <w:t xml:space="preserve"> </w:t>
      </w:r>
      <w:r>
        <w:rPr>
          <w:rStyle w:val="StringTok"/>
        </w:rPr>
        <w:t xml:space="preserve">'Content-Type'</w:t>
      </w:r>
      <w:r>
        <w:rPr>
          <w:rStyle w:val="NormalTok"/>
        </w:rPr>
        <w:t xml:space="preserve"> </w:t>
      </w:r>
      <w:r>
        <w:rPr>
          <w:rStyle w:val="OperatorTok"/>
        </w:rPr>
        <w:t xml:space="preserve">=</w:t>
      </w:r>
      <w:r>
        <w:rPr>
          <w:rStyle w:val="NormalTok"/>
        </w:rPr>
        <w:t xml:space="preserve"> </w:t>
      </w:r>
      <w:r>
        <w:rPr>
          <w:rStyle w:val="StringTok"/>
        </w:rPr>
        <w:t xml:space="preserve">'application/json'</w:t>
      </w:r>
      <w:r>
        <w:rPr>
          <w:rStyle w:val="NormalTok"/>
        </w:rPr>
        <w:t xml:space="preserve"> </w:t>
      </w:r>
      <w:r>
        <w:rPr>
          <w:rStyle w:val="OperatorTok"/>
        </w:rPr>
        <w:t xml:space="preserve">}</w:t>
      </w:r>
      <w:r>
        <w:br/>
      </w:r>
      <w:r>
        <w:rPr>
          <w:rStyle w:val="NormalTok"/>
        </w:rPr>
        <w:t xml:space="preserve">    </w:t>
      </w:r>
      <w:r>
        <w:rPr>
          <w:rStyle w:val="VariableTok"/>
        </w:rPr>
        <w:t xml:space="preserve">$uri</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$GiteaBaseUrl</w:t>
      </w:r>
      <w:r>
        <w:rPr>
          <w:rStyle w:val="StringTok"/>
        </w:rPr>
        <w:t xml:space="preserve">/api/v1/repos/</w:t>
      </w:r>
      <w:r>
        <w:rPr>
          <w:rStyle w:val="VariableTok"/>
        </w:rPr>
        <w:t xml:space="preserve">$RepoOwner</w:t>
      </w:r>
      <w:r>
        <w:rPr>
          <w:rStyle w:val="StringTok"/>
        </w:rPr>
        <w:t xml:space="preserve">/</w:t>
      </w:r>
      <w:r>
        <w:rPr>
          <w:rStyle w:val="VariableTok"/>
        </w:rPr>
        <w:t xml:space="preserve">$RepoName</w:t>
      </w:r>
      <w:r>
        <w:rPr>
          <w:rStyle w:val="StringTok"/>
        </w:rPr>
        <w:t xml:space="preserve">/issues"</w:t>
      </w:r>
      <w:r>
        <w:br/>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$PSCmdlet</w:t>
      </w:r>
      <w:r>
        <w:rPr>
          <w:rStyle w:val="OperatorTok"/>
        </w:rPr>
        <w:t xml:space="preserve">.</w:t>
      </w:r>
      <w:r>
        <w:rPr>
          <w:rStyle w:val="FunctionTok"/>
        </w:rPr>
        <w:t xml:space="preserve">ShouldProcess</w:t>
      </w:r>
      <w:r>
        <w:rPr>
          <w:rStyle w:val="OperatorTok"/>
        </w:rPr>
        <w:t xml:space="preserve">(</w:t>
      </w:r>
      <w:r>
        <w:rPr>
          <w:rStyle w:val="VariableTok"/>
        </w:rPr>
        <w:t xml:space="preserve">$uri</w:t>
      </w:r>
      <w:r>
        <w:rPr>
          <w:rStyle w:val="OperatorTok"/>
        </w:rPr>
        <w:t xml:space="preserve">,</w:t>
      </w:r>
      <w:r>
        <w:rPr>
          <w:rStyle w:val="NormalTok"/>
        </w:rPr>
        <w:t xml:space="preserve"> </w:t>
      </w:r>
      <w:r>
        <w:rPr>
          <w:rStyle w:val="StringTok"/>
        </w:rPr>
        <w:t xml:space="preserve">'Create drift issue'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try</w:t>
      </w:r>
      <w:r>
        <w:rPr>
          <w:rStyle w:val="NormalTok"/>
        </w:rPr>
        <w:t xml:space="preserve"> </w:t>
      </w:r>
      <w:r>
        <w:rPr>
          <w:rStyle w:val="OperatorTok"/>
        </w:rPr>
        <w:t xml:space="preserve">{</w:t>
      </w:r>
      <w:r>
        <w:br/>
      </w:r>
      <w:r>
        <w:rPr>
          <w:rStyle w:val="NormalTok"/>
        </w:rPr>
        <w:t xml:space="preserve">            </w:t>
      </w:r>
      <w:r>
        <w:rPr>
          <w:rStyle w:val="VariableTok"/>
        </w:rPr>
        <w:t xml:space="preserve">$response</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$uri</w:t>
      </w:r>
      <w:r>
        <w:rPr>
          <w:rStyle w:val="NormalTok"/>
        </w:rPr>
        <w:t xml:space="preserve"> </w:t>
      </w:r>
      <w:r>
        <w:rPr>
          <w:rStyle w:val="OperatorTok"/>
        </w:rPr>
        <w:t xml:space="preserve">-</w:t>
      </w:r>
      <w:r>
        <w:rPr>
          <w:rStyle w:val="NormalTok"/>
        </w:rPr>
        <w:t xml:space="preserve">Method Post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Body </w:t>
      </w:r>
      <w:r>
        <w:rPr>
          <w:rStyle w:val="VariableTok"/>
        </w:rPr>
        <w:t xml:space="preserve">$body</w:t>
      </w:r>
      <w:r>
        <w:br/>
      </w:r>
      <w:r>
        <w:rPr>
          <w:rStyle w:val="NormalTok"/>
        </w:rPr>
        <w:t xml:space="preserve">            </w:t>
      </w:r>
      <w:r>
        <w:rPr>
          <w:rStyle w:val="FunctionTok"/>
        </w:rPr>
        <w:t xml:space="preserve">Write-Host</w:t>
      </w:r>
      <w:r>
        <w:rPr>
          <w:rStyle w:val="NormalTok"/>
        </w:rPr>
        <w:t xml:space="preserve"> </w:t>
      </w:r>
      <w:r>
        <w:rPr>
          <w:rStyle w:val="StringTok"/>
        </w:rPr>
        <w:t xml:space="preserve">"Created issue #</w:t>
      </w:r>
      <w:r>
        <w:rPr>
          <w:rStyle w:val="OperatorTok"/>
        </w:rPr>
        <w:t xml:space="preserve">$(</w:t>
      </w:r>
      <w:r>
        <w:rPr>
          <w:rStyle w:val="VariableTok"/>
        </w:rPr>
        <w:t xml:space="preserve">$response</w:t>
      </w:r>
      <w:r>
        <w:rPr>
          <w:rStyle w:val="OperatorTok"/>
        </w:rPr>
        <w:t xml:space="preserve">.</w:t>
      </w:r>
      <w:r>
        <w:rPr>
          <w:rStyle w:val="FunctionTok"/>
        </w:rPr>
        <w:t xml:space="preserve">number</w:t>
      </w:r>
      <w:r>
        <w:rPr>
          <w:rStyle w:val="OperatorTok"/>
        </w:rPr>
        <w:t xml:space="preserve">)</w:t>
      </w:r>
      <w:r>
        <w:rPr>
          <w:rStyle w:val="StringTok"/>
        </w:rPr>
        <w:t xml:space="preserve">: </w:t>
      </w:r>
      <w:r>
        <w:rPr>
          <w:rStyle w:val="OperatorTok"/>
        </w:rPr>
        <w:t xml:space="preserve">$(</w:t>
      </w:r>
      <w:r>
        <w:rPr>
          <w:rStyle w:val="VariableTok"/>
        </w:rPr>
        <w:t xml:space="preserve">$response</w:t>
      </w:r>
      <w:r>
        <w:rPr>
          <w:rStyle w:val="OperatorTok"/>
        </w:rPr>
        <w:t xml:space="preserve">.</w:t>
      </w:r>
      <w:r>
        <w:rPr>
          <w:rStyle w:val="FunctionTok"/>
        </w:rPr>
        <w:t xml:space="preserve">title</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rPr>
          <w:rStyle w:val="NormalTok"/>
        </w:rPr>
        <w:t xml:space="preserve">            </w:t>
      </w:r>
      <w:r>
        <w:rPr>
          <w:rStyle w:val="ControlFlowTok"/>
        </w:rPr>
        <w:t xml:space="preserve">return</w:t>
      </w:r>
      <w:r>
        <w:rPr>
          <w:rStyle w:val="NormalTok"/>
        </w:rPr>
        <w:t xml:space="preserve"> </w:t>
      </w:r>
      <w:r>
        <w:rPr>
          <w:rStyle w:val="VariableTok"/>
        </w:rPr>
        <w:t xml:space="preserve">$response</w:t>
      </w:r>
      <w:r>
        <w:br/>
      </w:r>
      <w:r>
        <w:rPr>
          <w:rStyle w:val="NormalTok"/>
        </w:rPr>
        <w:t xml:space="preserve">        </w:t>
      </w:r>
      <w:r>
        <w:rPr>
          <w:rStyle w:val="OperatorTok"/>
        </w:rPr>
        <w:t xml:space="preserve">}</w:t>
      </w:r>
      <w:r>
        <w:br/>
      </w:r>
      <w:r>
        <w:rPr>
          <w:rStyle w:val="NormalTok"/>
        </w:rPr>
        <w:t xml:space="preserve">        </w:t>
      </w:r>
      <w:r>
        <w:rPr>
          <w:rStyle w:val="ControlFlowTok"/>
        </w:rPr>
        <w:t xml:space="preserve">catch</w:t>
      </w:r>
      <w:r>
        <w:rPr>
          <w:rStyle w:val="NormalTok"/>
        </w:rPr>
        <w:t xml:space="preserve"> </w:t>
      </w:r>
      <w:r>
        <w:rPr>
          <w:rStyle w:val="OperatorTok"/>
        </w:rPr>
        <w:t xml:space="preserve">{</w:t>
      </w:r>
      <w:r>
        <w:br/>
      </w:r>
      <w:r>
        <w:rPr>
          <w:rStyle w:val="NormalTok"/>
        </w:rPr>
        <w:t xml:space="preserve">            </w:t>
      </w:r>
      <w:r>
        <w:rPr>
          <w:rStyle w:val="FunctionTok"/>
        </w:rPr>
        <w:t xml:space="preserve">Write-Error</w:t>
      </w:r>
      <w:r>
        <w:rPr>
          <w:rStyle w:val="NormalTok"/>
        </w:rPr>
        <w:t xml:space="preserve"> </w:t>
      </w:r>
      <w:r>
        <w:rPr>
          <w:rStyle w:val="StringTok"/>
        </w:rPr>
        <w:t xml:space="preserve">"Failed to create the drift issue: </w:t>
      </w:r>
      <w:r>
        <w:rPr>
          <w:rStyle w:val="VariableTok"/>
        </w:rPr>
        <w:t xml:space="preserve">$_</w:t>
      </w:r>
      <w:r>
        <w:rPr>
          <w:rStyle w:val="String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p>
    <w:bookmarkEnd w:id="1356"/>
    <w:bookmarkStart w:id="1357" w:name="the-orchestrator"/>
    <w:p>
      <w:pPr>
        <w:pStyle w:val="Heading4"/>
      </w:pPr>
      <w:r>
        <w:t xml:space="preserve">The orchestrator</w:t>
      </w:r>
    </w:p>
    <w:p>
      <w:pPr>
        <w:pStyle w:val="FirstParagraph"/>
      </w:pPr>
      <w:r>
        <w:rPr>
          <w:rStyle w:val="VerbatimChar"/>
        </w:rPr>
        <w:t xml:space="preserve">Invoke-FMPIdentityAssessment</w:t>
      </w:r>
      <w:r>
        <w:t xml:space="preserve"> </w:t>
      </w:r>
      <w:r>
        <w:t xml:space="preserve">runs the inventories, the Entra ID reports, and, with</w:t>
      </w:r>
      <w:r>
        <w:t xml:space="preserve"> </w:t>
      </w:r>
      <w:r>
        <w:rPr>
          <w:rStyle w:val="VerbatimChar"/>
        </w:rPr>
        <w:t xml:space="preserve">-Compare</w:t>
      </w:r>
      <w:r>
        <w:t xml:space="preserve">, a user-level drift comparison against a previous baseline.</w:t>
      </w:r>
      <w:r>
        <w:t xml:space="preserve"> </w:t>
      </w:r>
      <w:r>
        <w:rPr>
          <w:rStyle w:val="VerbatimChar"/>
        </w:rPr>
        <w:t xml:space="preserve">-CommitToGitea</w:t>
      </w:r>
      <w:r>
        <w:t xml:space="preserve"> </w:t>
      </w:r>
      <w:r>
        <w:t xml:space="preserve">opens an issue when drift is found; committing the new baseline to the repository is a separate</w:t>
      </w:r>
      <w:r>
        <w:t xml:space="preserve"> </w:t>
      </w:r>
      <w:r>
        <w:rPr>
          <w:rStyle w:val="VerbatimChar"/>
        </w:rPr>
        <w:t xml:space="preserve">git</w:t>
      </w:r>
      <w:r>
        <w:t xml:space="preserve"> </w:t>
      </w:r>
      <w:r>
        <w:t xml:space="preserve">step in the scheduled job. The earlier version printed an ASCII-art banner of a former program name; it’s been replaced with a plain header.</w:t>
      </w:r>
    </w:p>
    <w:p>
      <w:pPr>
        <w:pStyle w:val="SourceCode"/>
      </w:pPr>
      <w:r>
        <w:rPr>
          <w:rStyle w:val="KeywordTok"/>
        </w:rPr>
        <w:t xml:space="preserve">function</w:t>
      </w:r>
      <w:r>
        <w:rPr>
          <w:rStyle w:val="NormalTok"/>
        </w:rPr>
        <w:t xml:space="preserve"> Invoke-FMPIdentityAssessment </w:t>
      </w:r>
      <w:r>
        <w:rPr>
          <w:rStyle w:val="OperatorTok"/>
        </w:rPr>
        <w:t xml:space="preserve">{</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$SearchBase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DistinguishedName</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$VerifiedDomain</w:t>
      </w:r>
      <w:r>
        <w:rPr>
          <w:rStyle w:val="OperatorTok"/>
        </w:rPr>
        <w:t xml:space="preserve">,</w:t>
      </w:r>
      <w:r>
        <w:br/>
      </w:r>
      <w:r>
        <w:rPr>
          <w:rStyle w:val="NormalTok"/>
        </w:rPr>
        <w:t xml:space="preserve">        </w:t>
      </w:r>
      <w:r>
        <w:rPr>
          <w:rStyle w:val="OperatorTok"/>
        </w:rPr>
        <w:t xml:space="preserve">[</w:t>
      </w:r>
      <w:r>
        <w:rPr>
          <w:rStyle w:val="DataTypeTok"/>
        </w:rPr>
        <w:t xml:space="preserve">switch</w:t>
      </w:r>
      <w:r>
        <w:rPr>
          <w:rStyle w:val="OperatorTok"/>
        </w:rPr>
        <w:t xml:space="preserve">]</w:t>
      </w:r>
      <w:r>
        <w:rPr>
          <w:rStyle w:val="VariableTok"/>
        </w:rPr>
        <w:t xml:space="preserve">$Compare</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$PreviousBaselinePath</w:t>
      </w:r>
      <w:r>
        <w:rPr>
          <w:rStyle w:val="OperatorTok"/>
        </w:rPr>
        <w:t xml:space="preserve">,</w:t>
      </w:r>
      <w:r>
        <w:br/>
      </w:r>
      <w:r>
        <w:rPr>
          <w:rStyle w:val="NormalTok"/>
        </w:rPr>
        <w:t xml:space="preserve">        </w:t>
      </w:r>
      <w:r>
        <w:rPr>
          <w:rStyle w:val="OperatorTok"/>
        </w:rPr>
        <w:t xml:space="preserve">[</w:t>
      </w:r>
      <w:r>
        <w:rPr>
          <w:rStyle w:val="DataTypeTok"/>
        </w:rPr>
        <w:t xml:space="preserve">switch</w:t>
      </w:r>
      <w:r>
        <w:rPr>
          <w:rStyle w:val="OperatorTok"/>
        </w:rPr>
        <w:t xml:space="preserve">]</w:t>
      </w:r>
      <w:r>
        <w:rPr>
          <w:rStyle w:val="VariableTok"/>
        </w:rPr>
        <w:t xml:space="preserve">$CommitToGitea</w:t>
      </w:r>
      <w:r>
        <w:br/>
      </w:r>
      <w:r>
        <w:rPr>
          <w:rStyle w:val="NormalTok"/>
        </w:rPr>
        <w:t xml:space="preserve">    </w:t>
      </w:r>
      <w:r>
        <w:rPr>
          <w:rStyle w:val="OperatorTok"/>
        </w:rPr>
        <w:t xml:space="preserve">)</w:t>
      </w:r>
      <w:r>
        <w:br/>
      </w:r>
      <w:r>
        <w:br/>
      </w:r>
      <w:r>
        <w:rPr>
          <w:rStyle w:val="NormalTok"/>
        </w:rPr>
        <w:t xml:space="preserve">    </w:t>
      </w:r>
      <w:r>
        <w:rPr>
          <w:rStyle w:val="FunctionTok"/>
        </w:rPr>
        <w:t xml:space="preserve">Write-Host</w:t>
      </w:r>
      <w:r>
        <w:rPr>
          <w:rStyle w:val="NormalTok"/>
        </w:rPr>
        <w:t xml:space="preserve"> </w:t>
      </w:r>
      <w:r>
        <w:rPr>
          <w:rStyle w:val="StringTok"/>
        </w:rPr>
        <w:t xml:space="preserve">"Federal Modernization Program: identity modernization assessment v1.1.0"</w:t>
      </w:r>
      <w:r>
        <w:rPr>
          <w:rStyle w:val="NormalTok"/>
        </w:rPr>
        <w:t xml:space="preserve"> </w:t>
      </w:r>
      <w:r>
        <w:rPr>
          <w:rStyle w:val="OperatorTok"/>
        </w:rPr>
        <w:t xml:space="preserve">-</w:t>
      </w:r>
      <w:r>
        <w:rPr>
          <w:rStyle w:val="NormalTok"/>
        </w:rPr>
        <w:t xml:space="preserve">ForegroundColor Cyan</w:t>
      </w:r>
      <w:r>
        <w:br/>
      </w:r>
      <w:r>
        <w:rPr>
          <w:rStyle w:val="NormalTok"/>
        </w:rPr>
        <w:t xml:space="preserve">    </w:t>
      </w:r>
      <w:r>
        <w:rPr>
          <w:rStyle w:val="VariableTok"/>
        </w:rPr>
        <w:t xml:space="preserve">$assessmentPath</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$script</w:t>
      </w:r>
      <w:r>
        <w:rPr>
          <w:rStyle w:val="OperatorTok"/>
        </w:rPr>
        <w:t xml:space="preserve">:</w:t>
      </w:r>
      <w:r>
        <w:rPr>
          <w:rStyle w:val="VariableTok"/>
        </w:rPr>
        <w:t xml:space="preserve">ExportBasePath</w:t>
      </w:r>
      <w:r>
        <w:rPr>
          <w:rStyle w:val="StringTok"/>
        </w:rPr>
        <w:t xml:space="preserve">\Assessment_</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'yyyyMMdd_HHmmss'</w:t>
      </w:r>
      <w:r>
        <w:rPr>
          <w:rStyle w:val="OperatorTok"/>
        </w:rPr>
        <w:t xml:space="preserve">)</w:t>
      </w:r>
      <w:r>
        <w:rPr>
          <w:rStyle w:val="StringTok"/>
        </w:rPr>
        <w:t xml:space="preserve">"</w:t>
      </w:r>
      <w:r>
        <w:br/>
      </w:r>
      <w:r>
        <w:br/>
      </w:r>
      <w:r>
        <w:rPr>
          <w:rStyle w:val="NormalTok"/>
        </w:rPr>
        <w:t xml:space="preserve">    </w:t>
      </w:r>
      <w:r>
        <w:rPr>
          <w:rStyle w:val="FunctionTok"/>
        </w:rPr>
        <w:t xml:space="preserve">Write-Host</w:t>
      </w:r>
      <w:r>
        <w:rPr>
          <w:rStyle w:val="NormalTok"/>
        </w:rPr>
        <w:t xml:space="preserve"> </w:t>
      </w:r>
      <w:r>
        <w:rPr>
          <w:rStyle w:val="StringTok"/>
        </w:rPr>
        <w:t xml:space="preserve">"</w:t>
      </w:r>
      <w:r>
        <w:rPr>
          <w:rStyle w:val="CharTok"/>
        </w:rPr>
        <w:t xml:space="preserve">`n</w:t>
      </w:r>
      <w:r>
        <w:rPr>
          <w:rStyle w:val="StringTok"/>
        </w:rPr>
        <w:t xml:space="preserve">[1/4] Active Directory inventory"</w:t>
      </w:r>
      <w:r>
        <w:rPr>
          <w:rStyle w:val="NormalTok"/>
        </w:rPr>
        <w:t xml:space="preserve"> </w:t>
      </w:r>
      <w:r>
        <w:rPr>
          <w:rStyle w:val="OperatorTok"/>
        </w:rPr>
        <w:t xml:space="preserve">-</w:t>
      </w:r>
      <w:r>
        <w:rPr>
          <w:rStyle w:val="NormalTok"/>
        </w:rPr>
        <w:t xml:space="preserve">ForegroundColor Yellow</w:t>
      </w:r>
      <w:r>
        <w:br/>
      </w:r>
      <w:r>
        <w:rPr>
          <w:rStyle w:val="NormalTok"/>
        </w:rPr>
        <w:t xml:space="preserve">    Export-FMPIdentityBaseline </w:t>
      </w:r>
      <w:r>
        <w:rPr>
          <w:rStyle w:val="OperatorTok"/>
        </w:rPr>
        <w:t xml:space="preserve">-</w:t>
      </w:r>
      <w:r>
        <w:rPr>
          <w:rStyle w:val="NormalTok"/>
        </w:rPr>
        <w:t xml:space="preserve">SearchBase </w:t>
      </w:r>
      <w:r>
        <w:rPr>
          <w:rStyle w:val="VariableTok"/>
        </w:rPr>
        <w:t xml:space="preserve">$SearchBase</w:t>
      </w:r>
      <w:r>
        <w:rPr>
          <w:rStyle w:val="NormalTok"/>
        </w:rPr>
        <w:t xml:space="preserve"> </w:t>
      </w:r>
      <w:r>
        <w:rPr>
          <w:rStyle w:val="OperatorTok"/>
        </w:rPr>
        <w:t xml:space="preserve">-</w:t>
      </w:r>
      <w:r>
        <w:rPr>
          <w:rStyle w:val="NormalTok"/>
        </w:rPr>
        <w:t xml:space="preserve">BaselinePath </w:t>
      </w:r>
      <w:r>
        <w:rPr>
          <w:rStyle w:val="VariableTok"/>
        </w:rPr>
        <w:t xml:space="preserve">$assessmentPath</w:t>
      </w:r>
      <w:r>
        <w:rPr>
          <w:rStyle w:val="NormalTok"/>
        </w:rPr>
        <w:t xml:space="preserve"> </w:t>
      </w:r>
      <w:r>
        <w:rPr>
          <w:rStyle w:val="OperatorTok"/>
        </w:rPr>
        <w:t xml:space="preserve">-</w:t>
      </w:r>
      <w:r>
        <w:rPr>
          <w:rStyle w:val="NormalTok"/>
        </w:rPr>
        <w:t xml:space="preserve">VerifiedDomain </w:t>
      </w:r>
      <w:r>
        <w:rPr>
          <w:rStyle w:val="VariableTok"/>
        </w:rPr>
        <w:t xml:space="preserve">$VerifiedDomain</w:t>
      </w:r>
      <w:r>
        <w:br/>
      </w:r>
      <w:r>
        <w:br/>
      </w:r>
      <w:r>
        <w:rPr>
          <w:rStyle w:val="NormalTok"/>
        </w:rPr>
        <w:t xml:space="preserve">    </w:t>
      </w:r>
      <w:r>
        <w:rPr>
          <w:rStyle w:val="FunctionTok"/>
        </w:rPr>
        <w:t xml:space="preserve">Write-Host</w:t>
      </w:r>
      <w:r>
        <w:rPr>
          <w:rStyle w:val="NormalTok"/>
        </w:rPr>
        <w:t xml:space="preserve"> </w:t>
      </w:r>
      <w:r>
        <w:rPr>
          <w:rStyle w:val="StringTok"/>
        </w:rPr>
        <w:t xml:space="preserve">"</w:t>
      </w:r>
      <w:r>
        <w:rPr>
          <w:rStyle w:val="CharTok"/>
        </w:rPr>
        <w:t xml:space="preserve">`n</w:t>
      </w:r>
      <w:r>
        <w:rPr>
          <w:rStyle w:val="StringTok"/>
        </w:rPr>
        <w:t xml:space="preserve">[2/4] Entra ID privileged access"</w:t>
      </w:r>
      <w:r>
        <w:rPr>
          <w:rStyle w:val="NormalTok"/>
        </w:rPr>
        <w:t xml:space="preserve"> </w:t>
      </w:r>
      <w:r>
        <w:rPr>
          <w:rStyle w:val="OperatorTok"/>
        </w:rPr>
        <w:t xml:space="preserve">-</w:t>
      </w:r>
      <w:r>
        <w:rPr>
          <w:rStyle w:val="NormalTok"/>
        </w:rPr>
        <w:t xml:space="preserve">ForegroundColor Yellow</w:t>
      </w:r>
      <w:r>
        <w:br/>
      </w:r>
      <w:r>
        <w:rPr>
          <w:rStyle w:val="NormalTok"/>
        </w:rPr>
        <w:t xml:space="preserve">    Get-FMPPrivilegedAccessReport </w:t>
      </w:r>
      <w:r>
        <w:rPr>
          <w:rStyle w:val="OperatorTok"/>
        </w:rPr>
        <w:t xml:space="preserve">-</w:t>
      </w:r>
      <w:r>
        <w:rPr>
          <w:rStyle w:val="NormalTok"/>
        </w:rPr>
        <w:t xml:space="preserve">ExportPath </w:t>
      </w:r>
      <w:r>
        <w:rPr>
          <w:rStyle w:val="StringTok"/>
        </w:rPr>
        <w:t xml:space="preserve">"</w:t>
      </w:r>
      <w:r>
        <w:rPr>
          <w:rStyle w:val="VariableTok"/>
        </w:rPr>
        <w:t xml:space="preserve">$assessmentPath</w:t>
      </w:r>
      <w:r>
        <w:rPr>
          <w:rStyle w:val="StringTok"/>
        </w:rPr>
        <w:t xml:space="preserve">\privileged_access.json"</w:t>
      </w:r>
      <w:r>
        <w:rPr>
          <w:rStyle w:val="NormalTok"/>
        </w:rPr>
        <w:t xml:space="preserve"> </w:t>
      </w:r>
      <w:r>
        <w:rPr>
          <w:rStyle w:val="OperatorTok"/>
        </w:rPr>
        <w:t xml:space="preserve">|</w:t>
      </w:r>
      <w:r>
        <w:rPr>
          <w:rStyle w:val="NormalTok"/>
        </w:rPr>
        <w:t xml:space="preserve"> </w:t>
      </w:r>
      <w:r>
        <w:rPr>
          <w:rStyle w:val="FunctionTok"/>
        </w:rPr>
        <w:t xml:space="preserve">Out-Null</w:t>
      </w:r>
      <w:r>
        <w:br/>
      </w:r>
      <w:r>
        <w:br/>
      </w:r>
      <w:r>
        <w:rPr>
          <w:rStyle w:val="NormalTok"/>
        </w:rPr>
        <w:t xml:space="preserve">    </w:t>
      </w:r>
      <w:r>
        <w:rPr>
          <w:rStyle w:val="FunctionTok"/>
        </w:rPr>
        <w:t xml:space="preserve">Write-Host</w:t>
      </w:r>
      <w:r>
        <w:rPr>
          <w:rStyle w:val="NormalTok"/>
        </w:rPr>
        <w:t xml:space="preserve"> </w:t>
      </w:r>
      <w:r>
        <w:rPr>
          <w:rStyle w:val="StringTok"/>
        </w:rPr>
        <w:t xml:space="preserve">"</w:t>
      </w:r>
      <w:r>
        <w:rPr>
          <w:rStyle w:val="CharTok"/>
        </w:rPr>
        <w:t xml:space="preserve">`n</w:t>
      </w:r>
      <w:r>
        <w:rPr>
          <w:rStyle w:val="StringTok"/>
        </w:rPr>
        <w:t xml:space="preserve">[3/4] Legacy authentication"</w:t>
      </w:r>
      <w:r>
        <w:rPr>
          <w:rStyle w:val="NormalTok"/>
        </w:rPr>
        <w:t xml:space="preserve"> </w:t>
      </w:r>
      <w:r>
        <w:rPr>
          <w:rStyle w:val="OperatorTok"/>
        </w:rPr>
        <w:t xml:space="preserve">-</w:t>
      </w:r>
      <w:r>
        <w:rPr>
          <w:rStyle w:val="NormalTok"/>
        </w:rPr>
        <w:t xml:space="preserve">ForegroundColor Yellow</w:t>
      </w:r>
      <w:r>
        <w:br/>
      </w:r>
      <w:r>
        <w:rPr>
          <w:rStyle w:val="NormalTok"/>
        </w:rPr>
        <w:t xml:space="preserve">    Get-FMPLegacyAuthReport </w:t>
      </w:r>
      <w:r>
        <w:rPr>
          <w:rStyle w:val="OperatorTok"/>
        </w:rPr>
        <w:t xml:space="preserve">-</w:t>
      </w:r>
      <w:r>
        <w:rPr>
          <w:rStyle w:val="NormalTok"/>
        </w:rPr>
        <w:t xml:space="preserve">ExportPath </w:t>
      </w:r>
      <w:r>
        <w:rPr>
          <w:rStyle w:val="StringTok"/>
        </w:rPr>
        <w:t xml:space="preserve">"</w:t>
      </w:r>
      <w:r>
        <w:rPr>
          <w:rStyle w:val="VariableTok"/>
        </w:rPr>
        <w:t xml:space="preserve">$assessmentPath</w:t>
      </w:r>
      <w:r>
        <w:rPr>
          <w:rStyle w:val="StringTok"/>
        </w:rPr>
        <w:t xml:space="preserve">\legacy_auth.json"</w:t>
      </w:r>
      <w:r>
        <w:rPr>
          <w:rStyle w:val="NormalTok"/>
        </w:rPr>
        <w:t xml:space="preserve"> </w:t>
      </w:r>
      <w:r>
        <w:rPr>
          <w:rStyle w:val="OperatorTok"/>
        </w:rPr>
        <w:t xml:space="preserve">|</w:t>
      </w:r>
      <w:r>
        <w:rPr>
          <w:rStyle w:val="NormalTok"/>
        </w:rPr>
        <w:t xml:space="preserve"> </w:t>
      </w:r>
      <w:r>
        <w:rPr>
          <w:rStyle w:val="FunctionTok"/>
        </w:rPr>
        <w:t xml:space="preserve">Out-Null</w:t>
      </w:r>
      <w:r>
        <w:br/>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$Compare</w:t>
      </w:r>
      <w:r>
        <w:rPr>
          <w:rStyle w:val="NormalTok"/>
        </w:rPr>
        <w:t xml:space="preserve"> </w:t>
      </w:r>
      <w:r>
        <w:rPr>
          <w:rStyle w:val="OperatorTok"/>
        </w:rPr>
        <w:t xml:space="preserve">-and</w:t>
      </w:r>
      <w:r>
        <w:rPr>
          <w:rStyle w:val="NormalTok"/>
        </w:rPr>
        <w:t xml:space="preserve"> </w:t>
      </w:r>
      <w:r>
        <w:rPr>
          <w:rStyle w:val="VariableTok"/>
        </w:rPr>
        <w:t xml:space="preserve">$PreviousBaselinePath</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Write-Host</w:t>
      </w:r>
      <w:r>
        <w:rPr>
          <w:rStyle w:val="NormalTok"/>
        </w:rPr>
        <w:t xml:space="preserve"> </w:t>
      </w:r>
      <w:r>
        <w:rPr>
          <w:rStyle w:val="StringTok"/>
        </w:rPr>
        <w:t xml:space="preserve">"</w:t>
      </w:r>
      <w:r>
        <w:rPr>
          <w:rStyle w:val="CharTok"/>
        </w:rPr>
        <w:t xml:space="preserve">`n</w:t>
      </w:r>
      <w:r>
        <w:rPr>
          <w:rStyle w:val="StringTok"/>
        </w:rPr>
        <w:t xml:space="preserve">[4/4] Drift comparison"</w:t>
      </w:r>
      <w:r>
        <w:rPr>
          <w:rStyle w:val="NormalTok"/>
        </w:rPr>
        <w:t xml:space="preserve"> </w:t>
      </w:r>
      <w:r>
        <w:rPr>
          <w:rStyle w:val="OperatorTok"/>
        </w:rPr>
        <w:t xml:space="preserve">-</w:t>
      </w:r>
      <w:r>
        <w:rPr>
          <w:rStyle w:val="NormalTok"/>
        </w:rPr>
        <w:t xml:space="preserve">ForegroundColor Yellow</w:t>
      </w:r>
      <w:r>
        <w:br/>
      </w:r>
      <w:r>
        <w:rPr>
          <w:rStyle w:val="NormalTok"/>
        </w:rPr>
        <w:t xml:space="preserve">        </w:t>
      </w:r>
      <w:r>
        <w:rPr>
          <w:rStyle w:val="VariableTok"/>
        </w:rPr>
        <w:t xml:space="preserve">$currentUsers</w:t>
      </w:r>
      <w:r>
        <w:rPr>
          <w:rStyle w:val="NormalTok"/>
        </w:rPr>
        <w:t xml:space="preserve">  </w:t>
      </w:r>
      <w:r>
        <w:rPr>
          <w:rStyle w:val="OperatorTok"/>
        </w:rPr>
        <w:t xml:space="preserve">=</w:t>
      </w:r>
      <w:r>
        <w:rPr>
          <w:rStyle w:val="NormalTok"/>
        </w:rPr>
        <w:t xml:space="preserve"> </w:t>
      </w:r>
      <w:r>
        <w:rPr>
          <w:rStyle w:val="FunctionTok"/>
        </w:rPr>
        <w:t xml:space="preserve">Get-Content</w:t>
      </w:r>
      <w:r>
        <w:rPr>
          <w:rStyle w:val="NormalTok"/>
        </w:rPr>
        <w:t xml:space="preserve"> </w:t>
      </w:r>
      <w:r>
        <w:rPr>
          <w:rStyle w:val="StringTok"/>
        </w:rPr>
        <w:t xml:space="preserve">"</w:t>
      </w:r>
      <w:r>
        <w:rPr>
          <w:rStyle w:val="VariableTok"/>
        </w:rPr>
        <w:t xml:space="preserve">$assessmentPath</w:t>
      </w:r>
      <w:r>
        <w:rPr>
          <w:rStyle w:val="StringTok"/>
        </w:rPr>
        <w:t xml:space="preserve">\users.json"</w:t>
      </w:r>
      <w:r>
        <w:rPr>
          <w:rStyle w:val="NormalTok"/>
        </w:rPr>
        <w:t xml:space="preserve"> </w:t>
      </w:r>
      <w:r>
        <w:rPr>
          <w:rStyle w:val="OperatorTok"/>
        </w:rPr>
        <w:t xml:space="preserve">-</w:t>
      </w:r>
      <w:r>
        <w:rPr>
          <w:rStyle w:val="NormalTok"/>
        </w:rPr>
        <w:t xml:space="preserve">Raw </w:t>
      </w:r>
      <w:r>
        <w:rPr>
          <w:rStyle w:val="OperatorTok"/>
        </w:rPr>
        <w:t xml:space="preserve">|</w:t>
      </w:r>
      <w:r>
        <w:rPr>
          <w:rStyle w:val="NormalTok"/>
        </w:rPr>
        <w:t xml:space="preserve"> </w:t>
      </w:r>
      <w:r>
        <w:rPr>
          <w:rStyle w:val="FunctionTok"/>
        </w:rPr>
        <w:t xml:space="preserve">ConvertFrom-Json</w:t>
      </w:r>
      <w:r>
        <w:br/>
      </w:r>
      <w:r>
        <w:rPr>
          <w:rStyle w:val="NormalTok"/>
        </w:rPr>
        <w:t xml:space="preserve">        </w:t>
      </w:r>
      <w:r>
        <w:rPr>
          <w:rStyle w:val="VariableTok"/>
        </w:rPr>
        <w:t xml:space="preserve">$previousUsers</w:t>
      </w:r>
      <w:r>
        <w:rPr>
          <w:rStyle w:val="NormalTok"/>
        </w:rPr>
        <w:t xml:space="preserve"> </w:t>
      </w:r>
      <w:r>
        <w:rPr>
          <w:rStyle w:val="OperatorTok"/>
        </w:rPr>
        <w:t xml:space="preserve">=</w:t>
      </w:r>
      <w:r>
        <w:rPr>
          <w:rStyle w:val="NormalTok"/>
        </w:rPr>
        <w:t xml:space="preserve"> </w:t>
      </w:r>
      <w:r>
        <w:rPr>
          <w:rStyle w:val="FunctionTok"/>
        </w:rPr>
        <w:t xml:space="preserve">Get-Content</w:t>
      </w:r>
      <w:r>
        <w:rPr>
          <w:rStyle w:val="NormalTok"/>
        </w:rPr>
        <w:t xml:space="preserve"> </w:t>
      </w:r>
      <w:r>
        <w:rPr>
          <w:rStyle w:val="StringTok"/>
        </w:rPr>
        <w:t xml:space="preserve">"</w:t>
      </w:r>
      <w:r>
        <w:rPr>
          <w:rStyle w:val="VariableTok"/>
        </w:rPr>
        <w:t xml:space="preserve">$PreviousBaselinePath</w:t>
      </w:r>
      <w:r>
        <w:rPr>
          <w:rStyle w:val="StringTok"/>
        </w:rPr>
        <w:t xml:space="preserve">\users.json"</w:t>
      </w:r>
      <w:r>
        <w:rPr>
          <w:rStyle w:val="NormalTok"/>
        </w:rPr>
        <w:t xml:space="preserve"> </w:t>
      </w:r>
      <w:r>
        <w:rPr>
          <w:rStyle w:val="OperatorTok"/>
        </w:rPr>
        <w:t xml:space="preserve">-</w:t>
      </w:r>
      <w:r>
        <w:rPr>
          <w:rStyle w:val="NormalTok"/>
        </w:rPr>
        <w:t xml:space="preserve">Raw </w:t>
      </w:r>
      <w:r>
        <w:rPr>
          <w:rStyle w:val="OperatorTok"/>
        </w:rPr>
        <w:t xml:space="preserve">|</w:t>
      </w:r>
      <w:r>
        <w:rPr>
          <w:rStyle w:val="NormalTok"/>
        </w:rPr>
        <w:t xml:space="preserve"> </w:t>
      </w:r>
      <w:r>
        <w:rPr>
          <w:rStyle w:val="FunctionTok"/>
        </w:rPr>
        <w:t xml:space="preserve">ConvertFrom-Json</w:t>
      </w:r>
      <w:r>
        <w:br/>
      </w:r>
      <w:r>
        <w:br/>
      </w:r>
      <w:r>
        <w:rPr>
          <w:rStyle w:val="NormalTok"/>
        </w:rPr>
        <w:t xml:space="preserve">        </w:t>
      </w:r>
      <w:r>
        <w:rPr>
          <w:rStyle w:val="VariableTok"/>
        </w:rPr>
        <w:t xml:space="preserve">$newUsers</w:t>
      </w:r>
      <w:r>
        <w:rPr>
          <w:rStyle w:val="NormalTok"/>
        </w:rPr>
        <w:t xml:space="preserve">     </w:t>
      </w:r>
      <w:r>
        <w:rPr>
          <w:rStyle w:val="OperatorTok"/>
        </w:rPr>
        <w:t xml:space="preserve">=</w:t>
      </w:r>
      <w:r>
        <w:rPr>
          <w:rStyle w:val="NormalTok"/>
        </w:rPr>
        <w:t xml:space="preserve"> </w:t>
      </w:r>
      <w:r>
        <w:rPr>
          <w:rStyle w:val="VariableTok"/>
        </w:rPr>
        <w:t xml:space="preserve">$currentUsers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SamAccountName</w:t>
      </w:r>
      <w:r>
        <w:rPr>
          <w:rStyle w:val="NormalTok"/>
        </w:rPr>
        <w:t xml:space="preserve"> </w:t>
      </w:r>
      <w:r>
        <w:rPr>
          <w:rStyle w:val="OperatorTok"/>
        </w:rPr>
        <w:t xml:space="preserve">-</w:t>
      </w:r>
      <w:r>
        <w:rPr>
          <w:rStyle w:val="NormalTok"/>
        </w:rPr>
        <w:t xml:space="preserve">notin </w:t>
      </w:r>
      <w:r>
        <w:rPr>
          <w:rStyle w:val="VariableTok"/>
        </w:rPr>
        <w:t xml:space="preserve">$previousUsers</w:t>
      </w:r>
      <w:r>
        <w:rPr>
          <w:rStyle w:val="OperatorTok"/>
        </w:rPr>
        <w:t xml:space="preserve">.</w:t>
      </w:r>
      <w:r>
        <w:rPr>
          <w:rStyle w:val="FunctionTok"/>
        </w:rPr>
        <w:t xml:space="preserve">SamAccountName</w:t>
      </w:r>
      <w:r>
        <w:rPr>
          <w:rStyle w:val="NormalTok"/>
        </w:rPr>
        <w:t xml:space="preserve"> </w:t>
      </w:r>
      <w:r>
        <w:rPr>
          <w:rStyle w:val="OperatorTok"/>
        </w:rPr>
        <w:t xml:space="preserve">}</w:t>
      </w:r>
      <w:r>
        <w:br/>
      </w:r>
      <w:r>
        <w:rPr>
          <w:rStyle w:val="NormalTok"/>
        </w:rPr>
        <w:t xml:space="preserve">        </w:t>
      </w:r>
      <w:r>
        <w:rPr>
          <w:rStyle w:val="VariableTok"/>
        </w:rPr>
        <w:t xml:space="preserve">$removedUsers</w:t>
      </w:r>
      <w:r>
        <w:rPr>
          <w:rStyle w:val="NormalTok"/>
        </w:rPr>
        <w:t xml:space="preserve"> </w:t>
      </w:r>
      <w:r>
        <w:rPr>
          <w:rStyle w:val="OperatorTok"/>
        </w:rPr>
        <w:t xml:space="preserve">=</w:t>
      </w:r>
      <w:r>
        <w:rPr>
          <w:rStyle w:val="NormalTok"/>
        </w:rPr>
        <w:t xml:space="preserve"> </w:t>
      </w:r>
      <w:r>
        <w:rPr>
          <w:rStyle w:val="VariableTok"/>
        </w:rPr>
        <w:t xml:space="preserve">$previousUsers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SamAccountName</w:t>
      </w:r>
      <w:r>
        <w:rPr>
          <w:rStyle w:val="NormalTok"/>
        </w:rPr>
        <w:t xml:space="preserve"> </w:t>
      </w:r>
      <w:r>
        <w:rPr>
          <w:rStyle w:val="OperatorTok"/>
        </w:rPr>
        <w:t xml:space="preserve">-</w:t>
      </w:r>
      <w:r>
        <w:rPr>
          <w:rStyle w:val="NormalTok"/>
        </w:rPr>
        <w:t xml:space="preserve">notin </w:t>
      </w:r>
      <w:r>
        <w:rPr>
          <w:rStyle w:val="VariableTok"/>
        </w:rPr>
        <w:t xml:space="preserve">$currentUsers</w:t>
      </w:r>
      <w:r>
        <w:rPr>
          <w:rStyle w:val="OperatorTok"/>
        </w:rPr>
        <w:t xml:space="preserve">.</w:t>
      </w:r>
      <w:r>
        <w:rPr>
          <w:rStyle w:val="FunctionTok"/>
        </w:rPr>
        <w:t xml:space="preserve">SamAccountName</w:t>
      </w:r>
      <w:r>
        <w:rPr>
          <w:rStyle w:val="NormalTok"/>
        </w:rPr>
        <w:t xml:space="preserve"> </w:t>
      </w:r>
      <w:r>
        <w:rPr>
          <w:rStyle w:val="OperatorTok"/>
        </w:rPr>
        <w:t xml:space="preserve">}</w:t>
      </w:r>
      <w:r>
        <w:br/>
      </w:r>
      <w:r>
        <w:br/>
      </w:r>
      <w:r>
        <w:rPr>
          <w:rStyle w:val="NormalTok"/>
        </w:rPr>
        <w:t xml:space="preserve">        </w:t>
      </w:r>
      <w:r>
        <w:rPr>
          <w:rStyle w:val="VariableTok"/>
        </w:rPr>
        <w:t xml:space="preserve">$drift</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NewUsers      </w:t>
      </w:r>
      <w:r>
        <w:rPr>
          <w:rStyle w:val="OperatorTok"/>
        </w:rPr>
        <w:t xml:space="preserve">=</w:t>
      </w:r>
      <w:r>
        <w:rPr>
          <w:rStyle w:val="NormalTok"/>
        </w:rPr>
        <w:t xml:space="preserve"> </w:t>
      </w:r>
      <w:r>
        <w:rPr>
          <w:rStyle w:val="OperatorTok"/>
        </w:rPr>
        <w:t xml:space="preserve">@(</w:t>
      </w:r>
      <w:r>
        <w:rPr>
          <w:rStyle w:val="VariableTok"/>
        </w:rPr>
        <w:t xml:space="preserve">$newUsers</w:t>
      </w:r>
      <w:r>
        <w:rPr>
          <w:rStyle w:val="OperatorTok"/>
        </w:rPr>
        <w:t xml:space="preserve">).</w:t>
      </w:r>
      <w:r>
        <w:rPr>
          <w:rStyle w:val="FunctionTok"/>
        </w:rPr>
        <w:t xml:space="preserve">Count</w:t>
      </w:r>
      <w:r>
        <w:br/>
      </w:r>
      <w:r>
        <w:rPr>
          <w:rStyle w:val="NormalTok"/>
        </w:rPr>
        <w:t xml:space="preserve">            RemovedUsers  </w:t>
      </w:r>
      <w:r>
        <w:rPr>
          <w:rStyle w:val="OperatorTok"/>
        </w:rPr>
        <w:t xml:space="preserve">=</w:t>
      </w:r>
      <w:r>
        <w:rPr>
          <w:rStyle w:val="NormalTok"/>
        </w:rPr>
        <w:t xml:space="preserve"> </w:t>
      </w:r>
      <w:r>
        <w:rPr>
          <w:rStyle w:val="OperatorTok"/>
        </w:rPr>
        <w:t xml:space="preserve">@(</w:t>
      </w:r>
      <w:r>
        <w:rPr>
          <w:rStyle w:val="VariableTok"/>
        </w:rPr>
        <w:t xml:space="preserve">$removedUsers</w:t>
      </w:r>
      <w:r>
        <w:rPr>
          <w:rStyle w:val="OperatorTok"/>
        </w:rPr>
        <w:t xml:space="preserve">).</w:t>
      </w:r>
      <w:r>
        <w:rPr>
          <w:rStyle w:val="FunctionTok"/>
        </w:rPr>
        <w:t xml:space="preserve">Count</w:t>
      </w:r>
      <w:r>
        <w:br/>
      </w:r>
      <w:r>
        <w:rPr>
          <w:rStyle w:val="NormalTok"/>
        </w:rPr>
        <w:t xml:space="preserve">            TotalCurrent  </w:t>
      </w:r>
      <w:r>
        <w:rPr>
          <w:rStyle w:val="OperatorTok"/>
        </w:rPr>
        <w:t xml:space="preserve">=</w:t>
      </w:r>
      <w:r>
        <w:rPr>
          <w:rStyle w:val="NormalTok"/>
        </w:rPr>
        <w:t xml:space="preserve"> </w:t>
      </w:r>
      <w:r>
        <w:rPr>
          <w:rStyle w:val="OperatorTok"/>
        </w:rPr>
        <w:t xml:space="preserve">@(</w:t>
      </w:r>
      <w:r>
        <w:rPr>
          <w:rStyle w:val="VariableTok"/>
        </w:rPr>
        <w:t xml:space="preserve">$currentUsers</w:t>
      </w:r>
      <w:r>
        <w:rPr>
          <w:rStyle w:val="OperatorTok"/>
        </w:rPr>
        <w:t xml:space="preserve">).</w:t>
      </w:r>
      <w:r>
        <w:rPr>
          <w:rStyle w:val="FunctionTok"/>
        </w:rPr>
        <w:t xml:space="preserve">Count</w:t>
      </w:r>
      <w:r>
        <w:br/>
      </w:r>
      <w:r>
        <w:rPr>
          <w:rStyle w:val="NormalTok"/>
        </w:rPr>
        <w:t xml:space="preserve">            TotalPrevious </w:t>
      </w:r>
      <w:r>
        <w:rPr>
          <w:rStyle w:val="OperatorTok"/>
        </w:rPr>
        <w:t xml:space="preserve">=</w:t>
      </w:r>
      <w:r>
        <w:rPr>
          <w:rStyle w:val="NormalTok"/>
        </w:rPr>
        <w:t xml:space="preserve"> </w:t>
      </w:r>
      <w:r>
        <w:rPr>
          <w:rStyle w:val="OperatorTok"/>
        </w:rPr>
        <w:t xml:space="preserve">@(</w:t>
      </w:r>
      <w:r>
        <w:rPr>
          <w:rStyle w:val="VariableTok"/>
        </w:rPr>
        <w:t xml:space="preserve">$previousUsers</w:t>
      </w:r>
      <w:r>
        <w:rPr>
          <w:rStyle w:val="OperatorTok"/>
        </w:rPr>
        <w:t xml:space="preserve">).</w:t>
      </w:r>
      <w:r>
        <w:rPr>
          <w:rStyle w:val="FunctionTok"/>
        </w:rPr>
        <w:t xml:space="preserve">Count</w:t>
      </w:r>
      <w:r>
        <w:br/>
      </w:r>
      <w:r>
        <w:rPr>
          <w:rStyle w:val="NormalTok"/>
        </w:rPr>
        <w:t xml:space="preserve">            NewUserNames     </w:t>
      </w:r>
      <w:r>
        <w:rPr>
          <w:rStyle w:val="OperatorTok"/>
        </w:rPr>
        <w:t xml:space="preserve">=</w:t>
      </w:r>
      <w:r>
        <w:rPr>
          <w:rStyle w:val="NormalTok"/>
        </w:rPr>
        <w:t xml:space="preserve"> </w:t>
      </w:r>
      <w:r>
        <w:rPr>
          <w:rStyle w:val="OperatorTok"/>
        </w:rPr>
        <w:t xml:space="preserve">@(</w:t>
      </w:r>
      <w:r>
        <w:rPr>
          <w:rStyle w:val="VariableTok"/>
        </w:rPr>
        <w:t xml:space="preserve">$newUsers</w:t>
      </w:r>
      <w:r>
        <w:rPr>
          <w:rStyle w:val="OperatorTok"/>
        </w:rPr>
        <w:t xml:space="preserve">.</w:t>
      </w:r>
      <w:r>
        <w:rPr>
          <w:rStyle w:val="FunctionTok"/>
        </w:rPr>
        <w:t xml:space="preserve">SamAccountName</w:t>
      </w:r>
      <w:r>
        <w:rPr>
          <w:rStyle w:val="OperatorTok"/>
        </w:rPr>
        <w:t xml:space="preserve">)</w:t>
      </w:r>
      <w:r>
        <w:br/>
      </w:r>
      <w:r>
        <w:rPr>
          <w:rStyle w:val="NormalTok"/>
        </w:rPr>
        <w:t xml:space="preserve">            RemovedUserNames </w:t>
      </w:r>
      <w:r>
        <w:rPr>
          <w:rStyle w:val="OperatorTok"/>
        </w:rPr>
        <w:t xml:space="preserve">=</w:t>
      </w:r>
      <w:r>
        <w:rPr>
          <w:rStyle w:val="NormalTok"/>
        </w:rPr>
        <w:t xml:space="preserve"> </w:t>
      </w:r>
      <w:r>
        <w:rPr>
          <w:rStyle w:val="OperatorTok"/>
        </w:rPr>
        <w:t xml:space="preserve">@(</w:t>
      </w:r>
      <w:r>
        <w:rPr>
          <w:rStyle w:val="VariableTok"/>
        </w:rPr>
        <w:t xml:space="preserve">$removedUsers</w:t>
      </w:r>
      <w:r>
        <w:rPr>
          <w:rStyle w:val="OperatorTok"/>
        </w:rPr>
        <w:t xml:space="preserve">.</w:t>
      </w:r>
      <w:r>
        <w:rPr>
          <w:rStyle w:val="FunctionTok"/>
        </w:rPr>
        <w:t xml:space="preserve">SamAccountName</w:t>
      </w:r>
      <w:r>
        <w:rPr>
          <w:rStyle w:val="OperatorTok"/>
        </w:rPr>
        <w:t xml:space="preserve">)</w:t>
      </w:r>
      <w:r>
        <w:br/>
      </w:r>
      <w:r>
        <w:rPr>
          <w:rStyle w:val="NormalTok"/>
        </w:rPr>
        <w:t xml:space="preserve">            DriftDetected </w:t>
      </w:r>
      <w:r>
        <w:rPr>
          <w:rStyle w:val="OperatorTok"/>
        </w:rPr>
        <w:t xml:space="preserve">=</w:t>
      </w:r>
      <w:r>
        <w:rPr>
          <w:rStyle w:val="NormalTok"/>
        </w:rPr>
        <w:t xml:space="preserve"> </w:t>
      </w:r>
      <w:r>
        <w:rPr>
          <w:rStyle w:val="OperatorTok"/>
        </w:rPr>
        <w:t xml:space="preserve">(@(</w:t>
      </w:r>
      <w:r>
        <w:rPr>
          <w:rStyle w:val="VariableTok"/>
        </w:rPr>
        <w:t xml:space="preserve">$newUsers</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$removedUsers</w:t>
      </w:r>
      <w:r>
        <w:rPr>
          <w:rStyle w:val="OperatorTok"/>
        </w:rPr>
        <w:t xml:space="preserve">).</w:t>
      </w:r>
      <w:r>
        <w:rPr>
          <w:rStyle w:val="FunctionTok"/>
        </w:rPr>
        <w:t xml:space="preserve">Count</w:t>
      </w:r>
      <w:r>
        <w:rPr>
          <w:rStyle w:val="OperatorTok"/>
        </w:rPr>
        <w:t xml:space="preserve">)</w:t>
      </w:r>
      <w:r>
        <w:rPr>
          <w:rStyle w:val="NormalTok"/>
        </w:rPr>
        <w:t xml:space="preserve"> </w:t>
      </w:r>
      <w:r>
        <w:rPr>
          <w:rStyle w:val="OperatorTok"/>
        </w:rPr>
        <w:t xml:space="preserve">-gt</w:t>
      </w:r>
      <w:r>
        <w:rPr>
          <w:rStyle w:val="NormalTok"/>
        </w:rPr>
        <w:t xml:space="preserve"> </w:t>
      </w:r>
      <w:r>
        <w:rPr>
          <w:rStyle w:val="DecValTok"/>
        </w:rPr>
        <w:t xml:space="preserve">0</w:t>
      </w:r>
      <w:r>
        <w:br/>
      </w:r>
      <w:r>
        <w:rPr>
          <w:rStyle w:val="NormalTok"/>
        </w:rPr>
        <w:t xml:space="preserve">        </w:t>
      </w:r>
      <w:r>
        <w:rPr>
          <w:rStyle w:val="OperatorTok"/>
        </w:rPr>
        <w:t xml:space="preserve">}</w:t>
      </w:r>
      <w:r>
        <w:br/>
      </w:r>
      <w:r>
        <w:rPr>
          <w:rStyle w:val="NormalTok"/>
        </w:rPr>
        <w:t xml:space="preserve">        </w:t>
      </w:r>
      <w:r>
        <w:rPr>
          <w:rStyle w:val="VariableTok"/>
        </w:rPr>
        <w:t xml:space="preserve">$drift</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4</w:t>
      </w:r>
      <w:r>
        <w:rPr>
          <w:rStyle w:val="NormalTok"/>
        </w:rPr>
        <w:t xml:space="preserve"> </w:t>
      </w:r>
      <w:r>
        <w:rPr>
          <w:rStyle w:val="OperatorTok"/>
        </w:rPr>
        <w:t xml:space="preserve">|</w:t>
      </w:r>
      <w:r>
        <w:rPr>
          <w:rStyle w:val="NormalTok"/>
        </w:rPr>
        <w:t xml:space="preserve"> </w:t>
      </w:r>
      <w:r>
        <w:rPr>
          <w:rStyle w:val="FunctionTok"/>
        </w:rPr>
        <w:t xml:space="preserve">Out-File</w:t>
      </w:r>
      <w:r>
        <w:rPr>
          <w:rStyle w:val="NormalTok"/>
        </w:rPr>
        <w:t xml:space="preserve"> </w:t>
      </w:r>
      <w:r>
        <w:rPr>
          <w:rStyle w:val="OperatorTok"/>
        </w:rPr>
        <w:t xml:space="preserve">-</w:t>
      </w:r>
      <w:r>
        <w:rPr>
          <w:rStyle w:val="NormalTok"/>
        </w:rPr>
        <w:t xml:space="preserve">FilePath </w:t>
      </w:r>
      <w:r>
        <w:rPr>
          <w:rStyle w:val="StringTok"/>
        </w:rPr>
        <w:t xml:space="preserve">"</w:t>
      </w:r>
      <w:r>
        <w:rPr>
          <w:rStyle w:val="VariableTok"/>
        </w:rPr>
        <w:t xml:space="preserve">$assessmentPath</w:t>
      </w:r>
      <w:r>
        <w:rPr>
          <w:rStyle w:val="StringTok"/>
        </w:rPr>
        <w:t xml:space="preserve">\drift_report.json"</w:t>
      </w:r>
      <w:r>
        <w:rPr>
          <w:rStyle w:val="NormalTok"/>
        </w:rPr>
        <w:t xml:space="preserve"> </w:t>
      </w:r>
      <w:r>
        <w:rPr>
          <w:rStyle w:val="OperatorTok"/>
        </w:rPr>
        <w:t xml:space="preserve">-</w:t>
      </w:r>
      <w:r>
        <w:rPr>
          <w:rStyle w:val="NormalTok"/>
        </w:rPr>
        <w:t xml:space="preserve">Encoding UTF8</w:t>
      </w:r>
      <w:r>
        <w:br/>
      </w:r>
      <w:r>
        <w:rPr>
          <w:rStyle w:val="NormalTok"/>
        </w:rPr>
        <w:t xml:space="preserve">        </w:t>
      </w:r>
      <w:r>
        <w:rPr>
          <w:rStyle w:val="FunctionTok"/>
        </w:rPr>
        <w:t xml:space="preserve">Write-Host</w:t>
      </w:r>
      <w:r>
        <w:rPr>
          <w:rStyle w:val="NormalTok"/>
        </w:rPr>
        <w:t xml:space="preserve"> </w:t>
      </w:r>
      <w:r>
        <w:rPr>
          <w:rStyle w:val="StringTok"/>
        </w:rPr>
        <w:t xml:space="preserve">"Drift: </w:t>
      </w:r>
      <w:r>
        <w:rPr>
          <w:rStyle w:val="OperatorTok"/>
        </w:rPr>
        <w:t xml:space="preserve">$(</w:t>
      </w:r>
      <w:r>
        <w:rPr>
          <w:rStyle w:val="VariableTok"/>
        </w:rPr>
        <w:t xml:space="preserve">$drift</w:t>
      </w:r>
      <w:r>
        <w:rPr>
          <w:rStyle w:val="OperatorTok"/>
        </w:rPr>
        <w:t xml:space="preserve">.</w:t>
      </w:r>
      <w:r>
        <w:rPr>
          <w:rStyle w:val="FunctionTok"/>
        </w:rPr>
        <w:t xml:space="preserve">NewUsers</w:t>
      </w:r>
      <w:r>
        <w:rPr>
          <w:rStyle w:val="OperatorTok"/>
        </w:rPr>
        <w:t xml:space="preserve">)</w:t>
      </w:r>
      <w:r>
        <w:rPr>
          <w:rStyle w:val="StringTok"/>
        </w:rPr>
        <w:t xml:space="preserve"> new, </w:t>
      </w:r>
      <w:r>
        <w:rPr>
          <w:rStyle w:val="OperatorTok"/>
        </w:rPr>
        <w:t xml:space="preserve">$(</w:t>
      </w:r>
      <w:r>
        <w:rPr>
          <w:rStyle w:val="VariableTok"/>
        </w:rPr>
        <w:t xml:space="preserve">$drift</w:t>
      </w:r>
      <w:r>
        <w:rPr>
          <w:rStyle w:val="OperatorTok"/>
        </w:rPr>
        <w:t xml:space="preserve">.</w:t>
      </w:r>
      <w:r>
        <w:rPr>
          <w:rStyle w:val="FunctionTok"/>
        </w:rPr>
        <w:t xml:space="preserve">RemovedUsers</w:t>
      </w:r>
      <w:r>
        <w:rPr>
          <w:rStyle w:val="OperatorTok"/>
        </w:rPr>
        <w:t xml:space="preserve">)</w:t>
      </w:r>
      <w:r>
        <w:rPr>
          <w:rStyle w:val="StringTok"/>
        </w:rPr>
        <w:t xml:space="preserve"> removed"</w:t>
      </w:r>
      <w:r>
        <w:rPr>
          <w:rStyle w:val="NormalTok"/>
        </w:rPr>
        <w:t xml:space="preserve"> </w:t>
      </w:r>
      <w:r>
        <w:rPr>
          <w:rStyle w:val="OperatorTok"/>
        </w:rPr>
        <w:t xml:space="preserve">-</w:t>
      </w:r>
      <w:r>
        <w:rPr>
          <w:rStyle w:val="NormalTok"/>
        </w:rPr>
        <w:t xml:space="preserve">ForegroundColor </w:t>
      </w:r>
      <w:r>
        <w:rPr>
          <w:rStyle w:val="OperatorTok"/>
        </w:rPr>
        <w:t xml:space="preserve">$(</w:t>
      </w:r>
      <w:r>
        <w:rPr>
          <w:rStyle w:val="ControlFlowTok"/>
        </w:rPr>
        <w:t xml:space="preserve">if</w:t>
      </w:r>
      <w:r>
        <w:rPr>
          <w:rStyle w:val="NormalTok"/>
        </w:rPr>
        <w:t xml:space="preserve"> </w:t>
      </w:r>
      <w:r>
        <w:rPr>
          <w:rStyle w:val="OperatorTok"/>
        </w:rPr>
        <w:t xml:space="preserve">(</w:t>
      </w:r>
      <w:r>
        <w:rPr>
          <w:rStyle w:val="VariableTok"/>
        </w:rPr>
        <w:t xml:space="preserve">$drift</w:t>
      </w:r>
      <w:r>
        <w:rPr>
          <w:rStyle w:val="OperatorTok"/>
        </w:rPr>
        <w:t xml:space="preserve">.</w:t>
      </w:r>
      <w:r>
        <w:rPr>
          <w:rStyle w:val="FunctionTok"/>
        </w:rPr>
        <w:t xml:space="preserve">DriftDetected</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'Yellow'</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'Green'</w:t>
      </w:r>
      <w:r>
        <w:rPr>
          <w:rStyle w:val="NormalTok"/>
        </w:rPr>
        <w:t xml:space="preserve"> </w:t>
      </w:r>
      <w:r>
        <w:rPr>
          <w:rStyle w:val="OperatorTok"/>
        </w:rPr>
        <w:t xml:space="preserve">})</w:t>
      </w:r>
      <w:r>
        <w:br/>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$CommitToGitea</w:t>
      </w:r>
      <w:r>
        <w:rPr>
          <w:rStyle w:val="NormalTok"/>
        </w:rPr>
        <w:t xml:space="preserve"> </w:t>
      </w:r>
      <w:r>
        <w:rPr>
          <w:rStyle w:val="OperatorTok"/>
        </w:rPr>
        <w:t xml:space="preserve">-and</w:t>
      </w:r>
      <w:r>
        <w:rPr>
          <w:rStyle w:val="NormalTok"/>
        </w:rPr>
        <w:t xml:space="preserve"> </w:t>
      </w:r>
      <w:r>
        <w:rPr>
          <w:rStyle w:val="VariableTok"/>
        </w:rPr>
        <w:t xml:space="preserve">$drift</w:t>
      </w:r>
      <w:r>
        <w:rPr>
          <w:rStyle w:val="OperatorTok"/>
        </w:rPr>
        <w:t xml:space="preserve">.</w:t>
      </w:r>
      <w:r>
        <w:rPr>
          <w:rStyle w:val="FunctionTok"/>
        </w:rPr>
        <w:t xml:space="preserve">DriftDetected</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$total</w:t>
      </w:r>
      <w:r>
        <w:rPr>
          <w:rStyle w:val="NormalTok"/>
        </w:rPr>
        <w:t xml:space="preserve"> </w:t>
      </w:r>
      <w:r>
        <w:rPr>
          <w:rStyle w:val="OperatorTok"/>
        </w:rPr>
        <w:t xml:space="preserve">=</w:t>
      </w:r>
      <w:r>
        <w:rPr>
          <w:rStyle w:val="NormalTok"/>
        </w:rPr>
        <w:t xml:space="preserve"> </w:t>
      </w:r>
      <w:r>
        <w:rPr>
          <w:rStyle w:val="VariableTok"/>
        </w:rPr>
        <w:t xml:space="preserve">$drift</w:t>
      </w:r>
      <w:r>
        <w:rPr>
          <w:rStyle w:val="OperatorTok"/>
        </w:rPr>
        <w:t xml:space="preserve">.</w:t>
      </w:r>
      <w:r>
        <w:rPr>
          <w:rStyle w:val="FunctionTok"/>
        </w:rPr>
        <w:t xml:space="preserve">NewUsers</w:t>
      </w:r>
      <w:r>
        <w:rPr>
          <w:rStyle w:val="NormalTok"/>
        </w:rPr>
        <w:t xml:space="preserve"> </w:t>
      </w:r>
      <w:r>
        <w:rPr>
          <w:rStyle w:val="OperatorTok"/>
        </w:rPr>
        <w:t xml:space="preserve">+</w:t>
      </w:r>
      <w:r>
        <w:rPr>
          <w:rStyle w:val="NormalTok"/>
        </w:rPr>
        <w:t xml:space="preserve"> </w:t>
      </w:r>
      <w:r>
        <w:rPr>
          <w:rStyle w:val="VariableTok"/>
        </w:rPr>
        <w:t xml:space="preserve">$drift</w:t>
      </w:r>
      <w:r>
        <w:rPr>
          <w:rStyle w:val="OperatorTok"/>
        </w:rPr>
        <w:t xml:space="preserve">.</w:t>
      </w:r>
      <w:r>
        <w:rPr>
          <w:rStyle w:val="FunctionTok"/>
        </w:rPr>
        <w:t xml:space="preserve">RemovedUsers</w:t>
      </w:r>
      <w:r>
        <w:br/>
      </w:r>
      <w:r>
        <w:rPr>
          <w:rStyle w:val="NormalTok"/>
        </w:rPr>
        <w:t xml:space="preserve">            </w:t>
      </w:r>
      <w:r>
        <w:rPr>
          <w:rStyle w:val="VariableTok"/>
        </w:rPr>
        <w:t xml:space="preserve">$severity</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$total</w:t>
      </w:r>
      <w:r>
        <w:rPr>
          <w:rStyle w:val="NormalTok"/>
        </w:rPr>
        <w:t xml:space="preserve"> </w:t>
      </w:r>
      <w:r>
        <w:rPr>
          <w:rStyle w:val="OperatorTok"/>
        </w:rPr>
        <w:t xml:space="preserve">-gt</w:t>
      </w:r>
      <w:r>
        <w:rPr>
          <w:rStyle w:val="NormalTok"/>
        </w:rPr>
        <w:t xml:space="preserve"> </w:t>
      </w:r>
      <w:r>
        <w:rPr>
          <w:rStyle w:val="DecValTok"/>
        </w:rPr>
        <w:t xml:space="preserve">50</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'High'</w:t>
      </w:r>
      <w:r>
        <w:rPr>
          <w:rStyle w:val="NormalTok"/>
        </w:rPr>
        <w:t xml:space="preserve"> </w:t>
      </w:r>
      <w:r>
        <w:rPr>
          <w:rStyle w:val="OperatorTok"/>
        </w:rPr>
        <w:t xml:space="preserve">}</w:t>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$total</w:t>
      </w:r>
      <w:r>
        <w:rPr>
          <w:rStyle w:val="NormalTok"/>
        </w:rPr>
        <w:t xml:space="preserve"> </w:t>
      </w:r>
      <w:r>
        <w:rPr>
          <w:rStyle w:val="OperatorTok"/>
        </w:rPr>
        <w:t xml:space="preserve">-gt</w:t>
      </w:r>
      <w:r>
        <w:rPr>
          <w:rStyle w:val="NormalTok"/>
        </w:rPr>
        <w:t xml:space="preserve"> </w:t>
      </w:r>
      <w:r>
        <w:rPr>
          <w:rStyle w:val="DecValTok"/>
        </w:rPr>
        <w:t xml:space="preserve">10</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'Medium'</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'Low'</w:t>
      </w:r>
      <w:r>
        <w:rPr>
          <w:rStyle w:val="NormalTok"/>
        </w:rPr>
        <w:t xml:space="preserve"> </w:t>
      </w:r>
      <w:r>
        <w:rPr>
          <w:rStyle w:val="OperatorTok"/>
        </w:rPr>
        <w:t xml:space="preserve">}</w:t>
      </w:r>
      <w:r>
        <w:br/>
      </w:r>
      <w:r>
        <w:rPr>
          <w:rStyle w:val="NormalTok"/>
        </w:rPr>
        <w:t xml:space="preserve">            New-FMPGiteaDriftIssue </w:t>
      </w:r>
      <w:r>
        <w:rPr>
          <w:rStyle w:val="OperatorTok"/>
        </w:rPr>
        <w:t xml:space="preserve">-</w:t>
      </w:r>
      <w:r>
        <w:rPr>
          <w:rStyle w:val="NormalTok"/>
        </w:rPr>
        <w:t xml:space="preserve">DriftSummary </w:t>
      </w:r>
      <w:r>
        <w:rPr>
          <w:rStyle w:val="StringTok"/>
        </w:rPr>
        <w:t xml:space="preserve">"</w:t>
      </w:r>
      <w:r>
        <w:rPr>
          <w:rStyle w:val="OperatorTok"/>
        </w:rPr>
        <w:t xml:space="preserve">$(</w:t>
      </w:r>
      <w:r>
        <w:rPr>
          <w:rStyle w:val="VariableTok"/>
        </w:rPr>
        <w:t xml:space="preserve">$drift</w:t>
      </w:r>
      <w:r>
        <w:rPr>
          <w:rStyle w:val="OperatorTok"/>
        </w:rPr>
        <w:t xml:space="preserve">.</w:t>
      </w:r>
      <w:r>
        <w:rPr>
          <w:rStyle w:val="FunctionTok"/>
        </w:rPr>
        <w:t xml:space="preserve">NewUsers</w:t>
      </w:r>
      <w:r>
        <w:rPr>
          <w:rStyle w:val="OperatorTok"/>
        </w:rPr>
        <w:t xml:space="preserve">)</w:t>
      </w:r>
      <w:r>
        <w:rPr>
          <w:rStyle w:val="StringTok"/>
        </w:rPr>
        <w:t xml:space="preserve"> new users, </w:t>
      </w:r>
      <w:r>
        <w:rPr>
          <w:rStyle w:val="OperatorTok"/>
        </w:rPr>
        <w:t xml:space="preserve">$(</w:t>
      </w:r>
      <w:r>
        <w:rPr>
          <w:rStyle w:val="VariableTok"/>
        </w:rPr>
        <w:t xml:space="preserve">$drift</w:t>
      </w:r>
      <w:r>
        <w:rPr>
          <w:rStyle w:val="OperatorTok"/>
        </w:rPr>
        <w:t xml:space="preserve">.</w:t>
      </w:r>
      <w:r>
        <w:rPr>
          <w:rStyle w:val="FunctionTok"/>
        </w:rPr>
        <w:t xml:space="preserve">RemovedUsers</w:t>
      </w:r>
      <w:r>
        <w:rPr>
          <w:rStyle w:val="OperatorTok"/>
        </w:rPr>
        <w:t xml:space="preserve">)</w:t>
      </w:r>
      <w:r>
        <w:rPr>
          <w:rStyle w:val="StringTok"/>
        </w:rPr>
        <w:t xml:space="preserve"> removed users"</w:t>
      </w:r>
      <w:r>
        <w:rPr>
          <w:rStyle w:val="NormalTok"/>
        </w:rPr>
        <w:t xml:space="preserve"> `</w:t>
      </w:r>
      <w:r>
        <w:br/>
      </w:r>
      <w:r>
        <w:rPr>
          <w:rStyle w:val="NormalTok"/>
        </w:rPr>
        <w:t xml:space="preserve">                </w:t>
      </w:r>
      <w:r>
        <w:rPr>
          <w:rStyle w:val="OperatorTok"/>
        </w:rPr>
        <w:t xml:space="preserve">-</w:t>
      </w:r>
      <w:r>
        <w:rPr>
          <w:rStyle w:val="NormalTok"/>
        </w:rPr>
        <w:t xml:space="preserve">Severity </w:t>
      </w:r>
      <w:r>
        <w:rPr>
          <w:rStyle w:val="VariableTok"/>
        </w:rPr>
        <w:t xml:space="preserve">$severity</w:t>
      </w:r>
      <w:r>
        <w:rPr>
          <w:rStyle w:val="NormalTok"/>
        </w:rPr>
        <w:t xml:space="preserve"> </w:t>
      </w:r>
      <w:r>
        <w:rPr>
          <w:rStyle w:val="OperatorTok"/>
        </w:rPr>
        <w:t xml:space="preserve">-</w:t>
      </w:r>
      <w:r>
        <w:rPr>
          <w:rStyle w:val="NormalTok"/>
        </w:rPr>
        <w:t xml:space="preserve">DiffContent </w:t>
      </w:r>
      <w:r>
        <w:rPr>
          <w:rStyle w:val="OperatorTok"/>
        </w:rPr>
        <w:t xml:space="preserve">(</w:t>
      </w:r>
      <w:r>
        <w:rPr>
          <w:rStyle w:val="FunctionTok"/>
        </w:rPr>
        <w:t xml:space="preserve">Get-Content</w:t>
      </w:r>
      <w:r>
        <w:rPr>
          <w:rStyle w:val="NormalTok"/>
        </w:rPr>
        <w:t xml:space="preserve"> </w:t>
      </w:r>
      <w:r>
        <w:rPr>
          <w:rStyle w:val="StringTok"/>
        </w:rPr>
        <w:t xml:space="preserve">"</w:t>
      </w:r>
      <w:r>
        <w:rPr>
          <w:rStyle w:val="VariableTok"/>
        </w:rPr>
        <w:t xml:space="preserve">$assessmentPath</w:t>
      </w:r>
      <w:r>
        <w:rPr>
          <w:rStyle w:val="StringTok"/>
        </w:rPr>
        <w:t xml:space="preserve">\drift_report.json"</w:t>
      </w:r>
      <w:r>
        <w:rPr>
          <w:rStyle w:val="NormalTok"/>
        </w:rPr>
        <w:t xml:space="preserve"> </w:t>
      </w:r>
      <w:r>
        <w:rPr>
          <w:rStyle w:val="OperatorTok"/>
        </w:rPr>
        <w:t xml:space="preserve">-</w:t>
      </w:r>
      <w:r>
        <w:rPr>
          <w:rStyle w:val="NormalTok"/>
        </w:rPr>
        <w:t xml:space="preserve">Raw</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w:t>
      </w:r>
      <w:r>
        <w:rPr>
          <w:rStyle w:val="FunctionTok"/>
        </w:rPr>
        <w:t xml:space="preserve">Write-Host</w:t>
      </w:r>
      <w:r>
        <w:rPr>
          <w:rStyle w:val="NormalTok"/>
        </w:rPr>
        <w:t xml:space="preserve"> </w:t>
      </w:r>
      <w:r>
        <w:rPr>
          <w:rStyle w:val="StringTok"/>
        </w:rPr>
        <w:t xml:space="preserve">"</w:t>
      </w:r>
      <w:r>
        <w:rPr>
          <w:rStyle w:val="CharTok"/>
        </w:rPr>
        <w:t xml:space="preserve">`n</w:t>
      </w:r>
      <w:r>
        <w:rPr>
          <w:rStyle w:val="StringTok"/>
        </w:rPr>
        <w:t xml:space="preserve">[4/4] Skipped: no comparison baseline given"</w:t>
      </w:r>
      <w:r>
        <w:rPr>
          <w:rStyle w:val="NormalTok"/>
        </w:rPr>
        <w:t xml:space="preserve"> </w:t>
      </w:r>
      <w:r>
        <w:rPr>
          <w:rStyle w:val="OperatorTok"/>
        </w:rPr>
        <w:t xml:space="preserve">-</w:t>
      </w:r>
      <w:r>
        <w:rPr>
          <w:rStyle w:val="NormalTok"/>
        </w:rPr>
        <w:t xml:space="preserve">ForegroundColor DarkGray</w:t>
      </w:r>
      <w:r>
        <w:br/>
      </w:r>
      <w:r>
        <w:rPr>
          <w:rStyle w:val="NormalTok"/>
        </w:rPr>
        <w:t xml:space="preserve">    </w:t>
      </w:r>
      <w:r>
        <w:rPr>
          <w:rStyle w:val="OperatorTok"/>
        </w:rPr>
        <w:t xml:space="preserve">}</w:t>
      </w:r>
      <w:r>
        <w:br/>
      </w:r>
      <w:r>
        <w:br/>
      </w:r>
      <w:r>
        <w:rPr>
          <w:rStyle w:val="NormalTok"/>
        </w:rPr>
        <w:t xml:space="preserve">    </w:t>
      </w:r>
      <w:r>
        <w:rPr>
          <w:rStyle w:val="FunctionTok"/>
        </w:rPr>
        <w:t xml:space="preserve">Write-Host</w:t>
      </w:r>
      <w:r>
        <w:rPr>
          <w:rStyle w:val="NormalTok"/>
        </w:rPr>
        <w:t xml:space="preserve"> </w:t>
      </w:r>
      <w:r>
        <w:rPr>
          <w:rStyle w:val="StringTok"/>
        </w:rPr>
        <w:t xml:space="preserve">"</w:t>
      </w:r>
      <w:r>
        <w:rPr>
          <w:rStyle w:val="CharTok"/>
        </w:rPr>
        <w:t xml:space="preserve">`n</w:t>
      </w:r>
      <w:r>
        <w:rPr>
          <w:rStyle w:val="StringTok"/>
        </w:rPr>
        <w:t xml:space="preserve">=== Assessment complete: </w:t>
      </w:r>
      <w:r>
        <w:rPr>
          <w:rStyle w:val="VariableTok"/>
        </w:rPr>
        <w:t xml:space="preserve">$assessmentPath</w:t>
      </w:r>
      <w:r>
        <w:rPr>
          <w:rStyle w:val="StringTok"/>
        </w:rPr>
        <w:t xml:space="preserve"> ==="</w:t>
      </w:r>
      <w:r>
        <w:rPr>
          <w:rStyle w:val="NormalTok"/>
        </w:rPr>
        <w:t xml:space="preserve"> </w:t>
      </w:r>
      <w:r>
        <w:rPr>
          <w:rStyle w:val="OperatorTok"/>
        </w:rPr>
        <w:t xml:space="preserve">-</w:t>
      </w:r>
      <w:r>
        <w:rPr>
          <w:rStyle w:val="NormalTok"/>
        </w:rPr>
        <w:t xml:space="preserve">ForegroundColor Green</w:t>
      </w:r>
      <w:r>
        <w:br/>
      </w:r>
      <w:r>
        <w:rPr>
          <w:rStyle w:val="NormalTok"/>
        </w:rPr>
        <w:t xml:space="preserve">    </w:t>
      </w:r>
      <w:r>
        <w:rPr>
          <w:rStyle w:val="FunctionTok"/>
        </w:rPr>
        <w:t xml:space="preserve">Write-Host</w:t>
      </w:r>
      <w:r>
        <w:rPr>
          <w:rStyle w:val="NormalTok"/>
        </w:rPr>
        <w:t xml:space="preserve"> </w:t>
      </w:r>
      <w:r>
        <w:rPr>
          <w:rStyle w:val="StringTok"/>
        </w:rPr>
        <w:t xml:space="preserve">"Next: review the output and commit it to the identity-baseline branch."</w:t>
      </w:r>
      <w:r>
        <w:rPr>
          <w:rStyle w:val="NormalTok"/>
        </w:rPr>
        <w:t xml:space="preserve"> </w:t>
      </w:r>
      <w:r>
        <w:rPr>
          <w:rStyle w:val="OperatorTok"/>
        </w:rPr>
        <w:t xml:space="preserve">-</w:t>
      </w:r>
      <w:r>
        <w:rPr>
          <w:rStyle w:val="NormalTok"/>
        </w:rPr>
        <w:t xml:space="preserve">ForegroundColor Cyan</w:t>
      </w:r>
      <w:r>
        <w:br/>
      </w:r>
      <w:r>
        <w:rPr>
          <w:rStyle w:val="OperatorTok"/>
        </w:rPr>
        <w:t xml:space="preserve">}</w:t>
      </w:r>
    </w:p>
    <w:p>
      <w:pPr>
        <w:pStyle w:val="FirstParagraph"/>
      </w:pPr>
      <w:r>
        <w:t xml:space="preserve">The comparison covers user additions and removals only. Attribute-level drift, group membership drift, and the Conditional Access policy diff are listed as planned scheduled tasks in Chapter 10; until they’re built, compare those exports in Git directly.</w:t>
      </w:r>
    </w:p>
    <w:bookmarkEnd w:id="1357"/>
    <w:bookmarkEnd w:id="1358"/>
    <w:bookmarkEnd w:id="1359"/>
    <w:bookmarkStart w:id="1360" w:name="continue-the-book-13"/>
    <w:p>
      <w:pPr>
        <w:pStyle w:val="Heading2"/>
      </w:pPr>
      <w:bookmarkStart w:id="1531" w:name="_Toc00001531"/>
      <w:r>
        <w:t xml:space="preserve">Continue the book</w:t>
      </w:r>
      <w:bookmarkEnd w:id="1531"/>
    </w:p>
    <w:p>
      <w:pPr>
        <w:pStyle w:val="FirstParagraph"/>
      </w:pPr>
      <w:r>
        <w:t xml:space="preserve">← Previous: Appendix B — Forest Assessment Module · Book index</w:t>
      </w:r>
    </w:p>
    <w:bookmarkEnd w:id="1360"/>
    <w:bookmarkEnd w:id="13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7">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18">
        <w:r>
          <w:rPr>
            <w:rStyle w:val="Hyperlink"/>
          </w:rPr>
          <w:t xml:space="preserve">https://www.whitehouse.gov/wp-content/uploads/2022/01/M-22-09.pdf</w:t>
        </w:r>
      </w:hyperlink>
      <w:r>
        <w:t xml:space="preserve"> </w:t>
      </w:r>
      <w:r>
        <w:t xml:space="preserve">(accessed Oct 20, 2026).</w:t>
      </w:r>
    </w:p>
  </w:footnote>
  <w:footnote w:id="19">
    <w:p>
      <w:pPr>
        <w:pStyle w:val="FootnoteText"/>
      </w:pPr>
      <w:r>
        <w:rPr>
          <w:rStyle w:val="FootnoteReference"/>
        </w:rPr>
        <w:footnoteRef/>
      </w:r>
      <w:r>
        <w:t xml:space="preserve"> </w:t>
      </w:r>
      <w:r>
        <w:t xml:space="preserve">National Institute of Standards and Technology, SP 800-207,</w:t>
      </w:r>
      <w:r>
        <w:t xml:space="preserve"> </w:t>
      </w:r>
      <w:r>
        <w:rPr>
          <w:i/>
          <w:iCs/>
        </w:rPr>
        <w:t xml:space="preserve">Zero Trust Architecture</w:t>
      </w:r>
      <w:r>
        <w:t xml:space="preserve">, August 2020,</w:t>
      </w:r>
      <w:r>
        <w:t xml:space="preserve"> </w:t>
      </w:r>
      <w:hyperlink r:id="rId20">
        <w:r>
          <w:rPr>
            <w:rStyle w:val="Hyperlink"/>
          </w:rPr>
          <w:t xml:space="preserve">https://csrc.nist.gov/pubs/sp/800/207/final</w:t>
        </w:r>
      </w:hyperlink>
      <w:r>
        <w:t xml:space="preserve"> </w:t>
      </w:r>
      <w:r>
        <w:t xml:space="preserve">(accessed Oct 20, 2026).</w:t>
      </w:r>
    </w:p>
  </w:footnote>
  <w:footnote w:id="21">
    <w:p>
      <w:pPr>
        <w:pStyle w:val="FootnoteText"/>
      </w:pPr>
      <w:r>
        <w:rPr>
          <w:rStyle w:val="FootnoteReference"/>
        </w:rPr>
        <w:footnoteRef/>
      </w:r>
      <w:r>
        <w:t xml:space="preserve"> </w:t>
      </w:r>
      <w:r>
        <w:t xml:space="preserve">Cybersecurity and Infrastructure Security Agency,</w:t>
      </w:r>
      <w:r>
        <w:t xml:space="preserve"> </w:t>
      </w:r>
      <w:r>
        <w:rPr>
          <w:i/>
          <w:iCs/>
        </w:rPr>
        <w:t xml:space="preserve">Zero Trust Maturity Model</w:t>
      </w:r>
      <w:r>
        <w:t xml:space="preserve">, Version 2.0, April 2023, section 5.1 (Identity),</w:t>
      </w:r>
      <w:r>
        <w:t xml:space="preserve"> </w:t>
      </w:r>
      <w:hyperlink r:id="rId22">
        <w:r>
          <w:rPr>
            <w:rStyle w:val="Hyperlink"/>
          </w:rPr>
          <w:t xml:space="preserve">https://www.cisa.gov/sites/default/files/2023-04/CISA_Zero_Trust_Maturity_Model_Version_2_508c.pdf</w:t>
        </w:r>
      </w:hyperlink>
      <w:r>
        <w:t xml:space="preserve"> </w:t>
      </w:r>
      <w:r>
        <w:t xml:space="preserve">(accessed Oct 20, 2026).</w:t>
      </w:r>
    </w:p>
  </w:footnote>
  <w:footnote w:id="23">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18">
        <w:r>
          <w:rPr>
            <w:rStyle w:val="Hyperlink"/>
          </w:rPr>
          <w:t xml:space="preserve">https://www.whitehouse.gov/wp-content/uploads/2022/01/M-22-09.pdf</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“Users in Active Directory Domain Services,”</w:t>
      </w:r>
      <w:r>
        <w:t xml:space="preserve"> </w:t>
      </w:r>
      <w:hyperlink r:id="rId30">
        <w:r>
          <w:rPr>
            <w:rStyle w:val="Hyperlink"/>
          </w:rPr>
          <w:t xml:space="preserve">https://learn.microsoft.com/en-us/windows/win32/ad/users-in-active-directory-domain-services</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“Cloud transformation posture”</w:t>
      </w:r>
      <w:r>
        <w:t xml:space="preserve"> </w:t>
      </w:r>
      <w:r>
        <w:t xml:space="preserve">(road to the cloud),</w:t>
      </w:r>
      <w:r>
        <w:t xml:space="preserve"> </w:t>
      </w:r>
      <w:hyperlink r:id="rId32">
        <w:r>
          <w:rPr>
            <w:rStyle w:val="Hyperlink"/>
          </w:rPr>
          <w:t xml:space="preserve">https://learn.microsoft.com/en-us/entra/architecture/road-to-the-cloud-posture</w:t>
        </w:r>
      </w:hyperlink>
      <w:r>
        <w:t xml:space="preserve"> </w:t>
      </w:r>
      <w:r>
        <w:t xml:space="preserve">(accessed Oct 20, 2026).</w:t>
      </w:r>
    </w:p>
  </w:footnote>
  <w:footnote w:id="33">
    <w:p>
      <w:pPr>
        <w:pStyle w:val="FootnoteText"/>
      </w:pPr>
      <w:r>
        <w:rPr>
          <w:rStyle w:val="FootnoteReference"/>
        </w:rPr>
        <w:footnoteRef/>
      </w:r>
      <w:r>
        <w:t xml:space="preserve"> </w:t>
      </w:r>
      <w:r>
        <w:t xml:space="preserve">Cybersecurity and Infrastructure Security Agency,</w:t>
      </w:r>
      <w:r>
        <w:t xml:space="preserve"> </w:t>
      </w:r>
      <w:r>
        <w:t xml:space="preserve">“ASD’s ACSC, CISA, and US and International Partners Release Guidance on Detecting and Mitigating Active Directory Compromises,”</w:t>
      </w:r>
      <w:r>
        <w:t xml:space="preserve"> </w:t>
      </w:r>
      <w:r>
        <w:t xml:space="preserve">September 2024,</w:t>
      </w:r>
      <w:r>
        <w:t xml:space="preserve"> </w:t>
      </w:r>
      <w:hyperlink r:id="rId34">
        <w:r>
          <w:rPr>
            <w:rStyle w:val="Hyperlink"/>
          </w:rPr>
          <w:t xml:space="preserve">https://www.cisa.gov/news-events/alerts/2024/09/25/asds-acsc-cisa-and-us-and-international-partners-release-guidance-detecting-and-mitigating-active</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“New name for Azure Active Directory”</w:t>
      </w:r>
      <w:r>
        <w:t xml:space="preserve"> </w:t>
      </w:r>
      <w:r>
        <w:t xml:space="preserve">(FAQ:</w:t>
      </w:r>
      <w:r>
        <w:t xml:space="preserve"> </w:t>
      </w:r>
      <w:r>
        <w:t xml:space="preserve">“Does Microsoft still support on-premises identity management?”</w:t>
      </w:r>
      <w:r>
        <w:t xml:space="preserve">),</w:t>
      </w:r>
      <w:r>
        <w:t xml:space="preserve"> </w:t>
      </w:r>
      <w:hyperlink r:id="rId37">
        <w:r>
          <w:rPr>
            <w:rStyle w:val="Hyperlink"/>
          </w:rPr>
          <w:t xml:space="preserve">https://learn.microsoft.com/en-us/entra/fundamentals/new-name</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“Microsoft Entra Connect Sync: Understand and customize synchronization,”</w:t>
      </w:r>
      <w:r>
        <w:t xml:space="preserve"> </w:t>
      </w:r>
      <w:hyperlink r:id="rId39">
        <w:r>
          <w:rPr>
            <w:rStyle w:val="Hyperlink"/>
          </w:rPr>
          <w:t xml:space="preserve">https://learn.microsoft.com/en-us/entra/identity/hybrid/connect/how-to-connect-sync-whatis</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“Microsoft Entra releases and announcements”</w:t>
      </w:r>
      <w:r>
        <w:t xml:space="preserve"> </w:t>
      </w:r>
      <w:r>
        <w:t xml:space="preserve">(April 2026:</w:t>
      </w:r>
      <w:r>
        <w:t xml:space="preserve"> </w:t>
      </w:r>
      <w:r>
        <w:t xml:space="preserve">“Upcoming Change - Migrate from Microsoft Entra Connect Sync to Microsoft Entra Cloud Sync”</w:t>
      </w:r>
      <w:r>
        <w:t xml:space="preserve">; January 2026:</w:t>
      </w:r>
      <w:r>
        <w:t xml:space="preserve"> </w:t>
      </w:r>
      <w:r>
        <w:t xml:space="preserve">“General Availability - Ability to convert Source of Authority of synced on-premises AD users to cloud users”</w:t>
      </w:r>
      <w:r>
        <w:t xml:space="preserve">),</w:t>
      </w:r>
      <w:r>
        <w:t xml:space="preserve"> </w:t>
      </w:r>
      <w:hyperlink r:id="rId41">
        <w:r>
          <w:rPr>
            <w:rStyle w:val="Hyperlink"/>
          </w:rPr>
          <w:t xml:space="preserve">https://learn.microsoft.com/en-us/entra/fundamentals/whats-new</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“Migrate from federation to cloud authentication,”</w:t>
      </w:r>
      <w:r>
        <w:t xml:space="preserve"> </w:t>
      </w:r>
      <w:hyperlink r:id="rId43">
        <w:r>
          <w:rPr>
            <w:rStyle w:val="Hyperlink"/>
          </w:rPr>
          <w:t xml:space="preserve">https://learn.microsoft.com/en-us/entra/identity/hybrid/connect/migrate-from-federation-to-cloud-authentication</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“Protect Microsoft 365 from on-premises attacks,”</w:t>
      </w:r>
      <w:r>
        <w:t xml:space="preserve"> </w:t>
      </w:r>
      <w:hyperlink r:id="rId45">
        <w:r>
          <w:rPr>
            <w:rStyle w:val="Hyperlink"/>
          </w:rPr>
          <w:t xml:space="preserve">https://learn.microsoft.com/en-us/entra/architecture/protect-m365-from-on-premises-attacks</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“Deprecated features for Windows client”</w:t>
      </w:r>
      <w:r>
        <w:t xml:space="preserve"> </w:t>
      </w:r>
      <w:r>
        <w:t xml:space="preserve">(NTLM, deprecation announced June 2024),</w:t>
      </w:r>
      <w:r>
        <w:t xml:space="preserve"> </w:t>
      </w:r>
      <w:hyperlink r:id="rId47">
        <w:r>
          <w:rPr>
            <w:rStyle w:val="Hyperlink"/>
          </w:rPr>
          <w:t xml:space="preserve">https://learn.microsoft.com/en-us/windows/whats-new/deprecated-features</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“Cloud transformation posture”</w:t>
      </w:r>
      <w:r>
        <w:t xml:space="preserve"> </w:t>
      </w:r>
      <w:r>
        <w:t xml:space="preserve">(road to the cloud),</w:t>
      </w:r>
      <w:r>
        <w:t xml:space="preserve"> </w:t>
      </w:r>
      <w:hyperlink r:id="rId32">
        <w:r>
          <w:rPr>
            <w:rStyle w:val="Hyperlink"/>
          </w:rPr>
          <w:t xml:space="preserve">https://learn.microsoft.com/en-us/entra/architecture/road-to-the-cloud-posture</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“Microsoft Entra releases and announcements”</w:t>
      </w:r>
      <w:r>
        <w:t xml:space="preserve"> </w:t>
      </w:r>
      <w:r>
        <w:t xml:space="preserve">(April 2026:</w:t>
      </w:r>
      <w:r>
        <w:t xml:space="preserve"> </w:t>
      </w:r>
      <w:r>
        <w:t xml:space="preserve">“Upcoming Change - Migrate from Microsoft Entra Connect Sync to Microsoft Entra Cloud Sync”</w:t>
      </w:r>
      <w:r>
        <w:t xml:space="preserve">; January 2026:</w:t>
      </w:r>
      <w:r>
        <w:t xml:space="preserve"> </w:t>
      </w:r>
      <w:r>
        <w:t xml:space="preserve">“General Availability - Ability to convert Source of Authority of synced on-premises AD users to cloud users”</w:t>
      </w:r>
      <w:r>
        <w:t xml:space="preserve">),</w:t>
      </w:r>
      <w:r>
        <w:t xml:space="preserve"> </w:t>
      </w:r>
      <w:hyperlink r:id="rId41">
        <w:r>
          <w:rPr>
            <w:rStyle w:val="Hyperlink"/>
          </w:rPr>
          <w:t xml:space="preserve">https://learn.microsoft.com/en-us/entra/fundamentals/whats-new</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“Embrace cloud-first posture: Convert Group Source of Authority to the cloud,”</w:t>
      </w:r>
      <w:r>
        <w:t xml:space="preserve"> </w:t>
      </w:r>
      <w:hyperlink r:id="rId51">
        <w:r>
          <w:rPr>
            <w:rStyle w:val="Hyperlink"/>
          </w:rPr>
          <w:t xml:space="preserve">https://learn.microsoft.com/en-us/entra/identity/hybrid/concept-source-of-authority-overview</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“Cloud transformation posture”</w:t>
      </w:r>
      <w:r>
        <w:t xml:space="preserve"> </w:t>
      </w:r>
      <w:r>
        <w:t xml:space="preserve">(road to the cloud),</w:t>
      </w:r>
      <w:r>
        <w:t xml:space="preserve"> </w:t>
      </w:r>
      <w:hyperlink r:id="rId32">
        <w:r>
          <w:rPr>
            <w:rStyle w:val="Hyperlink"/>
          </w:rPr>
          <w:t xml:space="preserve">https://learn.microsoft.com/en-us/entra/architecture/road-to-the-cloud-posture</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“Skype for Business Online retirement,”</w:t>
      </w:r>
      <w:r>
        <w:t xml:space="preserve"> </w:t>
      </w:r>
      <w:hyperlink r:id="rId54">
        <w:r>
          <w:rPr>
            <w:rStyle w:val="Hyperlink"/>
          </w:rPr>
          <w:t xml:space="preserve">https://learn.microsoft.com/en-us/microsoftteams/skype-for-business-online-retirement</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“Exchange Server 2019 and 2016 end of support roadmap,”</w:t>
      </w:r>
      <w:r>
        <w:t xml:space="preserve"> </w:t>
      </w:r>
      <w:hyperlink r:id="rId56">
        <w:r>
          <w:rPr>
            <w:rStyle w:val="Hyperlink"/>
          </w:rPr>
          <w:t xml:space="preserve">https://learn.microsoft.com/en-us/troubleshoot/exchange/administration/exchange-2019-2016-end-of-support</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“Configure Microsoft Entra for Zero Trust: Protect identities and secrets”</w:t>
      </w:r>
      <w:r>
        <w:t xml:space="preserve"> </w:t>
      </w:r>
      <w:r>
        <w:t xml:space="preserve">(privileged accounts are cloud-native identities),</w:t>
      </w:r>
      <w:r>
        <w:t xml:space="preserve"> </w:t>
      </w:r>
      <w:hyperlink r:id="rId63">
        <w:r>
          <w:rPr>
            <w:rStyle w:val="Hyperlink"/>
          </w:rPr>
          <w:t xml:space="preserve">https://learn.microsoft.com/en-us/entra/fundamentals/zero-trust-protect-identities</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“Protect Microsoft 365 from on-premises attacks,”</w:t>
      </w:r>
      <w:r>
        <w:t xml:space="preserve"> </w:t>
      </w:r>
      <w:hyperlink r:id="rId45">
        <w:r>
          <w:rPr>
            <w:rStyle w:val="Hyperlink"/>
          </w:rPr>
          <w:t xml:space="preserve">https://learn.microsoft.com/en-us/entra/architecture/protect-m365-from-on-premises-attacks</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“Protect Microsoft 365 from on-premises attacks,”</w:t>
      </w:r>
      <w:r>
        <w:t xml:space="preserve"> </w:t>
      </w:r>
      <w:hyperlink r:id="rId45">
        <w:r>
          <w:rPr>
            <w:rStyle w:val="Hyperlink"/>
          </w:rPr>
          <w:t xml:space="preserve">https://learn.microsoft.com/en-us/entra/architecture/protect-m365-from-on-premises-attacks</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“Protect Microsoft 365 from on-premises attacks,”</w:t>
      </w:r>
      <w:r>
        <w:t xml:space="preserve"> </w:t>
      </w:r>
      <w:hyperlink r:id="rId45">
        <w:r>
          <w:rPr>
            <w:rStyle w:val="Hyperlink"/>
          </w:rPr>
          <w:t xml:space="preserve">https://learn.microsoft.com/en-us/entra/architecture/protect-m365-from-on-premises-attacks</w:t>
        </w:r>
      </w:hyperlink>
      <w:r>
        <w:t xml:space="preserve"> </w:t>
      </w:r>
      <w:r>
        <w:t xml:space="preserve">(accessed Oct 20, 2026).</w:t>
      </w:r>
    </w:p>
  </w:footnote>
  <w:footnote w:id="73">
    <w:p>
      <w:pPr>
        <w:pStyle w:val="FootnoteText"/>
      </w:pPr>
      <w:r>
        <w:rPr>
          <w:rStyle w:val="FootnoteReference"/>
        </w:rPr>
        <w:footnoteRef/>
      </w:r>
      <w:r>
        <w:t xml:space="preserve"> </w:t>
      </w:r>
      <w:r>
        <w:t xml:space="preserve">Microsoft Learn,</w:t>
      </w:r>
      <w:r>
        <w:t xml:space="preserve"> </w:t>
      </w:r>
      <w:r>
        <w:t xml:space="preserve">“Users in Active Directory Domain Services,”</w:t>
      </w:r>
      <w:r>
        <w:t xml:space="preserve"> </w:t>
      </w:r>
      <w:hyperlink r:id="rId30">
        <w:r>
          <w:rPr>
            <w:rStyle w:val="Hyperlink"/>
          </w:rPr>
          <w:t xml:space="preserve">https://learn.microsoft.com/en-us/windows/win32/ad/users-in-active-directory-domain-services</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“Kerberos Policy,”</w:t>
      </w:r>
      <w:r>
        <w:t xml:space="preserve"> </w:t>
      </w:r>
      <w:hyperlink r:id="rId75">
        <w:r>
          <w:rPr>
            <w:rStyle w:val="Hyperlink"/>
          </w:rPr>
          <w:t xml:space="preserve">https://learn.microsoft.com/en-us/windows/win32/secauthn/kerberos-policy</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“Group Policy processing,”</w:t>
      </w:r>
      <w:r>
        <w:t xml:space="preserve"> </w:t>
      </w:r>
      <w:hyperlink r:id="rId77">
        <w:r>
          <w:rPr>
            <w:rStyle w:val="Hyperlink"/>
          </w:rPr>
          <w:t xml:space="preserve">https://learn.microsoft.com/en-us/windows-server/identity/ad-ds/manage/group-policy/group-policy-processing</w:t>
        </w:r>
      </w:hyperlink>
      <w:r>
        <w:t xml:space="preserve"> </w:t>
      </w:r>
      <w:r>
        <w:t xml:space="preserve">(accessed Oct 20, 2026).</w:t>
      </w:r>
    </w:p>
  </w:footnote>
  <w:footnote w:id="78">
    <w:p>
      <w:pPr>
        <w:pStyle w:val="FootnoteText"/>
      </w:pPr>
      <w:r>
        <w:rPr>
          <w:rStyle w:val="FootnoteReference"/>
        </w:rPr>
        <w:footnoteRef/>
      </w:r>
      <w:r>
        <w:t xml:space="preserve"> </w:t>
      </w:r>
      <w:r>
        <w:t xml:space="preserve">Microsoft Learn,</w:t>
      </w:r>
      <w:r>
        <w:t xml:space="preserve"> </w:t>
      </w:r>
      <w:r>
        <w:t xml:space="preserve">“Cloud transformation posture”</w:t>
      </w:r>
      <w:r>
        <w:t xml:space="preserve"> </w:t>
      </w:r>
      <w:r>
        <w:t xml:space="preserve">(road to the cloud),</w:t>
      </w:r>
      <w:r>
        <w:t xml:space="preserve"> </w:t>
      </w:r>
      <w:hyperlink r:id="rId32">
        <w:r>
          <w:rPr>
            <w:rStyle w:val="Hyperlink"/>
          </w:rPr>
          <w:t xml:space="preserve">https://learn.microsoft.com/en-us/entra/architecture/road-to-the-cloud-posture</w:t>
        </w:r>
      </w:hyperlink>
      <w:r>
        <w:t xml:space="preserve"> </w:t>
      </w:r>
      <w:r>
        <w:t xml:space="preserve">(accessed Oct 20, 2026).</w:t>
      </w:r>
    </w:p>
  </w:footnote>
  <w:footnote w:id="84">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r>
        <w:t xml:space="preserve">(Constraints; Groups),</w:t>
      </w:r>
      <w:r>
        <w:t xml:space="preserve"> </w:t>
      </w:r>
      <w:hyperlink r:id="rId85">
        <w:r>
          <w:rPr>
            <w:rStyle w:val="Hyperlink"/>
          </w:rPr>
          <w:t xml:space="preserve">https://learn.microsoft.com/en-us/entra/identity/role-based-access-control/administrative-units</w:t>
        </w:r>
      </w:hyperlink>
      <w:r>
        <w:t xml:space="preserve"> </w:t>
      </w:r>
      <w:r>
        <w:t xml:space="preserve">(accessed Oct 20, 2026).</w:t>
      </w:r>
    </w:p>
  </w:footnote>
  <w:footnote w:id="86">
    <w:p>
      <w:pPr>
        <w:pStyle w:val="FootnoteText"/>
      </w:pPr>
      <w:r>
        <w:rPr>
          <w:rStyle w:val="FootnoteReference"/>
        </w:rPr>
        <w:footnoteRef/>
      </w:r>
      <w:r>
        <w:t xml:space="preserve"> </w:t>
      </w:r>
      <w:r>
        <w:t xml:space="preserve">Microsoft Learn,</w:t>
      </w:r>
      <w:r>
        <w:t xml:space="preserve"> </w:t>
      </w:r>
      <w:r>
        <w:t xml:space="preserve">“Microsoft Entra service limits and restrictions”</w:t>
      </w:r>
      <w:r>
        <w:t xml:space="preserve"> </w:t>
      </w:r>
      <w:r>
        <w:t xml:space="preserve">(Administrative units),</w:t>
      </w:r>
      <w:r>
        <w:t xml:space="preserve"> </w:t>
      </w:r>
      <w:hyperlink r:id="rId87">
        <w:r>
          <w:rPr>
            <w:rStyle w:val="Hyperlink"/>
          </w:rPr>
          <w:t xml:space="preserve">https://learn.microsoft.com/en-us/entra/identity/users/directory-service-limits-restrictions</w:t>
        </w:r>
      </w:hyperlink>
      <w:r>
        <w:t xml:space="preserve"> </w:t>
      </w:r>
      <w:r>
        <w:t xml:space="preserve">(accessed Oct 20, 2026).</w:t>
      </w:r>
    </w:p>
  </w:footnote>
  <w:footnote w:id="88">
    <w:p>
      <w:pPr>
        <w:pStyle w:val="FootnoteText"/>
      </w:pPr>
      <w:r>
        <w:rPr>
          <w:rStyle w:val="FootnoteReference"/>
        </w:rPr>
        <w:footnoteRef/>
      </w:r>
      <w:r>
        <w:t xml:space="preserve"> </w:t>
      </w:r>
      <w:r>
        <w:t xml:space="preserve">Microsoft Learn,</w:t>
      </w:r>
      <w:r>
        <w:t xml:space="preserve"> </w:t>
      </w:r>
      <w:r>
        <w:t xml:space="preserve">“Manage users or devices for an administrative unit with rules for dynamic membership groups,”</w:t>
      </w:r>
      <w:r>
        <w:t xml:space="preserve"> </w:t>
      </w:r>
      <w:hyperlink r:id="rId89">
        <w:r>
          <w:rPr>
            <w:rStyle w:val="Hyperlink"/>
          </w:rPr>
          <w:t xml:space="preserve">https://learn.microsoft.com/en-us/entra/identity/role-based-access-control/admin-units-members-dynamic</w:t>
        </w:r>
      </w:hyperlink>
      <w:r>
        <w:t xml:space="preserve"> </w:t>
      </w:r>
      <w:r>
        <w:t xml:space="preserve">(accessed Oct 20, 2026).</w:t>
      </w:r>
    </w:p>
  </w:footnote>
  <w:footnote w:id="90">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r>
        <w:t xml:space="preserve">(Constraints; Groups),</w:t>
      </w:r>
      <w:r>
        <w:t xml:space="preserve"> </w:t>
      </w:r>
      <w:hyperlink r:id="rId85">
        <w:r>
          <w:rPr>
            <w:rStyle w:val="Hyperlink"/>
          </w:rPr>
          <w:t xml:space="preserve">https://learn.microsoft.com/en-us/entra/identity/role-based-access-control/administrative-units</w:t>
        </w:r>
      </w:hyperlink>
      <w:r>
        <w:t xml:space="preserve"> </w:t>
      </w:r>
      <w:r>
        <w:t xml:space="preserve">(accessed Oct 20, 2026).</w:t>
      </w:r>
    </w:p>
  </w:footnote>
  <w:footnote w:id="91">
    <w:p>
      <w:pPr>
        <w:pStyle w:val="FootnoteText"/>
      </w:pPr>
      <w:r>
        <w:rPr>
          <w:rStyle w:val="FootnoteReference"/>
        </w:rPr>
        <w:footnoteRef/>
      </w:r>
      <w:r>
        <w:t xml:space="preserve"> </w:t>
      </w:r>
      <w:r>
        <w:t xml:space="preserve">Microsoft Learn,</w:t>
      </w:r>
      <w:r>
        <w:t xml:space="preserve"> </w:t>
      </w:r>
      <w:r>
        <w:t xml:space="preserve">“Manage users or devices for an administrative unit with rules for dynamic membership groups,”</w:t>
      </w:r>
      <w:r>
        <w:t xml:space="preserve"> </w:t>
      </w:r>
      <w:hyperlink r:id="rId89">
        <w:r>
          <w:rPr>
            <w:rStyle w:val="Hyperlink"/>
          </w:rPr>
          <w:t xml:space="preserve">https://learn.microsoft.com/en-us/entra/identity/role-based-access-control/admin-units-members-dynamic</w:t>
        </w:r>
      </w:hyperlink>
      <w:r>
        <w:t xml:space="preserve"> </w:t>
      </w:r>
      <w:r>
        <w:t xml:space="preserve">(accessed Oct 20, 2026).</w:t>
      </w:r>
    </w:p>
  </w:footnote>
  <w:footnote w:id="93">
    <w:p>
      <w:pPr>
        <w:pStyle w:val="FootnoteText"/>
      </w:pPr>
      <w:r>
        <w:rPr>
          <w:rStyle w:val="FootnoteReference"/>
        </w:rPr>
        <w:footnoteRef/>
      </w:r>
      <w:r>
        <w:t xml:space="preserve"> </w:t>
      </w:r>
      <w:r>
        <w:t xml:space="preserve">Microsoft Learn,</w:t>
      </w:r>
      <w:r>
        <w:t xml:space="preserve"> </w:t>
      </w:r>
      <w:r>
        <w:t xml:space="preserve">“onPremisesExtensionAttributes resource type,”</w:t>
      </w:r>
      <w:r>
        <w:t xml:space="preserve"> </w:t>
      </w:r>
      <w:r>
        <w:t xml:space="preserve">Microsoft Graph v1.0,</w:t>
      </w:r>
      <w:r>
        <w:t xml:space="preserve"> </w:t>
      </w:r>
      <w:hyperlink r:id="rId94">
        <w:r>
          <w:rPr>
            <w:rStyle w:val="Hyperlink"/>
          </w:rPr>
          <w:t xml:space="preserve">https://learn.microsoft.com/en-us/graph/api/resources/onpremisesextensionattributes?view=graph-rest-1.0</w:t>
        </w:r>
      </w:hyperlink>
      <w:r>
        <w:t xml:space="preserve"> </w:t>
      </w:r>
      <w:r>
        <w:t xml:space="preserve">(accessed Oct 20, 2026).</w:t>
      </w:r>
    </w:p>
  </w:footnote>
  <w:footnote w:id="95">
    <w:p>
      <w:pPr>
        <w:pStyle w:val="FootnoteText"/>
      </w:pPr>
      <w:r>
        <w:rPr>
          <w:rStyle w:val="FootnoteReference"/>
        </w:rPr>
        <w:footnoteRef/>
      </w:r>
      <w:r>
        <w:t xml:space="preserve"> </w:t>
      </w:r>
      <w:r>
        <w:t xml:space="preserve">Microsoft Learn,</w:t>
      </w:r>
      <w:r>
        <w:t xml:space="preserve"> </w:t>
      </w:r>
      <w:r>
        <w:t xml:space="preserve">“Microsoft Entra releases and announcements”</w:t>
      </w:r>
      <w:r>
        <w:t xml:space="preserve"> </w:t>
      </w:r>
      <w:r>
        <w:t xml:space="preserve">(January 2026:</w:t>
      </w:r>
      <w:r>
        <w:t xml:space="preserve"> </w:t>
      </w:r>
      <w:r>
        <w:t xml:space="preserve">“General Availability - Ability to convert Source of Authority of synced on-premises AD users to cloud users”</w:t>
      </w:r>
      <w:r>
        <w:t xml:space="preserve">),</w:t>
      </w:r>
      <w:r>
        <w:t xml:space="preserve"> </w:t>
      </w:r>
      <w:hyperlink r:id="rId41">
        <w:r>
          <w:rPr>
            <w:rStyle w:val="Hyperlink"/>
          </w:rPr>
          <w:t xml:space="preserve">https://learn.microsoft.com/en-us/entra/fundamentals/whats-new</w:t>
        </w:r>
      </w:hyperlink>
      <w:r>
        <w:t xml:space="preserve"> </w:t>
      </w:r>
      <w:r>
        <w:t xml:space="preserve">(accessed Oct 20, 2026).</w:t>
      </w:r>
    </w:p>
  </w:footnote>
  <w:footnote w:id="98">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r>
        <w:t xml:space="preserve">(Constraints; Groups),</w:t>
      </w:r>
      <w:r>
        <w:t xml:space="preserve"> </w:t>
      </w:r>
      <w:hyperlink r:id="rId85">
        <w:r>
          <w:rPr>
            <w:rStyle w:val="Hyperlink"/>
          </w:rPr>
          <w:t xml:space="preserve">https://learn.microsoft.com/en-us/entra/identity/role-based-access-control/administrative-units</w:t>
        </w:r>
      </w:hyperlink>
      <w:r>
        <w:t xml:space="preserve"> </w:t>
      </w:r>
      <w:r>
        <w:t xml:space="preserve">(accessed Oct 20, 2026).</w:t>
      </w:r>
    </w:p>
  </w:footnote>
  <w:footnote w:id="99">
    <w:p>
      <w:pPr>
        <w:pStyle w:val="FootnoteText"/>
      </w:pPr>
      <w:r>
        <w:rPr>
          <w:rStyle w:val="FootnoteReference"/>
        </w:rPr>
        <w:footnoteRef/>
      </w:r>
      <w:r>
        <w:t xml:space="preserve"> </w:t>
      </w:r>
      <w:r>
        <w:t xml:space="preserve">Microsoft Learn,</w:t>
      </w:r>
      <w:r>
        <w:t xml:space="preserve"> </w:t>
      </w:r>
      <w:r>
        <w:t xml:space="preserve">“Assign Microsoft Entra roles”</w:t>
      </w:r>
      <w:r>
        <w:t xml:space="preserve"> </w:t>
      </w:r>
      <w:r>
        <w:t xml:space="preserve">(Roles that can be assigned with administrative unit scope),</w:t>
      </w:r>
      <w:r>
        <w:t xml:space="preserve"> </w:t>
      </w:r>
      <w:hyperlink r:id="rId100">
        <w:r>
          <w:rPr>
            <w:rStyle w:val="Hyperlink"/>
          </w:rPr>
          <w:t xml:space="preserve">https://learn.microsoft.com/en-us/entra/identity/role-based-access-control/manage-roles-portal</w:t>
        </w:r>
      </w:hyperlink>
      <w:r>
        <w:t xml:space="preserve"> </w:t>
      </w:r>
      <w:r>
        <w:t xml:space="preserve">(accessed Oct 20, 2026).</w:t>
      </w:r>
    </w:p>
  </w:footnote>
  <w:footnote w:id="101">
    <w:p>
      <w:pPr>
        <w:pStyle w:val="FootnoteText"/>
      </w:pPr>
      <w:r>
        <w:rPr>
          <w:rStyle w:val="FootnoteReference"/>
        </w:rPr>
        <w:footnoteRef/>
      </w:r>
      <w:r>
        <w:t xml:space="preserve"> </w:t>
      </w:r>
      <w:r>
        <w:t xml:space="preserve">Microsoft Learn,</w:t>
      </w:r>
      <w:r>
        <w:t xml:space="preserve"> </w:t>
      </w:r>
      <w:r>
        <w:t xml:space="preserve">“Assign Microsoft Entra roles”</w:t>
      </w:r>
      <w:r>
        <w:t xml:space="preserve"> </w:t>
      </w:r>
      <w:r>
        <w:t xml:space="preserve">(Roles that can be assigned with administrative unit scope),</w:t>
      </w:r>
      <w:r>
        <w:t xml:space="preserve"> </w:t>
      </w:r>
      <w:hyperlink r:id="rId100">
        <w:r>
          <w:rPr>
            <w:rStyle w:val="Hyperlink"/>
          </w:rPr>
          <w:t xml:space="preserve">https://learn.microsoft.com/en-us/entra/identity/role-based-access-control/manage-roles-portal</w:t>
        </w:r>
      </w:hyperlink>
      <w:r>
        <w:t xml:space="preserve"> </w:t>
      </w:r>
      <w:r>
        <w:t xml:space="preserve">(accessed Oct 20, 2026).</w:t>
      </w:r>
    </w:p>
  </w:footnote>
  <w:footnote w:id="102">
    <w:p>
      <w:pPr>
        <w:pStyle w:val="FootnoteText"/>
      </w:pPr>
      <w:r>
        <w:rPr>
          <w:rStyle w:val="FootnoteReference"/>
        </w:rPr>
        <w:footnoteRef/>
      </w:r>
      <w:r>
        <w:t xml:space="preserve"> </w:t>
      </w:r>
      <w:r>
        <w:t xml:space="preserve">Microsoft Learn,</w:t>
      </w:r>
      <w:r>
        <w:t xml:space="preserve"> </w:t>
      </w:r>
      <w:r>
        <w:t xml:space="preserve">“Assign Microsoft Entra roles”</w:t>
      </w:r>
      <w:r>
        <w:t xml:space="preserve"> </w:t>
      </w:r>
      <w:r>
        <w:t xml:space="preserve">(Roles that can be assigned with administrative unit scope),</w:t>
      </w:r>
      <w:r>
        <w:t xml:space="preserve"> </w:t>
      </w:r>
      <w:hyperlink r:id="rId100">
        <w:r>
          <w:rPr>
            <w:rStyle w:val="Hyperlink"/>
          </w:rPr>
          <w:t xml:space="preserve">https://learn.microsoft.com/en-us/entra/identity/role-based-access-control/manage-roles-portal</w:t>
        </w:r>
      </w:hyperlink>
      <w:r>
        <w:t xml:space="preserve"> </w:t>
      </w:r>
      <w:r>
        <w:t xml:space="preserve">(accessed Oct 20, 2026).</w:t>
      </w:r>
    </w:p>
  </w:footnote>
  <w:footnote w:id="103">
    <w:p>
      <w:pPr>
        <w:pStyle w:val="FootnoteText"/>
      </w:pPr>
      <w:r>
        <w:rPr>
          <w:rStyle w:val="FootnoteReference"/>
        </w:rPr>
        <w:footnoteRef/>
      </w:r>
      <w:r>
        <w:t xml:space="preserve"> </w:t>
      </w:r>
      <w:r>
        <w:t xml:space="preserve">Microsoft Learn,</w:t>
      </w:r>
      <w:r>
        <w:t xml:space="preserve"> </w:t>
      </w:r>
      <w:r>
        <w:t xml:space="preserve">“Protect Microsoft 365 from on-premises attacks”</w:t>
      </w:r>
      <w:r>
        <w:t xml:space="preserve"> </w:t>
      </w:r>
      <w:r>
        <w:t xml:space="preserve">(Isolate privileged identities),</w:t>
      </w:r>
      <w:r>
        <w:t xml:space="preserve"> </w:t>
      </w:r>
      <w:hyperlink r:id="rId45">
        <w:r>
          <w:rPr>
            <w:rStyle w:val="Hyperlink"/>
          </w:rPr>
          <w:t xml:space="preserve">https://learn.microsoft.com/en-us/entra/architecture/protect-m365-from-on-premises-attacks</w:t>
        </w:r>
      </w:hyperlink>
      <w:r>
        <w:t xml:space="preserve"> </w:t>
      </w:r>
      <w:r>
        <w:t xml:space="preserve">(accessed Oct 20, 2026).</w:t>
      </w:r>
    </w:p>
  </w:footnote>
  <w:footnote w:id="104">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(Application Administrator; Cloud Application Administrator),</w:t>
      </w:r>
      <w:r>
        <w:t xml:space="preserve"> </w:t>
      </w:r>
      <w:hyperlink r:id="rId105">
        <w:r>
          <w:rPr>
            <w:rStyle w:val="Hyperlink"/>
          </w:rPr>
          <w:t xml:space="preserve">https://learn.microsoft.com/en-us/entra/identity/role-based-access-control/permissions-reference</w:t>
        </w:r>
      </w:hyperlink>
      <w:r>
        <w:t xml:space="preserve"> </w:t>
      </w:r>
      <w:r>
        <w:t xml:space="preserve">(accessed Oct 20, 2026).</w:t>
      </w:r>
    </w:p>
  </w:footnote>
  <w:footnote w:id="107">
    <w:p>
      <w:pPr>
        <w:pStyle w:val="FootnoteText"/>
      </w:pPr>
      <w:r>
        <w:rPr>
          <w:rStyle w:val="FootnoteReference"/>
        </w:rPr>
        <w:footnoteRef/>
      </w:r>
      <w:r>
        <w:t xml:space="preserve"> </w:t>
      </w:r>
      <w:r>
        <w:t xml:space="preserve">Microsoft Learn,</w:t>
      </w:r>
      <w:r>
        <w:t xml:space="preserve"> </w:t>
      </w:r>
      <w:r>
        <w:t xml:space="preserve">“Max-Ticket-Age attribute,”</w:t>
      </w:r>
      <w:r>
        <w:t xml:space="preserve"> </w:t>
      </w:r>
      <w:r>
        <w:t xml:space="preserve">Active Directory schema,</w:t>
      </w:r>
      <w:r>
        <w:t xml:space="preserve"> </w:t>
      </w:r>
      <w:hyperlink r:id="rId108">
        <w:r>
          <w:rPr>
            <w:rStyle w:val="Hyperlink"/>
          </w:rPr>
          <w:t xml:space="preserve">https://learn.microsoft.com/en-us/windows/win32/adschema/a-maxticketage</w:t>
        </w:r>
      </w:hyperlink>
      <w:r>
        <w:t xml:space="preserve"> </w:t>
      </w:r>
      <w:r>
        <w:t xml:space="preserve">(accessed Oct 20, 2026).</w:t>
      </w:r>
    </w:p>
  </w:footnote>
  <w:footnote w:id="109">
    <w:p>
      <w:pPr>
        <w:pStyle w:val="FootnoteText"/>
      </w:pPr>
      <w:r>
        <w:rPr>
          <w:rStyle w:val="FootnoteReference"/>
        </w:rPr>
        <w:footnoteRef/>
      </w:r>
      <w:r>
        <w:t xml:space="preserve"> </w:t>
      </w:r>
      <w:r>
        <w:t xml:space="preserve">Microsoft Learn,</w:t>
      </w:r>
      <w:r>
        <w:t xml:space="preserve"> </w:t>
      </w:r>
      <w:r>
        <w:t xml:space="preserve">“Max-Renew-Age attribute,”</w:t>
      </w:r>
      <w:r>
        <w:t xml:space="preserve"> </w:t>
      </w:r>
      <w:r>
        <w:t xml:space="preserve">Active Directory schema,</w:t>
      </w:r>
      <w:r>
        <w:t xml:space="preserve"> </w:t>
      </w:r>
      <w:hyperlink r:id="rId110">
        <w:r>
          <w:rPr>
            <w:rStyle w:val="Hyperlink"/>
          </w:rPr>
          <w:t xml:space="preserve">https://learn.microsoft.com/en-us/windows/win32/adschema/a-maxrenewage</w:t>
        </w:r>
      </w:hyperlink>
      <w:r>
        <w:t xml:space="preserve"> </w:t>
      </w:r>
      <w:r>
        <w:t xml:space="preserve">(accessed Oct 20, 2026).</w:t>
      </w:r>
    </w:p>
  </w:footnote>
  <w:footnote w:id="111">
    <w:p>
      <w:pPr>
        <w:pStyle w:val="FootnoteText"/>
      </w:pPr>
      <w:r>
        <w:rPr>
          <w:rStyle w:val="FootnoteReference"/>
        </w:rPr>
        <w:footnoteRef/>
      </w:r>
      <w:r>
        <w:t xml:space="preserve"> </w:t>
      </w:r>
      <w:r>
        <w:t xml:space="preserve">Microsoft Learn,</w:t>
      </w:r>
      <w:r>
        <w:t xml:space="preserve"> </w:t>
      </w:r>
      <w:r>
        <w:t xml:space="preserve">“Group Policy processing,”</w:t>
      </w:r>
      <w:r>
        <w:t xml:space="preserve"> </w:t>
      </w:r>
      <w:hyperlink r:id="rId77">
        <w:r>
          <w:rPr>
            <w:rStyle w:val="Hyperlink"/>
          </w:rPr>
          <w:t xml:space="preserve">https://learn.microsoft.com/en-us/windows-server/identity/ad-ds/manage/group-policy/group-policy-processing</w:t>
        </w:r>
      </w:hyperlink>
      <w:r>
        <w:t xml:space="preserve"> </w:t>
      </w:r>
      <w:r>
        <w:t xml:space="preserve">(accessed Oct 20, 2026).</w:t>
      </w:r>
    </w:p>
  </w:footnote>
  <w:footnote w:id="112">
    <w:p>
      <w:pPr>
        <w:pStyle w:val="FootnoteText"/>
      </w:pPr>
      <w:r>
        <w:rPr>
          <w:rStyle w:val="FootnoteReference"/>
        </w:rPr>
        <w:footnoteRef/>
      </w:r>
      <w:r>
        <w:t xml:space="preserve"> </w:t>
      </w:r>
      <w:r>
        <w:t xml:space="preserve">Microsoft Learn,</w:t>
      </w:r>
      <w:r>
        <w:t xml:space="preserve"> </w:t>
      </w:r>
      <w:r>
        <w:t xml:space="preserve">“Windows 7 Clients intermittently fail to apply group policy at startup,”</w:t>
      </w:r>
      <w:r>
        <w:t xml:space="preserve"> </w:t>
      </w:r>
      <w:hyperlink r:id="rId113">
        <w:r>
          <w:rPr>
            <w:rStyle w:val="Hyperlink"/>
          </w:rPr>
          <w:t xml:space="preserve">https://learn.microsoft.com/en-us/troubleshoot/windows-client/group-policy/fail-to-apply-group-policy-at-startup</w:t>
        </w:r>
      </w:hyperlink>
      <w:r>
        <w:t xml:space="preserve"> </w:t>
      </w:r>
      <w:r>
        <w:t xml:space="preserve">(accessed Oct 20, 2026).</w:t>
      </w:r>
    </w:p>
  </w:footnote>
  <w:footnote w:id="114">
    <w:p>
      <w:pPr>
        <w:pStyle w:val="FootnoteText"/>
      </w:pPr>
      <w:r>
        <w:rPr>
          <w:rStyle w:val="FootnoteReference"/>
        </w:rPr>
        <w:footnoteRef/>
      </w:r>
      <w:r>
        <w:t xml:space="preserve"> </w:t>
      </w:r>
      <w:r>
        <w:t xml:space="preserve">National Institute of Standards and Technology, SP 800-207,</w:t>
      </w:r>
      <w:r>
        <w:t xml:space="preserve"> </w:t>
      </w:r>
      <w:r>
        <w:rPr>
          <w:i/>
          <w:iCs/>
        </w:rPr>
        <w:t xml:space="preserve">Zero Trust Architecture</w:t>
      </w:r>
      <w:r>
        <w:t xml:space="preserve">, August 2020, section 2.1 (tenet 6),</w:t>
      </w:r>
      <w:r>
        <w:t xml:space="preserve"> </w:t>
      </w:r>
      <w:hyperlink r:id="rId20">
        <w:r>
          <w:rPr>
            <w:rStyle w:val="Hyperlink"/>
          </w:rPr>
          <w:t xml:space="preserve">https://csrc.nist.gov/pubs/sp/800/207/final</w:t>
        </w:r>
      </w:hyperlink>
      <w:r>
        <w:t xml:space="preserve"> </w:t>
      </w:r>
      <w:r>
        <w:t xml:space="preserve">(accessed Oct 20, 2026).</w:t>
      </w:r>
    </w:p>
  </w:footnote>
  <w:footnote w:id="115">
    <w:p>
      <w:pPr>
        <w:pStyle w:val="FootnoteText"/>
      </w:pPr>
      <w:r>
        <w:rPr>
          <w:rStyle w:val="FootnoteReference"/>
        </w:rPr>
        <w:footnoteRef/>
      </w:r>
      <w:r>
        <w:t xml:space="preserve"> </w:t>
      </w:r>
      <w:r>
        <w:t xml:space="preserve">Cybersecurity and Infrastructure Security Agency,</w:t>
      </w:r>
      <w:r>
        <w:t xml:space="preserve"> </w:t>
      </w:r>
      <w:r>
        <w:rPr>
          <w:i/>
          <w:iCs/>
        </w:rPr>
        <w:t xml:space="preserve">Zero Trust Maturity Model</w:t>
      </w:r>
      <w:r>
        <w:t xml:space="preserve">, Version 2.0, April 2023, Table 2 (Identity pillar, Authentication),</w:t>
      </w:r>
      <w:r>
        <w:t xml:space="preserve"> </w:t>
      </w:r>
      <w:hyperlink r:id="rId22">
        <w:r>
          <w:rPr>
            <w:rStyle w:val="Hyperlink"/>
          </w:rPr>
          <w:t xml:space="preserve">https://www.cisa.gov/sites/default/files/2023-04/CISA_Zero_Trust_Maturity_Model_Version_2_508c.pdf</w:t>
        </w:r>
      </w:hyperlink>
      <w:r>
        <w:t xml:space="preserve"> </w:t>
      </w:r>
      <w:r>
        <w:t xml:space="preserve">(accessed Oct 20, 2026).</w:t>
      </w:r>
    </w:p>
  </w:footnote>
  <w:footnote w:id="116">
    <w:p>
      <w:pPr>
        <w:pStyle w:val="FootnoteText"/>
      </w:pPr>
      <w:r>
        <w:rPr>
          <w:rStyle w:val="FootnoteReference"/>
        </w:rPr>
        <w:footnoteRef/>
      </w:r>
      <w:r>
        <w:t xml:space="preserve"> </w:t>
      </w:r>
      <w:r>
        <w:t xml:space="preserve">Microsoft Learn,</w:t>
      </w:r>
      <w:r>
        <w:t xml:space="preserve"> </w:t>
      </w:r>
      <w:r>
        <w:t xml:space="preserve">“Continuous access evaluation,”</w:t>
      </w:r>
      <w:r>
        <w:t xml:space="preserve"> </w:t>
      </w:r>
      <w:hyperlink r:id="rId117">
        <w:r>
          <w:rPr>
            <w:rStyle w:val="Hyperlink"/>
          </w:rPr>
          <w:t xml:space="preserve">https://learn.microsoft.com/en-us/entra/identity/conditional-access/concept-continuous-access-evaluation</w:t>
        </w:r>
      </w:hyperlink>
      <w:r>
        <w:t xml:space="preserve"> </w:t>
      </w:r>
      <w:r>
        <w:t xml:space="preserve">(accessed Oct 20, 2026).</w:t>
      </w:r>
    </w:p>
  </w:footnote>
  <w:footnote w:id="123">
    <w:p>
      <w:pPr>
        <w:pStyle w:val="FootnoteText"/>
      </w:pPr>
      <w:r>
        <w:rPr>
          <w:rStyle w:val="FootnoteReference"/>
        </w:rPr>
        <w:footnoteRef/>
      </w:r>
      <w:r>
        <w:t xml:space="preserve"> </w:t>
      </w:r>
      <w:r>
        <w:t xml:space="preserve">FedRAMP,</w:t>
      </w:r>
      <w:r>
        <w:t xml:space="preserve"> </w:t>
      </w:r>
      <w:r>
        <w:t xml:space="preserve">“FedRAMP 20x,”</w:t>
      </w:r>
      <w:r>
        <w:t xml:space="preserve"> </w:t>
      </w:r>
      <w:hyperlink r:id="rId124">
        <w:r>
          <w:rPr>
            <w:rStyle w:val="Hyperlink"/>
          </w:rPr>
          <w:t xml:space="preserve">https://www.fedramp.gov/20x/</w:t>
        </w:r>
      </w:hyperlink>
      <w:r>
        <w:t xml:space="preserve"> </w:t>
      </w:r>
      <w:r>
        <w:t xml:space="preserve">(accessed Oct 20, 2026).</w:t>
      </w:r>
    </w:p>
  </w:footnote>
  <w:footnote w:id="127">
    <w:p>
      <w:pPr>
        <w:pStyle w:val="FootnoteText"/>
      </w:pPr>
      <w:r>
        <w:rPr>
          <w:rStyle w:val="FootnoteReference"/>
        </w:rPr>
        <w:footnoteRef/>
      </w:r>
      <w:r>
        <w:t xml:space="preserve"> </w:t>
      </w:r>
      <w:r>
        <w:rPr>
          <w:i/>
          <w:iCs/>
        </w:rPr>
        <w:t xml:space="preserve">Foundations for Evidence-Based Policymaking Act of 2018</w:t>
      </w:r>
      <w:r>
        <w:t xml:space="preserve">, Pub. L. No. 115-435, approved January 14, 2019, Title II (OPEN Government Data Act),</w:t>
      </w:r>
      <w:r>
        <w:t xml:space="preserve"> </w:t>
      </w:r>
      <w:hyperlink r:id="rId128">
        <w:r>
          <w:rPr>
            <w:rStyle w:val="Hyperlink"/>
          </w:rPr>
          <w:t xml:space="preserve">https://www.govinfo.gov/content/pkg/PLAW-115publ435/html/PLAW-115publ435.htm</w:t>
        </w:r>
      </w:hyperlink>
      <w:r>
        <w:t xml:space="preserve"> </w:t>
      </w:r>
      <w:r>
        <w:t xml:space="preserve">(accessed Oct 20, 2026).</w:t>
      </w:r>
    </w:p>
  </w:footnote>
  <w:footnote w:id="140">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141">
        <w:r>
          <w:rPr>
            <w:rStyle w:val="Hyperlink"/>
          </w:rPr>
          <w:t xml:space="preserve">https://learn.microsoft.com/entra/identity/conditional-access/overview</w:t>
        </w:r>
      </w:hyperlink>
      <w:r>
        <w:t xml:space="preserve"> </w:t>
      </w:r>
      <w:r>
        <w:t xml:space="preserve">(accessed Oct 20, 2026).</w:t>
      </w:r>
    </w:p>
  </w:footnote>
  <w:footnote w:id="142">
    <w:p>
      <w:pPr>
        <w:pStyle w:val="FootnoteText"/>
      </w:pPr>
      <w:r>
        <w:rPr>
          <w:rStyle w:val="FootnoteReference"/>
        </w:rPr>
        <w:footnoteRef/>
      </w:r>
      <w:r>
        <w:t xml:space="preserve"> </w:t>
      </w:r>
      <w:r>
        <w:t xml:space="preserve">Microsoft Learn,</w:t>
      </w:r>
      <w:r>
        <w:t xml:space="preserve"> </w:t>
      </w:r>
      <w:r>
        <w:t xml:space="preserve">“Cloud-native endpoints and on-premises resources,”</w:t>
      </w:r>
      <w:r>
        <w:t xml:space="preserve"> </w:t>
      </w:r>
      <w:hyperlink r:id="rId143">
        <w:r>
          <w:rPr>
            <w:rStyle w:val="Hyperlink"/>
          </w:rPr>
          <w:t xml:space="preserve">https://learn.microsoft.com/intune/solutions/cloud-native-endpoints/on-premises-resources</w:t>
        </w:r>
      </w:hyperlink>
      <w:r>
        <w:t xml:space="preserve"> </w:t>
      </w:r>
      <w:r>
        <w:t xml:space="preserve">(accessed Oct 20, 2026).</w:t>
      </w:r>
    </w:p>
  </w:footnote>
  <w:footnote w:id="145">
    <w:p>
      <w:pPr>
        <w:pStyle w:val="FootnoteText"/>
      </w:pPr>
      <w:r>
        <w:rPr>
          <w:rStyle w:val="FootnoteReference"/>
        </w:rPr>
        <w:footnoteRef/>
      </w:r>
      <w:r>
        <w:t xml:space="preserve"> </w:t>
      </w:r>
      <w:r>
        <w:t xml:space="preserve">Microsoft Learn,</w:t>
      </w:r>
      <w:r>
        <w:t xml:space="preserve"> </w:t>
      </w:r>
      <w:r>
        <w:t xml:space="preserve">“Implement password hash synchronization with Microsoft Entra Connect Sync,”</w:t>
      </w:r>
      <w:r>
        <w:t xml:space="preserve"> </w:t>
      </w:r>
      <w:hyperlink r:id="rId146">
        <w:r>
          <w:rPr>
            <w:rStyle w:val="Hyperlink"/>
          </w:rPr>
          <w:t xml:space="preserve">https://learn.microsoft.com/entra/identity/hybrid/connect/how-to-connect-password-hash-synchronization</w:t>
        </w:r>
      </w:hyperlink>
      <w:r>
        <w:t xml:space="preserve"> </w:t>
      </w:r>
      <w:r>
        <w:t xml:space="preserve">(accessed Oct 20, 2026).</w:t>
      </w:r>
    </w:p>
  </w:footnote>
  <w:footnote w:id="148">
    <w:p>
      <w:pPr>
        <w:pStyle w:val="FootnoteText"/>
      </w:pPr>
      <w:r>
        <w:rPr>
          <w:rStyle w:val="FootnoteReference"/>
        </w:rPr>
        <w:footnoteRef/>
      </w:r>
      <w:r>
        <w:t xml:space="preserve"> </w:t>
      </w:r>
      <w:r>
        <w:t xml:space="preserve">IETF, RFC 4120,</w:t>
      </w:r>
      <w:r>
        <w:t xml:space="preserve"> </w:t>
      </w:r>
      <w:r>
        <w:rPr>
          <w:i/>
          <w:iCs/>
        </w:rPr>
        <w:t xml:space="preserve">The Kerberos Network Authentication Service (V5)</w:t>
      </w:r>
      <w:r>
        <w:t xml:space="preserve">, July 2005,</w:t>
      </w:r>
      <w:r>
        <w:t xml:space="preserve"> </w:t>
      </w:r>
      <w:hyperlink r:id="rId149">
        <w:r>
          <w:rPr>
            <w:rStyle w:val="Hyperlink"/>
          </w:rPr>
          <w:t xml:space="preserve">https://www.rfc-editor.org/rfc/rfc4120</w:t>
        </w:r>
      </w:hyperlink>
      <w:r>
        <w:t xml:space="preserve"> </w:t>
      </w:r>
      <w:r>
        <w:t xml:space="preserve">(accessed Oct 20, 2026).</w:t>
      </w:r>
    </w:p>
  </w:footnote>
  <w:footnote w:id="150">
    <w:p>
      <w:pPr>
        <w:pStyle w:val="FootnoteText"/>
      </w:pPr>
      <w:r>
        <w:rPr>
          <w:rStyle w:val="FootnoteReference"/>
        </w:rPr>
        <w:footnoteRef/>
      </w:r>
      <w:r>
        <w:t xml:space="preserve"> </w:t>
      </w:r>
      <w:r>
        <w:t xml:space="preserve">IETF, RFC 4178,</w:t>
      </w:r>
      <w:r>
        <w:t xml:space="preserve"> </w:t>
      </w:r>
      <w:r>
        <w:rPr>
          <w:i/>
          <w:iCs/>
        </w:rPr>
        <w:t xml:space="preserve">The Simple and Protected Generic Security Service Application Program Interface (GSS-API) Negotiation Mechanism</w:t>
      </w:r>
      <w:r>
        <w:t xml:space="preserve">, October 2005,</w:t>
      </w:r>
      <w:r>
        <w:t xml:space="preserve"> </w:t>
      </w:r>
      <w:hyperlink r:id="rId151">
        <w:r>
          <w:rPr>
            <w:rStyle w:val="Hyperlink"/>
          </w:rPr>
          <w:t xml:space="preserve">https://www.rfc-editor.org/rfc/rfc4178</w:t>
        </w:r>
      </w:hyperlink>
      <w:r>
        <w:t xml:space="preserve"> </w:t>
      </w:r>
      <w:r>
        <w:t xml:space="preserve">(accessed Oct 20, 2026).</w:t>
      </w:r>
    </w:p>
  </w:footnote>
  <w:footnote w:id="153">
    <w:p>
      <w:pPr>
        <w:pStyle w:val="FootnoteText"/>
      </w:pPr>
      <w:r>
        <w:rPr>
          <w:rStyle w:val="FootnoteReference"/>
        </w:rPr>
        <w:footnoteRef/>
      </w:r>
      <w:r>
        <w:t xml:space="preserve"> </w:t>
      </w:r>
      <w:r>
        <w:t xml:space="preserve">IETF, RFC 6749,</w:t>
      </w:r>
      <w:r>
        <w:t xml:space="preserve"> </w:t>
      </w:r>
      <w:r>
        <w:rPr>
          <w:i/>
          <w:iCs/>
        </w:rPr>
        <w:t xml:space="preserve">The OAuth 2.0 Authorization Framework</w:t>
      </w:r>
      <w:r>
        <w:t xml:space="preserve">, October 2012,</w:t>
      </w:r>
      <w:r>
        <w:t xml:space="preserve"> </w:t>
      </w:r>
      <w:hyperlink r:id="rId154">
        <w:r>
          <w:rPr>
            <w:rStyle w:val="Hyperlink"/>
          </w:rPr>
          <w:t xml:space="preserve">https://www.rfc-editor.org/rfc/rfc6749</w:t>
        </w:r>
      </w:hyperlink>
      <w:r>
        <w:t xml:space="preserve"> </w:t>
      </w:r>
      <w:r>
        <w:t xml:space="preserve">(accessed Oct 20, 2026).</w:t>
      </w:r>
    </w:p>
  </w:footnote>
  <w:footnote w:id="155">
    <w:p>
      <w:pPr>
        <w:pStyle w:val="FootnoteText"/>
      </w:pPr>
      <w:r>
        <w:rPr>
          <w:rStyle w:val="FootnoteReference"/>
        </w:rPr>
        <w:footnoteRef/>
      </w:r>
      <w:r>
        <w:t xml:space="preserve"> </w:t>
      </w:r>
      <w:r>
        <w:t xml:space="preserve">OpenID Foundation,</w:t>
      </w:r>
      <w:r>
        <w:t xml:space="preserve"> </w:t>
      </w:r>
      <w:r>
        <w:rPr>
          <w:i/>
          <w:iCs/>
        </w:rPr>
        <w:t xml:space="preserve">OpenID Connect Core 1.0 incorporating errata set 2</w:t>
      </w:r>
      <w:r>
        <w:t xml:space="preserve">,</w:t>
      </w:r>
      <w:r>
        <w:t xml:space="preserve"> </w:t>
      </w:r>
      <w:hyperlink r:id="rId156">
        <w:r>
          <w:rPr>
            <w:rStyle w:val="Hyperlink"/>
          </w:rPr>
          <w:t xml:space="preserve">https://openid.net/specs/openid-connect-core-1_0.html</w:t>
        </w:r>
      </w:hyperlink>
      <w:r>
        <w:t xml:space="preserve"> </w:t>
      </w:r>
      <w:r>
        <w:t xml:space="preserve">(accessed Oct 20, 2026).</w:t>
      </w:r>
    </w:p>
  </w:footnote>
  <w:footnote w:id="157">
    <w:p>
      <w:pPr>
        <w:pStyle w:val="FootnoteText"/>
      </w:pPr>
      <w:r>
        <w:rPr>
          <w:rStyle w:val="FootnoteReference"/>
        </w:rPr>
        <w:footnoteRef/>
      </w:r>
      <w:r>
        <w:t xml:space="preserve"> </w:t>
      </w:r>
      <w:r>
        <w:t xml:space="preserve">IETF, RFC 7643,</w:t>
      </w:r>
      <w:r>
        <w:t xml:space="preserve"> </w:t>
      </w:r>
      <w:r>
        <w:rPr>
          <w:i/>
          <w:iCs/>
        </w:rPr>
        <w:t xml:space="preserve">System for Cross-domain Identity Management: Core Schema</w:t>
      </w:r>
      <w:r>
        <w:t xml:space="preserve">, September 2015,</w:t>
      </w:r>
      <w:r>
        <w:t xml:space="preserve"> </w:t>
      </w:r>
      <w:hyperlink r:id="rId158">
        <w:r>
          <w:rPr>
            <w:rStyle w:val="Hyperlink"/>
          </w:rPr>
          <w:t xml:space="preserve">https://www.rfc-editor.org/rfc/rfc7643</w:t>
        </w:r>
      </w:hyperlink>
      <w:r>
        <w:t xml:space="preserve"> </w:t>
      </w:r>
      <w:r>
        <w:t xml:space="preserve">(accessed Oct 20, 2026).</w:t>
      </w:r>
    </w:p>
  </w:footnote>
  <w:footnote w:id="159">
    <w:p>
      <w:pPr>
        <w:pStyle w:val="FootnoteText"/>
      </w:pPr>
      <w:r>
        <w:rPr>
          <w:rStyle w:val="FootnoteReference"/>
        </w:rPr>
        <w:footnoteRef/>
      </w:r>
      <w:r>
        <w:t xml:space="preserve"> </w:t>
      </w:r>
      <w:r>
        <w:t xml:space="preserve">IETF, RFC 7644,</w:t>
      </w:r>
      <w:r>
        <w:t xml:space="preserve"> </w:t>
      </w:r>
      <w:r>
        <w:rPr>
          <w:i/>
          <w:iCs/>
        </w:rPr>
        <w:t xml:space="preserve">System for Cross-domain Identity Management: Protocol</w:t>
      </w:r>
      <w:r>
        <w:t xml:space="preserve">, September 2015,</w:t>
      </w:r>
      <w:r>
        <w:t xml:space="preserve"> </w:t>
      </w:r>
      <w:hyperlink r:id="rId160">
        <w:r>
          <w:rPr>
            <w:rStyle w:val="Hyperlink"/>
          </w:rPr>
          <w:t xml:space="preserve">https://www.rfc-editor.org/rfc/rfc7644</w:t>
        </w:r>
      </w:hyperlink>
      <w:r>
        <w:t xml:space="preserve"> </w:t>
      </w:r>
      <w:r>
        <w:t xml:space="preserve">(accessed Oct 20, 2026).</w:t>
      </w:r>
    </w:p>
  </w:footnote>
  <w:footnote w:id="161">
    <w:p>
      <w:pPr>
        <w:pStyle w:val="FootnoteText"/>
      </w:pPr>
      <w:r>
        <w:rPr>
          <w:rStyle w:val="FootnoteReference"/>
        </w:rPr>
        <w:footnoteRef/>
      </w:r>
      <w:r>
        <w:t xml:space="preserve"> </w:t>
      </w:r>
      <w:r>
        <w:t xml:space="preserve">Microsoft Learn,</w:t>
      </w:r>
      <w:r>
        <w:t xml:space="preserve"> </w:t>
      </w:r>
      <w:r>
        <w:t xml:space="preserve">“SCIM support in Microsoft Entra ID,”</w:t>
      </w:r>
      <w:r>
        <w:t xml:space="preserve"> </w:t>
      </w:r>
      <w:hyperlink r:id="rId162">
        <w:r>
          <w:rPr>
            <w:rStyle w:val="Hyperlink"/>
          </w:rPr>
          <w:t xml:space="preserve">https://learn.microsoft.com/entra/identity/app-provisioning/scim-support-in-entra-id</w:t>
        </w:r>
      </w:hyperlink>
      <w:r>
        <w:t xml:space="preserve"> </w:t>
      </w:r>
      <w:r>
        <w:t xml:space="preserve">(accessed Oct 20, 2026).</w:t>
      </w:r>
    </w:p>
  </w:footnote>
  <w:footnote w:id="163">
    <w:p>
      <w:pPr>
        <w:pStyle w:val="FootnoteText"/>
      </w:pPr>
      <w:r>
        <w:rPr>
          <w:rStyle w:val="FootnoteReference"/>
        </w:rPr>
        <w:footnoteRef/>
      </w:r>
      <w:r>
        <w:t xml:space="preserve"> </w:t>
      </w:r>
      <w:r>
        <w:t xml:space="preserve">Microsoft Learn,</w:t>
      </w:r>
      <w:r>
        <w:t xml:space="preserve"> </w:t>
      </w:r>
      <w:r>
        <w:t xml:space="preserve">“Proof-of-Possession (PoP) tokens,”</w:t>
      </w:r>
      <w:r>
        <w:t xml:space="preserve"> </w:t>
      </w:r>
      <w:r>
        <w:t xml:space="preserve">MSAL.NET documentation,</w:t>
      </w:r>
      <w:r>
        <w:t xml:space="preserve"> </w:t>
      </w:r>
      <w:hyperlink r:id="rId164">
        <w:r>
          <w:rPr>
            <w:rStyle w:val="Hyperlink"/>
          </w:rPr>
          <w:t xml:space="preserve">https://learn.microsoft.com/entra/msal/dotnet/advanced/proof-of-possession-tokens</w:t>
        </w:r>
      </w:hyperlink>
      <w:r>
        <w:t xml:space="preserve"> </w:t>
      </w:r>
      <w:r>
        <w:t xml:space="preserve">(accessed Oct 20, 2026).</w:t>
      </w:r>
    </w:p>
  </w:footnote>
  <w:footnote w:id="165">
    <w:p>
      <w:pPr>
        <w:pStyle w:val="FootnoteText"/>
      </w:pPr>
      <w:r>
        <w:rPr>
          <w:rStyle w:val="FootnoteReference"/>
        </w:rPr>
        <w:footnoteRef/>
      </w:r>
      <w:r>
        <w:t xml:space="preserve"> </w:t>
      </w:r>
      <w:r>
        <w:t xml:space="preserve">IETF, RFC 8705,</w:t>
      </w:r>
      <w:r>
        <w:t xml:space="preserve"> </w:t>
      </w:r>
      <w:r>
        <w:rPr>
          <w:i/>
          <w:iCs/>
        </w:rPr>
        <w:t xml:space="preserve">OAuth 2.0 Mutual-TLS Client Authentication and Certificate-Bound Access Tokens</w:t>
      </w:r>
      <w:r>
        <w:t xml:space="preserve">, February 2020,</w:t>
      </w:r>
      <w:r>
        <w:t xml:space="preserve"> </w:t>
      </w:r>
      <w:hyperlink r:id="rId166">
        <w:r>
          <w:rPr>
            <w:rStyle w:val="Hyperlink"/>
          </w:rPr>
          <w:t xml:space="preserve">https://www.rfc-editor.org/rfc/rfc8705</w:t>
        </w:r>
      </w:hyperlink>
      <w:r>
        <w:t xml:space="preserve"> </w:t>
      </w:r>
      <w:r>
        <w:t xml:space="preserve">(accessed Oct 20, 2026).</w:t>
      </w:r>
    </w:p>
  </w:footnote>
  <w:footnote w:id="167">
    <w:p>
      <w:pPr>
        <w:pStyle w:val="FootnoteText"/>
      </w:pPr>
      <w:r>
        <w:rPr>
          <w:rStyle w:val="FootnoteReference"/>
        </w:rPr>
        <w:footnoteRef/>
      </w:r>
      <w:r>
        <w:t xml:space="preserve"> </w:t>
      </w:r>
      <w:r>
        <w:t xml:space="preserve">IETF, RFC 9449,</w:t>
      </w:r>
      <w:r>
        <w:t xml:space="preserve"> </w:t>
      </w:r>
      <w:r>
        <w:rPr>
          <w:i/>
          <w:iCs/>
        </w:rPr>
        <w:t xml:space="preserve">OAuth 2.0 Demonstrating Proof of Possession (DPoP)</w:t>
      </w:r>
      <w:r>
        <w:t xml:space="preserve">, September 2023,</w:t>
      </w:r>
      <w:r>
        <w:t xml:space="preserve"> </w:t>
      </w:r>
      <w:hyperlink r:id="rId168">
        <w:r>
          <w:rPr>
            <w:rStyle w:val="Hyperlink"/>
          </w:rPr>
          <w:t xml:space="preserve">https://www.rfc-editor.org/rfc/rfc9449</w:t>
        </w:r>
      </w:hyperlink>
      <w:r>
        <w:t xml:space="preserve"> </w:t>
      </w:r>
      <w:r>
        <w:t xml:space="preserve">(accessed Oct 20, 2026).</w:t>
      </w:r>
    </w:p>
  </w:footnote>
  <w:footnote w:id="169">
    <w:p>
      <w:pPr>
        <w:pStyle w:val="FootnoteText"/>
      </w:pPr>
      <w:r>
        <w:rPr>
          <w:rStyle w:val="FootnoteReference"/>
        </w:rPr>
        <w:footnoteRef/>
      </w:r>
      <w:r>
        <w:t xml:space="preserve"> </w:t>
      </w:r>
      <w:r>
        <w:t xml:space="preserve">Microsoft Learn,</w:t>
      </w:r>
      <w:r>
        <w:t xml:space="preserve"> </w:t>
      </w:r>
      <w:r>
        <w:t xml:space="preserve">“Token Protection in Microsoft Entra Conditional Access,”</w:t>
      </w:r>
      <w:r>
        <w:t xml:space="preserve"> </w:t>
      </w:r>
      <w:hyperlink r:id="rId170">
        <w:r>
          <w:rPr>
            <w:rStyle w:val="Hyperlink"/>
          </w:rPr>
          <w:t xml:space="preserve">https://learn.microsoft.com/entra/identity/conditional-access/concept-token-protection</w:t>
        </w:r>
      </w:hyperlink>
      <w:r>
        <w:t xml:space="preserve"> </w:t>
      </w:r>
      <w:r>
        <w:t xml:space="preserve">(accessed Oct 20, 2026).</w:t>
      </w:r>
    </w:p>
  </w:footnote>
  <w:footnote w:id="171">
    <w:p>
      <w:pPr>
        <w:pStyle w:val="FootnoteText"/>
      </w:pPr>
      <w:r>
        <w:rPr>
          <w:rStyle w:val="FootnoteReference"/>
        </w:rPr>
        <w:footnoteRef/>
      </w:r>
      <w:r>
        <w:t xml:space="preserve"> </w:t>
      </w:r>
      <w:r>
        <w:t xml:space="preserve">Microsoft Learn,</w:t>
      </w:r>
      <w:r>
        <w:t xml:space="preserve"> </w:t>
      </w:r>
      <w:r>
        <w:t xml:space="preserve">“Meet multifactor authentication requirements of memorandum 22-09,”</w:t>
      </w:r>
      <w:r>
        <w:t xml:space="preserve"> </w:t>
      </w:r>
      <w:hyperlink r:id="rId172">
        <w:r>
          <w:rPr>
            <w:rStyle w:val="Hyperlink"/>
          </w:rPr>
          <w:t xml:space="preserve">https://learn.microsoft.com/entra/standards/memo-22-09-multi-factor-authentication</w:t>
        </w:r>
      </w:hyperlink>
      <w:r>
        <w:t xml:space="preserve"> </w:t>
      </w:r>
      <w:r>
        <w:t xml:space="preserve">(accessed Oct 20, 2026).</w:t>
      </w:r>
    </w:p>
  </w:footnote>
  <w:footnote w:id="173">
    <w:p>
      <w:pPr>
        <w:pStyle w:val="FootnoteText"/>
      </w:pPr>
      <w:r>
        <w:rPr>
          <w:rStyle w:val="FootnoteReference"/>
        </w:rPr>
        <w:footnoteRef/>
      </w:r>
      <w:r>
        <w:t xml:space="preserve"> </w:t>
      </w:r>
      <w:r>
        <w:t xml:space="preserve">Microsoft Learn,</w:t>
      </w:r>
      <w:r>
        <w:t xml:space="preserve"> </w:t>
      </w:r>
      <w:r>
        <w:t xml:space="preserve">“What is Microsoft Entra certificate-based authentication?,”</w:t>
      </w:r>
      <w:r>
        <w:t xml:space="preserve"> </w:t>
      </w:r>
      <w:hyperlink r:id="rId174">
        <w:r>
          <w:rPr>
            <w:rStyle w:val="Hyperlink"/>
          </w:rPr>
          <w:t xml:space="preserve">https://learn.microsoft.com/entra/identity/authentication/concept-certificate-based-authentication</w:t>
        </w:r>
      </w:hyperlink>
      <w:r>
        <w:t xml:space="preserve"> </w:t>
      </w:r>
      <w:r>
        <w:t xml:space="preserve">(accessed Oct 20, 2026).</w:t>
      </w:r>
    </w:p>
  </w:footnote>
  <w:footnote w:id="180">
    <w:p>
      <w:pPr>
        <w:pStyle w:val="FootnoteText"/>
      </w:pPr>
      <w:r>
        <w:rPr>
          <w:rStyle w:val="FootnoteReference"/>
        </w:rPr>
        <w:footnoteRef/>
      </w:r>
      <w:r>
        <w:t xml:space="preserve"> </w:t>
      </w:r>
      <w:r>
        <w:t xml:space="preserve">Microsoft Learn,</w:t>
      </w:r>
      <w:r>
        <w:t xml:space="preserve"> </w:t>
      </w:r>
      <w:r>
        <w:t xml:space="preserve">“Windows authentication - Kerberos constrained delegation with Microsoft Entra ID,”</w:t>
      </w:r>
      <w:r>
        <w:t xml:space="preserve"> </w:t>
      </w:r>
      <w:hyperlink r:id="rId181">
        <w:r>
          <w:rPr>
            <w:rStyle w:val="Hyperlink"/>
          </w:rPr>
          <w:t xml:space="preserve">https://learn.microsoft.com/entra/architecture/auth-kcd</w:t>
        </w:r>
      </w:hyperlink>
      <w:r>
        <w:t xml:space="preserve"> </w:t>
      </w:r>
      <w:r>
        <w:t xml:space="preserve">(accessed Oct 20, 2026).</w:t>
      </w:r>
    </w:p>
  </w:footnote>
  <w:footnote w:id="183">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141">
        <w:r>
          <w:rPr>
            <w:rStyle w:val="Hyperlink"/>
          </w:rPr>
          <w:t xml:space="preserve">https://learn.microsoft.com/entra/identity/conditional-access/overview</w:t>
        </w:r>
      </w:hyperlink>
      <w:r>
        <w:t xml:space="preserve"> </w:t>
      </w:r>
      <w:r>
        <w:t xml:space="preserve">(accessed Oct 20, 2026).</w:t>
      </w:r>
    </w:p>
  </w:footnote>
  <w:footnote w:id="184">
    <w:p>
      <w:pPr>
        <w:pStyle w:val="FootnoteText"/>
      </w:pPr>
      <w:r>
        <w:rPr>
          <w:rStyle w:val="FootnoteReference"/>
        </w:rPr>
        <w:footnoteRef/>
      </w:r>
      <w:r>
        <w:t xml:space="preserve"> </w:t>
      </w:r>
      <w:r>
        <w:t xml:space="preserve">Microsoft Learn,</w:t>
      </w:r>
      <w:r>
        <w:t xml:space="preserve"> </w:t>
      </w:r>
      <w:r>
        <w:t xml:space="preserve">“Conditional Access: Conditions,”</w:t>
      </w:r>
      <w:r>
        <w:t xml:space="preserve"> </w:t>
      </w:r>
      <w:hyperlink r:id="rId185">
        <w:r>
          <w:rPr>
            <w:rStyle w:val="Hyperlink"/>
          </w:rPr>
          <w:t xml:space="preserve">https://learn.microsoft.com/entra/identity/conditional-access/concept-conditional-access-conditions</w:t>
        </w:r>
      </w:hyperlink>
      <w:r>
        <w:t xml:space="preserve"> </w:t>
      </w:r>
      <w:r>
        <w:t xml:space="preserve">(accessed Oct 20, 2026).</w:t>
      </w:r>
    </w:p>
  </w:footnote>
  <w:footnote w:id="186">
    <w:p>
      <w:pPr>
        <w:pStyle w:val="FootnoteText"/>
      </w:pPr>
      <w:r>
        <w:rPr>
          <w:rStyle w:val="FootnoteReference"/>
        </w:rPr>
        <w:footnoteRef/>
      </w:r>
      <w:r>
        <w:t xml:space="preserve"> </w:t>
      </w:r>
      <w:r>
        <w:t xml:space="preserve">Microsoft Learn,</w:t>
      </w:r>
      <w:r>
        <w:t xml:space="preserve"> </w:t>
      </w:r>
      <w:r>
        <w:t xml:space="preserve">“Cloud-native endpoints and on-premises resources,”</w:t>
      </w:r>
      <w:r>
        <w:t xml:space="preserve"> </w:t>
      </w:r>
      <w:hyperlink r:id="rId143">
        <w:r>
          <w:rPr>
            <w:rStyle w:val="Hyperlink"/>
          </w:rPr>
          <w:t xml:space="preserve">https://learn.microsoft.com/intune/solutions/cloud-native-endpoints/on-premises-resources</w:t>
        </w:r>
      </w:hyperlink>
      <w:r>
        <w:t xml:space="preserve"> </w:t>
      </w:r>
      <w:r>
        <w:t xml:space="preserve">(accessed Oct 20, 2026).</w:t>
      </w:r>
    </w:p>
  </w:footnote>
  <w:footnote w:id="189">
    <w:p>
      <w:pPr>
        <w:pStyle w:val="FootnoteText"/>
      </w:pPr>
      <w:r>
        <w:rPr>
          <w:rStyle w:val="FootnoteReference"/>
        </w:rPr>
        <w:footnoteRef/>
      </w:r>
      <w:r>
        <w:t xml:space="preserve"> </w:t>
      </w:r>
      <w:r>
        <w:t xml:space="preserve">Microsoft Learn,</w:t>
      </w:r>
      <w:r>
        <w:t xml:space="preserve"> </w:t>
      </w:r>
      <w:r>
        <w:t xml:space="preserve">“Deprecated features for Windows client,”</w:t>
      </w:r>
      <w:r>
        <w:t xml:space="preserve"> </w:t>
      </w:r>
      <w:hyperlink r:id="rId190">
        <w:r>
          <w:rPr>
            <w:rStyle w:val="Hyperlink"/>
          </w:rPr>
          <w:t xml:space="preserve">https://learn.microsoft.com/windows/whats-new/deprecated-features</w:t>
        </w:r>
      </w:hyperlink>
      <w:r>
        <w:t xml:space="preserve"> </w:t>
      </w:r>
      <w:r>
        <w:t xml:space="preserve">(accessed Oct 20, 2026).</w:t>
      </w:r>
    </w:p>
  </w:footnote>
  <w:footnote w:id="191">
    <w:p>
      <w:pPr>
        <w:pStyle w:val="FootnoteText"/>
      </w:pPr>
      <w:r>
        <w:rPr>
          <w:rStyle w:val="FootnoteReference"/>
        </w:rPr>
        <w:footnoteRef/>
      </w:r>
      <w:r>
        <w:t xml:space="preserve"> </w:t>
      </w:r>
      <w:r>
        <w:t xml:space="preserve">Microsoft Learn,</w:t>
      </w:r>
      <w:r>
        <w:t xml:space="preserve"> </w:t>
      </w:r>
      <w:r>
        <w:t xml:space="preserve">“Deprecated features for Windows client,”</w:t>
      </w:r>
      <w:r>
        <w:t xml:space="preserve"> </w:t>
      </w:r>
      <w:hyperlink r:id="rId190">
        <w:r>
          <w:rPr>
            <w:rStyle w:val="Hyperlink"/>
          </w:rPr>
          <w:t xml:space="preserve">https://learn.microsoft.com/windows/whats-new/deprecated-features</w:t>
        </w:r>
      </w:hyperlink>
      <w:r>
        <w:t xml:space="preserve"> </w:t>
      </w:r>
      <w:r>
        <w:t xml:space="preserve">(accessed Oct 20, 2026).</w:t>
      </w:r>
    </w:p>
  </w:footnote>
  <w:footnote w:id="192">
    <w:p>
      <w:pPr>
        <w:pStyle w:val="FootnoteText"/>
      </w:pPr>
      <w:r>
        <w:rPr>
          <w:rStyle w:val="FootnoteReference"/>
        </w:rPr>
        <w:footnoteRef/>
      </w:r>
      <w:r>
        <w:t xml:space="preserve"> </w:t>
      </w:r>
      <w:r>
        <w:t xml:space="preserve">Microsoft Learn,</w:t>
      </w:r>
      <w:r>
        <w:t xml:space="preserve"> </w:t>
      </w:r>
      <w:r>
        <w:t xml:space="preserve">“Windows message center,”</w:t>
      </w:r>
      <w:r>
        <w:t xml:space="preserve"> </w:t>
      </w:r>
      <w:r>
        <w:t xml:space="preserve">entry</w:t>
      </w:r>
      <w:r>
        <w:t xml:space="preserve"> </w:t>
      </w:r>
      <w:r>
        <w:t xml:space="preserve">“Take action: NTLMv1 hardening changes might affect network connections on devices without Credential Guard,”</w:t>
      </w:r>
      <w:r>
        <w:t xml:space="preserve"> </w:t>
      </w:r>
      <w:r>
        <w:t xml:space="preserve">October 14, 2026,</w:t>
      </w:r>
      <w:r>
        <w:t xml:space="preserve"> </w:t>
      </w:r>
      <w:hyperlink r:id="rId193">
        <w:r>
          <w:rPr>
            <w:rStyle w:val="Hyperlink"/>
          </w:rPr>
          <w:t xml:space="preserve">https://learn.microsoft.com/windows/release-health/windows-message-center</w:t>
        </w:r>
      </w:hyperlink>
      <w:r>
        <w:t xml:space="preserve"> </w:t>
      </w:r>
      <w:r>
        <w:t xml:space="preserve">(accessed Oct 20, 2026).</w:t>
      </w:r>
    </w:p>
  </w:footnote>
  <w:footnote w:id="194">
    <w:p>
      <w:pPr>
        <w:pStyle w:val="FootnoteText"/>
      </w:pPr>
      <w:r>
        <w:rPr>
          <w:rStyle w:val="FootnoteReference"/>
        </w:rPr>
        <w:footnoteRef/>
      </w:r>
      <w:r>
        <w:t xml:space="preserve"> </w:t>
      </w:r>
      <w:r>
        <w:t xml:space="preserve">Microsoft Learn,</w:t>
      </w:r>
      <w:r>
        <w:t xml:space="preserve"> </w:t>
      </w:r>
      <w:r>
        <w:t xml:space="preserve">“Features removed or no longer developed in Windows Server,”</w:t>
      </w:r>
      <w:r>
        <w:t xml:space="preserve"> </w:t>
      </w:r>
      <w:hyperlink r:id="rId195">
        <w:r>
          <w:rPr>
            <w:rStyle w:val="Hyperlink"/>
          </w:rPr>
          <w:t xml:space="preserve">https://learn.microsoft.com/windows-server/get-started/removed-deprecated-features-windows-server</w:t>
        </w:r>
      </w:hyperlink>
      <w:r>
        <w:t xml:space="preserve"> </w:t>
      </w:r>
      <w:r>
        <w:t xml:space="preserve">(accessed Oct 20, 2026).</w:t>
      </w:r>
    </w:p>
  </w:footnote>
  <w:footnote w:id="196">
    <w:p>
      <w:pPr>
        <w:pStyle w:val="FootnoteText"/>
      </w:pPr>
      <w:r>
        <w:rPr>
          <w:rStyle w:val="FootnoteReference"/>
        </w:rPr>
        <w:footnoteRef/>
      </w:r>
      <w:r>
        <w:t xml:space="preserve"> </w:t>
      </w:r>
      <w:r>
        <w:t xml:space="preserve">Microsoft Windows IT Pro Blog,</w:t>
      </w:r>
      <w:r>
        <w:t xml:space="preserve"> </w:t>
      </w:r>
      <w:r>
        <w:t xml:space="preserve">“Advancing Windows security: Disabling NTLM by default,”</w:t>
      </w:r>
      <w:r>
        <w:t xml:space="preserve"> </w:t>
      </w:r>
      <w:r>
        <w:t xml:space="preserve">January 29, 2026,</w:t>
      </w:r>
      <w:r>
        <w:t xml:space="preserve"> </w:t>
      </w:r>
      <w:hyperlink r:id="rId197">
        <w:r>
          <w:rPr>
            <w:rStyle w:val="Hyperlink"/>
          </w:rPr>
          <w:t xml:space="preserve">https://techcommunity.microsoft.com/blog/windows-itpro-blog/advancing-windows-security-disabling-ntlm-by-default/4489526</w:t>
        </w:r>
      </w:hyperlink>
      <w:r>
        <w:t xml:space="preserve"> </w:t>
      </w:r>
      <w:r>
        <w:t xml:space="preserve">(accessed Oct 20, 2026).</w:t>
      </w:r>
    </w:p>
  </w:footnote>
  <w:footnote w:id="198">
    <w:p>
      <w:pPr>
        <w:pStyle w:val="FootnoteText"/>
      </w:pPr>
      <w:r>
        <w:rPr>
          <w:rStyle w:val="FootnoteReference"/>
        </w:rPr>
        <w:footnoteRef/>
      </w:r>
      <w:r>
        <w:t xml:space="preserve"> </w:t>
      </w:r>
      <w:r>
        <w:t xml:space="preserve">Microsoft Learn,</w:t>
      </w:r>
      <w:r>
        <w:t xml:space="preserve"> </w:t>
      </w:r>
      <w:r>
        <w:t xml:space="preserve">“Features removed or no longer developed in Windows Server,”</w:t>
      </w:r>
      <w:r>
        <w:t xml:space="preserve"> </w:t>
      </w:r>
      <w:hyperlink r:id="rId195">
        <w:r>
          <w:rPr>
            <w:rStyle w:val="Hyperlink"/>
          </w:rPr>
          <w:t xml:space="preserve">https://learn.microsoft.com/windows-server/get-started/removed-deprecated-features-windows-server</w:t>
        </w:r>
      </w:hyperlink>
      <w:r>
        <w:t xml:space="preserve"> </w:t>
      </w:r>
      <w:r>
        <w:t xml:space="preserve">(accessed Oct 20, 2026).</w:t>
      </w:r>
    </w:p>
  </w:footnote>
  <w:footnote w:id="199">
    <w:p>
      <w:pPr>
        <w:pStyle w:val="FootnoteText"/>
      </w:pPr>
      <w:r>
        <w:rPr>
          <w:rStyle w:val="FootnoteReference"/>
        </w:rPr>
        <w:footnoteRef/>
      </w:r>
      <w:r>
        <w:t xml:space="preserve"> </w:t>
      </w:r>
      <w:r>
        <w:t xml:space="preserve">Microsoft Learn,</w:t>
      </w:r>
      <w:r>
        <w:t xml:space="preserve"> </w:t>
      </w:r>
      <w:r>
        <w:t xml:space="preserve">“Features removed or no longer developed in Windows Server,”</w:t>
      </w:r>
      <w:r>
        <w:t xml:space="preserve"> </w:t>
      </w:r>
      <w:hyperlink r:id="rId195">
        <w:r>
          <w:rPr>
            <w:rStyle w:val="Hyperlink"/>
          </w:rPr>
          <w:t xml:space="preserve">https://learn.microsoft.com/windows-server/get-started/removed-deprecated-features-windows-server</w:t>
        </w:r>
      </w:hyperlink>
      <w:r>
        <w:t xml:space="preserve"> </w:t>
      </w:r>
      <w:r>
        <w:t xml:space="preserve">(accessed Oct 20, 2026).</w:t>
      </w:r>
    </w:p>
  </w:footnote>
  <w:footnote w:id="200">
    <w:p>
      <w:pPr>
        <w:pStyle w:val="FootnoteText"/>
      </w:pPr>
      <w:r>
        <w:rPr>
          <w:rStyle w:val="FootnoteReference"/>
        </w:rPr>
        <w:footnoteRef/>
      </w:r>
      <w:r>
        <w:t xml:space="preserve"> </w:t>
      </w:r>
      <w:r>
        <w:t xml:space="preserve">Microsoft Learn,</w:t>
      </w:r>
      <w:r>
        <w:t xml:space="preserve"> </w:t>
      </w:r>
      <w:r>
        <w:t xml:space="preserve">“LDAP signing overview for Active Directory Domain Services,”</w:t>
      </w:r>
      <w:r>
        <w:t xml:space="preserve"> </w:t>
      </w:r>
      <w:hyperlink r:id="rId201">
        <w:r>
          <w:rPr>
            <w:rStyle w:val="Hyperlink"/>
          </w:rPr>
          <w:t xml:space="preserve">https://learn.microsoft.com/windows-server/identity/ad-ds/ldap-signing</w:t>
        </w:r>
      </w:hyperlink>
      <w:r>
        <w:t xml:space="preserve"> </w:t>
      </w:r>
      <w:r>
        <w:t xml:space="preserve">(accessed Oct 20, 2026).</w:t>
      </w:r>
    </w:p>
  </w:footnote>
  <w:footnote w:id="202">
    <w:p>
      <w:pPr>
        <w:pStyle w:val="FootnoteText"/>
      </w:pPr>
      <w:r>
        <w:rPr>
          <w:rStyle w:val="FootnoteReference"/>
        </w:rPr>
        <w:footnoteRef/>
      </w:r>
      <w:r>
        <w:t xml:space="preserve"> </w:t>
      </w:r>
      <w:r>
        <w:t xml:space="preserve">Microsoft Learn,</w:t>
      </w:r>
      <w:r>
        <w:t xml:space="preserve"> </w:t>
      </w:r>
      <w:r>
        <w:t xml:space="preserve">“LDAP channel binding overview for Active Directory Domain Services,”</w:t>
      </w:r>
      <w:r>
        <w:t xml:space="preserve"> </w:t>
      </w:r>
      <w:hyperlink r:id="rId203">
        <w:r>
          <w:rPr>
            <w:rStyle w:val="Hyperlink"/>
          </w:rPr>
          <w:t xml:space="preserve">https://learn.microsoft.com/windows-server/identity/ad-ds/ldap-channel-binding</w:t>
        </w:r>
      </w:hyperlink>
      <w:r>
        <w:t xml:space="preserve"> </w:t>
      </w:r>
      <w:r>
        <w:t xml:space="preserve">(accessed Oct 20, 2026).</w:t>
      </w:r>
    </w:p>
  </w:footnote>
  <w:footnote w:id="204">
    <w:p>
      <w:pPr>
        <w:pStyle w:val="FootnoteText"/>
      </w:pPr>
      <w:r>
        <w:rPr>
          <w:rStyle w:val="FootnoteReference"/>
        </w:rPr>
        <w:footnoteRef/>
      </w:r>
      <w:r>
        <w:t xml:space="preserve"> </w:t>
      </w:r>
      <w:r>
        <w:t xml:space="preserve">Microsoft Windows IT Pro Blog,</w:t>
      </w:r>
      <w:r>
        <w:t xml:space="preserve"> </w:t>
      </w:r>
      <w:r>
        <w:t xml:space="preserve">“Advancing Windows security: Disabling NTLM by default,”</w:t>
      </w:r>
      <w:r>
        <w:t xml:space="preserve"> </w:t>
      </w:r>
      <w:r>
        <w:t xml:space="preserve">January 29, 2026,</w:t>
      </w:r>
      <w:r>
        <w:t xml:space="preserve"> </w:t>
      </w:r>
      <w:hyperlink r:id="rId197">
        <w:r>
          <w:rPr>
            <w:rStyle w:val="Hyperlink"/>
          </w:rPr>
          <w:t xml:space="preserve">https://techcommunity.microsoft.com/blog/windows-itpro-blog/advancing-windows-security-disabling-ntlm-by-default/4489526</w:t>
        </w:r>
      </w:hyperlink>
      <w:r>
        <w:t xml:space="preserve"> </w:t>
      </w:r>
      <w:r>
        <w:t xml:space="preserve">(accessed Oct 20, 2026).</w:t>
      </w:r>
    </w:p>
  </w:footnote>
  <w:footnote w:id="206">
    <w:p>
      <w:pPr>
        <w:pStyle w:val="FootnoteText"/>
      </w:pPr>
      <w:r>
        <w:rPr>
          <w:rStyle w:val="FootnoteReference"/>
        </w:rPr>
        <w:footnoteRef/>
      </w:r>
      <w:r>
        <w:t xml:space="preserve"> </w:t>
      </w:r>
      <w:r>
        <w:t xml:space="preserve">Microsoft Learn,</w:t>
      </w:r>
      <w:r>
        <w:t xml:space="preserve"> </w:t>
      </w:r>
      <w:r>
        <w:t xml:space="preserve">“Implement password hash synchronization with Microsoft Entra Connect Sync,”</w:t>
      </w:r>
      <w:r>
        <w:t xml:space="preserve"> </w:t>
      </w:r>
      <w:hyperlink r:id="rId146">
        <w:r>
          <w:rPr>
            <w:rStyle w:val="Hyperlink"/>
          </w:rPr>
          <w:t xml:space="preserve">https://learn.microsoft.com/entra/identity/hybrid/connect/how-to-connect-password-hash-synchronization</w:t>
        </w:r>
      </w:hyperlink>
      <w:r>
        <w:t xml:space="preserve"> </w:t>
      </w:r>
      <w:r>
        <w:t xml:space="preserve">(accessed Oct 20, 2026).</w:t>
      </w:r>
    </w:p>
  </w:footnote>
  <w:footnote w:id="207">
    <w:p>
      <w:pPr>
        <w:pStyle w:val="FootnoteText"/>
      </w:pPr>
      <w:r>
        <w:rPr>
          <w:rStyle w:val="FootnoteReference"/>
        </w:rPr>
        <w:footnoteRef/>
      </w:r>
      <w:r>
        <w:t xml:space="preserve"> </w:t>
      </w:r>
      <w:r>
        <w:t xml:space="preserve">Microsoft Learn,</w:t>
      </w:r>
      <w:r>
        <w:t xml:space="preserve"> </w:t>
      </w:r>
      <w:r>
        <w:t xml:space="preserve">“Implement password hash synchronization with Microsoft Entra Connect Sync,”</w:t>
      </w:r>
      <w:r>
        <w:t xml:space="preserve"> </w:t>
      </w:r>
      <w:hyperlink r:id="rId146">
        <w:r>
          <w:rPr>
            <w:rStyle w:val="Hyperlink"/>
          </w:rPr>
          <w:t xml:space="preserve">https://learn.microsoft.com/entra/identity/hybrid/connect/how-to-connect-password-hash-synchronization</w:t>
        </w:r>
      </w:hyperlink>
      <w:r>
        <w:t xml:space="preserve"> </w:t>
      </w:r>
      <w:r>
        <w:t xml:space="preserve">(accessed Oct 20, 2026).</w:t>
      </w:r>
    </w:p>
  </w:footnote>
  <w:footnote w:id="208">
    <w:p>
      <w:pPr>
        <w:pStyle w:val="FootnoteText"/>
      </w:pPr>
      <w:r>
        <w:rPr>
          <w:rStyle w:val="FootnoteReference"/>
        </w:rPr>
        <w:footnoteRef/>
      </w:r>
      <w:r>
        <w:t xml:space="preserve"> </w:t>
      </w:r>
      <w:r>
        <w:t xml:space="preserve">Microsoft Learn,</w:t>
      </w:r>
      <w:r>
        <w:t xml:space="preserve"> </w:t>
      </w:r>
      <w:r>
        <w:t xml:space="preserve">“Features removed or no longer developed in Windows Server,”</w:t>
      </w:r>
      <w:r>
        <w:t xml:space="preserve"> </w:t>
      </w:r>
      <w:hyperlink r:id="rId195">
        <w:r>
          <w:rPr>
            <w:rStyle w:val="Hyperlink"/>
          </w:rPr>
          <w:t xml:space="preserve">https://learn.microsoft.com/windows-server/get-started/removed-deprecated-features-windows-server</w:t>
        </w:r>
      </w:hyperlink>
      <w:r>
        <w:t xml:space="preserve"> </w:t>
      </w:r>
      <w:r>
        <w:t xml:space="preserve">(accessed Oct 20, 2026).</w:t>
      </w:r>
    </w:p>
  </w:footnote>
  <w:footnote w:id="209">
    <w:p>
      <w:pPr>
        <w:pStyle w:val="FootnoteText"/>
      </w:pPr>
      <w:r>
        <w:rPr>
          <w:rStyle w:val="FootnoteReference"/>
        </w:rPr>
        <w:footnoteRef/>
      </w:r>
      <w:r>
        <w:t xml:space="preserve"> </w:t>
      </w:r>
      <w:r>
        <w:t xml:space="preserve">Microsoft Learn,</w:t>
      </w:r>
      <w:r>
        <w:t xml:space="preserve"> </w:t>
      </w:r>
      <w:r>
        <w:t xml:space="preserve">“Access tokens in the Microsoft identity platform,”</w:t>
      </w:r>
      <w:r>
        <w:t xml:space="preserve"> </w:t>
      </w:r>
      <w:hyperlink r:id="rId210">
        <w:r>
          <w:rPr>
            <w:rStyle w:val="Hyperlink"/>
          </w:rPr>
          <w:t xml:space="preserve">https://learn.microsoft.com/entra/identity-platform/access-tokens</w:t>
        </w:r>
      </w:hyperlink>
      <w:r>
        <w:t xml:space="preserve"> </w:t>
      </w:r>
      <w:r>
        <w:t xml:space="preserve">(accessed Oct 20, 2026).</w:t>
      </w:r>
    </w:p>
  </w:footnote>
  <w:footnote w:id="211">
    <w:p>
      <w:pPr>
        <w:pStyle w:val="FootnoteText"/>
      </w:pPr>
      <w:r>
        <w:rPr>
          <w:rStyle w:val="FootnoteReference"/>
        </w:rPr>
        <w:footnoteRef/>
      </w:r>
      <w:r>
        <w:t xml:space="preserve"> </w:t>
      </w:r>
      <w:r>
        <w:t xml:space="preserve">Microsoft Learn,</w:t>
      </w:r>
      <w:r>
        <w:t xml:space="preserve"> </w:t>
      </w:r>
      <w:r>
        <w:t xml:space="preserve">“How Application Provisioning works in Microsoft Entra ID,”</w:t>
      </w:r>
      <w:r>
        <w:t xml:space="preserve"> </w:t>
      </w:r>
      <w:hyperlink r:id="rId212">
        <w:r>
          <w:rPr>
            <w:rStyle w:val="Hyperlink"/>
          </w:rPr>
          <w:t xml:space="preserve">https://learn.microsoft.com/entra/identity/app-provisioning/how-provisioning-works</w:t>
        </w:r>
      </w:hyperlink>
      <w:r>
        <w:t xml:space="preserve"> </w:t>
      </w:r>
      <w:r>
        <w:t xml:space="preserve">(accessed Oct 20, 2026).</w:t>
      </w:r>
    </w:p>
  </w:footnote>
  <w:footnote w:id="213">
    <w:p>
      <w:pPr>
        <w:pStyle w:val="FootnoteText"/>
      </w:pPr>
      <w:r>
        <w:rPr>
          <w:rStyle w:val="FootnoteReference"/>
        </w:rPr>
        <w:footnoteRef/>
      </w:r>
      <w:r>
        <w:t xml:space="preserve"> </w:t>
      </w:r>
      <w:r>
        <w:t xml:space="preserve">Microsoft Learn,</w:t>
      </w:r>
      <w:r>
        <w:t xml:space="preserve"> </w:t>
      </w:r>
      <w:r>
        <w:t xml:space="preserve">“Meet multifactor authentication requirements of memorandum 22-09,”</w:t>
      </w:r>
      <w:r>
        <w:t xml:space="preserve"> </w:t>
      </w:r>
      <w:hyperlink r:id="rId172">
        <w:r>
          <w:rPr>
            <w:rStyle w:val="Hyperlink"/>
          </w:rPr>
          <w:t xml:space="preserve">https://learn.microsoft.com/entra/standards/memo-22-09-multi-factor-authentication</w:t>
        </w:r>
      </w:hyperlink>
      <w:r>
        <w:t xml:space="preserve"> </w:t>
      </w:r>
      <w:r>
        <w:t xml:space="preserve">(accessed Oct 20, 2026).</w:t>
      </w:r>
    </w:p>
  </w:footnote>
  <w:footnote w:id="214">
    <w:p>
      <w:pPr>
        <w:pStyle w:val="FootnoteText"/>
      </w:pPr>
      <w:r>
        <w:rPr>
          <w:rStyle w:val="FootnoteReference"/>
        </w:rPr>
        <w:footnoteRef/>
      </w:r>
      <w:r>
        <w:t xml:space="preserve"> </w:t>
      </w:r>
      <w:r>
        <w:t xml:space="preserve">Microsoft Learn,</w:t>
      </w:r>
      <w:r>
        <w:t xml:space="preserve"> </w:t>
      </w:r>
      <w:r>
        <w:t xml:space="preserve">“Access tokens in the Microsoft identity platform,”</w:t>
      </w:r>
      <w:r>
        <w:t xml:space="preserve"> </w:t>
      </w:r>
      <w:hyperlink r:id="rId210">
        <w:r>
          <w:rPr>
            <w:rStyle w:val="Hyperlink"/>
          </w:rPr>
          <w:t xml:space="preserve">https://learn.microsoft.com/entra/identity-platform/access-tokens</w:t>
        </w:r>
      </w:hyperlink>
      <w:r>
        <w:t xml:space="preserve"> </w:t>
      </w:r>
      <w:r>
        <w:t xml:space="preserve">(accessed Oct 20, 2026).</w:t>
      </w:r>
    </w:p>
  </w:footnote>
  <w:footnote w:id="216">
    <w:p>
      <w:pPr>
        <w:pStyle w:val="FootnoteText"/>
      </w:pPr>
      <w:r>
        <w:rPr>
          <w:rStyle w:val="FootnoteReference"/>
        </w:rPr>
        <w:footnoteRef/>
      </w:r>
      <w:r>
        <w:t xml:space="preserve"> </w:t>
      </w:r>
      <w:r>
        <w:t xml:space="preserve">Microsoft Learn,</w:t>
      </w:r>
      <w:r>
        <w:t xml:space="preserve"> </w:t>
      </w:r>
      <w:r>
        <w:t xml:space="preserve">“Configure the Active Directory Web Services (ADWS) to start automatically on all the servers,”</w:t>
      </w:r>
      <w:r>
        <w:t xml:space="preserve"> </w:t>
      </w:r>
      <w:r>
        <w:t xml:space="preserve">Microsoft Engage Center,</w:t>
      </w:r>
      <w:r>
        <w:t xml:space="preserve"> </w:t>
      </w:r>
      <w:hyperlink r:id="rId217">
        <w:r>
          <w:rPr>
            <w:rStyle w:val="Hyperlink"/>
          </w:rPr>
          <w:t xml:space="preserve">https://learn.microsoft.com/services-hub/microsoft-engage-center/health/remediation-steps-ad/configure-the-active-directory-web-services-adws-to-start-automatically-on-all-servers</w:t>
        </w:r>
      </w:hyperlink>
      <w:r>
        <w:t xml:space="preserve"> </w:t>
      </w:r>
      <w:r>
        <w:t xml:space="preserve">(accessed Oct 20, 2026).</w:t>
      </w:r>
    </w:p>
  </w:footnote>
  <w:footnote w:id="218">
    <w:p>
      <w:pPr>
        <w:pStyle w:val="FootnoteText"/>
      </w:pPr>
      <w:r>
        <w:rPr>
          <w:rStyle w:val="FootnoteReference"/>
        </w:rPr>
        <w:footnoteRef/>
      </w:r>
      <w:r>
        <w:t xml:space="preserve"> </w:t>
      </w:r>
      <w:r>
        <w:t xml:space="preserve">Microsoft Learn,</w:t>
      </w:r>
      <w:r>
        <w:t xml:space="preserve"> </w:t>
      </w:r>
      <w:r>
        <w:t xml:space="preserve">“Upgrade from Azure AD PowerShell to Microsoft Graph PowerShell,”</w:t>
      </w:r>
      <w:r>
        <w:t xml:space="preserve"> </w:t>
      </w:r>
      <w:hyperlink r:id="rId219">
        <w:r>
          <w:rPr>
            <w:rStyle w:val="Hyperlink"/>
          </w:rPr>
          <w:t xml:space="preserve">https://learn.microsoft.com/powershell/microsoftgraph/migration-steps</w:t>
        </w:r>
      </w:hyperlink>
      <w:r>
        <w:t xml:space="preserve"> </w:t>
      </w:r>
      <w:r>
        <w:t xml:space="preserve">(accessed Oct 20, 2026).</w:t>
      </w:r>
    </w:p>
  </w:footnote>
  <w:footnote w:id="220">
    <w:p>
      <w:pPr>
        <w:pStyle w:val="FootnoteText"/>
      </w:pPr>
      <w:r>
        <w:rPr>
          <w:rStyle w:val="FootnoteReference"/>
        </w:rPr>
        <w:footnoteRef/>
      </w:r>
      <w:r>
        <w:t xml:space="preserve"> </w:t>
      </w:r>
      <w:r>
        <w:t xml:space="preserve">Microsoft Learn,</w:t>
      </w:r>
      <w:r>
        <w:t xml:space="preserve"> </w:t>
      </w:r>
      <w:r>
        <w:t xml:space="preserve">“Overview of the Microsoft Authentication Library (MSAL),”</w:t>
      </w:r>
      <w:r>
        <w:t xml:space="preserve"> </w:t>
      </w:r>
      <w:hyperlink r:id="rId221">
        <w:r>
          <w:rPr>
            <w:rStyle w:val="Hyperlink"/>
          </w:rPr>
          <w:t xml:space="preserve">https://learn.microsoft.com/entra/msal/overview</w:t>
        </w:r>
      </w:hyperlink>
      <w:r>
        <w:t xml:space="preserve"> </w:t>
      </w:r>
      <w:r>
        <w:t xml:space="preserve">(accessed Oct 20, 2026).</w:t>
      </w:r>
    </w:p>
  </w:footnote>
  <w:footnote w:id="222">
    <w:p>
      <w:pPr>
        <w:pStyle w:val="FootnoteText"/>
      </w:pPr>
      <w:r>
        <w:rPr>
          <w:rStyle w:val="FootnoteReference"/>
        </w:rPr>
        <w:footnoteRef/>
      </w:r>
      <w:r>
        <w:t xml:space="preserve"> </w:t>
      </w:r>
      <w:r>
        <w:t xml:space="preserve">Microsoft Learn,</w:t>
      </w:r>
      <w:r>
        <w:t xml:space="preserve"> </w:t>
      </w:r>
      <w:r>
        <w:t xml:space="preserve">“Overview of the Microsoft Authentication Library (MSAL),”</w:t>
      </w:r>
      <w:r>
        <w:t xml:space="preserve"> </w:t>
      </w:r>
      <w:hyperlink r:id="rId221">
        <w:r>
          <w:rPr>
            <w:rStyle w:val="Hyperlink"/>
          </w:rPr>
          <w:t xml:space="preserve">https://learn.microsoft.com/entra/msal/overview</w:t>
        </w:r>
      </w:hyperlink>
      <w:r>
        <w:t xml:space="preserve"> </w:t>
      </w:r>
      <w:r>
        <w:t xml:space="preserve">(accessed Oct 20, 2026).</w:t>
      </w:r>
    </w:p>
  </w:footnote>
  <w:footnote w:id="223">
    <w:p>
      <w:pPr>
        <w:pStyle w:val="FootnoteText"/>
      </w:pPr>
      <w:r>
        <w:rPr>
          <w:rStyle w:val="FootnoteReference"/>
        </w:rPr>
        <w:footnoteRef/>
      </w:r>
      <w:r>
        <w:t xml:space="preserve"> </w:t>
      </w:r>
      <w:r>
        <w:t xml:space="preserve">Microsoft Learn,</w:t>
      </w:r>
      <w:r>
        <w:t xml:space="preserve"> </w:t>
      </w:r>
      <w:r>
        <w:t xml:space="preserve">“Overview of the Microsoft Authentication Library (MSAL),”</w:t>
      </w:r>
      <w:r>
        <w:t xml:space="preserve"> </w:t>
      </w:r>
      <w:hyperlink r:id="rId221">
        <w:r>
          <w:rPr>
            <w:rStyle w:val="Hyperlink"/>
          </w:rPr>
          <w:t xml:space="preserve">https://learn.microsoft.com/entra/msal/overview</w:t>
        </w:r>
      </w:hyperlink>
      <w:r>
        <w:t xml:space="preserve"> </w:t>
      </w:r>
      <w:r>
        <w:t xml:space="preserve">(accessed Oct 20, 2026).</w:t>
      </w:r>
    </w:p>
  </w:footnote>
  <w:footnote w:id="224">
    <w:p>
      <w:pPr>
        <w:pStyle w:val="FootnoteText"/>
      </w:pPr>
      <w:r>
        <w:rPr>
          <w:rStyle w:val="FootnoteReference"/>
        </w:rPr>
        <w:footnoteRef/>
      </w:r>
      <w:r>
        <w:t xml:space="preserve"> </w:t>
      </w:r>
      <w:r>
        <w:t xml:space="preserve">Microsoft Learn,</w:t>
      </w:r>
      <w:r>
        <w:t xml:space="preserve"> </w:t>
      </w:r>
      <w:r>
        <w:t xml:space="preserve">“Overview of the Microsoft Authentication Library (MSAL),”</w:t>
      </w:r>
      <w:r>
        <w:t xml:space="preserve"> </w:t>
      </w:r>
      <w:hyperlink r:id="rId221">
        <w:r>
          <w:rPr>
            <w:rStyle w:val="Hyperlink"/>
          </w:rPr>
          <w:t xml:space="preserve">https://learn.microsoft.com/entra/msal/overview</w:t>
        </w:r>
      </w:hyperlink>
      <w:r>
        <w:t xml:space="preserve"> </w:t>
      </w:r>
      <w:r>
        <w:t xml:space="preserve">(accessed Oct 20, 2026).</w:t>
      </w:r>
    </w:p>
  </w:footnote>
  <w:footnote w:id="225">
    <w:p>
      <w:pPr>
        <w:pStyle w:val="FootnoteText"/>
      </w:pPr>
      <w:r>
        <w:rPr>
          <w:rStyle w:val="FootnoteReference"/>
        </w:rPr>
        <w:footnoteRef/>
      </w:r>
      <w:r>
        <w:t xml:space="preserve"> </w:t>
      </w:r>
      <w:r>
        <w:t xml:space="preserve">Microsoft Learn,</w:t>
      </w:r>
      <w:r>
        <w:t xml:space="preserve"> </w:t>
      </w:r>
      <w:r>
        <w:t xml:space="preserve">“Features removed or no longer developed in Windows Server,”</w:t>
      </w:r>
      <w:r>
        <w:t xml:space="preserve"> </w:t>
      </w:r>
      <w:hyperlink r:id="rId195">
        <w:r>
          <w:rPr>
            <w:rStyle w:val="Hyperlink"/>
          </w:rPr>
          <w:t xml:space="preserve">https://learn.microsoft.com/windows-server/get-started/removed-deprecated-features-windows-server</w:t>
        </w:r>
      </w:hyperlink>
      <w:r>
        <w:t xml:space="preserve"> </w:t>
      </w:r>
      <w:r>
        <w:t xml:space="preserve">(accessed Oct 20, 2026).</w:t>
      </w:r>
    </w:p>
  </w:footnote>
  <w:footnote w:id="226">
    <w:p>
      <w:pPr>
        <w:pStyle w:val="FootnoteText"/>
      </w:pPr>
      <w:r>
        <w:rPr>
          <w:rStyle w:val="FootnoteReference"/>
        </w:rPr>
        <w:footnoteRef/>
      </w:r>
      <w:r>
        <w:t xml:space="preserve"> </w:t>
      </w:r>
      <w:r>
        <w:t xml:space="preserve">Microsoft Learn,</w:t>
      </w:r>
      <w:r>
        <w:t xml:space="preserve"> </w:t>
      </w:r>
      <w:r>
        <w:t xml:space="preserve">“Upgrade from Azure AD PowerShell to Microsoft Graph PowerShell,”</w:t>
      </w:r>
      <w:r>
        <w:t xml:space="preserve"> </w:t>
      </w:r>
      <w:hyperlink r:id="rId219">
        <w:r>
          <w:rPr>
            <w:rStyle w:val="Hyperlink"/>
          </w:rPr>
          <w:t xml:space="preserve">https://learn.microsoft.com/powershell/microsoftgraph/migration-steps</w:t>
        </w:r>
      </w:hyperlink>
      <w:r>
        <w:t xml:space="preserve"> </w:t>
      </w:r>
      <w:r>
        <w:t xml:space="preserve">(accessed Oct 20, 2026).</w:t>
      </w:r>
    </w:p>
  </w:footnote>
  <w:footnote w:id="227">
    <w:p>
      <w:pPr>
        <w:pStyle w:val="FootnoteText"/>
      </w:pPr>
      <w:r>
        <w:rPr>
          <w:rStyle w:val="FootnoteReference"/>
        </w:rPr>
        <w:footnoteRef/>
      </w:r>
      <w:r>
        <w:t xml:space="preserve"> </w:t>
      </w:r>
      <w:r>
        <w:t xml:space="preserve">Microsoft Learn,</w:t>
      </w:r>
      <w:r>
        <w:t xml:space="preserve"> </w:t>
      </w:r>
      <w:r>
        <w:t xml:space="preserve">“Archive for Microsoft Entra releases and announcements,”</w:t>
      </w:r>
      <w:r>
        <w:t xml:space="preserve"> </w:t>
      </w:r>
      <w:r>
        <w:t xml:space="preserve">January 2025 entry</w:t>
      </w:r>
      <w:r>
        <w:t xml:space="preserve"> </w:t>
      </w:r>
      <w:r>
        <w:t xml:space="preserve">“Take action to avoid impact when legacy MSOnline and AzureAD PowerShell modules retire,”</w:t>
      </w:r>
      <w:r>
        <w:t xml:space="preserve"> </w:t>
      </w:r>
      <w:hyperlink r:id="rId228">
        <w:r>
          <w:rPr>
            <w:rStyle w:val="Hyperlink"/>
          </w:rPr>
          <w:t xml:space="preserve">https://learn.microsoft.com/entra/fundamentals/whats-new-archive</w:t>
        </w:r>
      </w:hyperlink>
      <w:r>
        <w:t xml:space="preserve"> </w:t>
      </w:r>
      <w:r>
        <w:t xml:space="preserve">(accessed Oct 20, 2026).</w:t>
      </w:r>
    </w:p>
  </w:footnote>
  <w:footnote w:id="229">
    <w:p>
      <w:pPr>
        <w:pStyle w:val="FootnoteText"/>
      </w:pPr>
      <w:r>
        <w:rPr>
          <w:rStyle w:val="FootnoteReference"/>
        </w:rPr>
        <w:footnoteRef/>
      </w:r>
      <w:r>
        <w:t xml:space="preserve"> </w:t>
      </w:r>
      <w:r>
        <w:t xml:space="preserve">Microsoft Learn,</w:t>
      </w:r>
      <w:r>
        <w:t xml:space="preserve"> </w:t>
      </w:r>
      <w:r>
        <w:t xml:space="preserve">“Configure Microsoft Entra for increased security (Preview),”</w:t>
      </w:r>
      <w:r>
        <w:t xml:space="preserve"> </w:t>
      </w:r>
      <w:hyperlink r:id="rId230">
        <w:r>
          <w:rPr>
            <w:rStyle w:val="Hyperlink"/>
          </w:rPr>
          <w:t xml:space="preserve">https://learn.microsoft.com/entra/fundamentals/configure-security</w:t>
        </w:r>
      </w:hyperlink>
      <w:r>
        <w:t xml:space="preserve"> </w:t>
      </w:r>
      <w:r>
        <w:t xml:space="preserve">(accessed Oct 20, 2026).</w:t>
      </w:r>
    </w:p>
  </w:footnote>
  <w:footnote w:id="231">
    <w:p>
      <w:pPr>
        <w:pStyle w:val="FootnoteText"/>
      </w:pPr>
      <w:r>
        <w:rPr>
          <w:rStyle w:val="FootnoteReference"/>
        </w:rPr>
        <w:footnoteRef/>
      </w:r>
      <w:r>
        <w:t xml:space="preserve"> </w:t>
      </w:r>
      <w:r>
        <w:t xml:space="preserve">Microsoft Learn,</w:t>
      </w:r>
      <w:r>
        <w:t xml:space="preserve"> </w:t>
      </w:r>
      <w:r>
        <w:t xml:space="preserve">“What is Microsoft Entra PowerShell?,”</w:t>
      </w:r>
      <w:r>
        <w:t xml:space="preserve"> </w:t>
      </w:r>
      <w:hyperlink r:id="rId232">
        <w:r>
          <w:rPr>
            <w:rStyle w:val="Hyperlink"/>
          </w:rPr>
          <w:t xml:space="preserve">https://learn.microsoft.com/powershell/entra-powershell/overview</w:t>
        </w:r>
      </w:hyperlink>
      <w:r>
        <w:t xml:space="preserve"> </w:t>
      </w:r>
      <w:r>
        <w:t xml:space="preserve">(accessed Oct 20, 2026).</w:t>
      </w:r>
    </w:p>
  </w:footnote>
  <w:footnote w:id="236">
    <w:p>
      <w:pPr>
        <w:pStyle w:val="FootnoteText"/>
      </w:pPr>
      <w:r>
        <w:rPr>
          <w:rStyle w:val="FootnoteReference"/>
        </w:rPr>
        <w:footnoteRef/>
      </w:r>
      <w:r>
        <w:t xml:space="preserve"> </w:t>
      </w:r>
      <w:r>
        <w:t xml:space="preserve">Microsoft Learn,</w:t>
      </w:r>
      <w:r>
        <w:t xml:space="preserve"> </w:t>
      </w:r>
      <w:r>
        <w:t xml:space="preserve">“Bicep templates for Microsoft Graph resources,”</w:t>
      </w:r>
      <w:r>
        <w:t xml:space="preserve"> </w:t>
      </w:r>
      <w:hyperlink r:id="rId237">
        <w:r>
          <w:rPr>
            <w:rStyle w:val="Hyperlink"/>
          </w:rPr>
          <w:t xml:space="preserve">https://learn.microsoft.com/graph/templates/bicep/overview-bicep-templates-for-graph</w:t>
        </w:r>
      </w:hyperlink>
      <w:r>
        <w:t xml:space="preserve"> </w:t>
      </w:r>
      <w:r>
        <w:t xml:space="preserve">(accessed Oct 20, 2026).</w:t>
      </w:r>
    </w:p>
  </w:footnote>
  <w:footnote w:id="238">
    <w:p>
      <w:pPr>
        <w:pStyle w:val="FootnoteText"/>
      </w:pPr>
      <w:r>
        <w:rPr>
          <w:rStyle w:val="FootnoteReference"/>
        </w:rPr>
        <w:footnoteRef/>
      </w:r>
      <w:r>
        <w:t xml:space="preserve"> </w:t>
      </w:r>
      <w:r>
        <w:t xml:space="preserve">Microsoft Learn,</w:t>
      </w:r>
      <w:r>
        <w:t xml:space="preserve"> </w:t>
      </w:r>
      <w:r>
        <w:t xml:space="preserve">“Microsoft Graph Bicep feature limitations and restrictions,”</w:t>
      </w:r>
      <w:r>
        <w:t xml:space="preserve"> </w:t>
      </w:r>
      <w:hyperlink r:id="rId239">
        <w:r>
          <w:rPr>
            <w:rStyle w:val="Hyperlink"/>
          </w:rPr>
          <w:t xml:space="preserve">https://learn.microsoft.com/graph/templates/bicep/limitations</w:t>
        </w:r>
      </w:hyperlink>
      <w:r>
        <w:t xml:space="preserve"> </w:t>
      </w:r>
      <w:r>
        <w:t xml:space="preserve">(accessed Oct 20, 2026).</w:t>
      </w:r>
    </w:p>
  </w:footnote>
  <w:footnote w:id="240">
    <w:p>
      <w:pPr>
        <w:pStyle w:val="FootnoteText"/>
      </w:pPr>
      <w:r>
        <w:rPr>
          <w:rStyle w:val="FootnoteReference"/>
        </w:rPr>
        <w:footnoteRef/>
      </w:r>
      <w:r>
        <w:t xml:space="preserve"> </w:t>
      </w:r>
      <w:r>
        <w:t xml:space="preserve">National Institute of Standards and Technology,</w:t>
      </w:r>
      <w:r>
        <w:t xml:space="preserve"> </w:t>
      </w:r>
      <w:r>
        <w:t xml:space="preserve">“OSCAL: Layers and Models,”</w:t>
      </w:r>
      <w:r>
        <w:t xml:space="preserve"> </w:t>
      </w:r>
      <w:hyperlink r:id="rId241">
        <w:r>
          <w:rPr>
            <w:rStyle w:val="Hyperlink"/>
          </w:rPr>
          <w:t xml:space="preserve">https://pages.nist.gov/OSCAL/learn/concepts/layer/</w:t>
        </w:r>
      </w:hyperlink>
      <w:r>
        <w:t xml:space="preserve"> </w:t>
      </w:r>
      <w:r>
        <w:t xml:space="preserve">(accessed Oct 20, 2026).</w:t>
      </w:r>
    </w:p>
  </w:footnote>
  <w:footnote w:id="243">
    <w:p>
      <w:pPr>
        <w:pStyle w:val="FootnoteText"/>
      </w:pPr>
      <w:r>
        <w:rPr>
          <w:rStyle w:val="FootnoteReference"/>
        </w:rPr>
        <w:footnoteRef/>
      </w:r>
      <w:r>
        <w:t xml:space="preserve"> </w:t>
      </w:r>
      <w:r>
        <w:t xml:space="preserve">Microsoft Learn,</w:t>
      </w:r>
      <w:r>
        <w:t xml:space="preserve"> </w:t>
      </w:r>
      <w:r>
        <w:t xml:space="preserve">“Kerberos protocol registry entries and KDC configuration keys in Windows,”</w:t>
      </w:r>
      <w:r>
        <w:t xml:space="preserve"> </w:t>
      </w:r>
      <w:hyperlink r:id="rId244">
        <w:r>
          <w:rPr>
            <w:rStyle w:val="Hyperlink"/>
          </w:rPr>
          <w:t xml:space="preserve">https://learn.microsoft.com/troubleshoot/windows-server/windows-security/kerberos-protocol-registry-kdc-configuration-keys</w:t>
        </w:r>
      </w:hyperlink>
      <w:r>
        <w:t xml:space="preserve"> </w:t>
      </w:r>
      <w:r>
        <w:t xml:space="preserve">(accessed Oct 20, 2026).</w:t>
      </w:r>
    </w:p>
  </w:footnote>
  <w:footnote w:id="245">
    <w:p>
      <w:pPr>
        <w:pStyle w:val="FootnoteText"/>
      </w:pPr>
      <w:r>
        <w:rPr>
          <w:rStyle w:val="FootnoteReference"/>
        </w:rPr>
        <w:footnoteRef/>
      </w:r>
      <w:r>
        <w:t xml:space="preserve"> </w:t>
      </w:r>
      <w:r>
        <w:t xml:space="preserve">Microsoft Learn,</w:t>
      </w:r>
      <w:r>
        <w:t xml:space="preserve"> </w:t>
      </w:r>
      <w:r>
        <w:t xml:space="preserve">“Microsoft Entra Connect Sync: Scheduler,”</w:t>
      </w:r>
      <w:r>
        <w:t xml:space="preserve"> </w:t>
      </w:r>
      <w:hyperlink r:id="rId246">
        <w:r>
          <w:rPr>
            <w:rStyle w:val="Hyperlink"/>
          </w:rPr>
          <w:t xml:space="preserve">https://learn.microsoft.com/entra/identity/hybrid/connect/how-to-connect-sync-feature-scheduler</w:t>
        </w:r>
      </w:hyperlink>
      <w:r>
        <w:t xml:space="preserve"> </w:t>
      </w:r>
      <w:r>
        <w:t xml:space="preserve">(accessed Oct 20, 2026).</w:t>
      </w:r>
    </w:p>
  </w:footnote>
  <w:footnote w:id="257">
    <w:p>
      <w:pPr>
        <w:pStyle w:val="FootnoteText"/>
      </w:pPr>
      <w:r>
        <w:rPr>
          <w:rStyle w:val="FootnoteReference"/>
        </w:rPr>
        <w:footnoteRef/>
      </w:r>
      <w:r>
        <w:t xml:space="preserve"> </w:t>
      </w:r>
      <w:r>
        <w:t xml:space="preserve">Microsoft Learn,</w:t>
      </w:r>
      <w:r>
        <w:t xml:space="preserve"> </w:t>
      </w:r>
      <w:r>
        <w:t xml:space="preserve">“What is cross-tenant synchronization?,”</w:t>
      </w:r>
      <w:r>
        <w:t xml:space="preserve"> </w:t>
      </w:r>
      <w:hyperlink r:id="rId258">
        <w:r>
          <w:rPr>
            <w:rStyle w:val="Hyperlink"/>
          </w:rPr>
          <w:t xml:space="preserve">https://learn.microsoft.com/entra/identity/multi-tenant-organizations/cross-tenant-synchronization-overview</w:t>
        </w:r>
      </w:hyperlink>
      <w:r>
        <w:t xml:space="preserve"> </w:t>
      </w:r>
      <w:r>
        <w:t xml:space="preserve">(accessed Oct 20, 2026).</w:t>
      </w:r>
    </w:p>
  </w:footnote>
  <w:footnote w:id="268">
    <w:p>
      <w:pPr>
        <w:pStyle w:val="FootnoteText"/>
      </w:pPr>
      <w:r>
        <w:rPr>
          <w:rStyle w:val="FootnoteReference"/>
        </w:rPr>
        <w:footnoteRef/>
      </w:r>
      <w:r>
        <w:t xml:space="preserve"> </w:t>
      </w:r>
      <w:r>
        <w:t xml:space="preserve">Microsoft Learn,</w:t>
      </w:r>
      <w:r>
        <w:t xml:space="preserve"> </w:t>
      </w:r>
      <w:r>
        <w:t xml:space="preserve">“Locating domain controllers in Windows and Windows Server,”</w:t>
      </w:r>
      <w:r>
        <w:t xml:space="preserve"> </w:t>
      </w:r>
      <w:hyperlink r:id="rId269">
        <w:r>
          <w:rPr>
            <w:rStyle w:val="Hyperlink"/>
          </w:rPr>
          <w:t xml:space="preserve">https://learn.microsoft.com/windows-server/identity/ad-ds/manage/dc-locator</w:t>
        </w:r>
      </w:hyperlink>
      <w:r>
        <w:t xml:space="preserve"> </w:t>
      </w:r>
      <w:r>
        <w:t xml:space="preserve">(accessed Oct 20, 2026).</w:t>
      </w:r>
    </w:p>
  </w:footnote>
  <w:footnote w:id="270">
    <w:p>
      <w:pPr>
        <w:pStyle w:val="FootnoteText"/>
      </w:pPr>
      <w:r>
        <w:rPr>
          <w:rStyle w:val="FootnoteReference"/>
        </w:rPr>
        <w:footnoteRef/>
      </w:r>
      <w:r>
        <w:t xml:space="preserve"> </w:t>
      </w:r>
      <w:r>
        <w:t xml:space="preserve">FedRAMP, Marketplace product data (entry FR2017257053, Infoblox Government Cloud: FedRAMP Certified, Moderate),</w:t>
      </w:r>
      <w:r>
        <w:t xml:space="preserve"> </w:t>
      </w:r>
      <w:hyperlink r:id="rId271">
        <w:r>
          <w:rPr>
            <w:rStyle w:val="Hyperlink"/>
          </w:rPr>
          <w:t xml:space="preserve">https://www.fedramp.gov/marketplace/products.json</w:t>
        </w:r>
      </w:hyperlink>
      <w:r>
        <w:t xml:space="preserve"> </w:t>
      </w:r>
      <w:r>
        <w:t xml:space="preserve">(accessed Oct 20, 2026).</w:t>
      </w:r>
    </w:p>
  </w:footnote>
  <w:footnote w:id="273">
    <w:p>
      <w:pPr>
        <w:pStyle w:val="FootnoteText"/>
      </w:pPr>
      <w:r>
        <w:rPr>
          <w:rStyle w:val="FootnoteReference"/>
        </w:rPr>
        <w:footnoteRef/>
      </w:r>
      <w:r>
        <w:t xml:space="preserve"> </w:t>
      </w:r>
      <w:r>
        <w:t xml:space="preserve">Microsoft Learn,</w:t>
      </w:r>
      <w:r>
        <w:t xml:space="preserve"> </w:t>
      </w:r>
      <w:r>
        <w:t xml:space="preserve">“Use certificates for authentication in Microsoft Intune,”</w:t>
      </w:r>
      <w:r>
        <w:t xml:space="preserve"> </w:t>
      </w:r>
      <w:hyperlink r:id="rId274">
        <w:r>
          <w:rPr>
            <w:rStyle w:val="Hyperlink"/>
          </w:rPr>
          <w:t xml:space="preserve">https://learn.microsoft.com/intune/fundamentals/certificates/overview</w:t>
        </w:r>
      </w:hyperlink>
      <w:r>
        <w:t xml:space="preserve"> </w:t>
      </w:r>
      <w:r>
        <w:t xml:space="preserve">(accessed Oct 20, 2026).</w:t>
      </w:r>
    </w:p>
  </w:footnote>
  <w:footnote w:id="275">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hyperlink r:id="rId276">
        <w:r>
          <w:rPr>
            <w:rStyle w:val="Hyperlink"/>
          </w:rPr>
          <w:t xml:space="preserve">https://learn.microsoft.com/intune/cloud-pki/</w:t>
        </w:r>
      </w:hyperlink>
      <w:r>
        <w:t xml:space="preserve"> </w:t>
      </w:r>
      <w:r>
        <w:t xml:space="preserve">(accessed Oct 20, 2026).</w:t>
      </w:r>
    </w:p>
  </w:footnote>
  <w:footnote w:id="277">
    <w:p>
      <w:pPr>
        <w:pStyle w:val="FootnoteText"/>
      </w:pPr>
      <w:r>
        <w:rPr>
          <w:rStyle w:val="FootnoteReference"/>
        </w:rPr>
        <w:footnoteRef/>
      </w:r>
      <w:r>
        <w:t xml:space="preserve"> </w:t>
      </w:r>
      <w:r>
        <w:t xml:space="preserve">Microsoft Learn,</w:t>
      </w:r>
      <w:r>
        <w:t xml:space="preserve"> </w:t>
      </w:r>
      <w:r>
        <w:t xml:space="preserve">“How to configure certificate authorities for Microsoft Entra certificate-based authentication,”</w:t>
      </w:r>
      <w:r>
        <w:t xml:space="preserve"> </w:t>
      </w:r>
      <w:hyperlink r:id="rId278">
        <w:r>
          <w:rPr>
            <w:rStyle w:val="Hyperlink"/>
          </w:rPr>
          <w:t xml:space="preserve">https://learn.microsoft.com/entra/identity/authentication/how-to-configure-certificate-authorities</w:t>
        </w:r>
      </w:hyperlink>
      <w:r>
        <w:t xml:space="preserve"> </w:t>
      </w:r>
      <w:r>
        <w:t xml:space="preserve">(accessed Oct 20, 2026).</w:t>
      </w:r>
    </w:p>
  </w:footnote>
  <w:footnote w:id="279">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280">
        <w:r>
          <w:rPr>
            <w:rStyle w:val="Hyperlink"/>
          </w:rPr>
          <w:t xml:space="preserve">https://learn.microsoft.com/entra/identity/authentication/how-to-certificate-based-authentication</w:t>
        </w:r>
      </w:hyperlink>
      <w:r>
        <w:t xml:space="preserve"> </w:t>
      </w:r>
      <w:r>
        <w:t xml:space="preserve">(accessed Oct 20, 2026).</w:t>
      </w:r>
    </w:p>
  </w:footnote>
  <w:footnote w:id="281">
    <w:p>
      <w:pPr>
        <w:pStyle w:val="FootnoteText"/>
      </w:pPr>
      <w:r>
        <w:rPr>
          <w:rStyle w:val="FootnoteReference"/>
        </w:rPr>
        <w:footnoteRef/>
      </w:r>
      <w:r>
        <w:t xml:space="preserve"> </w:t>
      </w:r>
      <w:r>
        <w:t xml:space="preserve">Microsoft Learn,</w:t>
      </w:r>
      <w:r>
        <w:t xml:space="preserve"> </w:t>
      </w:r>
      <w:r>
        <w:t xml:space="preserve">“Plan a Windows Hello for Business deployment,”</w:t>
      </w:r>
      <w:r>
        <w:t xml:space="preserve"> </w:t>
      </w:r>
      <w:hyperlink r:id="rId282">
        <w:r>
          <w:rPr>
            <w:rStyle w:val="Hyperlink"/>
          </w:rPr>
          <w:t xml:space="preserve">https://learn.microsoft.com/windows/security/identity-protection/hello-for-business/deploy/</w:t>
        </w:r>
      </w:hyperlink>
      <w:r>
        <w:t xml:space="preserve"> </w:t>
      </w:r>
      <w:r>
        <w:t xml:space="preserve">(accessed Oct 20, 2026).</w:t>
      </w:r>
    </w:p>
  </w:footnote>
  <w:footnote w:id="284">
    <w:p>
      <w:pPr>
        <w:pStyle w:val="FootnoteText"/>
      </w:pPr>
      <w:r>
        <w:rPr>
          <w:rStyle w:val="FootnoteReference"/>
        </w:rPr>
        <w:footnoteRef/>
      </w:r>
      <w:r>
        <w:t xml:space="preserve"> </w:t>
      </w:r>
      <w:r>
        <w:t xml:space="preserve">Microsoft Learn,</w:t>
      </w:r>
      <w:r>
        <w:t xml:space="preserve"> </w:t>
      </w:r>
      <w:r>
        <w:t xml:space="preserve">“RADIUS authentication with Microsoft Entra ID,”</w:t>
      </w:r>
      <w:r>
        <w:t xml:space="preserve"> </w:t>
      </w:r>
      <w:hyperlink r:id="rId285">
        <w:r>
          <w:rPr>
            <w:rStyle w:val="Hyperlink"/>
          </w:rPr>
          <w:t xml:space="preserve">https://learn.microsoft.com/entra/architecture/auth-radius</w:t>
        </w:r>
      </w:hyperlink>
      <w:r>
        <w:t xml:space="preserve"> </w:t>
      </w:r>
      <w:r>
        <w:t xml:space="preserve">(accessed Oct 20, 2026).</w:t>
      </w:r>
    </w:p>
  </w:footnote>
  <w:footnote w:id="286">
    <w:p>
      <w:pPr>
        <w:pStyle w:val="FootnoteText"/>
      </w:pPr>
      <w:r>
        <w:rPr>
          <w:rStyle w:val="FootnoteReference"/>
        </w:rPr>
        <w:footnoteRef/>
      </w:r>
      <w:r>
        <w:t xml:space="preserve"> </w:t>
      </w:r>
      <w:r>
        <w:t xml:space="preserve">Microsoft Learn,</w:t>
      </w:r>
      <w:r>
        <w:t xml:space="preserve"> </w:t>
      </w:r>
      <w:r>
        <w:t xml:space="preserve">“Integrate your existing Network Policy Server (NPS) infrastructure with Microsoft Entra multifactor authentication,”</w:t>
      </w:r>
      <w:r>
        <w:t xml:space="preserve"> </w:t>
      </w:r>
      <w:hyperlink r:id="rId287">
        <w:r>
          <w:rPr>
            <w:rStyle w:val="Hyperlink"/>
          </w:rPr>
          <w:t xml:space="preserve">https://learn.microsoft.com/entra/identity/authentication/howto-mfa-nps-extension</w:t>
        </w:r>
      </w:hyperlink>
      <w:r>
        <w:t xml:space="preserve"> </w:t>
      </w:r>
      <w:r>
        <w:t xml:space="preserve">(accessed Oct 20, 2026).</w:t>
      </w:r>
    </w:p>
  </w:footnote>
  <w:footnote w:id="288">
    <w:p>
      <w:pPr>
        <w:pStyle w:val="FootnoteText"/>
      </w:pPr>
      <w:r>
        <w:rPr>
          <w:rStyle w:val="FootnoteReference"/>
        </w:rPr>
        <w:footnoteRef/>
      </w:r>
      <w:r>
        <w:t xml:space="preserve"> </w:t>
      </w:r>
      <w:r>
        <w:t xml:space="preserve">Microsoft Learn,</w:t>
      </w:r>
      <w:r>
        <w:t xml:space="preserve"> </w:t>
      </w:r>
      <w:r>
        <w:t xml:space="preserve">“RADIUS authentication with Microsoft Entra ID,”</w:t>
      </w:r>
      <w:r>
        <w:t xml:space="preserve"> </w:t>
      </w:r>
      <w:hyperlink r:id="rId285">
        <w:r>
          <w:rPr>
            <w:rStyle w:val="Hyperlink"/>
          </w:rPr>
          <w:t xml:space="preserve">https://learn.microsoft.com/entra/architecture/auth-radius</w:t>
        </w:r>
      </w:hyperlink>
      <w:r>
        <w:t xml:space="preserve"> </w:t>
      </w:r>
      <w:r>
        <w:t xml:space="preserve">(accessed Oct 20, 2026).</w:t>
      </w:r>
    </w:p>
  </w:footnote>
  <w:footnote w:id="290">
    <w:p>
      <w:pPr>
        <w:pStyle w:val="FootnoteText"/>
      </w:pPr>
      <w:r>
        <w:rPr>
          <w:rStyle w:val="FootnoteReference"/>
        </w:rPr>
        <w:footnoteRef/>
      </w:r>
      <w:r>
        <w:t xml:space="preserve"> </w:t>
      </w:r>
      <w:r>
        <w:t xml:space="preserve">Microsoft Learn,</w:t>
      </w:r>
      <w:r>
        <w:t xml:space="preserve"> </w:t>
      </w:r>
      <w:r>
        <w:t xml:space="preserve">“LDAP signing overview for Active Directory Domain Services,”</w:t>
      </w:r>
      <w:r>
        <w:t xml:space="preserve"> </w:t>
      </w:r>
      <w:hyperlink r:id="rId201">
        <w:r>
          <w:rPr>
            <w:rStyle w:val="Hyperlink"/>
          </w:rPr>
          <w:t xml:space="preserve">https://learn.microsoft.com/windows-server/identity/ad-ds/ldap-signing</w:t>
        </w:r>
      </w:hyperlink>
      <w:r>
        <w:t xml:space="preserve"> </w:t>
      </w:r>
      <w:r>
        <w:t xml:space="preserve">(accessed Oct 20, 2026).</w:t>
      </w:r>
    </w:p>
  </w:footnote>
  <w:footnote w:id="294">
    <w:p>
      <w:pPr>
        <w:pStyle w:val="FootnoteText"/>
      </w:pPr>
      <w:r>
        <w:rPr>
          <w:rStyle w:val="FootnoteReference"/>
        </w:rPr>
        <w:footnoteRef/>
      </w:r>
      <w:r>
        <w:t xml:space="preserve"> </w:t>
      </w:r>
      <w:r>
        <w:t xml:space="preserve">Microsoft Learn,</w:t>
      </w:r>
      <w:r>
        <w:t xml:space="preserve"> </w:t>
      </w:r>
      <w:r>
        <w:t xml:space="preserve">“Configure LDAP signing by using Group Policy for Active Directory Domain Services,”</w:t>
      </w:r>
      <w:r>
        <w:t xml:space="preserve"> </w:t>
      </w:r>
      <w:hyperlink r:id="rId295">
        <w:r>
          <w:rPr>
            <w:rStyle w:val="Hyperlink"/>
          </w:rPr>
          <w:t xml:space="preserve">https://learn.microsoft.com/windows-server/identity/manage-ldap-signing-group-policy</w:t>
        </w:r>
      </w:hyperlink>
      <w:r>
        <w:t xml:space="preserve"> </w:t>
      </w:r>
      <w:r>
        <w:t xml:space="preserve">(accessed Oct 20, 2026).</w:t>
      </w:r>
    </w:p>
  </w:footnote>
  <w:footnote w:id="296">
    <w:p>
      <w:pPr>
        <w:pStyle w:val="FootnoteText"/>
      </w:pPr>
      <w:r>
        <w:rPr>
          <w:rStyle w:val="FootnoteReference"/>
        </w:rPr>
        <w:footnoteRef/>
      </w:r>
      <w:r>
        <w:t xml:space="preserve"> </w:t>
      </w:r>
      <w:r>
        <w:t xml:space="preserve">Microsoft Learn,</w:t>
      </w:r>
      <w:r>
        <w:t xml:space="preserve"> </w:t>
      </w:r>
      <w:r>
        <w:t xml:space="preserve">“What is Microsoft Entra Domain Services?,”</w:t>
      </w:r>
      <w:r>
        <w:t xml:space="preserve"> </w:t>
      </w:r>
      <w:hyperlink r:id="rId297">
        <w:r>
          <w:rPr>
            <w:rStyle w:val="Hyperlink"/>
          </w:rPr>
          <w:t xml:space="preserve">https://learn.microsoft.com/entra/identity/domain-services/overview</w:t>
        </w:r>
      </w:hyperlink>
      <w:r>
        <w:t xml:space="preserve"> </w:t>
      </w:r>
      <w:r>
        <w:t xml:space="preserve">(accessed Oct 20, 2026).</w:t>
      </w:r>
    </w:p>
  </w:footnote>
  <w:footnote w:id="298">
    <w:p>
      <w:pPr>
        <w:pStyle w:val="FootnoteText"/>
      </w:pPr>
      <w:r>
        <w:rPr>
          <w:rStyle w:val="FootnoteReference"/>
        </w:rPr>
        <w:footnoteRef/>
      </w:r>
      <w:r>
        <w:t xml:space="preserve"> </w:t>
      </w:r>
      <w:r>
        <w:t xml:space="preserve">Microsoft Learn,</w:t>
      </w:r>
      <w:r>
        <w:t xml:space="preserve"> </w:t>
      </w:r>
      <w:r>
        <w:t xml:space="preserve">“Tutorial: Create and configure a Microsoft Entra Domain Services managed domain,”</w:t>
      </w:r>
      <w:r>
        <w:t xml:space="preserve"> </w:t>
      </w:r>
      <w:hyperlink r:id="rId299">
        <w:r>
          <w:rPr>
            <w:rStyle w:val="Hyperlink"/>
          </w:rPr>
          <w:t xml:space="preserve">https://learn.microsoft.com/entra/identity/domain-services/tutorial-create-instance</w:t>
        </w:r>
      </w:hyperlink>
      <w:r>
        <w:t xml:space="preserve"> </w:t>
      </w:r>
      <w:r>
        <w:t xml:space="preserve">(accessed Oct 20, 2026).</w:t>
      </w:r>
    </w:p>
  </w:footnote>
  <w:footnote w:id="300">
    <w:p>
      <w:pPr>
        <w:pStyle w:val="FootnoteText"/>
      </w:pPr>
      <w:r>
        <w:rPr>
          <w:rStyle w:val="FootnoteReference"/>
        </w:rPr>
        <w:footnoteRef/>
      </w:r>
      <w:r>
        <w:t xml:space="preserve"> </w:t>
      </w:r>
      <w:r>
        <w:t xml:space="preserve">Microsoft Learn,</w:t>
      </w:r>
      <w:r>
        <w:t xml:space="preserve"> </w:t>
      </w:r>
      <w:r>
        <w:t xml:space="preserve">“Kerberos Constrained Delegation for single sign-on (SSO) to your apps with application proxy,”</w:t>
      </w:r>
      <w:r>
        <w:t xml:space="preserve"> </w:t>
      </w:r>
      <w:hyperlink r:id="rId301">
        <w:r>
          <w:rPr>
            <w:rStyle w:val="Hyperlink"/>
          </w:rPr>
          <w:t xml:space="preserve">https://learn.microsoft.com/entra/identity/app-proxy/how-to-configure-sso-with-kcd</w:t>
        </w:r>
      </w:hyperlink>
      <w:r>
        <w:t xml:space="preserve"> </w:t>
      </w:r>
      <w:r>
        <w:t xml:space="preserve">(accessed Oct 20, 2026).</w:t>
      </w:r>
    </w:p>
  </w:footnote>
  <w:footnote w:id="302">
    <w:p>
      <w:pPr>
        <w:pStyle w:val="FootnoteText"/>
      </w:pPr>
      <w:r>
        <w:rPr>
          <w:rStyle w:val="FootnoteReference"/>
        </w:rPr>
        <w:footnoteRef/>
      </w:r>
      <w:r>
        <w:t xml:space="preserve"> </w:t>
      </w:r>
      <w:r>
        <w:t xml:space="preserve">Microsoft Learn,</w:t>
      </w:r>
      <w:r>
        <w:t xml:space="preserve"> </w:t>
      </w:r>
      <w:r>
        <w:t xml:space="preserve">“Introduction to Microsoft Entra Connect V2,”</w:t>
      </w:r>
      <w:r>
        <w:t xml:space="preserve"> </w:t>
      </w:r>
      <w:hyperlink r:id="rId303">
        <w:r>
          <w:rPr>
            <w:rStyle w:val="Hyperlink"/>
          </w:rPr>
          <w:t xml:space="preserve">https://learn.microsoft.com/entra/identity/hybrid/connect/whatis-azure-ad-connect-v2</w:t>
        </w:r>
      </w:hyperlink>
      <w:r>
        <w:t xml:space="preserve"> </w:t>
      </w:r>
      <w:r>
        <w:t xml:space="preserve">(accessed Oct 20, 2026).</w:t>
      </w:r>
    </w:p>
  </w:footnote>
  <w:footnote w:id="304">
    <w:p>
      <w:pPr>
        <w:pStyle w:val="FootnoteText"/>
      </w:pPr>
      <w:r>
        <w:rPr>
          <w:rStyle w:val="FootnoteReference"/>
        </w:rPr>
        <w:footnoteRef/>
      </w:r>
      <w:r>
        <w:t xml:space="preserve"> </w:t>
      </w:r>
      <w:r>
        <w:t xml:space="preserve">Microsoft Learn,</w:t>
      </w:r>
      <w:r>
        <w:t xml:space="preserve"> </w:t>
      </w:r>
      <w:r>
        <w:t xml:space="preserve">“Migrate from Microsoft Entra Connect to Cloud Sync: Decision Guide,”</w:t>
      </w:r>
      <w:r>
        <w:t xml:space="preserve"> </w:t>
      </w:r>
      <w:hyperlink r:id="rId305">
        <w:r>
          <w:rPr>
            <w:rStyle w:val="Hyperlink"/>
          </w:rPr>
          <w:t xml:space="preserve">https://learn.microsoft.com/entra/identity/hybrid/cloud-sync/connect-to-cloud-sync-decision-guide</w:t>
        </w:r>
      </w:hyperlink>
      <w:r>
        <w:t xml:space="preserve"> </w:t>
      </w:r>
      <w:r>
        <w:t xml:space="preserve">(accessed Oct 20, 2026).</w:t>
      </w:r>
    </w:p>
  </w:footnote>
  <w:footnote w:id="306">
    <w:p>
      <w:pPr>
        <w:pStyle w:val="FootnoteText"/>
      </w:pPr>
      <w:r>
        <w:rPr>
          <w:rStyle w:val="FootnoteReference"/>
        </w:rPr>
        <w:footnoteRef/>
      </w:r>
      <w:r>
        <w:t xml:space="preserve"> </w:t>
      </w:r>
      <w:r>
        <w:t xml:space="preserve">Microsoft Learn,</w:t>
      </w:r>
      <w:r>
        <w:t xml:space="preserve"> </w:t>
      </w:r>
      <w:r>
        <w:t xml:space="preserve">“Migrate from Microsoft Entra Connect Sync to Cloud Sync FAQ,”</w:t>
      </w:r>
      <w:r>
        <w:t xml:space="preserve"> </w:t>
      </w:r>
      <w:hyperlink r:id="rId307">
        <w:r>
          <w:rPr>
            <w:rStyle w:val="Hyperlink"/>
          </w:rPr>
          <w:t xml:space="preserve">https://learn.microsoft.com/entra/identity/hybrid/cloud-sync/cloud-sync-migration-faq</w:t>
        </w:r>
      </w:hyperlink>
      <w:r>
        <w:t xml:space="preserve"> </w:t>
      </w:r>
      <w:r>
        <w:t xml:space="preserve">(accessed Oct 20, 2026).</w:t>
      </w:r>
    </w:p>
  </w:footnote>
  <w:footnote w:id="308">
    <w:p>
      <w:pPr>
        <w:pStyle w:val="FootnoteText"/>
      </w:pPr>
      <w:r>
        <w:rPr>
          <w:rStyle w:val="FootnoteReference"/>
        </w:rPr>
        <w:footnoteRef/>
      </w:r>
      <w:r>
        <w:t xml:space="preserve"> </w:t>
      </w:r>
      <w:r>
        <w:t xml:space="preserve">Microsoft Learn,</w:t>
      </w:r>
      <w:r>
        <w:t xml:space="preserve"> </w:t>
      </w:r>
      <w:r>
        <w:t xml:space="preserve">“Embrace cloud-first posture: Convert Group Source of Authority to the cloud,”</w:t>
      </w:r>
      <w:r>
        <w:t xml:space="preserve"> </w:t>
      </w:r>
      <w:hyperlink r:id="rId309">
        <w:r>
          <w:rPr>
            <w:rStyle w:val="Hyperlink"/>
          </w:rPr>
          <w:t xml:space="preserve">https://learn.microsoft.com/entra/identity/hybrid/concept-source-of-authority-overview</w:t>
        </w:r>
      </w:hyperlink>
      <w:r>
        <w:t xml:space="preserve"> </w:t>
      </w:r>
      <w:r>
        <w:t xml:space="preserve">(accessed Oct 20, 2026).</w:t>
      </w:r>
    </w:p>
  </w:footnote>
  <w:footnote w:id="310">
    <w:p>
      <w:pPr>
        <w:pStyle w:val="FootnoteText"/>
      </w:pPr>
      <w:r>
        <w:rPr>
          <w:rStyle w:val="FootnoteReference"/>
        </w:rPr>
        <w:footnoteRef/>
      </w:r>
      <w:r>
        <w:t xml:space="preserve"> </w:t>
      </w:r>
      <w:r>
        <w:t xml:space="preserve">Microsoft Learn,</w:t>
      </w:r>
      <w:r>
        <w:t xml:space="preserve"> </w:t>
      </w:r>
      <w:r>
        <w:t xml:space="preserve">“Configure user Source of Authority (SOA),”</w:t>
      </w:r>
      <w:r>
        <w:t xml:space="preserve"> </w:t>
      </w:r>
      <w:hyperlink r:id="rId311">
        <w:r>
          <w:rPr>
            <w:rStyle w:val="Hyperlink"/>
          </w:rPr>
          <w:t xml:space="preserve">https://learn.microsoft.com/entra/identity/hybrid/how-to-user-source-of-authority-configure</w:t>
        </w:r>
      </w:hyperlink>
      <w:r>
        <w:t xml:space="preserve"> </w:t>
      </w:r>
      <w:r>
        <w:t xml:space="preserve">(accessed Oct 20, 2026).</w:t>
      </w:r>
    </w:p>
  </w:footnote>
  <w:footnote w:id="312">
    <w:p>
      <w:pPr>
        <w:pStyle w:val="FootnoteText"/>
      </w:pPr>
      <w:r>
        <w:rPr>
          <w:rStyle w:val="FootnoteReference"/>
        </w:rPr>
        <w:footnoteRef/>
      </w:r>
      <w:r>
        <w:t xml:space="preserve"> </w:t>
      </w:r>
      <w:r>
        <w:t xml:space="preserve">Microsoft Learn,</w:t>
      </w:r>
      <w:r>
        <w:t xml:space="preserve"> </w:t>
      </w:r>
      <w:r>
        <w:t xml:space="preserve">“Migrate from Microsoft Entra Connect to Cloud Sync: Decision Guide,”</w:t>
      </w:r>
      <w:r>
        <w:t xml:space="preserve"> </w:t>
      </w:r>
      <w:hyperlink r:id="rId305">
        <w:r>
          <w:rPr>
            <w:rStyle w:val="Hyperlink"/>
          </w:rPr>
          <w:t xml:space="preserve">https://learn.microsoft.com/entra/identity/hybrid/cloud-sync/connect-to-cloud-sync-decision-guide</w:t>
        </w:r>
      </w:hyperlink>
      <w:r>
        <w:t xml:space="preserve"> </w:t>
      </w:r>
      <w:r>
        <w:t xml:space="preserve">(accessed Oct 20, 2026).</w:t>
      </w:r>
    </w:p>
  </w:footnote>
  <w:footnote w:id="314">
    <w:p>
      <w:pPr>
        <w:pStyle w:val="FootnoteText"/>
      </w:pPr>
      <w:r>
        <w:rPr>
          <w:rStyle w:val="FootnoteReference"/>
        </w:rPr>
        <w:footnoteRef/>
      </w:r>
      <w:r>
        <w:t xml:space="preserve"> </w:t>
      </w:r>
      <w:r>
        <w:t xml:space="preserve">Microsoft Learn,</w:t>
      </w:r>
      <w:r>
        <w:t xml:space="preserve"> </w:t>
      </w:r>
      <w:r>
        <w:t xml:space="preserve">“Co-management workloads,”</w:t>
      </w:r>
      <w:r>
        <w:t xml:space="preserve"> </w:t>
      </w:r>
      <w:hyperlink r:id="rId315">
        <w:r>
          <w:rPr>
            <w:rStyle w:val="Hyperlink"/>
          </w:rPr>
          <w:t xml:space="preserve">https://learn.microsoft.com/intune/configmgr/comanage/workloads</w:t>
        </w:r>
      </w:hyperlink>
      <w:r>
        <w:t xml:space="preserve"> </w:t>
      </w:r>
      <w:r>
        <w:t xml:space="preserve">(accessed Oct 20, 2026).</w:t>
      </w:r>
    </w:p>
  </w:footnote>
  <w:footnote w:id="316">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317">
        <w:r>
          <w:rPr>
            <w:rStyle w:val="Hyperlink"/>
          </w:rPr>
          <w:t xml:space="preserve">https://learn.microsoft.com/intune/device-configuration/import-group-policy-analytics</w:t>
        </w:r>
      </w:hyperlink>
      <w:r>
        <w:t xml:space="preserve"> </w:t>
      </w:r>
      <w:r>
        <w:t xml:space="preserve">(accessed Oct 20, 2026).</w:t>
      </w:r>
    </w:p>
  </w:footnote>
  <w:footnote w:id="319">
    <w:p>
      <w:pPr>
        <w:pStyle w:val="FootnoteText"/>
      </w:pPr>
      <w:r>
        <w:rPr>
          <w:rStyle w:val="FootnoteReference"/>
        </w:rPr>
        <w:footnoteRef/>
      </w:r>
      <w:r>
        <w:t xml:space="preserve"> </w:t>
      </w:r>
      <w:r>
        <w:t xml:space="preserve">Microsoft Learn,</w:t>
      </w:r>
      <w:r>
        <w:t xml:space="preserve"> </w:t>
      </w:r>
      <w:r>
        <w:t xml:space="preserve">“Kerberos protocol registry entries and KDC configuration keys in Windows,”</w:t>
      </w:r>
      <w:r>
        <w:t xml:space="preserve"> </w:t>
      </w:r>
      <w:hyperlink r:id="rId244">
        <w:r>
          <w:rPr>
            <w:rStyle w:val="Hyperlink"/>
          </w:rPr>
          <w:t xml:space="preserve">https://learn.microsoft.com/troubleshoot/windows-server/windows-security/kerberos-protocol-registry-kdc-configuration-keys</w:t>
        </w:r>
      </w:hyperlink>
      <w:r>
        <w:t xml:space="preserve"> </w:t>
      </w:r>
      <w:r>
        <w:t xml:space="preserve">(accessed Oct 20, 2026).</w:t>
      </w:r>
    </w:p>
  </w:footnote>
  <w:footnote w:id="320">
    <w:p>
      <w:pPr>
        <w:pStyle w:val="FootnoteText"/>
      </w:pPr>
      <w:r>
        <w:rPr>
          <w:rStyle w:val="FootnoteReference"/>
        </w:rPr>
        <w:footnoteRef/>
      </w:r>
      <w:r>
        <w:t xml:space="preserve"> </w:t>
      </w:r>
      <w:r>
        <w:t xml:space="preserve">Microsoft Learn,</w:t>
      </w:r>
      <w:r>
        <w:t xml:space="preserve"> </w:t>
      </w:r>
      <w:r>
        <w:t xml:space="preserve">“How the Windows Time Service works,”</w:t>
      </w:r>
      <w:r>
        <w:t xml:space="preserve"> </w:t>
      </w:r>
      <w:hyperlink r:id="rId321">
        <w:r>
          <w:rPr>
            <w:rStyle w:val="Hyperlink"/>
          </w:rPr>
          <w:t xml:space="preserve">https://learn.microsoft.com/windows-server/networking/windows-time-service/how-the-windows-time-service-works</w:t>
        </w:r>
      </w:hyperlink>
      <w:r>
        <w:t xml:space="preserve"> </w:t>
      </w:r>
      <w:r>
        <w:t xml:space="preserve">(accessed Oct 20, 2026).</w:t>
      </w:r>
    </w:p>
  </w:footnote>
  <w:footnote w:id="322">
    <w:p>
      <w:pPr>
        <w:pStyle w:val="FootnoteText"/>
      </w:pPr>
      <w:r>
        <w:rPr>
          <w:rStyle w:val="FootnoteReference"/>
        </w:rPr>
        <w:footnoteRef/>
      </w:r>
      <w:r>
        <w:t xml:space="preserve"> </w:t>
      </w:r>
      <w:r>
        <w:t xml:space="preserve">Microsoft Learn,</w:t>
      </w:r>
      <w:r>
        <w:t xml:space="preserve"> </w:t>
      </w:r>
      <w:r>
        <w:t xml:space="preserve">“How the Windows Time Service works,”</w:t>
      </w:r>
      <w:r>
        <w:t xml:space="preserve"> </w:t>
      </w:r>
      <w:hyperlink r:id="rId321">
        <w:r>
          <w:rPr>
            <w:rStyle w:val="Hyperlink"/>
          </w:rPr>
          <w:t xml:space="preserve">https://learn.microsoft.com/windows-server/networking/windows-time-service/how-the-windows-time-service-works</w:t>
        </w:r>
      </w:hyperlink>
      <w:r>
        <w:t xml:space="preserve"> </w:t>
      </w:r>
      <w:r>
        <w:t xml:space="preserve">(accessed Oct 20, 2026).</w:t>
      </w:r>
    </w:p>
  </w:footnote>
  <w:footnote w:id="323">
    <w:p>
      <w:pPr>
        <w:pStyle w:val="FootnoteText"/>
      </w:pPr>
      <w:r>
        <w:rPr>
          <w:rStyle w:val="FootnoteReference"/>
        </w:rPr>
        <w:footnoteRef/>
      </w:r>
      <w:r>
        <w:t xml:space="preserve"> </w:t>
      </w:r>
      <w:r>
        <w:t xml:space="preserve">Microsoft Learn,</w:t>
      </w:r>
      <w:r>
        <w:t xml:space="preserve"> </w:t>
      </w:r>
      <w:r>
        <w:t xml:space="preserve">“Policy CSP - ADMX_W32Time,”</w:t>
      </w:r>
      <w:r>
        <w:t xml:space="preserve"> </w:t>
      </w:r>
      <w:hyperlink r:id="rId324">
        <w:r>
          <w:rPr>
            <w:rStyle w:val="Hyperlink"/>
          </w:rPr>
          <w:t xml:space="preserve">https://learn.microsoft.com/windows/client-management/mdm/policy-csp-admx-w32time</w:t>
        </w:r>
      </w:hyperlink>
      <w:r>
        <w:t xml:space="preserve"> </w:t>
      </w:r>
      <w:r>
        <w:t xml:space="preserve">(accessed Oct 20, 2026).</w:t>
      </w:r>
    </w:p>
  </w:footnote>
  <w:footnote w:id="325">
    <w:p>
      <w:pPr>
        <w:pStyle w:val="FootnoteText"/>
      </w:pPr>
      <w:r>
        <w:rPr>
          <w:rStyle w:val="FootnoteReference"/>
        </w:rPr>
        <w:footnoteRef/>
      </w:r>
      <w:r>
        <w:t xml:space="preserve"> </w:t>
      </w:r>
      <w:r>
        <w:t xml:space="preserve">Microsoft Learn,</w:t>
      </w:r>
      <w:r>
        <w:t xml:space="preserve"> </w:t>
      </w:r>
      <w:r>
        <w:t xml:space="preserve">“How the Windows Time Service works,”</w:t>
      </w:r>
      <w:r>
        <w:t xml:space="preserve"> </w:t>
      </w:r>
      <w:hyperlink r:id="rId321">
        <w:r>
          <w:rPr>
            <w:rStyle w:val="Hyperlink"/>
          </w:rPr>
          <w:t xml:space="preserve">https://learn.microsoft.com/windows-server/networking/windows-time-service/how-the-windows-time-service-works</w:t>
        </w:r>
      </w:hyperlink>
      <w:r>
        <w:t xml:space="preserve"> </w:t>
      </w:r>
      <w:r>
        <w:t xml:space="preserve">(accessed Oct 20, 2026).</w:t>
      </w:r>
    </w:p>
  </w:footnote>
  <w:footnote w:id="327">
    <w:p>
      <w:pPr>
        <w:pStyle w:val="FootnoteText"/>
      </w:pPr>
      <w:r>
        <w:rPr>
          <w:rStyle w:val="FootnoteReference"/>
        </w:rPr>
        <w:footnoteRef/>
      </w:r>
      <w:r>
        <w:t xml:space="preserve"> </w:t>
      </w:r>
      <w:r>
        <w:t xml:space="preserve">Microsoft Learn,</w:t>
      </w:r>
      <w:r>
        <w:t xml:space="preserve"> </w:t>
      </w:r>
      <w:r>
        <w:t xml:space="preserve">“Choose a namespace type,”</w:t>
      </w:r>
      <w:r>
        <w:t xml:space="preserve"> </w:t>
      </w:r>
      <w:hyperlink r:id="rId328">
        <w:r>
          <w:rPr>
            <w:rStyle w:val="Hyperlink"/>
          </w:rPr>
          <w:t xml:space="preserve">https://learn.microsoft.com/windows-server/storage/dfs-namespaces/choose-a-namespace-type</w:t>
        </w:r>
      </w:hyperlink>
      <w:r>
        <w:t xml:space="preserve"> </w:t>
      </w:r>
      <w:r>
        <w:t xml:space="preserve">(accessed Oct 20, 2026).</w:t>
      </w:r>
    </w:p>
  </w:footnote>
  <w:footnote w:id="329">
    <w:p>
      <w:pPr>
        <w:pStyle w:val="FootnoteText"/>
      </w:pPr>
      <w:r>
        <w:rPr>
          <w:rStyle w:val="FootnoteReference"/>
        </w:rPr>
        <w:footnoteRef/>
      </w:r>
      <w:r>
        <w:t xml:space="preserve"> </w:t>
      </w:r>
      <w:r>
        <w:t xml:space="preserve">Microsoft Learn,</w:t>
      </w:r>
      <w:r>
        <w:t xml:space="preserve"> </w:t>
      </w:r>
      <w:r>
        <w:t xml:space="preserve">“Enable Microsoft Entra Kerberos authentication for hybrid and cloud-only identities on Azure Files,”</w:t>
      </w:r>
      <w:r>
        <w:t xml:space="preserve"> </w:t>
      </w:r>
      <w:hyperlink r:id="rId330">
        <w:r>
          <w:rPr>
            <w:rStyle w:val="Hyperlink"/>
          </w:rPr>
          <w:t xml:space="preserve">https://learn.microsoft.com/azure/storage/files/storage-files-identity-auth-hybrid-identities-enable</w:t>
        </w:r>
      </w:hyperlink>
      <w:r>
        <w:t xml:space="preserve"> </w:t>
      </w:r>
      <w:r>
        <w:t xml:space="preserve">(accessed Oct 20, 2026).</w:t>
      </w:r>
    </w:p>
  </w:footnote>
  <w:footnote w:id="331">
    <w:p>
      <w:pPr>
        <w:pStyle w:val="FootnoteText"/>
      </w:pPr>
      <w:r>
        <w:rPr>
          <w:rStyle w:val="FootnoteReference"/>
        </w:rPr>
        <w:footnoteRef/>
      </w:r>
      <w:r>
        <w:t xml:space="preserve"> </w:t>
      </w:r>
      <w:r>
        <w:t xml:space="preserve">Microsoft Learn,</w:t>
      </w:r>
      <w:r>
        <w:t xml:space="preserve"> </w:t>
      </w:r>
      <w:r>
        <w:t xml:space="preserve">“How to use DFS Namespaces with Azure Files,”</w:t>
      </w:r>
      <w:r>
        <w:t xml:space="preserve"> </w:t>
      </w:r>
      <w:hyperlink r:id="rId332">
        <w:r>
          <w:rPr>
            <w:rStyle w:val="Hyperlink"/>
          </w:rPr>
          <w:t xml:space="preserve">https://learn.microsoft.com/azure/storage/files/files-manage-namespaces</w:t>
        </w:r>
      </w:hyperlink>
      <w:r>
        <w:t xml:space="preserve"> </w:t>
      </w:r>
      <w:r>
        <w:t xml:space="preserve">(accessed Oct 20, 2026).</w:t>
      </w:r>
    </w:p>
  </w:footnote>
  <w:footnote w:id="334">
    <w:p>
      <w:pPr>
        <w:pStyle w:val="FootnoteText"/>
      </w:pPr>
      <w:r>
        <w:rPr>
          <w:rStyle w:val="FootnoteReference"/>
        </w:rPr>
        <w:footnoteRef/>
      </w:r>
      <w:r>
        <w:t xml:space="preserve"> </w:t>
      </w:r>
      <w:r>
        <w:t xml:space="preserve">Microsoft Learn,</w:t>
      </w:r>
      <w:r>
        <w:t xml:space="preserve"> </w:t>
      </w:r>
      <w:r>
        <w:t xml:space="preserve">“Introduction to Microsoft Entra Kerberos,”</w:t>
      </w:r>
      <w:r>
        <w:t xml:space="preserve"> </w:t>
      </w:r>
      <w:hyperlink r:id="rId335">
        <w:r>
          <w:rPr>
            <w:rStyle w:val="Hyperlink"/>
          </w:rPr>
          <w:t xml:space="preserve">https://learn.microsoft.com/entra/identity/authentication/kerberos</w:t>
        </w:r>
      </w:hyperlink>
      <w:r>
        <w:t xml:space="preserve"> </w:t>
      </w:r>
      <w:r>
        <w:t xml:space="preserve">(accessed Oct 20, 2026).</w:t>
      </w:r>
    </w:p>
  </w:footnote>
  <w:footnote w:id="349">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hyperlink r:id="rId350">
        <w:r>
          <w:rPr>
            <w:rStyle w:val="Hyperlink"/>
          </w:rPr>
          <w:t xml:space="preserve">https://learn.microsoft.com/entra/identity/role-based-access-control/administrative-units</w:t>
        </w:r>
      </w:hyperlink>
      <w:r>
        <w:t xml:space="preserve"> </w:t>
      </w:r>
      <w:r>
        <w:t xml:space="preserve">(accessed Oct 20, 2026).</w:t>
      </w:r>
    </w:p>
  </w:footnote>
  <w:footnote w:id="351">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hyperlink r:id="rId350">
        <w:r>
          <w:rPr>
            <w:rStyle w:val="Hyperlink"/>
          </w:rPr>
          <w:t xml:space="preserve">https://learn.microsoft.com/entra/identity/role-based-access-control/administrative-units</w:t>
        </w:r>
      </w:hyperlink>
      <w:r>
        <w:t xml:space="preserve"> </w:t>
      </w:r>
      <w:r>
        <w:t xml:space="preserve">(accessed Oct 20, 2026).</w:t>
      </w:r>
    </w:p>
  </w:footnote>
  <w:footnote w:id="352">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hyperlink r:id="rId350">
        <w:r>
          <w:rPr>
            <w:rStyle w:val="Hyperlink"/>
          </w:rPr>
          <w:t xml:space="preserve">https://learn.microsoft.com/entra/identity/role-based-access-control/administrative-units</w:t>
        </w:r>
      </w:hyperlink>
      <w:r>
        <w:t xml:space="preserve"> </w:t>
      </w:r>
      <w:r>
        <w:t xml:space="preserve">(accessed Oct 20, 2026).</w:t>
      </w:r>
    </w:p>
  </w:footnote>
  <w:footnote w:id="353">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hyperlink r:id="rId350">
        <w:r>
          <w:rPr>
            <w:rStyle w:val="Hyperlink"/>
          </w:rPr>
          <w:t xml:space="preserve">https://learn.microsoft.com/entra/identity/role-based-access-control/administrative-units</w:t>
        </w:r>
      </w:hyperlink>
      <w:r>
        <w:t xml:space="preserve"> </w:t>
      </w:r>
      <w:r>
        <w:t xml:space="preserve">(accessed Oct 20, 2026).</w:t>
      </w:r>
    </w:p>
  </w:footnote>
  <w:footnote w:id="354">
    <w:p>
      <w:pPr>
        <w:pStyle w:val="FootnoteText"/>
      </w:pPr>
      <w:r>
        <w:rPr>
          <w:rStyle w:val="FootnoteReference"/>
        </w:rPr>
        <w:footnoteRef/>
      </w:r>
      <w:r>
        <w:t xml:space="preserve"> </w:t>
      </w:r>
      <w:r>
        <w:t xml:space="preserve">Microsoft Learn,</w:t>
      </w:r>
      <w:r>
        <w:t xml:space="preserve"> </w:t>
      </w:r>
      <w:r>
        <w:t xml:space="preserve">“Assign Microsoft Entra roles,”</w:t>
      </w:r>
      <w:r>
        <w:t xml:space="preserve"> </w:t>
      </w:r>
      <w:r>
        <w:t xml:space="preserve">section</w:t>
      </w:r>
      <w:r>
        <w:t xml:space="preserve"> </w:t>
      </w:r>
      <w:r>
        <w:t xml:space="preserve">“Assign roles with administrative unit scope,”</w:t>
      </w:r>
      <w:r>
        <w:t xml:space="preserve"> </w:t>
      </w:r>
      <w:hyperlink r:id="rId355">
        <w:r>
          <w:rPr>
            <w:rStyle w:val="Hyperlink"/>
          </w:rPr>
          <w:t xml:space="preserve">https://learn.microsoft.com/entra/identity/role-based-access-control/admin-units-assign-roles</w:t>
        </w:r>
      </w:hyperlink>
      <w:r>
        <w:t xml:space="preserve"> </w:t>
      </w:r>
      <w:r>
        <w:t xml:space="preserve">(accessed Oct 20, 2026).</w:t>
      </w:r>
    </w:p>
  </w:footnote>
  <w:footnote w:id="356">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hyperlink r:id="rId350">
        <w:r>
          <w:rPr>
            <w:rStyle w:val="Hyperlink"/>
          </w:rPr>
          <w:t xml:space="preserve">https://learn.microsoft.com/entra/identity/role-based-access-control/administrative-units</w:t>
        </w:r>
      </w:hyperlink>
      <w:r>
        <w:t xml:space="preserve"> </w:t>
      </w:r>
      <w:r>
        <w:t xml:space="preserve">(accessed Oct 20, 2026).</w:t>
      </w:r>
    </w:p>
  </w:footnote>
  <w:footnote w:id="357">
    <w:p>
      <w:pPr>
        <w:pStyle w:val="FootnoteText"/>
      </w:pPr>
      <w:r>
        <w:rPr>
          <w:rStyle w:val="FootnoteReference"/>
        </w:rPr>
        <w:footnoteRef/>
      </w:r>
      <w:r>
        <w:t xml:space="preserve"> </w:t>
      </w:r>
      <w:r>
        <w:t xml:space="preserve">Microsoft Learn,</w:t>
      </w:r>
      <w:r>
        <w:t xml:space="preserve"> </w:t>
      </w:r>
      <w:r>
        <w:t xml:space="preserve">“Manage users or devices for an administrative unit with rules for dynamic membership groups,”</w:t>
      </w:r>
      <w:r>
        <w:t xml:space="preserve"> </w:t>
      </w:r>
      <w:hyperlink r:id="rId358">
        <w:r>
          <w:rPr>
            <w:rStyle w:val="Hyperlink"/>
          </w:rPr>
          <w:t xml:space="preserve">https://learn.microsoft.com/entra/identity/role-based-access-control/admin-units-members-dynamic</w:t>
        </w:r>
      </w:hyperlink>
      <w:r>
        <w:t xml:space="preserve"> </w:t>
      </w:r>
      <w:r>
        <w:t xml:space="preserve">(accessed Oct 20, 2026).</w:t>
      </w:r>
    </w:p>
  </w:footnote>
  <w:footnote w:id="359">
    <w:p>
      <w:pPr>
        <w:pStyle w:val="FootnoteText"/>
      </w:pPr>
      <w:r>
        <w:rPr>
          <w:rStyle w:val="FootnoteReference"/>
        </w:rPr>
        <w:footnoteRef/>
      </w:r>
      <w:r>
        <w:t xml:space="preserve"> </w:t>
      </w:r>
      <w:r>
        <w:t xml:space="preserve">Microsoft Learn,</w:t>
      </w:r>
      <w:r>
        <w:t xml:space="preserve"> </w:t>
      </w:r>
      <w:r>
        <w:t xml:space="preserve">“Microsoft Entra administrative units: Troubleshooting and FAQ,”</w:t>
      </w:r>
      <w:r>
        <w:t xml:space="preserve"> </w:t>
      </w:r>
      <w:hyperlink r:id="rId360">
        <w:r>
          <w:rPr>
            <w:rStyle w:val="Hyperlink"/>
          </w:rPr>
          <w:t xml:space="preserve">https://learn.microsoft.com/entra/identity/role-based-access-control/admin-units-faq-troubleshoot</w:t>
        </w:r>
      </w:hyperlink>
      <w:r>
        <w:t xml:space="preserve"> </w:t>
      </w:r>
      <w:r>
        <w:t xml:space="preserve">(accessed Oct 20, 2026).</w:t>
      </w:r>
    </w:p>
  </w:footnote>
  <w:footnote w:id="361">
    <w:p>
      <w:pPr>
        <w:pStyle w:val="FootnoteText"/>
      </w:pPr>
      <w:r>
        <w:rPr>
          <w:rStyle w:val="FootnoteReference"/>
        </w:rPr>
        <w:footnoteRef/>
      </w:r>
      <w:r>
        <w:t xml:space="preserve"> </w:t>
      </w:r>
      <w:r>
        <w:t xml:space="preserve">Microsoft Learn,</w:t>
      </w:r>
      <w:r>
        <w:t xml:space="preserve"> </w:t>
      </w:r>
      <w:r>
        <w:t xml:space="preserve">“Microsoft Entra administrative units: Troubleshooting and FAQ,”</w:t>
      </w:r>
      <w:r>
        <w:t xml:space="preserve"> </w:t>
      </w:r>
      <w:hyperlink r:id="rId360">
        <w:r>
          <w:rPr>
            <w:rStyle w:val="Hyperlink"/>
          </w:rPr>
          <w:t xml:space="preserve">https://learn.microsoft.com/entra/identity/role-based-access-control/admin-units-faq-troubleshoot</w:t>
        </w:r>
      </w:hyperlink>
      <w:r>
        <w:t xml:space="preserve"> </w:t>
      </w:r>
      <w:r>
        <w:t xml:space="preserve">(accessed Oct 20, 2026).</w:t>
      </w:r>
    </w:p>
  </w:footnote>
  <w:footnote w:id="363">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364">
        <w:r>
          <w:rPr>
            <w:rStyle w:val="Hyperlink"/>
          </w:rPr>
          <w:t xml:space="preserve">https://learn.microsoft.com/entra/identity/role-based-access-control/admin-units-restricted-management</w:t>
        </w:r>
      </w:hyperlink>
      <w:r>
        <w:t xml:space="preserve"> </w:t>
      </w:r>
      <w:r>
        <w:t xml:space="preserve">(accessed Oct 20, 2026).</w:t>
      </w:r>
    </w:p>
  </w:footnote>
  <w:footnote w:id="365">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364">
        <w:r>
          <w:rPr>
            <w:rStyle w:val="Hyperlink"/>
          </w:rPr>
          <w:t xml:space="preserve">https://learn.microsoft.com/entra/identity/role-based-access-control/admin-units-restricted-management</w:t>
        </w:r>
      </w:hyperlink>
      <w:r>
        <w:t xml:space="preserve"> </w:t>
      </w:r>
      <w:r>
        <w:t xml:space="preserve">(accessed Oct 20, 2026).</w:t>
      </w:r>
    </w:p>
  </w:footnote>
  <w:footnote w:id="366">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364">
        <w:r>
          <w:rPr>
            <w:rStyle w:val="Hyperlink"/>
          </w:rPr>
          <w:t xml:space="preserve">https://learn.microsoft.com/entra/identity/role-based-access-control/admin-units-restricted-management</w:t>
        </w:r>
      </w:hyperlink>
      <w:r>
        <w:t xml:space="preserve"> </w:t>
      </w:r>
      <w:r>
        <w:t xml:space="preserve">(accessed Oct 20, 2026).</w:t>
      </w:r>
    </w:p>
  </w:footnote>
  <w:footnote w:id="369">
    <w:p>
      <w:pPr>
        <w:pStyle w:val="FootnoteText"/>
      </w:pPr>
      <w:r>
        <w:rPr>
          <w:rStyle w:val="FootnoteReference"/>
        </w:rPr>
        <w:footnoteRef/>
      </w:r>
      <w:r>
        <w:t xml:space="preserve"> </w:t>
      </w:r>
      <w:r>
        <w:t xml:space="preserve">Microsoft Learn,</w:t>
      </w:r>
      <w:r>
        <w:t xml:space="preserve"> </w:t>
      </w:r>
      <w:r>
        <w:t xml:space="preserve">“Assign Microsoft Entra roles,”</w:t>
      </w:r>
      <w:r>
        <w:t xml:space="preserve"> </w:t>
      </w:r>
      <w:r>
        <w:t xml:space="preserve">section</w:t>
      </w:r>
      <w:r>
        <w:t xml:space="preserve"> </w:t>
      </w:r>
      <w:r>
        <w:t xml:space="preserve">“Assign roles with administrative unit scope,”</w:t>
      </w:r>
      <w:r>
        <w:t xml:space="preserve"> </w:t>
      </w:r>
      <w:hyperlink r:id="rId355">
        <w:r>
          <w:rPr>
            <w:rStyle w:val="Hyperlink"/>
          </w:rPr>
          <w:t xml:space="preserve">https://learn.microsoft.com/entra/identity/role-based-access-control/admin-units-assign-roles</w:t>
        </w:r>
      </w:hyperlink>
      <w:r>
        <w:t xml:space="preserve"> </w:t>
      </w:r>
      <w:r>
        <w:t xml:space="preserve">(accessed Oct 20, 2026).</w:t>
      </w:r>
    </w:p>
  </w:footnote>
  <w:footnote w:id="370">
    <w:p>
      <w:pPr>
        <w:pStyle w:val="FootnoteText"/>
      </w:pPr>
      <w:r>
        <w:rPr>
          <w:rStyle w:val="FootnoteReference"/>
        </w:rPr>
        <w:footnoteRef/>
      </w:r>
      <w:r>
        <w:t xml:space="preserve"> </w:t>
      </w:r>
      <w:r>
        <w:t xml:space="preserve">Microsoft Learn,</w:t>
      </w:r>
      <w:r>
        <w:t xml:space="preserve"> </w:t>
      </w:r>
      <w:r>
        <w:t xml:space="preserve">“Administrative units in Microsoft Purview,”</w:t>
      </w:r>
      <w:r>
        <w:t xml:space="preserve"> </w:t>
      </w:r>
      <w:hyperlink r:id="rId371">
        <w:r>
          <w:rPr>
            <w:rStyle w:val="Hyperlink"/>
          </w:rPr>
          <w:t xml:space="preserve">https://learn.microsoft.com/purview/purview-admin-units</w:t>
        </w:r>
      </w:hyperlink>
      <w:r>
        <w:t xml:space="preserve"> </w:t>
      </w:r>
      <w:r>
        <w:t xml:space="preserve">(accessed Oct 20, 2026).</w:t>
      </w:r>
    </w:p>
  </w:footnote>
  <w:footnote w:id="377">
    <w:p>
      <w:pPr>
        <w:pStyle w:val="FootnoteText"/>
      </w:pPr>
      <w:r>
        <w:rPr>
          <w:rStyle w:val="FootnoteReference"/>
        </w:rPr>
        <w:footnoteRef/>
      </w:r>
      <w:r>
        <w:t xml:space="preserve"> </w:t>
      </w:r>
      <w:r>
        <w:t xml:space="preserve">Microsoft Learn,</w:t>
      </w:r>
      <w:r>
        <w:t xml:space="preserve"> </w:t>
      </w:r>
      <w:r>
        <w:t xml:space="preserve">“Use Microsoft Entra groups to manage role assignments,”</w:t>
      </w:r>
      <w:r>
        <w:t xml:space="preserve"> </w:t>
      </w:r>
      <w:hyperlink r:id="rId378">
        <w:r>
          <w:rPr>
            <w:rStyle w:val="Hyperlink"/>
          </w:rPr>
          <w:t xml:space="preserve">https://learn.microsoft.com/entra/identity/role-based-access-control/groups-concept</w:t>
        </w:r>
      </w:hyperlink>
      <w:r>
        <w:t xml:space="preserve"> </w:t>
      </w:r>
      <w:r>
        <w:t xml:space="preserve">(accessed Oct 20, 2026).</w:t>
      </w:r>
    </w:p>
  </w:footnote>
  <w:footnote w:id="379">
    <w:p>
      <w:pPr>
        <w:pStyle w:val="FootnoteText"/>
      </w:pPr>
      <w:r>
        <w:rPr>
          <w:rStyle w:val="FootnoteReference"/>
        </w:rPr>
        <w:footnoteRef/>
      </w:r>
      <w:r>
        <w:t xml:space="preserve"> </w:t>
      </w:r>
      <w:r>
        <w:t xml:space="preserve">Microsoft Learn,</w:t>
      </w:r>
      <w:r>
        <w:t xml:space="preserve"> </w:t>
      </w:r>
      <w:r>
        <w:t xml:space="preserve">“Assign Microsoft Entra roles in Privileged Identity Management,”</w:t>
      </w:r>
      <w:r>
        <w:t xml:space="preserve"> </w:t>
      </w:r>
      <w:r>
        <w:t xml:space="preserve">section</w:t>
      </w:r>
      <w:r>
        <w:t xml:space="preserve"> </w:t>
      </w:r>
      <w:r>
        <w:t xml:space="preserve">“Assign a role with restricted scope,”</w:t>
      </w:r>
      <w:r>
        <w:t xml:space="preserve"> </w:t>
      </w:r>
      <w:hyperlink r:id="rId380">
        <w:r>
          <w:rPr>
            <w:rStyle w:val="Hyperlink"/>
          </w:rPr>
          <w:t xml:space="preserve">https://learn.microsoft.com/entra/id-governance/privileged-identity-management/pim-how-to-add-role-to-user</w:t>
        </w:r>
      </w:hyperlink>
      <w:r>
        <w:t xml:space="preserve"> </w:t>
      </w:r>
      <w:r>
        <w:t xml:space="preserve">(accessed Oct 20, 2026).</w:t>
      </w:r>
    </w:p>
  </w:footnote>
  <w:footnote w:id="386">
    <w:p>
      <w:pPr>
        <w:pStyle w:val="FootnoteText"/>
      </w:pPr>
      <w:r>
        <w:rPr>
          <w:rStyle w:val="FootnoteReference"/>
        </w:rPr>
        <w:footnoteRef/>
      </w:r>
      <w:r>
        <w:t xml:space="preserve"> </w:t>
      </w:r>
      <w:r>
        <w:t xml:space="preserve">Microsoft Learn,</w:t>
      </w:r>
      <w:r>
        <w:t xml:space="preserve"> </w:t>
      </w:r>
      <w:r>
        <w:t xml:space="preserve">“Assign Microsoft Entra roles,”</w:t>
      </w:r>
      <w:r>
        <w:t xml:space="preserve"> </w:t>
      </w:r>
      <w:r>
        <w:t xml:space="preserve">section</w:t>
      </w:r>
      <w:r>
        <w:t xml:space="preserve"> </w:t>
      </w:r>
      <w:r>
        <w:t xml:space="preserve">“Assign roles with administrative unit scope,”</w:t>
      </w:r>
      <w:r>
        <w:t xml:space="preserve"> </w:t>
      </w:r>
      <w:hyperlink r:id="rId355">
        <w:r>
          <w:rPr>
            <w:rStyle w:val="Hyperlink"/>
          </w:rPr>
          <w:t xml:space="preserve">https://learn.microsoft.com/entra/identity/role-based-access-control/admin-units-assign-roles</w:t>
        </w:r>
      </w:hyperlink>
      <w:r>
        <w:t xml:space="preserve"> </w:t>
      </w:r>
      <w:r>
        <w:t xml:space="preserve">(accessed Oct 20, 2026).</w:t>
      </w:r>
    </w:p>
  </w:footnote>
  <w:footnote w:id="388">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364">
        <w:r>
          <w:rPr>
            <w:rStyle w:val="Hyperlink"/>
          </w:rPr>
          <w:t xml:space="preserve">https://learn.microsoft.com/entra/identity/role-based-access-control/admin-units-restricted-management</w:t>
        </w:r>
      </w:hyperlink>
      <w:r>
        <w:t xml:space="preserve"> </w:t>
      </w:r>
      <w:r>
        <w:t xml:space="preserve">(accessed Oct 20, 2026).</w:t>
      </w:r>
    </w:p>
  </w:footnote>
  <w:footnote w:id="389">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364">
        <w:r>
          <w:rPr>
            <w:rStyle w:val="Hyperlink"/>
          </w:rPr>
          <w:t xml:space="preserve">https://learn.microsoft.com/entra/identity/role-based-access-control/admin-units-restricted-management</w:t>
        </w:r>
      </w:hyperlink>
      <w:r>
        <w:t xml:space="preserve"> </w:t>
      </w:r>
      <w:r>
        <w:t xml:space="preserve">(accessed Oct 20, 2026).</w:t>
      </w:r>
    </w:p>
  </w:footnote>
  <w:footnote w:id="391">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w:t>
      </w:r>
      <w:r>
        <w:t xml:space="preserve"> </w:t>
      </w:r>
      <w:hyperlink r:id="rId392">
        <w:r>
          <w:rPr>
            <w:rStyle w:val="Hyperlink"/>
          </w:rPr>
          <w:t xml:space="preserve">https://csrc.nist.gov/pubs/sp/800/53/r5/upd1/final</w:t>
        </w:r>
      </w:hyperlink>
      <w:r>
        <w:t xml:space="preserve"> </w:t>
      </w:r>
      <w:r>
        <w:t xml:space="preserve">(accessed Oct 20, 2026).</w:t>
      </w:r>
    </w:p>
  </w:footnote>
  <w:footnote w:id="394">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364">
        <w:r>
          <w:rPr>
            <w:rStyle w:val="Hyperlink"/>
          </w:rPr>
          <w:t xml:space="preserve">https://learn.microsoft.com/entra/identity/role-based-access-control/admin-units-restricted-management</w:t>
        </w:r>
      </w:hyperlink>
      <w:r>
        <w:t xml:space="preserve"> </w:t>
      </w:r>
      <w:r>
        <w:t xml:space="preserve">(accessed Oct 20, 2026).</w:t>
      </w:r>
    </w:p>
  </w:footnote>
  <w:footnote w:id="395">
    <w:p>
      <w:pPr>
        <w:pStyle w:val="FootnoteText"/>
      </w:pPr>
      <w:r>
        <w:rPr>
          <w:rStyle w:val="FootnoteReference"/>
        </w:rPr>
        <w:footnoteRef/>
      </w:r>
      <w:r>
        <w:t xml:space="preserve"> </w:t>
      </w:r>
      <w:r>
        <w:t xml:space="preserve">Microsoft Learn,</w:t>
      </w:r>
      <w:r>
        <w:t xml:space="preserve"> </w:t>
      </w:r>
      <w:r>
        <w:t xml:space="preserve">“Update-MgDirectoryAdministrativeUnit,”</w:t>
      </w:r>
      <w:r>
        <w:t xml:space="preserve"> </w:t>
      </w:r>
      <w:hyperlink r:id="rId396">
        <w:r>
          <w:rPr>
            <w:rStyle w:val="Hyperlink"/>
          </w:rPr>
          <w:t xml:space="preserve">https://learn.microsoft.com/powershell/module/microsoft.graph.identity.directorymanagement/update-mgdirectoryadministrativeunit?view=graph-powershell-1.0</w:t>
        </w:r>
      </w:hyperlink>
      <w:r>
        <w:t xml:space="preserve"> </w:t>
      </w:r>
      <w:r>
        <w:t xml:space="preserve">(accessed Oct 20, 2026).</w:t>
      </w:r>
    </w:p>
  </w:footnote>
  <w:footnote w:id="397">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364">
        <w:r>
          <w:rPr>
            <w:rStyle w:val="Hyperlink"/>
          </w:rPr>
          <w:t xml:space="preserve">https://learn.microsoft.com/entra/identity/role-based-access-control/admin-units-restricted-management</w:t>
        </w:r>
      </w:hyperlink>
      <w:r>
        <w:t xml:space="preserve"> </w:t>
      </w:r>
      <w:r>
        <w:t xml:space="preserve">(accessed Oct 20, 2026).</w:t>
      </w:r>
    </w:p>
  </w:footnote>
  <w:footnote w:id="402">
    <w:p>
      <w:pPr>
        <w:pStyle w:val="FootnoteText"/>
      </w:pPr>
      <w:r>
        <w:rPr>
          <w:rStyle w:val="FootnoteReference"/>
        </w:rPr>
        <w:footnoteRef/>
      </w:r>
      <w:r>
        <w:t xml:space="preserve"> </w:t>
      </w:r>
      <w:r>
        <w:t xml:space="preserve">Office of Management and Budget, M-19-17,</w:t>
      </w:r>
      <w:r>
        <w:t xml:space="preserve"> </w:t>
      </w:r>
      <w:r>
        <w:rPr>
          <w:i/>
          <w:iCs/>
        </w:rPr>
        <w:t xml:space="preserve">Enabling Mission Delivery through Improved Identity, Credential, and Access Management</w:t>
      </w:r>
      <w:r>
        <w:t xml:space="preserve">, May 21, 2019,</w:t>
      </w:r>
      <w:r>
        <w:t xml:space="preserve"> </w:t>
      </w:r>
      <w:hyperlink r:id="rId403">
        <w:r>
          <w:rPr>
            <w:rStyle w:val="Hyperlink"/>
          </w:rPr>
          <w:t xml:space="preserve">https://www.whitehouse.gov/wp-content/uploads/2019/05/M-19-17.pdf</w:t>
        </w:r>
      </w:hyperlink>
      <w:r>
        <w:t xml:space="preserve"> </w:t>
      </w:r>
      <w:r>
        <w:t xml:space="preserve">(accessed Oct 20, 2026).</w:t>
      </w:r>
    </w:p>
  </w:footnote>
  <w:footnote w:id="404">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405">
        <w:r>
          <w:rPr>
            <w:rStyle w:val="Hyperlink"/>
          </w:rPr>
          <w:t xml:space="preserve">https://nvlpubs.nist.gov/nistpubs/SpecialPublications/NIST.SP.800-37r2.pdf</w:t>
        </w:r>
      </w:hyperlink>
      <w:r>
        <w:t xml:space="preserve"> </w:t>
      </w:r>
      <w:r>
        <w:t xml:space="preserve">(accessed Oct 20, 2026).</w:t>
      </w:r>
    </w:p>
  </w:footnote>
  <w:footnote w:id="410">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405">
        <w:r>
          <w:rPr>
            <w:rStyle w:val="Hyperlink"/>
          </w:rPr>
          <w:t xml:space="preserve">https://nvlpubs.nist.gov/nistpubs/SpecialPublications/NIST.SP.800-37r2.pdf</w:t>
        </w:r>
      </w:hyperlink>
      <w:r>
        <w:t xml:space="preserve"> </w:t>
      </w:r>
      <w:r>
        <w:t xml:space="preserve">(accessed Oct 20, 2026).</w:t>
      </w:r>
    </w:p>
  </w:footnote>
  <w:footnote w:id="412">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405">
        <w:r>
          <w:rPr>
            <w:rStyle w:val="Hyperlink"/>
          </w:rPr>
          <w:t xml:space="preserve">https://nvlpubs.nist.gov/nistpubs/SpecialPublications/NIST.SP.800-37r2.pdf</w:t>
        </w:r>
      </w:hyperlink>
      <w:r>
        <w:t xml:space="preserve"> </w:t>
      </w:r>
      <w:r>
        <w:t xml:space="preserve">(accessed Oct 20, 2026).</w:t>
      </w:r>
    </w:p>
  </w:footnote>
  <w:footnote w:id="413">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405">
        <w:r>
          <w:rPr>
            <w:rStyle w:val="Hyperlink"/>
          </w:rPr>
          <w:t xml:space="preserve">https://nvlpubs.nist.gov/nistpubs/SpecialPublications/NIST.SP.800-37r2.pdf</w:t>
        </w:r>
      </w:hyperlink>
      <w:r>
        <w:t xml:space="preserve"> </w:t>
      </w:r>
      <w:r>
        <w:t xml:space="preserve">(accessed Oct 20, 2026).</w:t>
      </w:r>
    </w:p>
  </w:footnote>
  <w:footnote w:id="414">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405">
        <w:r>
          <w:rPr>
            <w:rStyle w:val="Hyperlink"/>
          </w:rPr>
          <w:t xml:space="preserve">https://nvlpubs.nist.gov/nistpubs/SpecialPublications/NIST.SP.800-37r2.pdf</w:t>
        </w:r>
      </w:hyperlink>
      <w:r>
        <w:t xml:space="preserve"> </w:t>
      </w:r>
      <w:r>
        <w:t xml:space="preserve">(accessed Oct 20, 2026).</w:t>
      </w:r>
    </w:p>
  </w:footnote>
  <w:footnote w:id="415">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405">
        <w:r>
          <w:rPr>
            <w:rStyle w:val="Hyperlink"/>
          </w:rPr>
          <w:t xml:space="preserve">https://nvlpubs.nist.gov/nistpubs/SpecialPublications/NIST.SP.800-37r2.pdf</w:t>
        </w:r>
      </w:hyperlink>
      <w:r>
        <w:t xml:space="preserve"> </w:t>
      </w:r>
      <w:r>
        <w:t xml:space="preserve">(accessed Oct 20, 2026).</w:t>
      </w:r>
    </w:p>
  </w:footnote>
  <w:footnote w:id="416">
    <w:p>
      <w:pPr>
        <w:pStyle w:val="FootnoteText"/>
      </w:pPr>
      <w:r>
        <w:rPr>
          <w:rStyle w:val="FootnoteReference"/>
        </w:rPr>
        <w:footnoteRef/>
      </w:r>
      <w:r>
        <w:t xml:space="preserve"> </w:t>
      </w:r>
      <w:r>
        <w:t xml:space="preserve">Cybersecurity and Infrastructure Security Agency, BOD 25-01,</w:t>
      </w:r>
      <w:r>
        <w:t xml:space="preserve"> </w:t>
      </w:r>
      <w:r>
        <w:rPr>
          <w:i/>
          <w:iCs/>
        </w:rPr>
        <w:t xml:space="preserve">Implementing Secure Practices for Cloud Services</w:t>
      </w:r>
      <w:r>
        <w:t xml:space="preserve">, December 17, 2024,</w:t>
      </w:r>
      <w:r>
        <w:t xml:space="preserve"> </w:t>
      </w:r>
      <w:hyperlink r:id="rId417">
        <w:r>
          <w:rPr>
            <w:rStyle w:val="Hyperlink"/>
          </w:rPr>
          <w:t xml:space="preserve">https://www.cisa.gov/news-events/directives/bod-25-01-implementing-secure-practices-cloud-services</w:t>
        </w:r>
      </w:hyperlink>
      <w:r>
        <w:t xml:space="preserve"> </w:t>
      </w:r>
      <w:r>
        <w:t xml:space="preserve">(accessed Oct 20, 2026).</w:t>
      </w:r>
    </w:p>
  </w:footnote>
  <w:footnote w:id="418">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405">
        <w:r>
          <w:rPr>
            <w:rStyle w:val="Hyperlink"/>
          </w:rPr>
          <w:t xml:space="preserve">https://nvlpubs.nist.gov/nistpubs/SpecialPublications/NIST.SP.800-37r2.pdf</w:t>
        </w:r>
      </w:hyperlink>
      <w:r>
        <w:t xml:space="preserve"> </w:t>
      </w:r>
      <w:r>
        <w:t xml:space="preserve">(accessed Oct 20, 2026).</w:t>
      </w:r>
    </w:p>
  </w:footnote>
  <w:footnote w:id="419">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405">
        <w:r>
          <w:rPr>
            <w:rStyle w:val="Hyperlink"/>
          </w:rPr>
          <w:t xml:space="preserve">https://nvlpubs.nist.gov/nistpubs/SpecialPublications/NIST.SP.800-37r2.pdf</w:t>
        </w:r>
      </w:hyperlink>
      <w:r>
        <w:t xml:space="preserve"> </w:t>
      </w:r>
      <w:r>
        <w:t xml:space="preserve">(accessed Oct 20, 2026).</w:t>
      </w:r>
    </w:p>
  </w:footnote>
  <w:footnote w:id="420">
    <w:p>
      <w:pPr>
        <w:pStyle w:val="FootnoteText"/>
      </w:pPr>
      <w:r>
        <w:rPr>
          <w:rStyle w:val="FootnoteReference"/>
        </w:rPr>
        <w:footnoteRef/>
      </w:r>
      <w:r>
        <w:t xml:space="preserve"> </w:t>
      </w:r>
      <w:r>
        <w:t xml:space="preserve">Microsoft Learn,</w:t>
      </w:r>
      <w:r>
        <w:t xml:space="preserve"> </w:t>
      </w:r>
      <w:r>
        <w:t xml:space="preserve">“Prerequisites for Microsoft Entra Cloud Sync,”</w:t>
      </w:r>
      <w:r>
        <w:t xml:space="preserve"> </w:t>
      </w:r>
      <w:hyperlink r:id="rId421">
        <w:r>
          <w:rPr>
            <w:rStyle w:val="Hyperlink"/>
          </w:rPr>
          <w:t xml:space="preserve">https://learn.microsoft.com/entra/identity/hybrid/cloud-sync/how-to-prerequisites</w:t>
        </w:r>
      </w:hyperlink>
      <w:r>
        <w:t xml:space="preserve"> </w:t>
      </w:r>
      <w:r>
        <w:t xml:space="preserve">(accessed Oct 20, 2026).</w:t>
      </w:r>
    </w:p>
  </w:footnote>
  <w:footnote w:id="422">
    <w:p>
      <w:pPr>
        <w:pStyle w:val="FootnoteText"/>
      </w:pPr>
      <w:r>
        <w:rPr>
          <w:rStyle w:val="FootnoteReference"/>
        </w:rPr>
        <w:footnoteRef/>
      </w:r>
      <w:r>
        <w:t xml:space="preserve"> </w:t>
      </w:r>
      <w:r>
        <w:t xml:space="preserve">Microsoft Learn,</w:t>
      </w:r>
      <w:r>
        <w:t xml:space="preserve"> </w:t>
      </w:r>
      <w:r>
        <w:t xml:space="preserve">“Configure Temporary Access Pass to register passwordless authentication methods,”</w:t>
      </w:r>
      <w:r>
        <w:t xml:space="preserve"> </w:t>
      </w:r>
      <w:hyperlink r:id="rId423">
        <w:r>
          <w:rPr>
            <w:rStyle w:val="Hyperlink"/>
          </w:rPr>
          <w:t xml:space="preserve">https://learn.microsoft.com/entra/identity/authentication/howto-authentication-temporary-access-pass</w:t>
        </w:r>
      </w:hyperlink>
      <w:r>
        <w:t xml:space="preserve"> </w:t>
      </w:r>
      <w:r>
        <w:t xml:space="preserve">(accessed Oct 20, 2026).</w:t>
      </w:r>
    </w:p>
  </w:footnote>
  <w:footnote w:id="424">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405">
        <w:r>
          <w:rPr>
            <w:rStyle w:val="Hyperlink"/>
          </w:rPr>
          <w:t xml:space="preserve">https://nvlpubs.nist.gov/nistpubs/SpecialPublications/NIST.SP.800-37r2.pdf</w:t>
        </w:r>
      </w:hyperlink>
      <w:r>
        <w:t xml:space="preserve"> </w:t>
      </w:r>
      <w:r>
        <w:t xml:space="preserve">(accessed Oct 20, 2026).</w:t>
      </w:r>
    </w:p>
  </w:footnote>
  <w:footnote w:id="427">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428">
        <w:r>
          <w:rPr>
            <w:rStyle w:val="Hyperlink"/>
          </w:rPr>
          <w:t xml:space="preserve">https://learn.microsoft.com/entra/identity/role-based-access-control/permissions-reference</w:t>
        </w:r>
      </w:hyperlink>
      <w:r>
        <w:t xml:space="preserve"> </w:t>
      </w:r>
      <w:r>
        <w:t xml:space="preserve">(accessed Oct 20, 2026).</w:t>
      </w:r>
    </w:p>
  </w:footnote>
  <w:footnote w:id="429">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428">
        <w:r>
          <w:rPr>
            <w:rStyle w:val="Hyperlink"/>
          </w:rPr>
          <w:t xml:space="preserve">https://learn.microsoft.com/entra/identity/role-based-access-control/permissions-reference</w:t>
        </w:r>
      </w:hyperlink>
      <w:r>
        <w:t xml:space="preserve"> </w:t>
      </w:r>
      <w:r>
        <w:t xml:space="preserve">(accessed Oct 20, 2026).</w:t>
      </w:r>
    </w:p>
  </w:footnote>
  <w:footnote w:id="430">
    <w:p>
      <w:pPr>
        <w:pStyle w:val="FootnoteText"/>
      </w:pPr>
      <w:r>
        <w:rPr>
          <w:rStyle w:val="FootnoteReference"/>
        </w:rPr>
        <w:footnoteRef/>
      </w:r>
      <w:r>
        <w:t xml:space="preserve"> </w:t>
      </w:r>
      <w:r>
        <w:t xml:space="preserve">Microsoft Learn,</w:t>
      </w:r>
      <w:r>
        <w:t xml:space="preserve"> </w:t>
      </w:r>
      <w:r>
        <w:t xml:space="preserve">“Configure Temporary Access Pass to register passwordless authentication methods,”</w:t>
      </w:r>
      <w:r>
        <w:t xml:space="preserve"> </w:t>
      </w:r>
      <w:hyperlink r:id="rId423">
        <w:r>
          <w:rPr>
            <w:rStyle w:val="Hyperlink"/>
          </w:rPr>
          <w:t xml:space="preserve">https://learn.microsoft.com/entra/identity/authentication/howto-authentication-temporary-access-pass</w:t>
        </w:r>
      </w:hyperlink>
      <w:r>
        <w:t xml:space="preserve"> </w:t>
      </w:r>
      <w:r>
        <w:t xml:space="preserve">(accessed Oct 20, 2026).</w:t>
      </w:r>
    </w:p>
  </w:footnote>
  <w:footnote w:id="431">
    <w:p>
      <w:pPr>
        <w:pStyle w:val="FootnoteText"/>
      </w:pPr>
      <w:r>
        <w:rPr>
          <w:rStyle w:val="FootnoteReference"/>
        </w:rPr>
        <w:footnoteRef/>
      </w:r>
      <w:r>
        <w:t xml:space="preserve"> </w:t>
      </w:r>
      <w:r>
        <w:t xml:space="preserve">Microsoft Learn,</w:t>
      </w:r>
      <w:r>
        <w:t xml:space="preserve"> </w:t>
      </w:r>
      <w:r>
        <w:t xml:space="preserve">“Least privileged roles by task in Microsoft Entra ID,”</w:t>
      </w:r>
      <w:r>
        <w:t xml:space="preserve"> </w:t>
      </w:r>
      <w:hyperlink r:id="rId432">
        <w:r>
          <w:rPr>
            <w:rStyle w:val="Hyperlink"/>
          </w:rPr>
          <w:t xml:space="preserve">https://learn.microsoft.com/entra/identity/role-based-access-control/delegate-by-task</w:t>
        </w:r>
      </w:hyperlink>
      <w:r>
        <w:t xml:space="preserve"> </w:t>
      </w:r>
      <w:r>
        <w:t xml:space="preserve">(accessed Oct 20, 2026).</w:t>
      </w:r>
    </w:p>
  </w:footnote>
  <w:footnote w:id="433">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364">
        <w:r>
          <w:rPr>
            <w:rStyle w:val="Hyperlink"/>
          </w:rPr>
          <w:t xml:space="preserve">https://learn.microsoft.com/entra/identity/role-based-access-control/admin-units-restricted-management</w:t>
        </w:r>
      </w:hyperlink>
      <w:r>
        <w:t xml:space="preserve"> </w:t>
      </w:r>
      <w:r>
        <w:t xml:space="preserve">(accessed Oct 20, 2026).</w:t>
      </w:r>
    </w:p>
  </w:footnote>
  <w:footnote w:id="440">
    <w:p>
      <w:pPr>
        <w:pStyle w:val="FootnoteText"/>
      </w:pPr>
      <w:r>
        <w:rPr>
          <w:rStyle w:val="FootnoteReference"/>
        </w:rPr>
        <w:footnoteRef/>
      </w:r>
      <w:r>
        <w:t xml:space="preserve"> </w:t>
      </w:r>
      <w:r>
        <w:t xml:space="preserve">Microsoft Learn,</w:t>
      </w:r>
      <w:r>
        <w:t xml:space="preserve"> </w:t>
      </w:r>
      <w:r>
        <w:t xml:space="preserve">“Migrate from Microsoft Entra Connect to Cloud Sync: Decision Guide,”</w:t>
      </w:r>
      <w:r>
        <w:t xml:space="preserve"> </w:t>
      </w:r>
      <w:hyperlink r:id="rId305">
        <w:r>
          <w:rPr>
            <w:rStyle w:val="Hyperlink"/>
          </w:rPr>
          <w:t xml:space="preserve">https://learn.microsoft.com/entra/identity/hybrid/cloud-sync/connect-to-cloud-sync-decision-guide</w:t>
        </w:r>
      </w:hyperlink>
      <w:r>
        <w:t xml:space="preserve"> </w:t>
      </w:r>
      <w:r>
        <w:t xml:space="preserve">(accessed Oct 20, 2026).</w:t>
      </w:r>
    </w:p>
  </w:footnote>
  <w:footnote w:id="441">
    <w:p>
      <w:pPr>
        <w:pStyle w:val="FootnoteText"/>
      </w:pPr>
      <w:r>
        <w:rPr>
          <w:rStyle w:val="FootnoteReference"/>
        </w:rPr>
        <w:footnoteRef/>
      </w:r>
      <w:r>
        <w:t xml:space="preserve"> </w:t>
      </w:r>
      <w:r>
        <w:t xml:space="preserve">Microsoft Learn,</w:t>
      </w:r>
      <w:r>
        <w:t xml:space="preserve"> </w:t>
      </w:r>
      <w:r>
        <w:t xml:space="preserve">“Migrate from Microsoft Entra Connect to Cloud Sync: Decision Guide,”</w:t>
      </w:r>
      <w:r>
        <w:t xml:space="preserve"> </w:t>
      </w:r>
      <w:hyperlink r:id="rId305">
        <w:r>
          <w:rPr>
            <w:rStyle w:val="Hyperlink"/>
          </w:rPr>
          <w:t xml:space="preserve">https://learn.microsoft.com/entra/identity/hybrid/cloud-sync/connect-to-cloud-sync-decision-guide</w:t>
        </w:r>
      </w:hyperlink>
      <w:r>
        <w:t xml:space="preserve"> </w:t>
      </w:r>
      <w:r>
        <w:t xml:space="preserve">(accessed Oct 20, 2026).</w:t>
      </w:r>
    </w:p>
  </w:footnote>
  <w:footnote w:id="442">
    <w:p>
      <w:pPr>
        <w:pStyle w:val="FootnoteText"/>
      </w:pPr>
      <w:r>
        <w:rPr>
          <w:rStyle w:val="FootnoteReference"/>
        </w:rPr>
        <w:footnoteRef/>
      </w:r>
      <w:r>
        <w:t xml:space="preserve"> </w:t>
      </w:r>
      <w:r>
        <w:t xml:space="preserve">Microsoft Learn,</w:t>
      </w:r>
      <w:r>
        <w:t xml:space="preserve"> </w:t>
      </w:r>
      <w:r>
        <w:t xml:space="preserve">“Prerequisites for Microsoft Entra Cloud Sync,”</w:t>
      </w:r>
      <w:r>
        <w:t xml:space="preserve"> </w:t>
      </w:r>
      <w:hyperlink r:id="rId421">
        <w:r>
          <w:rPr>
            <w:rStyle w:val="Hyperlink"/>
          </w:rPr>
          <w:t xml:space="preserve">https://learn.microsoft.com/entra/identity/hybrid/cloud-sync/how-to-prerequisites</w:t>
        </w:r>
      </w:hyperlink>
      <w:r>
        <w:t xml:space="preserve"> </w:t>
      </w:r>
      <w:r>
        <w:t xml:space="preserve">(accessed Oct 20, 2026).</w:t>
      </w:r>
    </w:p>
  </w:footnote>
  <w:footnote w:id="443">
    <w:p>
      <w:pPr>
        <w:pStyle w:val="FootnoteText"/>
      </w:pPr>
      <w:r>
        <w:rPr>
          <w:rStyle w:val="FootnoteReference"/>
        </w:rPr>
        <w:footnoteRef/>
      </w:r>
      <w:r>
        <w:t xml:space="preserve"> </w:t>
      </w:r>
      <w:r>
        <w:t xml:space="preserve">Microsoft Learn,</w:t>
      </w:r>
      <w:r>
        <w:t xml:space="preserve"> </w:t>
      </w:r>
      <w:r>
        <w:t xml:space="preserve">“Microsoft Entra Connect Sync: Understand and customize synchronization,”</w:t>
      </w:r>
      <w:r>
        <w:t xml:space="preserve"> </w:t>
      </w:r>
      <w:hyperlink r:id="rId444">
        <w:r>
          <w:rPr>
            <w:rStyle w:val="Hyperlink"/>
          </w:rPr>
          <w:t xml:space="preserve">https://learn.microsoft.com/entra/identity/hybrid/connect/how-to-connect-sync-whatis</w:t>
        </w:r>
      </w:hyperlink>
      <w:r>
        <w:t xml:space="preserve"> </w:t>
      </w:r>
      <w:r>
        <w:t xml:space="preserve">(accessed Oct 20, 2026).</w:t>
      </w:r>
    </w:p>
  </w:footnote>
  <w:footnote w:id="445">
    <w:p>
      <w:pPr>
        <w:pStyle w:val="FootnoteText"/>
      </w:pPr>
      <w:r>
        <w:rPr>
          <w:rStyle w:val="FootnoteReference"/>
        </w:rPr>
        <w:footnoteRef/>
      </w:r>
      <w:r>
        <w:t xml:space="preserve"> </w:t>
      </w:r>
      <w:r>
        <w:t xml:space="preserve">Microsoft Learn,</w:t>
      </w:r>
      <w:r>
        <w:t xml:space="preserve"> </w:t>
      </w:r>
      <w:r>
        <w:t xml:space="preserve">“Prerequisites for Microsoft Entra Connect,”</w:t>
      </w:r>
      <w:r>
        <w:t xml:space="preserve"> </w:t>
      </w:r>
      <w:hyperlink r:id="rId446">
        <w:r>
          <w:rPr>
            <w:rStyle w:val="Hyperlink"/>
          </w:rPr>
          <w:t xml:space="preserve">https://learn.microsoft.com/entra/identity/hybrid/connect/how-to-connect-install-prerequisites</w:t>
        </w:r>
      </w:hyperlink>
      <w:r>
        <w:t xml:space="preserve"> </w:t>
      </w:r>
      <w:r>
        <w:t xml:space="preserve">(accessed Oct 20, 2026).</w:t>
      </w:r>
    </w:p>
  </w:footnote>
  <w:footnote w:id="447">
    <w:p>
      <w:pPr>
        <w:pStyle w:val="FootnoteText"/>
      </w:pPr>
      <w:r>
        <w:rPr>
          <w:rStyle w:val="FootnoteReference"/>
        </w:rPr>
        <w:footnoteRef/>
      </w:r>
      <w:r>
        <w:t xml:space="preserve"> </w:t>
      </w:r>
      <w:r>
        <w:t xml:space="preserve">Microsoft Learn,</w:t>
      </w:r>
      <w:r>
        <w:t xml:space="preserve"> </w:t>
      </w:r>
      <w:r>
        <w:t xml:space="preserve">“What is Microsoft Entra Connect?,”</w:t>
      </w:r>
      <w:r>
        <w:t xml:space="preserve"> </w:t>
      </w:r>
      <w:hyperlink r:id="rId448">
        <w:r>
          <w:rPr>
            <w:rStyle w:val="Hyperlink"/>
          </w:rPr>
          <w:t xml:space="preserve">https://learn.microsoft.com/entra/identity/hybrid/connect/whatis-azure-ad-connect</w:t>
        </w:r>
      </w:hyperlink>
      <w:r>
        <w:t xml:space="preserve"> </w:t>
      </w:r>
      <w:r>
        <w:t xml:space="preserve">(accessed Oct 20, 2026).</w:t>
      </w:r>
    </w:p>
  </w:footnote>
  <w:footnote w:id="449">
    <w:p>
      <w:pPr>
        <w:pStyle w:val="FootnoteText"/>
      </w:pPr>
      <w:r>
        <w:rPr>
          <w:rStyle w:val="FootnoteReference"/>
        </w:rPr>
        <w:footnoteRef/>
      </w:r>
      <w:r>
        <w:t xml:space="preserve"> </w:t>
      </w:r>
      <w:r>
        <w:t xml:space="preserve">Microsoft Learn,</w:t>
      </w:r>
      <w:r>
        <w:t xml:space="preserve"> </w:t>
      </w:r>
      <w:r>
        <w:t xml:space="preserve">“What is Microsoft Entra Connect?,”</w:t>
      </w:r>
      <w:r>
        <w:t xml:space="preserve"> </w:t>
      </w:r>
      <w:hyperlink r:id="rId448">
        <w:r>
          <w:rPr>
            <w:rStyle w:val="Hyperlink"/>
          </w:rPr>
          <w:t xml:space="preserve">https://learn.microsoft.com/entra/identity/hybrid/connect/whatis-azure-ad-connect</w:t>
        </w:r>
      </w:hyperlink>
      <w:r>
        <w:t xml:space="preserve"> </w:t>
      </w:r>
      <w:r>
        <w:t xml:space="preserve">(accessed Oct 20, 2026).</w:t>
      </w:r>
    </w:p>
  </w:footnote>
  <w:footnote w:id="450">
    <w:p>
      <w:pPr>
        <w:pStyle w:val="FootnoteText"/>
      </w:pPr>
      <w:r>
        <w:rPr>
          <w:rStyle w:val="FootnoteReference"/>
        </w:rPr>
        <w:footnoteRef/>
      </w:r>
      <w:r>
        <w:t xml:space="preserve"> </w:t>
      </w:r>
      <w:r>
        <w:t xml:space="preserve">Microsoft Learn,</w:t>
      </w:r>
      <w:r>
        <w:t xml:space="preserve"> </w:t>
      </w:r>
      <w:r>
        <w:t xml:space="preserve">“Microsoft Entra Connect Health frequently asked questions,”</w:t>
      </w:r>
      <w:r>
        <w:t xml:space="preserve"> </w:t>
      </w:r>
      <w:hyperlink r:id="rId451">
        <w:r>
          <w:rPr>
            <w:rStyle w:val="Hyperlink"/>
          </w:rPr>
          <w:t xml:space="preserve">https://learn.microsoft.com/entra/identity/hybrid/connect/reference-connect-health-faq</w:t>
        </w:r>
      </w:hyperlink>
      <w:r>
        <w:t xml:space="preserve"> </w:t>
      </w:r>
      <w:r>
        <w:t xml:space="preserve">(accessed Oct 20, 2026).</w:t>
      </w:r>
    </w:p>
  </w:footnote>
  <w:footnote w:id="452">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453">
        <w:r>
          <w:rPr>
            <w:rStyle w:val="Hyperlink"/>
          </w:rPr>
          <w:t xml:space="preserve">https://learn.microsoft.com/entra/id-governance/licensing-fundamentals</w:t>
        </w:r>
      </w:hyperlink>
      <w:r>
        <w:t xml:space="preserve"> </w:t>
      </w:r>
      <w:r>
        <w:t xml:space="preserve">(accessed Oct 20, 2026).</w:t>
      </w:r>
    </w:p>
  </w:footnote>
  <w:footnote w:id="454">
    <w:p>
      <w:pPr>
        <w:pStyle w:val="FootnoteText"/>
      </w:pPr>
      <w:r>
        <w:rPr>
          <w:rStyle w:val="FootnoteReference"/>
        </w:rPr>
        <w:footnoteRef/>
      </w:r>
      <w:r>
        <w:t xml:space="preserve"> </w:t>
      </w:r>
      <w:r>
        <w:t xml:space="preserve">Microsoft Learn,</w:t>
      </w:r>
      <w:r>
        <w:t xml:space="preserve"> </w:t>
      </w:r>
      <w:r>
        <w:t xml:space="preserve">“Microsoft Entra feature availability,”</w:t>
      </w:r>
      <w:r>
        <w:t xml:space="preserve"> </w:t>
      </w:r>
      <w:hyperlink r:id="rId455">
        <w:r>
          <w:rPr>
            <w:rStyle w:val="Hyperlink"/>
          </w:rPr>
          <w:t xml:space="preserve">https://learn.microsoft.com/entra/identity/authentication/feature-availability</w:t>
        </w:r>
      </w:hyperlink>
      <w:r>
        <w:t xml:space="preserve"> </w:t>
      </w:r>
      <w:r>
        <w:t xml:space="preserve">(accessed Oct 20, 2026).</w:t>
      </w:r>
    </w:p>
  </w:footnote>
  <w:footnote w:id="456">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453">
        <w:r>
          <w:rPr>
            <w:rStyle w:val="Hyperlink"/>
          </w:rPr>
          <w:t xml:space="preserve">https://learn.microsoft.com/entra/id-governance/licensing-fundamentals</w:t>
        </w:r>
      </w:hyperlink>
      <w:r>
        <w:t xml:space="preserve"> </w:t>
      </w:r>
      <w:r>
        <w:t xml:space="preserve">(accessed Oct 20, 2026).</w:t>
      </w:r>
    </w:p>
  </w:footnote>
  <w:footnote w:id="457">
    <w:p>
      <w:pPr>
        <w:pStyle w:val="FootnoteText"/>
      </w:pPr>
      <w:r>
        <w:rPr>
          <w:rStyle w:val="FootnoteReference"/>
        </w:rPr>
        <w:footnoteRef/>
      </w:r>
      <w:r>
        <w:t xml:space="preserve"> </w:t>
      </w:r>
      <w:r>
        <w:t xml:space="preserve">Microsoft Learn,</w:t>
      </w:r>
      <w:r>
        <w:t xml:space="preserve"> </w:t>
      </w:r>
      <w:r>
        <w:t xml:space="preserve">“What is Microsoft Entra ID Protection?,”</w:t>
      </w:r>
      <w:r>
        <w:t xml:space="preserve"> </w:t>
      </w:r>
      <w:hyperlink r:id="rId458">
        <w:r>
          <w:rPr>
            <w:rStyle w:val="Hyperlink"/>
          </w:rPr>
          <w:t xml:space="preserve">https://learn.microsoft.com/entra/id-protection/overview-identity-protection</w:t>
        </w:r>
      </w:hyperlink>
      <w:r>
        <w:t xml:space="preserve"> </w:t>
      </w:r>
      <w:r>
        <w:t xml:space="preserve">(accessed Oct 20, 2026).</w:t>
      </w:r>
    </w:p>
  </w:footnote>
  <w:footnote w:id="459">
    <w:p>
      <w:pPr>
        <w:pStyle w:val="FootnoteText"/>
      </w:pPr>
      <w:r>
        <w:rPr>
          <w:rStyle w:val="FootnoteReference"/>
        </w:rPr>
        <w:footnoteRef/>
      </w:r>
      <w:r>
        <w:t xml:space="preserve"> </w:t>
      </w:r>
      <w:r>
        <w:t xml:space="preserve">Microsoft Learn,</w:t>
      </w:r>
      <w:r>
        <w:t xml:space="preserve"> </w:t>
      </w:r>
      <w:r>
        <w:t xml:space="preserve">“What is Microsoft Entra ID Protection?,”</w:t>
      </w:r>
      <w:r>
        <w:t xml:space="preserve"> </w:t>
      </w:r>
      <w:hyperlink r:id="rId458">
        <w:r>
          <w:rPr>
            <w:rStyle w:val="Hyperlink"/>
          </w:rPr>
          <w:t xml:space="preserve">https://learn.microsoft.com/entra/id-protection/overview-identity-protection</w:t>
        </w:r>
      </w:hyperlink>
      <w:r>
        <w:t xml:space="preserve"> </w:t>
      </w:r>
      <w:r>
        <w:t xml:space="preserve">(accessed Oct 20, 2026).</w:t>
      </w:r>
    </w:p>
  </w:footnote>
  <w:footnote w:id="460">
    <w:p>
      <w:pPr>
        <w:pStyle w:val="FootnoteText"/>
      </w:pPr>
      <w:r>
        <w:rPr>
          <w:rStyle w:val="FootnoteReference"/>
        </w:rPr>
        <w:footnoteRef/>
      </w:r>
      <w:r>
        <w:t xml:space="preserve"> </w:t>
      </w:r>
      <w:r>
        <w:t xml:space="preserve">Microsoft Learn,</w:t>
      </w:r>
      <w:r>
        <w:t xml:space="preserve"> </w:t>
      </w:r>
      <w:r>
        <w:t xml:space="preserve">“Microsoft Defender for Identity’s security posture assessments,”</w:t>
      </w:r>
      <w:r>
        <w:t xml:space="preserve"> </w:t>
      </w:r>
      <w:hyperlink r:id="rId461">
        <w:r>
          <w:rPr>
            <w:rStyle w:val="Hyperlink"/>
          </w:rPr>
          <w:t xml:space="preserve">https://learn.microsoft.com/defender-for-identity/security-assessment</w:t>
        </w:r>
      </w:hyperlink>
      <w:r>
        <w:t xml:space="preserve"> </w:t>
      </w:r>
      <w:r>
        <w:t xml:space="preserve">(accessed Oct 20, 2026).</w:t>
      </w:r>
    </w:p>
  </w:footnote>
  <w:footnote w:id="462">
    <w:p>
      <w:pPr>
        <w:pStyle w:val="FootnoteText"/>
      </w:pPr>
      <w:r>
        <w:rPr>
          <w:rStyle w:val="FootnoteReference"/>
        </w:rPr>
        <w:footnoteRef/>
      </w:r>
      <w:r>
        <w:t xml:space="preserve"> </w:t>
      </w:r>
      <w:r>
        <w:t xml:space="preserve">Microsoft Learn,</w:t>
      </w:r>
      <w:r>
        <w:t xml:space="preserve"> </w:t>
      </w:r>
      <w:r>
        <w:t xml:space="preserve">“Microsoft Defender for Identity in the Microsoft Defender portal,”</w:t>
      </w:r>
      <w:r>
        <w:t xml:space="preserve"> </w:t>
      </w:r>
      <w:hyperlink r:id="rId463">
        <w:r>
          <w:rPr>
            <w:rStyle w:val="Hyperlink"/>
          </w:rPr>
          <w:t xml:space="preserve">https://learn.microsoft.com/defender-for-identity/microsoft-365-security-center-mdi</w:t>
        </w:r>
      </w:hyperlink>
      <w:r>
        <w:t xml:space="preserve"> </w:t>
      </w:r>
      <w:r>
        <w:t xml:space="preserve">(accessed Oct 20, 2026).</w:t>
      </w:r>
    </w:p>
  </w:footnote>
  <w:footnote w:id="464">
    <w:p>
      <w:pPr>
        <w:pStyle w:val="FootnoteText"/>
      </w:pPr>
      <w:r>
        <w:rPr>
          <w:rStyle w:val="FootnoteReference"/>
        </w:rPr>
        <w:footnoteRef/>
      </w:r>
      <w:r>
        <w:t xml:space="preserve"> </w:t>
      </w:r>
      <w:r>
        <w:t xml:space="preserve">Microsoft Learn,</w:t>
      </w:r>
      <w:r>
        <w:t xml:space="preserve"> </w:t>
      </w:r>
      <w:r>
        <w:t xml:space="preserve">“Microsoft Defender for Identity’s security posture assessments,”</w:t>
      </w:r>
      <w:r>
        <w:t xml:space="preserve"> </w:t>
      </w:r>
      <w:hyperlink r:id="rId461">
        <w:r>
          <w:rPr>
            <w:rStyle w:val="Hyperlink"/>
          </w:rPr>
          <w:t xml:space="preserve">https://learn.microsoft.com/defender-for-identity/security-assessment</w:t>
        </w:r>
      </w:hyperlink>
      <w:r>
        <w:t xml:space="preserve"> </w:t>
      </w:r>
      <w:r>
        <w:t xml:space="preserve">(accessed Oct 20, 2026).</w:t>
      </w:r>
    </w:p>
  </w:footnote>
  <w:footnote w:id="465">
    <w:p>
      <w:pPr>
        <w:pStyle w:val="FootnoteText"/>
      </w:pPr>
      <w:r>
        <w:rPr>
          <w:rStyle w:val="FootnoteReference"/>
        </w:rPr>
        <w:footnoteRef/>
      </w:r>
      <w:r>
        <w:t xml:space="preserve"> </w:t>
      </w:r>
      <w:r>
        <w:t xml:space="preserve">Microsoft Learn,</w:t>
      </w:r>
      <w:r>
        <w:t xml:space="preserve"> </w:t>
      </w:r>
      <w:r>
        <w:t xml:space="preserve">“Microsoft Defender for Identity in the Microsoft Defender portal,”</w:t>
      </w:r>
      <w:r>
        <w:t xml:space="preserve"> </w:t>
      </w:r>
      <w:hyperlink r:id="rId463">
        <w:r>
          <w:rPr>
            <w:rStyle w:val="Hyperlink"/>
          </w:rPr>
          <w:t xml:space="preserve">https://learn.microsoft.com/defender-for-identity/microsoft-365-security-center-mdi</w:t>
        </w:r>
      </w:hyperlink>
      <w:r>
        <w:t xml:space="preserve"> </w:t>
      </w:r>
      <w:r>
        <w:t xml:space="preserve">(accessed Oct 20, 2026).</w:t>
      </w:r>
    </w:p>
  </w:footnote>
  <w:footnote w:id="466">
    <w:p>
      <w:pPr>
        <w:pStyle w:val="FootnoteText"/>
      </w:pPr>
      <w:r>
        <w:rPr>
          <w:rStyle w:val="FootnoteReference"/>
        </w:rPr>
        <w:footnoteRef/>
      </w:r>
      <w:r>
        <w:t xml:space="preserve"> </w:t>
      </w:r>
      <w:r>
        <w:t xml:space="preserve">Microsoft Learn,</w:t>
      </w:r>
      <w:r>
        <w:t xml:space="preserve"> </w:t>
      </w:r>
      <w:r>
        <w:t xml:space="preserve">“Microsoft Defender for Identity for US Government offerings,”</w:t>
      </w:r>
      <w:r>
        <w:t xml:space="preserve"> </w:t>
      </w:r>
      <w:hyperlink r:id="rId467">
        <w:r>
          <w:rPr>
            <w:rStyle w:val="Hyperlink"/>
          </w:rPr>
          <w:t xml:space="preserve">https://learn.microsoft.com/defender-for-identity/us-govt-gcc-high</w:t>
        </w:r>
      </w:hyperlink>
      <w:r>
        <w:t xml:space="preserve">; and</w:t>
      </w:r>
      <w:r>
        <w:t xml:space="preserve"> </w:t>
      </w:r>
      <w:r>
        <w:t xml:space="preserve">“Microsoft Defender for Identity sensor v2.x prerequisites,”</w:t>
      </w:r>
      <w:r>
        <w:t xml:space="preserve"> </w:t>
      </w:r>
      <w:hyperlink r:id="rId468">
        <w:r>
          <w:rPr>
            <w:rStyle w:val="Hyperlink"/>
          </w:rPr>
          <w:t xml:space="preserve">https://learn.microsoft.com/defender-for-identity/deploy/prerequisites-sensor-version-2</w:t>
        </w:r>
      </w:hyperlink>
      <w:r>
        <w:t xml:space="preserve"> </w:t>
      </w:r>
      <w:r>
        <w:t xml:space="preserve">(both accessed Oct 20, 2026).</w:t>
      </w:r>
    </w:p>
  </w:footnote>
  <w:footnote w:id="469">
    <w:p>
      <w:pPr>
        <w:pStyle w:val="FootnoteText"/>
      </w:pPr>
      <w:r>
        <w:rPr>
          <w:rStyle w:val="FootnoteReference"/>
        </w:rPr>
        <w:footnoteRef/>
      </w:r>
      <w:r>
        <w:t xml:space="preserve"> </w:t>
      </w:r>
      <w:r>
        <w:t xml:space="preserve">Microsoft Learn,</w:t>
      </w:r>
      <w:r>
        <w:t xml:space="preserve"> </w:t>
      </w:r>
      <w:r>
        <w:t xml:space="preserve">“Overview of Microsoft Graph,”</w:t>
      </w:r>
      <w:r>
        <w:t xml:space="preserve"> </w:t>
      </w:r>
      <w:hyperlink r:id="rId470">
        <w:r>
          <w:rPr>
            <w:rStyle w:val="Hyperlink"/>
          </w:rPr>
          <w:t xml:space="preserve">https://learn.microsoft.com/graph/overview</w:t>
        </w:r>
      </w:hyperlink>
      <w:r>
        <w:t xml:space="preserve"> </w:t>
      </w:r>
      <w:r>
        <w:t xml:space="preserve">(accessed Oct 20, 2026).</w:t>
      </w:r>
    </w:p>
  </w:footnote>
  <w:footnote w:id="471">
    <w:p>
      <w:pPr>
        <w:pStyle w:val="FootnoteText"/>
      </w:pPr>
      <w:r>
        <w:rPr>
          <w:rStyle w:val="FootnoteReference"/>
        </w:rPr>
        <w:footnoteRef/>
      </w:r>
      <w:r>
        <w:t xml:space="preserve"> </w:t>
      </w:r>
      <w:r>
        <w:t xml:space="preserve">Microsoft Learn,</w:t>
      </w:r>
      <w:r>
        <w:t xml:space="preserve"> </w:t>
      </w:r>
      <w:r>
        <w:t xml:space="preserve">“Microsoft Intune licensing,”</w:t>
      </w:r>
      <w:r>
        <w:t xml:space="preserve"> </w:t>
      </w:r>
      <w:hyperlink r:id="rId472">
        <w:r>
          <w:rPr>
            <w:rStyle w:val="Hyperlink"/>
          </w:rPr>
          <w:t xml:space="preserve">https://learn.microsoft.com/intune/fundamentals/licensing</w:t>
        </w:r>
      </w:hyperlink>
      <w:r>
        <w:t xml:space="preserve"> </w:t>
      </w:r>
      <w:r>
        <w:t xml:space="preserve">(accessed Oct 20, 2026).</w:t>
      </w:r>
    </w:p>
  </w:footnote>
  <w:footnote w:id="473">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317">
        <w:r>
          <w:rPr>
            <w:rStyle w:val="Hyperlink"/>
          </w:rPr>
          <w:t xml:space="preserve">https://learn.microsoft.com/intune/device-configuration/import-group-policy-analytics</w:t>
        </w:r>
      </w:hyperlink>
      <w:r>
        <w:t xml:space="preserve"> </w:t>
      </w:r>
      <w:r>
        <w:t xml:space="preserve">(accessed Oct 20, 2026).</w:t>
      </w:r>
    </w:p>
  </w:footnote>
  <w:footnote w:id="474">
    <w:p>
      <w:pPr>
        <w:pStyle w:val="FootnoteText"/>
      </w:pPr>
      <w:r>
        <w:rPr>
          <w:rStyle w:val="FootnoteReference"/>
        </w:rPr>
        <w:footnoteRef/>
      </w:r>
      <w:r>
        <w:t xml:space="preserve"> </w:t>
      </w:r>
      <w:r>
        <w:t xml:space="preserve">Microsoft Learn,</w:t>
      </w:r>
      <w:r>
        <w:t xml:space="preserve"> </w:t>
      </w:r>
      <w:r>
        <w:t xml:space="preserve">“Create a Settings Catalog policy using your imported GPOs in Microsoft Intune,”</w:t>
      </w:r>
      <w:r>
        <w:t xml:space="preserve"> </w:t>
      </w:r>
      <w:hyperlink r:id="rId475">
        <w:r>
          <w:rPr>
            <w:rStyle w:val="Hyperlink"/>
          </w:rPr>
          <w:t xml:space="preserve">https://learn.microsoft.com/intune/device-configuration/migrate-group-policy</w:t>
        </w:r>
      </w:hyperlink>
      <w:r>
        <w:t xml:space="preserve"> </w:t>
      </w:r>
      <w:r>
        <w:t xml:space="preserve">(accessed Oct 20, 2026).</w:t>
      </w:r>
    </w:p>
  </w:footnote>
  <w:footnote w:id="476">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317">
        <w:r>
          <w:rPr>
            <w:rStyle w:val="Hyperlink"/>
          </w:rPr>
          <w:t xml:space="preserve">https://learn.microsoft.com/intune/device-configuration/import-group-policy-analytics</w:t>
        </w:r>
      </w:hyperlink>
      <w:r>
        <w:t xml:space="preserve"> </w:t>
      </w:r>
      <w:r>
        <w:t xml:space="preserve">(accessed Oct 20, 2026).</w:t>
      </w:r>
    </w:p>
  </w:footnote>
  <w:footnote w:id="477">
    <w:p>
      <w:pPr>
        <w:pStyle w:val="FootnoteText"/>
      </w:pPr>
      <w:r>
        <w:rPr>
          <w:rStyle w:val="FootnoteReference"/>
        </w:rPr>
        <w:footnoteRef/>
      </w:r>
      <w:r>
        <w:t xml:space="preserve"> </w:t>
      </w:r>
      <w:r>
        <w:t xml:space="preserve">Microsoft Learn,</w:t>
      </w:r>
      <w:r>
        <w:t xml:space="preserve"> </w:t>
      </w:r>
      <w:r>
        <w:t xml:space="preserve">“Microsoft Intune licensing,”</w:t>
      </w:r>
      <w:r>
        <w:t xml:space="preserve"> </w:t>
      </w:r>
      <w:hyperlink r:id="rId472">
        <w:r>
          <w:rPr>
            <w:rStyle w:val="Hyperlink"/>
          </w:rPr>
          <w:t xml:space="preserve">https://learn.microsoft.com/intune/fundamentals/licensing</w:t>
        </w:r>
      </w:hyperlink>
      <w:r>
        <w:t xml:space="preserve"> </w:t>
      </w:r>
      <w:r>
        <w:t xml:space="preserve">(accessed Oct 20, 2026).</w:t>
      </w:r>
    </w:p>
  </w:footnote>
  <w:footnote w:id="478">
    <w:p>
      <w:pPr>
        <w:pStyle w:val="FootnoteText"/>
      </w:pPr>
      <w:r>
        <w:rPr>
          <w:rStyle w:val="FootnoteReference"/>
        </w:rPr>
        <w:footnoteRef/>
      </w:r>
      <w:r>
        <w:t xml:space="preserve"> </w:t>
      </w:r>
      <w:r>
        <w:t xml:space="preserve">Microsoft Learn,</w:t>
      </w:r>
      <w:r>
        <w:t xml:space="preserve"> </w:t>
      </w:r>
      <w:r>
        <w:t xml:space="preserve">“Microsoft Security Compliance Toolkit - How to use,”</w:t>
      </w:r>
      <w:r>
        <w:t xml:space="preserve"> </w:t>
      </w:r>
      <w:hyperlink r:id="rId479">
        <w:r>
          <w:rPr>
            <w:rStyle w:val="Hyperlink"/>
          </w:rPr>
          <w:t xml:space="preserve">https://learn.microsoft.com/windows/security/operating-system-security/device-management/windows-security-configuration-framework/security-compliance-toolkit-10</w:t>
        </w:r>
      </w:hyperlink>
      <w:r>
        <w:t xml:space="preserve"> </w:t>
      </w:r>
      <w:r>
        <w:t xml:space="preserve">(accessed Oct 20, 2026).</w:t>
      </w:r>
    </w:p>
  </w:footnote>
  <w:footnote w:id="480">
    <w:p>
      <w:pPr>
        <w:pStyle w:val="FootnoteText"/>
      </w:pPr>
      <w:r>
        <w:rPr>
          <w:rStyle w:val="FootnoteReference"/>
        </w:rPr>
        <w:footnoteRef/>
      </w:r>
      <w:r>
        <w:t xml:space="preserve"> </w:t>
      </w:r>
      <w:r>
        <w:t xml:space="preserve">Microsoft Learn,</w:t>
      </w:r>
      <w:r>
        <w:t xml:space="preserve"> </w:t>
      </w:r>
      <w:r>
        <w:t xml:space="preserve">“Microsoft Security Compliance Toolkit - How to use,”</w:t>
      </w:r>
      <w:r>
        <w:t xml:space="preserve"> </w:t>
      </w:r>
      <w:hyperlink r:id="rId479">
        <w:r>
          <w:rPr>
            <w:rStyle w:val="Hyperlink"/>
          </w:rPr>
          <w:t xml:space="preserve">https://learn.microsoft.com/windows/security/operating-system-security/device-management/windows-security-configuration-framework/security-compliance-toolkit-10</w:t>
        </w:r>
      </w:hyperlink>
      <w:r>
        <w:t xml:space="preserve"> </w:t>
      </w:r>
      <w:r>
        <w:t xml:space="preserve">(accessed Oct 20, 2026).</w:t>
      </w:r>
    </w:p>
  </w:footnote>
  <w:footnote w:id="481">
    <w:p>
      <w:pPr>
        <w:pStyle w:val="FootnoteText"/>
      </w:pPr>
      <w:r>
        <w:rPr>
          <w:rStyle w:val="FootnoteReference"/>
        </w:rPr>
        <w:footnoteRef/>
      </w:r>
      <w:r>
        <w:t xml:space="preserve"> </w:t>
      </w:r>
      <w:r>
        <w:t xml:space="preserve">Microsoft Learn,</w:t>
      </w:r>
      <w:r>
        <w:t xml:space="preserve"> </w:t>
      </w:r>
      <w:r>
        <w:t xml:space="preserve">“Modernize server management from Configuration Manager to Azure Arc,”</w:t>
      </w:r>
      <w:r>
        <w:t xml:space="preserve"> </w:t>
      </w:r>
      <w:hyperlink r:id="rId482">
        <w:r>
          <w:rPr>
            <w:rStyle w:val="Hyperlink"/>
          </w:rPr>
          <w:t xml:space="preserve">https://learn.microsoft.com/azure/azure-arc/servers/modernize-server-management</w:t>
        </w:r>
      </w:hyperlink>
      <w:r>
        <w:t xml:space="preserve">; and</w:t>
      </w:r>
      <w:r>
        <w:t xml:space="preserve"> </w:t>
      </w:r>
      <w:r>
        <w:t xml:space="preserve">“Windows Server Management enabled by Azure Arc,”</w:t>
      </w:r>
      <w:r>
        <w:t xml:space="preserve"> </w:t>
      </w:r>
      <w:hyperlink r:id="rId483">
        <w:r>
          <w:rPr>
            <w:rStyle w:val="Hyperlink"/>
          </w:rPr>
          <w:t xml:space="preserve">https://learn.microsoft.com/azure/azure-arc/servers/windows-server-management-overview</w:t>
        </w:r>
      </w:hyperlink>
      <w:r>
        <w:t xml:space="preserve"> </w:t>
      </w:r>
      <w:r>
        <w:t xml:space="preserve">(both accessed Oct 20, 2026).</w:t>
      </w:r>
    </w:p>
  </w:footnote>
  <w:footnote w:id="484">
    <w:p>
      <w:pPr>
        <w:pStyle w:val="FootnoteText"/>
      </w:pPr>
      <w:r>
        <w:rPr>
          <w:rStyle w:val="FootnoteReference"/>
        </w:rPr>
        <w:footnoteRef/>
      </w:r>
      <w:r>
        <w:t xml:space="preserve"> </w:t>
      </w:r>
      <w:r>
        <w:t xml:space="preserve">Microsoft Learn,</w:t>
      </w:r>
      <w:r>
        <w:t xml:space="preserve"> </w:t>
      </w:r>
      <w:r>
        <w:t xml:space="preserve">“Modernize server management from Configuration Manager to Azure Arc,”</w:t>
      </w:r>
      <w:r>
        <w:t xml:space="preserve"> </w:t>
      </w:r>
      <w:hyperlink r:id="rId482">
        <w:r>
          <w:rPr>
            <w:rStyle w:val="Hyperlink"/>
          </w:rPr>
          <w:t xml:space="preserve">https://learn.microsoft.com/azure/azure-arc/servers/modernize-server-management</w:t>
        </w:r>
      </w:hyperlink>
      <w:r>
        <w:t xml:space="preserve">; and</w:t>
      </w:r>
      <w:r>
        <w:t xml:space="preserve"> </w:t>
      </w:r>
      <w:r>
        <w:t xml:space="preserve">“Windows Server Management enabled by Azure Arc,”</w:t>
      </w:r>
      <w:r>
        <w:t xml:space="preserve"> </w:t>
      </w:r>
      <w:hyperlink r:id="rId483">
        <w:r>
          <w:rPr>
            <w:rStyle w:val="Hyperlink"/>
          </w:rPr>
          <w:t xml:space="preserve">https://learn.microsoft.com/azure/azure-arc/servers/windows-server-management-overview</w:t>
        </w:r>
      </w:hyperlink>
      <w:r>
        <w:t xml:space="preserve"> </w:t>
      </w:r>
      <w:r>
        <w:t xml:space="preserve">(both accessed Oct 20, 2026).</w:t>
      </w:r>
    </w:p>
  </w:footnote>
  <w:footnote w:id="485">
    <w:p>
      <w:pPr>
        <w:pStyle w:val="FootnoteText"/>
      </w:pPr>
      <w:r>
        <w:rPr>
          <w:rStyle w:val="FootnoteReference"/>
        </w:rPr>
        <w:footnoteRef/>
      </w:r>
      <w:r>
        <w:t xml:space="preserve"> </w:t>
      </w:r>
      <w:r>
        <w:t xml:space="preserve">Microsoft Learn,</w:t>
      </w:r>
      <w:r>
        <w:t xml:space="preserve"> </w:t>
      </w:r>
      <w:r>
        <w:t xml:space="preserve">“Learn about auditing solutions in Microsoft Purview,”</w:t>
      </w:r>
      <w:r>
        <w:t xml:space="preserve"> </w:t>
      </w:r>
      <w:hyperlink r:id="rId486">
        <w:r>
          <w:rPr>
            <w:rStyle w:val="Hyperlink"/>
          </w:rPr>
          <w:t xml:space="preserve">https://learn.microsoft.com/purview/audit-solutions-overview</w:t>
        </w:r>
      </w:hyperlink>
      <w:r>
        <w:t xml:space="preserve"> </w:t>
      </w:r>
      <w:r>
        <w:t xml:space="preserve">(accessed Oct 20, 2026).</w:t>
      </w:r>
    </w:p>
  </w:footnote>
  <w:footnote w:id="487">
    <w:p>
      <w:pPr>
        <w:pStyle w:val="FootnoteText"/>
      </w:pPr>
      <w:r>
        <w:rPr>
          <w:rStyle w:val="FootnoteReference"/>
        </w:rPr>
        <w:footnoteRef/>
      </w:r>
      <w:r>
        <w:t xml:space="preserve"> </w:t>
      </w:r>
      <w:r>
        <w:t xml:space="preserve">Microsoft Learn,</w:t>
      </w:r>
      <w:r>
        <w:t xml:space="preserve"> </w:t>
      </w:r>
      <w:r>
        <w:t xml:space="preserve">“Learn about auditing solutions in Microsoft Purview,”</w:t>
      </w:r>
      <w:r>
        <w:t xml:space="preserve"> </w:t>
      </w:r>
      <w:hyperlink r:id="rId486">
        <w:r>
          <w:rPr>
            <w:rStyle w:val="Hyperlink"/>
          </w:rPr>
          <w:t xml:space="preserve">https://learn.microsoft.com/purview/audit-solutions-overview</w:t>
        </w:r>
      </w:hyperlink>
      <w:r>
        <w:t xml:space="preserve"> </w:t>
      </w:r>
      <w:r>
        <w:t xml:space="preserve">(accessed Oct 20, 2026).</w:t>
      </w:r>
    </w:p>
  </w:footnote>
  <w:footnote w:id="488">
    <w:p>
      <w:pPr>
        <w:pStyle w:val="FootnoteText"/>
      </w:pPr>
      <w:r>
        <w:rPr>
          <w:rStyle w:val="FootnoteReference"/>
        </w:rPr>
        <w:footnoteRef/>
      </w:r>
      <w:r>
        <w:t xml:space="preserve"> </w:t>
      </w:r>
      <w:r>
        <w:t xml:space="preserve">Microsoft Learn,</w:t>
      </w:r>
      <w:r>
        <w:t xml:space="preserve"> </w:t>
      </w:r>
      <w:r>
        <w:t xml:space="preserve">“What is Microsoft Sentinel security information and event management (SIEM)?,”</w:t>
      </w:r>
      <w:r>
        <w:t xml:space="preserve"> </w:t>
      </w:r>
      <w:hyperlink r:id="rId489">
        <w:r>
          <w:rPr>
            <w:rStyle w:val="Hyperlink"/>
          </w:rPr>
          <w:t xml:space="preserve">https://learn.microsoft.com/azure/sentinel/overview#microsoft-sentinel-in-the-azure-portal-retirement-timeline</w:t>
        </w:r>
      </w:hyperlink>
      <w:r>
        <w:t xml:space="preserve"> </w:t>
      </w:r>
      <w:r>
        <w:t xml:space="preserve">(accessed Oct 20, 2026).</w:t>
      </w:r>
    </w:p>
  </w:footnote>
  <w:footnote w:id="490">
    <w:p>
      <w:pPr>
        <w:pStyle w:val="FootnoteText"/>
      </w:pPr>
      <w:r>
        <w:rPr>
          <w:rStyle w:val="FootnoteReference"/>
        </w:rPr>
        <w:footnoteRef/>
      </w:r>
      <w:r>
        <w:t xml:space="preserve"> </w:t>
      </w:r>
      <w:r>
        <w:t xml:space="preserve">Microsoft Learn,</w:t>
      </w:r>
      <w:r>
        <w:t xml:space="preserve"> </w:t>
      </w:r>
      <w:r>
        <w:t xml:space="preserve">“Reduce costs for Microsoft Sentinel,”</w:t>
      </w:r>
      <w:r>
        <w:t xml:space="preserve"> </w:t>
      </w:r>
      <w:hyperlink r:id="rId491">
        <w:r>
          <w:rPr>
            <w:rStyle w:val="Hyperlink"/>
          </w:rPr>
          <w:t xml:space="preserve">https://learn.microsoft.com/azure/sentinel/billing-reduce-costs</w:t>
        </w:r>
      </w:hyperlink>
      <w:r>
        <w:t xml:space="preserve"> </w:t>
      </w:r>
      <w:r>
        <w:t xml:space="preserve">(accessed Oct 20, 2026).</w:t>
      </w:r>
    </w:p>
  </w:footnote>
  <w:footnote w:id="492">
    <w:p>
      <w:pPr>
        <w:pStyle w:val="FootnoteText"/>
      </w:pPr>
      <w:r>
        <w:rPr>
          <w:rStyle w:val="FootnoteReference"/>
        </w:rPr>
        <w:footnoteRef/>
      </w:r>
      <w:r>
        <w:t xml:space="preserve"> </w:t>
      </w:r>
      <w:r>
        <w:t xml:space="preserve">Microsoft Learn,</w:t>
      </w:r>
      <w:r>
        <w:t xml:space="preserve"> </w:t>
      </w:r>
      <w:r>
        <w:t xml:space="preserve">“Assess your security posture with Microsoft Secure Score,”</w:t>
      </w:r>
      <w:r>
        <w:t xml:space="preserve"> </w:t>
      </w:r>
      <w:hyperlink r:id="rId493">
        <w:r>
          <w:rPr>
            <w:rStyle w:val="Hyperlink"/>
          </w:rPr>
          <w:t xml:space="preserve">https://learn.microsoft.com/defender-xdr/microsoft-secure-score-improvement-actions</w:t>
        </w:r>
      </w:hyperlink>
      <w:r>
        <w:t xml:space="preserve"> </w:t>
      </w:r>
      <w:r>
        <w:t xml:space="preserve">(accessed Oct 20, 2026).</w:t>
      </w:r>
    </w:p>
  </w:footnote>
  <w:footnote w:id="494">
    <w:p>
      <w:pPr>
        <w:pStyle w:val="FootnoteText"/>
      </w:pPr>
      <w:r>
        <w:rPr>
          <w:rStyle w:val="FootnoteReference"/>
        </w:rPr>
        <w:footnoteRef/>
      </w:r>
      <w:r>
        <w:t xml:space="preserve"> </w:t>
      </w:r>
      <w:r>
        <w:t xml:space="preserve">Microsoft Learn,</w:t>
      </w:r>
      <w:r>
        <w:t xml:space="preserve"> </w:t>
      </w:r>
      <w:r>
        <w:t xml:space="preserve">“What is the Zero Trust Assessment?,”</w:t>
      </w:r>
      <w:r>
        <w:t xml:space="preserve"> </w:t>
      </w:r>
      <w:hyperlink r:id="rId495">
        <w:r>
          <w:rPr>
            <w:rStyle w:val="Hyperlink"/>
          </w:rPr>
          <w:t xml:space="preserve">https://learn.microsoft.com/security/zero-trust/assessment/overview</w:t>
        </w:r>
      </w:hyperlink>
      <w:r>
        <w:t xml:space="preserve">; and</w:t>
      </w:r>
      <w:r>
        <w:t xml:space="preserve"> </w:t>
      </w:r>
      <w:r>
        <w:t xml:space="preserve">“Get started with the Zero Trust Assessment,”</w:t>
      </w:r>
      <w:r>
        <w:t xml:space="preserve"> </w:t>
      </w:r>
      <w:hyperlink r:id="rId496">
        <w:r>
          <w:rPr>
            <w:rStyle w:val="Hyperlink"/>
          </w:rPr>
          <w:t xml:space="preserve">https://learn.microsoft.com/security/zero-trust/assessment/get-started</w:t>
        </w:r>
      </w:hyperlink>
      <w:r>
        <w:t xml:space="preserve"> </w:t>
      </w:r>
      <w:r>
        <w:t xml:space="preserve">(both accessed Oct 20, 2026).</w:t>
      </w:r>
    </w:p>
  </w:footnote>
  <w:footnote w:id="497">
    <w:p>
      <w:pPr>
        <w:pStyle w:val="FootnoteText"/>
      </w:pPr>
      <w:r>
        <w:rPr>
          <w:rStyle w:val="FootnoteReference"/>
        </w:rPr>
        <w:footnoteRef/>
      </w:r>
      <w:r>
        <w:t xml:space="preserve"> </w:t>
      </w:r>
      <w:r>
        <w:t xml:space="preserve">Microsoft Learn,</w:t>
      </w:r>
      <w:r>
        <w:t xml:space="preserve"> </w:t>
      </w:r>
      <w:r>
        <w:t xml:space="preserve">“What is the Zero Trust Assessment?,”</w:t>
      </w:r>
      <w:r>
        <w:t xml:space="preserve"> </w:t>
      </w:r>
      <w:hyperlink r:id="rId495">
        <w:r>
          <w:rPr>
            <w:rStyle w:val="Hyperlink"/>
          </w:rPr>
          <w:t xml:space="preserve">https://learn.microsoft.com/security/zero-trust/assessment/overview</w:t>
        </w:r>
      </w:hyperlink>
      <w:r>
        <w:t xml:space="preserve">; and</w:t>
      </w:r>
      <w:r>
        <w:t xml:space="preserve"> </w:t>
      </w:r>
      <w:r>
        <w:t xml:space="preserve">“Get started with the Zero Trust Assessment,”</w:t>
      </w:r>
      <w:r>
        <w:t xml:space="preserve"> </w:t>
      </w:r>
      <w:hyperlink r:id="rId496">
        <w:r>
          <w:rPr>
            <w:rStyle w:val="Hyperlink"/>
          </w:rPr>
          <w:t xml:space="preserve">https://learn.microsoft.com/security/zero-trust/assessment/get-started</w:t>
        </w:r>
      </w:hyperlink>
      <w:r>
        <w:t xml:space="preserve"> </w:t>
      </w:r>
      <w:r>
        <w:t xml:space="preserve">(both accessed Oct 20, 2026).</w:t>
      </w:r>
    </w:p>
  </w:footnote>
  <w:footnote w:id="498">
    <w:p>
      <w:pPr>
        <w:pStyle w:val="FootnoteText"/>
      </w:pPr>
      <w:r>
        <w:rPr>
          <w:rStyle w:val="FootnoteReference"/>
        </w:rPr>
        <w:footnoteRef/>
      </w:r>
      <w:r>
        <w:t xml:space="preserve"> </w:t>
      </w:r>
      <w:r>
        <w:t xml:space="preserve">Microsoft Learn,</w:t>
      </w:r>
      <w:r>
        <w:t xml:space="preserve"> </w:t>
      </w:r>
      <w:r>
        <w:t xml:space="preserve">“Microsoft Defender for Identity’s security posture assessments,”</w:t>
      </w:r>
      <w:r>
        <w:t xml:space="preserve"> </w:t>
      </w:r>
      <w:hyperlink r:id="rId461">
        <w:r>
          <w:rPr>
            <w:rStyle w:val="Hyperlink"/>
          </w:rPr>
          <w:t xml:space="preserve">https://learn.microsoft.com/defender-for-identity/security-assessment</w:t>
        </w:r>
      </w:hyperlink>
      <w:r>
        <w:t xml:space="preserve"> </w:t>
      </w:r>
      <w:r>
        <w:t xml:space="preserve">(accessed Oct 20, 2026).</w:t>
      </w:r>
    </w:p>
  </w:footnote>
  <w:footnote w:id="499">
    <w:p>
      <w:pPr>
        <w:pStyle w:val="FootnoteText"/>
      </w:pPr>
      <w:r>
        <w:rPr>
          <w:rStyle w:val="FootnoteReference"/>
        </w:rPr>
        <w:footnoteRef/>
      </w:r>
      <w:r>
        <w:t xml:space="preserve"> </w:t>
      </w:r>
      <w:r>
        <w:t xml:space="preserve">Microsoft Learn,</w:t>
      </w:r>
      <w:r>
        <w:t xml:space="preserve"> </w:t>
      </w:r>
      <w:r>
        <w:t xml:space="preserve">“What is the Zero Trust Assessment?,”</w:t>
      </w:r>
      <w:r>
        <w:t xml:space="preserve"> </w:t>
      </w:r>
      <w:hyperlink r:id="rId495">
        <w:r>
          <w:rPr>
            <w:rStyle w:val="Hyperlink"/>
          </w:rPr>
          <w:t xml:space="preserve">https://learn.microsoft.com/security/zero-trust/assessment/overview</w:t>
        </w:r>
      </w:hyperlink>
      <w:r>
        <w:t xml:space="preserve">; and</w:t>
      </w:r>
      <w:r>
        <w:t xml:space="preserve"> </w:t>
      </w:r>
      <w:r>
        <w:t xml:space="preserve">“Get started with the Zero Trust Assessment,”</w:t>
      </w:r>
      <w:r>
        <w:t xml:space="preserve"> </w:t>
      </w:r>
      <w:hyperlink r:id="rId496">
        <w:r>
          <w:rPr>
            <w:rStyle w:val="Hyperlink"/>
          </w:rPr>
          <w:t xml:space="preserve">https://learn.microsoft.com/security/zero-trust/assessment/get-started</w:t>
        </w:r>
      </w:hyperlink>
      <w:r>
        <w:t xml:space="preserve"> </w:t>
      </w:r>
      <w:r>
        <w:t xml:space="preserve">(both accessed Oct 20, 2026).</w:t>
      </w:r>
    </w:p>
  </w:footnote>
  <w:footnote w:id="500">
    <w:p>
      <w:pPr>
        <w:pStyle w:val="FootnoteText"/>
      </w:pPr>
      <w:r>
        <w:rPr>
          <w:rStyle w:val="FootnoteReference"/>
        </w:rPr>
        <w:footnoteRef/>
      </w:r>
      <w:r>
        <w:t xml:space="preserve"> </w:t>
      </w:r>
      <w:r>
        <w:t xml:space="preserve">Cybersecurity and Infrastructure Security Agency,</w:t>
      </w:r>
      <w:r>
        <w:t xml:space="preserve"> </w:t>
      </w:r>
      <w:r>
        <w:t xml:space="preserve">“ScubaGear,”</w:t>
      </w:r>
      <w:r>
        <w:t xml:space="preserve"> </w:t>
      </w:r>
      <w:r>
        <w:t xml:space="preserve">GitHub repository,</w:t>
      </w:r>
      <w:r>
        <w:t xml:space="preserve"> </w:t>
      </w:r>
      <w:hyperlink r:id="rId501">
        <w:r>
          <w:rPr>
            <w:rStyle w:val="Hyperlink"/>
          </w:rPr>
          <w:t xml:space="preserve">https://github.com/cisagov/ScubaGear</w:t>
        </w:r>
      </w:hyperlink>
      <w:r>
        <w:t xml:space="preserve"> </w:t>
      </w:r>
      <w:r>
        <w:t xml:space="preserve">(accessed Oct 20, 2026).</w:t>
      </w:r>
    </w:p>
  </w:footnote>
  <w:footnote w:id="502">
    <w:p>
      <w:pPr>
        <w:pStyle w:val="FootnoteText"/>
      </w:pPr>
      <w:r>
        <w:rPr>
          <w:rStyle w:val="FootnoteReference"/>
        </w:rPr>
        <w:footnoteRef/>
      </w:r>
      <w:r>
        <w:t xml:space="preserve"> </w:t>
      </w:r>
      <w:r>
        <w:t xml:space="preserve">Cybersecurity and Infrastructure Security Agency, BOD 25-01,</w:t>
      </w:r>
      <w:r>
        <w:t xml:space="preserve"> </w:t>
      </w:r>
      <w:r>
        <w:rPr>
          <w:i/>
          <w:iCs/>
        </w:rPr>
        <w:t xml:space="preserve">Implementing Secure Practices for Cloud Services</w:t>
      </w:r>
      <w:r>
        <w:t xml:space="preserve">, December 17, 2024,</w:t>
      </w:r>
      <w:r>
        <w:t xml:space="preserve"> </w:t>
      </w:r>
      <w:hyperlink r:id="rId417">
        <w:r>
          <w:rPr>
            <w:rStyle w:val="Hyperlink"/>
          </w:rPr>
          <w:t xml:space="preserve">https://www.cisa.gov/news-events/directives/bod-25-01-implementing-secure-practices-cloud-services</w:t>
        </w:r>
      </w:hyperlink>
      <w:r>
        <w:t xml:space="preserve"> </w:t>
      </w:r>
      <w:r>
        <w:t xml:space="preserve">(accessed Oct 20, 2026).</w:t>
      </w:r>
    </w:p>
  </w:footnote>
  <w:footnote w:id="503">
    <w:p>
      <w:pPr>
        <w:pStyle w:val="FootnoteText"/>
      </w:pPr>
      <w:r>
        <w:rPr>
          <w:rStyle w:val="FootnoteReference"/>
        </w:rPr>
        <w:footnoteRef/>
      </w:r>
      <w:r>
        <w:t xml:space="preserve"> </w:t>
      </w:r>
      <w:r>
        <w:t xml:space="preserve">Cybersecurity and Infrastructure Security Agency,</w:t>
      </w:r>
      <w:r>
        <w:t xml:space="preserve"> </w:t>
      </w:r>
      <w:r>
        <w:t xml:space="preserve">“ScubaGear,”</w:t>
      </w:r>
      <w:r>
        <w:t xml:space="preserve"> </w:t>
      </w:r>
      <w:r>
        <w:t xml:space="preserve">GitHub repository,</w:t>
      </w:r>
      <w:r>
        <w:t xml:space="preserve"> </w:t>
      </w:r>
      <w:hyperlink r:id="rId501">
        <w:r>
          <w:rPr>
            <w:rStyle w:val="Hyperlink"/>
          </w:rPr>
          <w:t xml:space="preserve">https://github.com/cisagov/ScubaGear</w:t>
        </w:r>
      </w:hyperlink>
      <w:r>
        <w:t xml:space="preserve"> </w:t>
      </w:r>
      <w:r>
        <w:t xml:space="preserve">(accessed Oct 20, 2026).</w:t>
      </w:r>
    </w:p>
  </w:footnote>
  <w:footnote w:id="504">
    <w:p>
      <w:pPr>
        <w:pStyle w:val="FootnoteText"/>
      </w:pPr>
      <w:r>
        <w:rPr>
          <w:rStyle w:val="FootnoteReference"/>
        </w:rPr>
        <w:footnoteRef/>
      </w:r>
      <w:r>
        <w:t xml:space="preserve"> </w:t>
      </w:r>
      <w:r>
        <w:t xml:space="preserve">Microsoft Learn,</w:t>
      </w:r>
      <w:r>
        <w:t xml:space="preserve"> </w:t>
      </w:r>
      <w:r>
        <w:t xml:space="preserve">“Azure Migrate: Common questions,”</w:t>
      </w:r>
      <w:r>
        <w:t xml:space="preserve"> </w:t>
      </w:r>
      <w:hyperlink r:id="rId505">
        <w:r>
          <w:rPr>
            <w:rStyle w:val="Hyperlink"/>
          </w:rPr>
          <w:t xml:space="preserve">https://learn.microsoft.com/azure/migrate/resources-faq</w:t>
        </w:r>
      </w:hyperlink>
      <w:r>
        <w:t xml:space="preserve"> </w:t>
      </w:r>
      <w:r>
        <w:t xml:space="preserve">(accessed Oct 20, 2026).</w:t>
      </w:r>
    </w:p>
  </w:footnote>
  <w:footnote w:id="506">
    <w:p>
      <w:pPr>
        <w:pStyle w:val="FootnoteText"/>
      </w:pPr>
      <w:r>
        <w:rPr>
          <w:rStyle w:val="FootnoteReference"/>
        </w:rPr>
        <w:footnoteRef/>
      </w:r>
      <w:r>
        <w:t xml:space="preserve"> </w:t>
      </w:r>
      <w:r>
        <w:t xml:space="preserve">Microsoft Learn,</w:t>
      </w:r>
      <w:r>
        <w:t xml:space="preserve"> </w:t>
      </w:r>
      <w:r>
        <w:t xml:space="preserve">“Azure Migrate: Common questions,”</w:t>
      </w:r>
      <w:r>
        <w:t xml:space="preserve"> </w:t>
      </w:r>
      <w:hyperlink r:id="rId505">
        <w:r>
          <w:rPr>
            <w:rStyle w:val="Hyperlink"/>
          </w:rPr>
          <w:t xml:space="preserve">https://learn.microsoft.com/azure/migrate/resources-faq</w:t>
        </w:r>
      </w:hyperlink>
      <w:r>
        <w:t xml:space="preserve"> </w:t>
      </w:r>
      <w:r>
        <w:t xml:space="preserve">(accessed Oct 20, 2026).</w:t>
      </w:r>
    </w:p>
  </w:footnote>
  <w:footnote w:id="507">
    <w:p>
      <w:pPr>
        <w:pStyle w:val="FootnoteText"/>
      </w:pPr>
      <w:r>
        <w:rPr>
          <w:rStyle w:val="FootnoteReference"/>
        </w:rPr>
        <w:footnoteRef/>
      </w:r>
      <w:r>
        <w:t xml:space="preserve"> </w:t>
      </w:r>
      <w:r>
        <w:t xml:space="preserve">Microsoft Learn,</w:t>
      </w:r>
      <w:r>
        <w:t xml:space="preserve"> </w:t>
      </w:r>
      <w:r>
        <w:t xml:space="preserve">“Azure Migrate: Common questions,”</w:t>
      </w:r>
      <w:r>
        <w:t xml:space="preserve"> </w:t>
      </w:r>
      <w:hyperlink r:id="rId505">
        <w:r>
          <w:rPr>
            <w:rStyle w:val="Hyperlink"/>
          </w:rPr>
          <w:t xml:space="preserve">https://learn.microsoft.com/azure/migrate/resources-faq</w:t>
        </w:r>
      </w:hyperlink>
      <w:r>
        <w:t xml:space="preserve"> </w:t>
      </w:r>
      <w:r>
        <w:t xml:space="preserve">(accessed Oct 20, 2026).</w:t>
      </w:r>
    </w:p>
  </w:footnote>
  <w:footnote w:id="508">
    <w:p>
      <w:pPr>
        <w:pStyle w:val="FootnoteText"/>
      </w:pPr>
      <w:r>
        <w:rPr>
          <w:rStyle w:val="FootnoteReference"/>
        </w:rPr>
        <w:footnoteRef/>
      </w:r>
      <w:r>
        <w:t xml:space="preserve"> </w:t>
      </w:r>
      <w:r>
        <w:t xml:space="preserve">Microsoft Learn,</w:t>
      </w:r>
      <w:r>
        <w:t xml:space="preserve"> </w:t>
      </w:r>
      <w:r>
        <w:t xml:space="preserve">“Support policy and known issues for Active Directory Migration Tool,”</w:t>
      </w:r>
      <w:r>
        <w:t xml:space="preserve"> </w:t>
      </w:r>
      <w:hyperlink r:id="rId509">
        <w:r>
          <w:rPr>
            <w:rStyle w:val="Hyperlink"/>
          </w:rPr>
          <w:t xml:space="preserve">https://learn.microsoft.com/troubleshoot/windows-server/active-directory/support-policy-and-known-issues-for-admt</w:t>
        </w:r>
      </w:hyperlink>
      <w:r>
        <w:t xml:space="preserve"> </w:t>
      </w:r>
      <w:r>
        <w:t xml:space="preserve">(accessed Oct 20, 2026).</w:t>
      </w:r>
    </w:p>
  </w:footnote>
  <w:footnote w:id="510">
    <w:p>
      <w:pPr>
        <w:pStyle w:val="FootnoteText"/>
      </w:pPr>
      <w:r>
        <w:rPr>
          <w:rStyle w:val="FootnoteReference"/>
        </w:rPr>
        <w:footnoteRef/>
      </w:r>
      <w:r>
        <w:t xml:space="preserve"> </w:t>
      </w:r>
      <w:r>
        <w:t xml:space="preserve">Microsoft Learn,</w:t>
      </w:r>
      <w:r>
        <w:t xml:space="preserve"> </w:t>
      </w:r>
      <w:r>
        <w:t xml:space="preserve">“Support policy and known issues for Active Directory Migration Tool,”</w:t>
      </w:r>
      <w:r>
        <w:t xml:space="preserve"> </w:t>
      </w:r>
      <w:hyperlink r:id="rId509">
        <w:r>
          <w:rPr>
            <w:rStyle w:val="Hyperlink"/>
          </w:rPr>
          <w:t xml:space="preserve">https://learn.microsoft.com/troubleshoot/windows-server/active-directory/support-policy-and-known-issues-for-admt</w:t>
        </w:r>
      </w:hyperlink>
      <w:r>
        <w:t xml:space="preserve"> </w:t>
      </w:r>
      <w:r>
        <w:t xml:space="preserve">(accessed Oct 20, 2026).</w:t>
      </w:r>
    </w:p>
  </w:footnote>
  <w:footnote w:id="511">
    <w:p>
      <w:pPr>
        <w:pStyle w:val="FootnoteText"/>
      </w:pPr>
      <w:r>
        <w:rPr>
          <w:rStyle w:val="FootnoteReference"/>
        </w:rPr>
        <w:footnoteRef/>
      </w:r>
      <w:r>
        <w:t xml:space="preserve"> </w:t>
      </w:r>
      <w:r>
        <w:t xml:space="preserve">Microsoft Learn,</w:t>
      </w:r>
      <w:r>
        <w:t xml:space="preserve"> </w:t>
      </w:r>
      <w:r>
        <w:t xml:space="preserve">“What is Microsoft Entra Health monitoring?,”</w:t>
      </w:r>
      <w:r>
        <w:t xml:space="preserve"> </w:t>
      </w:r>
      <w:hyperlink r:id="rId512">
        <w:r>
          <w:rPr>
            <w:rStyle w:val="Hyperlink"/>
          </w:rPr>
          <w:t xml:space="preserve">https://learn.microsoft.com/entra/identity/monitoring-health/concept-microsoft-entra-health</w:t>
        </w:r>
      </w:hyperlink>
      <w:r>
        <w:t xml:space="preserve"> </w:t>
      </w:r>
      <w:r>
        <w:t xml:space="preserve">(accessed Oct 20, 2026).</w:t>
      </w:r>
    </w:p>
  </w:footnote>
  <w:footnote w:id="513">
    <w:p>
      <w:pPr>
        <w:pStyle w:val="FootnoteText"/>
      </w:pPr>
      <w:r>
        <w:rPr>
          <w:rStyle w:val="FootnoteReference"/>
        </w:rPr>
        <w:footnoteRef/>
      </w:r>
      <w:r>
        <w:t xml:space="preserve"> </w:t>
      </w:r>
      <w:r>
        <w:t xml:space="preserve">Microsoft Learn,</w:t>
      </w:r>
      <w:r>
        <w:t xml:space="preserve"> </w:t>
      </w:r>
      <w:r>
        <w:t xml:space="preserve">“What is Microsoft Entra Health monitoring?,”</w:t>
      </w:r>
      <w:r>
        <w:t xml:space="preserve"> </w:t>
      </w:r>
      <w:hyperlink r:id="rId512">
        <w:r>
          <w:rPr>
            <w:rStyle w:val="Hyperlink"/>
          </w:rPr>
          <w:t xml:space="preserve">https://learn.microsoft.com/entra/identity/monitoring-health/concept-microsoft-entra-health</w:t>
        </w:r>
      </w:hyperlink>
      <w:r>
        <w:t xml:space="preserve"> </w:t>
      </w:r>
      <w:r>
        <w:t xml:space="preserve">(accessed Oct 20, 2026).</w:t>
      </w:r>
    </w:p>
  </w:footnote>
  <w:footnote w:id="514">
    <w:p>
      <w:pPr>
        <w:pStyle w:val="FootnoteText"/>
      </w:pPr>
      <w:r>
        <w:rPr>
          <w:rStyle w:val="FootnoteReference"/>
        </w:rPr>
        <w:footnoteRef/>
      </w:r>
      <w:r>
        <w:t xml:space="preserve"> </w:t>
      </w:r>
      <w:r>
        <w:t xml:space="preserve">Microsoft Learn,</w:t>
      </w:r>
      <w:r>
        <w:t xml:space="preserve"> </w:t>
      </w:r>
      <w:r>
        <w:t xml:space="preserve">“Microsoft Entra licensing,”</w:t>
      </w:r>
      <w:r>
        <w:t xml:space="preserve"> </w:t>
      </w:r>
      <w:hyperlink r:id="rId515">
        <w:r>
          <w:rPr>
            <w:rStyle w:val="Hyperlink"/>
          </w:rPr>
          <w:t xml:space="preserve">https://learn.microsoft.com/entra/fundamentals/licensing</w:t>
        </w:r>
      </w:hyperlink>
      <w:r>
        <w:t xml:space="preserve"> </w:t>
      </w:r>
      <w:r>
        <w:t xml:space="preserve">(accessed Oct 20, 2026).</w:t>
      </w:r>
    </w:p>
  </w:footnote>
  <w:footnote w:id="516">
    <w:p>
      <w:pPr>
        <w:pStyle w:val="FootnoteText"/>
      </w:pPr>
      <w:r>
        <w:rPr>
          <w:rStyle w:val="FootnoteReference"/>
        </w:rPr>
        <w:footnoteRef/>
      </w:r>
      <w:r>
        <w:t xml:space="preserve"> </w:t>
      </w:r>
      <w:r>
        <w:t xml:space="preserve">Microsoft Learn,</w:t>
      </w:r>
      <w:r>
        <w:t xml:space="preserve"> </w:t>
      </w:r>
      <w:r>
        <w:t xml:space="preserve">“Eligibility”</w:t>
      </w:r>
      <w:r>
        <w:t xml:space="preserve"> </w:t>
      </w:r>
      <w:r>
        <w:t xml:space="preserve">(FastTrack for Microsoft 365),</w:t>
      </w:r>
      <w:r>
        <w:t xml:space="preserve"> </w:t>
      </w:r>
      <w:hyperlink r:id="rId517">
        <w:r>
          <w:rPr>
            <w:rStyle w:val="Hyperlink"/>
          </w:rPr>
          <w:t xml:space="preserve">https://learn.microsoft.com/microsoft-365/fasttrack/eligibility</w:t>
        </w:r>
      </w:hyperlink>
      <w:r>
        <w:t xml:space="preserve">; and</w:t>
      </w:r>
      <w:r>
        <w:t xml:space="preserve"> </w:t>
      </w:r>
      <w:r>
        <w:t xml:space="preserve">“Microsoft Entra”</w:t>
      </w:r>
      <w:r>
        <w:t xml:space="preserve"> </w:t>
      </w:r>
      <w:r>
        <w:t xml:space="preserve">(FastTrack),</w:t>
      </w:r>
      <w:r>
        <w:t xml:space="preserve"> </w:t>
      </w:r>
      <w:hyperlink r:id="rId518">
        <w:r>
          <w:rPr>
            <w:rStyle w:val="Hyperlink"/>
          </w:rPr>
          <w:t xml:space="preserve">https://learn.microsoft.com/microsoft-365/fasttrack/microsoft-entra-id</w:t>
        </w:r>
      </w:hyperlink>
      <w:r>
        <w:t xml:space="preserve"> </w:t>
      </w:r>
      <w:r>
        <w:t xml:space="preserve">(both accessed Oct 20, 2026).</w:t>
      </w:r>
    </w:p>
  </w:footnote>
  <w:footnote w:id="519">
    <w:p>
      <w:pPr>
        <w:pStyle w:val="FootnoteText"/>
      </w:pPr>
      <w:r>
        <w:rPr>
          <w:rStyle w:val="FootnoteReference"/>
        </w:rPr>
        <w:footnoteRef/>
      </w:r>
      <w:r>
        <w:t xml:space="preserve"> </w:t>
      </w:r>
      <w:r>
        <w:t xml:space="preserve">Microsoft Learn,</w:t>
      </w:r>
      <w:r>
        <w:t xml:space="preserve"> </w:t>
      </w:r>
      <w:r>
        <w:t xml:space="preserve">“Eligibility”</w:t>
      </w:r>
      <w:r>
        <w:t xml:space="preserve"> </w:t>
      </w:r>
      <w:r>
        <w:t xml:space="preserve">(FastTrack for Microsoft 365),</w:t>
      </w:r>
      <w:r>
        <w:t xml:space="preserve"> </w:t>
      </w:r>
      <w:hyperlink r:id="rId517">
        <w:r>
          <w:rPr>
            <w:rStyle w:val="Hyperlink"/>
          </w:rPr>
          <w:t xml:space="preserve">https://learn.microsoft.com/microsoft-365/fasttrack/eligibility</w:t>
        </w:r>
      </w:hyperlink>
      <w:r>
        <w:t xml:space="preserve">; and</w:t>
      </w:r>
      <w:r>
        <w:t xml:space="preserve"> </w:t>
      </w:r>
      <w:r>
        <w:t xml:space="preserve">“Microsoft Entra”</w:t>
      </w:r>
      <w:r>
        <w:t xml:space="preserve"> </w:t>
      </w:r>
      <w:r>
        <w:t xml:space="preserve">(FastTrack),</w:t>
      </w:r>
      <w:r>
        <w:t xml:space="preserve"> </w:t>
      </w:r>
      <w:hyperlink r:id="rId518">
        <w:r>
          <w:rPr>
            <w:rStyle w:val="Hyperlink"/>
          </w:rPr>
          <w:t xml:space="preserve">https://learn.microsoft.com/microsoft-365/fasttrack/microsoft-entra-id</w:t>
        </w:r>
      </w:hyperlink>
      <w:r>
        <w:t xml:space="preserve"> </w:t>
      </w:r>
      <w:r>
        <w:t xml:space="preserve">(both accessed Oct 20, 2026).</w:t>
      </w:r>
    </w:p>
  </w:footnote>
  <w:footnote w:id="521">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hyperlink r:id="rId522">
        <w:r>
          <w:rPr>
            <w:rStyle w:val="Hyperlink"/>
          </w:rPr>
          <w:t xml:space="preserve">https://learn.microsoft.com/defender-for-identity/security-posture-assessments/certificates</w:t>
        </w:r>
      </w:hyperlink>
      <w:r>
        <w:t xml:space="preserve"> </w:t>
      </w:r>
      <w:r>
        <w:t xml:space="preserve">(accessed Oct 20, 2026).</w:t>
      </w:r>
    </w:p>
  </w:footnote>
  <w:footnote w:id="527">
    <w:p>
      <w:pPr>
        <w:pStyle w:val="FootnoteText"/>
      </w:pPr>
      <w:r>
        <w:rPr>
          <w:rStyle w:val="FootnoteReference"/>
        </w:rPr>
        <w:footnoteRef/>
      </w:r>
      <w:r>
        <w:t xml:space="preserve"> </w:t>
      </w:r>
      <w:r>
        <w:t xml:space="preserve">ADRecon, GitHub repository,</w:t>
      </w:r>
      <w:r>
        <w:t xml:space="preserve"> </w:t>
      </w:r>
      <w:hyperlink r:id="rId528">
        <w:r>
          <w:rPr>
            <w:rStyle w:val="Hyperlink"/>
          </w:rPr>
          <w:t xml:space="preserve">https://github.com/adrecon/ADRecon</w:t>
        </w:r>
      </w:hyperlink>
      <w:r>
        <w:t xml:space="preserve"> </w:t>
      </w:r>
      <w:r>
        <w:t xml:space="preserve">(accessed Oct 20, 2026).</w:t>
      </w:r>
    </w:p>
  </w:footnote>
  <w:footnote w:id="529">
    <w:p>
      <w:pPr>
        <w:pStyle w:val="FootnoteText"/>
      </w:pPr>
      <w:r>
        <w:rPr>
          <w:rStyle w:val="FootnoteReference"/>
        </w:rPr>
        <w:footnoteRef/>
      </w:r>
      <w:r>
        <w:t xml:space="preserve"> </w:t>
      </w:r>
      <w:r>
        <w:t xml:space="preserve">PingCastle,</w:t>
      </w:r>
      <w:r>
        <w:t xml:space="preserve"> </w:t>
      </w:r>
      <w:hyperlink r:id="rId530">
        <w:r>
          <w:rPr>
            <w:rStyle w:val="Hyperlink"/>
          </w:rPr>
          <w:t xml:space="preserve">https://www.pingcastle.com/</w:t>
        </w:r>
      </w:hyperlink>
      <w:r>
        <w:t xml:space="preserve"> </w:t>
      </w:r>
      <w:r>
        <w:t xml:space="preserve">(accessed Oct 20, 2026).</w:t>
      </w:r>
    </w:p>
  </w:footnote>
  <w:footnote w:id="531">
    <w:p>
      <w:pPr>
        <w:pStyle w:val="FootnoteText"/>
      </w:pPr>
      <w:r>
        <w:rPr>
          <w:rStyle w:val="FootnoteReference"/>
        </w:rPr>
        <w:footnoteRef/>
      </w:r>
      <w:r>
        <w:t xml:space="preserve"> </w:t>
      </w:r>
      <w:r>
        <w:t xml:space="preserve">SpecterOps,</w:t>
      </w:r>
      <w:r>
        <w:t xml:space="preserve"> </w:t>
      </w:r>
      <w:r>
        <w:t xml:space="preserve">“BloodHound,”</w:t>
      </w:r>
      <w:r>
        <w:t xml:space="preserve"> </w:t>
      </w:r>
      <w:r>
        <w:t xml:space="preserve">GitHub repository,</w:t>
      </w:r>
      <w:r>
        <w:t xml:space="preserve"> </w:t>
      </w:r>
      <w:hyperlink r:id="rId532">
        <w:r>
          <w:rPr>
            <w:rStyle w:val="Hyperlink"/>
          </w:rPr>
          <w:t xml:space="preserve">https://github.com/SpecterOps/BloodHound</w:t>
        </w:r>
      </w:hyperlink>
      <w:r>
        <w:t xml:space="preserve"> </w:t>
      </w:r>
      <w:r>
        <w:t xml:space="preserve">(accessed Oct 20, 2026).</w:t>
      </w:r>
    </w:p>
  </w:footnote>
  <w:footnote w:id="533">
    <w:p>
      <w:pPr>
        <w:pStyle w:val="FootnoteText"/>
      </w:pPr>
      <w:r>
        <w:rPr>
          <w:rStyle w:val="FootnoteReference"/>
        </w:rPr>
        <w:footnoteRef/>
      </w:r>
      <w:r>
        <w:t xml:space="preserve"> </w:t>
      </w:r>
      <w:r>
        <w:t xml:space="preserve">Semperis,</w:t>
      </w:r>
      <w:r>
        <w:t xml:space="preserve"> </w:t>
      </w:r>
      <w:r>
        <w:t xml:space="preserve">“Purple Knight,”</w:t>
      </w:r>
      <w:r>
        <w:t xml:space="preserve"> </w:t>
      </w:r>
      <w:hyperlink r:id="rId534">
        <w:r>
          <w:rPr>
            <w:rStyle w:val="Hyperlink"/>
          </w:rPr>
          <w:t xml:space="preserve">https://www.semperis.com/purple-knight/</w:t>
        </w:r>
      </w:hyperlink>
      <w:r>
        <w:t xml:space="preserve"> </w:t>
      </w:r>
      <w:r>
        <w:t xml:space="preserve">(accessed Oct 20, 2026).</w:t>
      </w:r>
    </w:p>
  </w:footnote>
  <w:footnote w:id="541">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September 2020 (updates as of December 10, 2020; Release 5.2.0 August 27, 2025), Access Control family,</w:t>
      </w:r>
      <w:r>
        <w:t xml:space="preserve"> </w:t>
      </w:r>
      <w:hyperlink r:id="rId392">
        <w:r>
          <w:rPr>
            <w:rStyle w:val="Hyperlink"/>
          </w:rPr>
          <w:t xml:space="preserve">https://csrc.nist.gov/pubs/sp/800/53/r5/upd1/final</w:t>
        </w:r>
      </w:hyperlink>
      <w:r>
        <w:t xml:space="preserve"> </w:t>
      </w:r>
      <w:r>
        <w:t xml:space="preserve">(accessed Oct 20, 2026).</w:t>
      </w:r>
    </w:p>
  </w:footnote>
  <w:footnote w:id="546">
    <w:p>
      <w:pPr>
        <w:pStyle w:val="FootnoteText"/>
      </w:pPr>
      <w:r>
        <w:rPr>
          <w:rStyle w:val="FootnoteReference"/>
        </w:rPr>
        <w:footnoteRef/>
      </w:r>
      <w:r>
        <w:t xml:space="preserve"> </w:t>
      </w:r>
      <w:r>
        <w:t xml:space="preserve">Microsoft Learn,</w:t>
      </w:r>
      <w:r>
        <w:t xml:space="preserve"> </w:t>
      </w:r>
      <w:r>
        <w:t xml:space="preserve">“Troubleshoot password writeback access rights and permissions”</w:t>
      </w:r>
      <w:r>
        <w:t xml:space="preserve"> </w:t>
      </w:r>
      <w:r>
        <w:t xml:space="preserve">(default permissions for Authenticated Users and Pre-Windows 2000 Compatible Access on the domain root and user objects),</w:t>
      </w:r>
      <w:r>
        <w:t xml:space="preserve"> </w:t>
      </w:r>
      <w:hyperlink r:id="rId547">
        <w:r>
          <w:rPr>
            <w:rStyle w:val="Hyperlink"/>
          </w:rPr>
          <w:t xml:space="preserve">https://learn.microsoft.com/troubleshoot/entra/entra-id/user-prov-sync/password-writeback-access-rights-permissions</w:t>
        </w:r>
      </w:hyperlink>
      <w:r>
        <w:t xml:space="preserve"> </w:t>
      </w:r>
      <w:r>
        <w:t xml:space="preserve">(accessed Oct 20, 2026).</w:t>
      </w:r>
    </w:p>
  </w:footnote>
  <w:footnote w:id="548">
    <w:p>
      <w:pPr>
        <w:pStyle w:val="FootnoteText"/>
      </w:pPr>
      <w:r>
        <w:rPr>
          <w:rStyle w:val="FootnoteReference"/>
        </w:rPr>
        <w:footnoteRef/>
      </w:r>
      <w:r>
        <w:t xml:space="preserve"> </w:t>
      </w:r>
      <w:r>
        <w:t xml:space="preserve">Microsoft Learn,</w:t>
      </w:r>
      <w:r>
        <w:t xml:space="preserve"> </w:t>
      </w:r>
      <w:r>
        <w:t xml:space="preserve">“Troubleshoot password writeback access rights and permissions”</w:t>
      </w:r>
      <w:r>
        <w:t xml:space="preserve"> </w:t>
      </w:r>
      <w:r>
        <w:t xml:space="preserve">(default permissions for Authenticated Users and Pre-Windows 2000 Compatible Access on the domain root and user objects),</w:t>
      </w:r>
      <w:r>
        <w:t xml:space="preserve"> </w:t>
      </w:r>
      <w:hyperlink r:id="rId547">
        <w:r>
          <w:rPr>
            <w:rStyle w:val="Hyperlink"/>
          </w:rPr>
          <w:t xml:space="preserve">https://learn.microsoft.com/troubleshoot/entra/entra-id/user-prov-sync/password-writeback-access-rights-permissions</w:t>
        </w:r>
      </w:hyperlink>
      <w:r>
        <w:t xml:space="preserve"> </w:t>
      </w:r>
      <w:r>
        <w:t xml:space="preserve">(accessed Oct 20, 2026).</w:t>
      </w:r>
    </w:p>
  </w:footnote>
  <w:footnote w:id="549">
    <w:p>
      <w:pPr>
        <w:pStyle w:val="FootnoteText"/>
      </w:pPr>
      <w:r>
        <w:rPr>
          <w:rStyle w:val="FootnoteReference"/>
        </w:rPr>
        <w:footnoteRef/>
      </w:r>
      <w:r>
        <w:t xml:space="preserve"> </w:t>
      </w:r>
      <w:r>
        <w:t xml:space="preserve">Microsoft Learn,</w:t>
      </w:r>
      <w:r>
        <w:t xml:space="preserve"> </w:t>
      </w:r>
      <w:r>
        <w:t xml:space="preserve">“Active Directory security groups”</w:t>
      </w:r>
      <w:r>
        <w:t xml:space="preserve"> </w:t>
      </w:r>
      <w:r>
        <w:t xml:space="preserve">(Pre–Windows 2000 Compatible Access),</w:t>
      </w:r>
      <w:r>
        <w:t xml:space="preserve"> </w:t>
      </w:r>
      <w:hyperlink r:id="rId550">
        <w:r>
          <w:rPr>
            <w:rStyle w:val="Hyperlink"/>
          </w:rPr>
          <w:t xml:space="preserve">https://learn.microsoft.com/windows-server/identity/ad-ds/manage/understand-security-groups</w:t>
        </w:r>
      </w:hyperlink>
      <w:r>
        <w:t xml:space="preserve"> </w:t>
      </w:r>
      <w:r>
        <w:t xml:space="preserve">(accessed Oct 20, 2026).</w:t>
      </w:r>
    </w:p>
  </w:footnote>
  <w:footnote w:id="552">
    <w:p>
      <w:pPr>
        <w:pStyle w:val="FootnoteText"/>
      </w:pPr>
      <w:r>
        <w:rPr>
          <w:rStyle w:val="FootnoteReference"/>
        </w:rPr>
        <w:footnoteRef/>
      </w:r>
      <w:r>
        <w:t xml:space="preserve"> </w:t>
      </w:r>
      <w:r>
        <w:t xml:space="preserve">Microsoft Learn,</w:t>
      </w:r>
      <w:r>
        <w:t xml:space="preserve"> </w:t>
      </w:r>
      <w:r>
        <w:t xml:space="preserve">“Appendix C: Protected Accounts and Groups in Active Directory,”</w:t>
      </w:r>
      <w:r>
        <w:t xml:space="preserve"> </w:t>
      </w:r>
      <w:hyperlink r:id="rId553">
        <w:r>
          <w:rPr>
            <w:rStyle w:val="Hyperlink"/>
          </w:rPr>
          <w:t xml:space="preserve">https://learn.microsoft.com/windows-server/identity/ad-ds/plan/security-best-practices/appendix-c--protected-accounts-and-groups-in-active-directory</w:t>
        </w:r>
      </w:hyperlink>
      <w:r>
        <w:t xml:space="preserve"> </w:t>
      </w:r>
      <w:r>
        <w:t xml:space="preserve">(accessed Oct 20, 2026).</w:t>
      </w:r>
    </w:p>
  </w:footnote>
  <w:footnote w:id="554">
    <w:p>
      <w:pPr>
        <w:pStyle w:val="FootnoteText"/>
      </w:pPr>
      <w:r>
        <w:rPr>
          <w:rStyle w:val="FootnoteReference"/>
        </w:rPr>
        <w:footnoteRef/>
      </w:r>
      <w:r>
        <w:t xml:space="preserve"> </w:t>
      </w:r>
      <w:r>
        <w:t xml:space="preserve">Microsoft Learn,</w:t>
      </w:r>
      <w:r>
        <w:t xml:space="preserve"> </w:t>
      </w:r>
      <w:r>
        <w:t xml:space="preserve">“Reducing the Active Directory Attack Surface”</w:t>
      </w:r>
      <w:r>
        <w:t xml:space="preserve"> </w:t>
      </w:r>
      <w:r>
        <w:t xml:space="preserve">(AdminSDHolder and SDProp; formerly protected objects),</w:t>
      </w:r>
      <w:r>
        <w:t xml:space="preserve"> </w:t>
      </w:r>
      <w:hyperlink r:id="rId555">
        <w:r>
          <w:rPr>
            <w:rStyle w:val="Hyperlink"/>
          </w:rPr>
          <w:t xml:space="preserve">https://learn.microsoft.com/windows-server/identity/ad-ds/plan/security-best-practices/reducing-the-active-directory-attack-surface</w:t>
        </w:r>
      </w:hyperlink>
      <w:r>
        <w:t xml:space="preserve"> </w:t>
      </w:r>
      <w:r>
        <w:t xml:space="preserve">(accessed Oct 20, 2026).</w:t>
      </w:r>
    </w:p>
  </w:footnote>
  <w:footnote w:id="557">
    <w:p>
      <w:pPr>
        <w:pStyle w:val="FootnoteText"/>
      </w:pPr>
      <w:r>
        <w:rPr>
          <w:rStyle w:val="FootnoteReference"/>
        </w:rPr>
        <w:footnoteRef/>
      </w:r>
      <w:r>
        <w:t xml:space="preserve"> </w:t>
      </w:r>
      <w:r>
        <w:t xml:space="preserve">Microsoft Learn,</w:t>
      </w:r>
      <w:r>
        <w:t xml:space="preserve"> </w:t>
      </w:r>
      <w:r>
        <w:t xml:space="preserve">“Mark an attribute as confidential in Windows Server 2003 Service Pack 1”</w:t>
      </w:r>
      <w:r>
        <w:t xml:space="preserve"> </w:t>
      </w:r>
      <w:r>
        <w:t xml:space="preserve">(KB 922836),</w:t>
      </w:r>
      <w:r>
        <w:t xml:space="preserve"> </w:t>
      </w:r>
      <w:hyperlink r:id="rId558">
        <w:r>
          <w:rPr>
            <w:rStyle w:val="Hyperlink"/>
          </w:rPr>
          <w:t xml:space="preserve">https://learn.microsoft.com/troubleshoot/windows-server/windows-security/mark-attribute-as-confidential</w:t>
        </w:r>
      </w:hyperlink>
      <w:r>
        <w:t xml:space="preserve"> </w:t>
      </w:r>
      <w:r>
        <w:t xml:space="preserve">(accessed Oct 20, 2026).</w:t>
      </w:r>
    </w:p>
  </w:footnote>
  <w:footnote w:id="559">
    <w:p>
      <w:pPr>
        <w:pStyle w:val="FootnoteText"/>
      </w:pPr>
      <w:r>
        <w:rPr>
          <w:rStyle w:val="FootnoteReference"/>
        </w:rPr>
        <w:footnoteRef/>
      </w:r>
      <w:r>
        <w:t xml:space="preserve"> </w:t>
      </w:r>
      <w:r>
        <w:t xml:space="preserve">Microsoft Learn,</w:t>
      </w:r>
      <w:r>
        <w:t xml:space="preserve"> </w:t>
      </w:r>
      <w:r>
        <w:t xml:space="preserve">“Search-Flags attribute,”</w:t>
      </w:r>
      <w:r>
        <w:t xml:space="preserve"> </w:t>
      </w:r>
      <w:hyperlink r:id="rId560">
        <w:r>
          <w:rPr>
            <w:rStyle w:val="Hyperlink"/>
          </w:rPr>
          <w:t xml:space="preserve">https://learn.microsoft.com/windows/win32/adschema/a-searchflags</w:t>
        </w:r>
      </w:hyperlink>
      <w:r>
        <w:t xml:space="preserve"> </w:t>
      </w:r>
      <w:r>
        <w:t xml:space="preserve">(accessed Oct 20, 2026).</w:t>
      </w:r>
    </w:p>
  </w:footnote>
  <w:footnote w:id="561">
    <w:p>
      <w:pPr>
        <w:pStyle w:val="FootnoteText"/>
      </w:pPr>
      <w:r>
        <w:rPr>
          <w:rStyle w:val="FootnoteReference"/>
        </w:rPr>
        <w:footnoteRef/>
      </w:r>
      <w:r>
        <w:t xml:space="preserve"> </w:t>
      </w:r>
      <w:r>
        <w:t xml:space="preserve">Microsoft Learn,</w:t>
      </w:r>
      <w:r>
        <w:t xml:space="preserve"> </w:t>
      </w:r>
      <w:r>
        <w:t xml:space="preserve">“Accounts security posture assessments”</w:t>
      </w:r>
      <w:r>
        <w:t xml:space="preserve"> </w:t>
      </w:r>
      <w:r>
        <w:t xml:space="preserve">(Microsoft LAPS usage),</w:t>
      </w:r>
      <w:r>
        <w:t xml:space="preserve"> </w:t>
      </w:r>
      <w:hyperlink r:id="rId562">
        <w:r>
          <w:rPr>
            <w:rStyle w:val="Hyperlink"/>
          </w:rPr>
          <w:t xml:space="preserve">https://learn.microsoft.com/defender-for-identity/security-posture-assessments/accounts</w:t>
        </w:r>
      </w:hyperlink>
      <w:r>
        <w:t xml:space="preserve"> </w:t>
      </w:r>
      <w:r>
        <w:t xml:space="preserve">(accessed Oct 20, 2026).</w:t>
      </w:r>
    </w:p>
  </w:footnote>
  <w:footnote w:id="563">
    <w:p>
      <w:pPr>
        <w:pStyle w:val="FootnoteText"/>
      </w:pPr>
      <w:r>
        <w:rPr>
          <w:rStyle w:val="FootnoteReference"/>
        </w:rPr>
        <w:footnoteRef/>
      </w:r>
      <w:r>
        <w:t xml:space="preserve"> </w:t>
      </w:r>
      <w:r>
        <w:t xml:space="preserve">Microsoft Learn,</w:t>
      </w:r>
      <w:r>
        <w:t xml:space="preserve"> </w:t>
      </w:r>
      <w:r>
        <w:t xml:space="preserve">“Windows LAPS schema extensions reference,”</w:t>
      </w:r>
      <w:r>
        <w:t xml:space="preserve"> </w:t>
      </w:r>
      <w:hyperlink r:id="rId564">
        <w:r>
          <w:rPr>
            <w:rStyle w:val="Hyperlink"/>
          </w:rPr>
          <w:t xml:space="preserve">https://learn.microsoft.com/windows-server/identity/laps/laps-technical-reference</w:t>
        </w:r>
      </w:hyperlink>
      <w:r>
        <w:t xml:space="preserve"> </w:t>
      </w:r>
      <w:r>
        <w:t xml:space="preserve">(accessed Oct 20, 2026).</w:t>
      </w:r>
    </w:p>
  </w:footnote>
  <w:footnote w:id="565">
    <w:p>
      <w:pPr>
        <w:pStyle w:val="FootnoteText"/>
      </w:pPr>
      <w:r>
        <w:rPr>
          <w:rStyle w:val="FootnoteReference"/>
        </w:rPr>
        <w:footnoteRef/>
      </w:r>
      <w:r>
        <w:t xml:space="preserve"> </w:t>
      </w:r>
      <w:r>
        <w:t xml:space="preserve">Microsoft Learn,</w:t>
      </w:r>
      <w:r>
        <w:t xml:space="preserve"> </w:t>
      </w:r>
      <w:r>
        <w:t xml:space="preserve">“What is Windows LAPS?”</w:t>
      </w:r>
      <w:r>
        <w:t xml:space="preserve"> </w:t>
      </w:r>
      <w:r>
        <w:t xml:space="preserve">(deprecation of the legacy Microsoft LAPS product),</w:t>
      </w:r>
      <w:r>
        <w:t xml:space="preserve"> </w:t>
      </w:r>
      <w:hyperlink r:id="rId566">
        <w:r>
          <w:rPr>
            <w:rStyle w:val="Hyperlink"/>
          </w:rPr>
          <w:t xml:space="preserve">https://learn.microsoft.com/windows-server/identity/laps/laps-overview</w:t>
        </w:r>
      </w:hyperlink>
      <w:r>
        <w:t xml:space="preserve"> </w:t>
      </w:r>
      <w:r>
        <w:t xml:space="preserve">(accessed Oct 20, 2026).</w:t>
      </w:r>
    </w:p>
  </w:footnote>
  <w:footnote w:id="568">
    <w:p>
      <w:pPr>
        <w:pStyle w:val="FootnoteText"/>
      </w:pPr>
      <w:r>
        <w:rPr>
          <w:rStyle w:val="FootnoteReference"/>
        </w:rPr>
        <w:footnoteRef/>
      </w:r>
      <w:r>
        <w:t xml:space="preserve"> </w:t>
      </w:r>
      <w:r>
        <w:t xml:space="preserve">Microsoft Learn,</w:t>
      </w:r>
      <w:r>
        <w:t xml:space="preserve"> </w:t>
      </w:r>
      <w:r>
        <w:t xml:space="preserve">“DS-Replication-Get-Changes-All extended right,”</w:t>
      </w:r>
      <w:r>
        <w:t xml:space="preserve"> </w:t>
      </w:r>
      <w:hyperlink r:id="rId569">
        <w:r>
          <w:rPr>
            <w:rStyle w:val="Hyperlink"/>
          </w:rPr>
          <w:t xml:space="preserve">https://learn.microsoft.com/windows/win32/adschema/r-ds-replication-get-changes-all</w:t>
        </w:r>
      </w:hyperlink>
      <w:r>
        <w:t xml:space="preserve"> </w:t>
      </w:r>
      <w:r>
        <w:t xml:space="preserve">(accessed Oct 20, 2026).</w:t>
      </w:r>
    </w:p>
  </w:footnote>
  <w:footnote w:id="570">
    <w:p>
      <w:pPr>
        <w:pStyle w:val="FootnoteText"/>
      </w:pPr>
      <w:r>
        <w:rPr>
          <w:rStyle w:val="FootnoteReference"/>
        </w:rPr>
        <w:footnoteRef/>
      </w:r>
      <w:r>
        <w:t xml:space="preserve"> </w:t>
      </w:r>
      <w:r>
        <w:t xml:space="preserve">Microsoft Learn,</w:t>
      </w:r>
      <w:r>
        <w:t xml:space="preserve"> </w:t>
      </w:r>
      <w:r>
        <w:t xml:space="preserve">“Implement password hash synchronization with Microsoft Entra Connect Sync,”</w:t>
      </w:r>
      <w:r>
        <w:t xml:space="preserve"> </w:t>
      </w:r>
      <w:hyperlink r:id="rId146">
        <w:r>
          <w:rPr>
            <w:rStyle w:val="Hyperlink"/>
          </w:rPr>
          <w:t xml:space="preserve">https://learn.microsoft.com/entra/identity/hybrid/connect/how-to-connect-password-hash-synchronization</w:t>
        </w:r>
      </w:hyperlink>
      <w:r>
        <w:t xml:space="preserve"> </w:t>
      </w:r>
      <w:r>
        <w:t xml:space="preserve">(accessed Oct 20, 2026).</w:t>
      </w:r>
    </w:p>
  </w:footnote>
  <w:footnote w:id="572">
    <w:p>
      <w:pPr>
        <w:pStyle w:val="FootnoteText"/>
      </w:pPr>
      <w:r>
        <w:rPr>
          <w:rStyle w:val="FootnoteReference"/>
        </w:rPr>
        <w:footnoteRef/>
      </w:r>
      <w:r>
        <w:t xml:space="preserve"> </w:t>
      </w:r>
      <w:r>
        <w:t xml:space="preserve">Microsoft Learn,</w:t>
      </w:r>
      <w:r>
        <w:t xml:space="preserve"> </w:t>
      </w:r>
      <w:r>
        <w:t xml:space="preserve">“Let nonadministrators view the contents of the Active Directory deleted objects container”</w:t>
      </w:r>
      <w:r>
        <w:t xml:space="preserve"> </w:t>
      </w:r>
      <w:r>
        <w:t xml:space="preserve">(KB 892806),</w:t>
      </w:r>
      <w:r>
        <w:t xml:space="preserve"> </w:t>
      </w:r>
      <w:hyperlink r:id="rId573">
        <w:r>
          <w:rPr>
            <w:rStyle w:val="Hyperlink"/>
          </w:rPr>
          <w:t xml:space="preserve">https://learn.microsoft.com/troubleshoot/windows-server/active-directory/non-administrators-view-deleted-object-container</w:t>
        </w:r>
      </w:hyperlink>
      <w:r>
        <w:t xml:space="preserve"> </w:t>
      </w:r>
      <w:r>
        <w:t xml:space="preserve">(accessed Oct 20, 2026).</w:t>
      </w:r>
    </w:p>
  </w:footnote>
  <w:footnote w:id="574">
    <w:p>
      <w:pPr>
        <w:pStyle w:val="FootnoteText"/>
      </w:pPr>
      <w:r>
        <w:rPr>
          <w:rStyle w:val="FootnoteReference"/>
        </w:rPr>
        <w:footnoteRef/>
      </w:r>
      <w:r>
        <w:t xml:space="preserve"> </w:t>
      </w:r>
      <w:r>
        <w:t xml:space="preserve">Microsoft Learn,</w:t>
      </w:r>
      <w:r>
        <w:t xml:space="preserve"> </w:t>
      </w:r>
      <w:r>
        <w:t xml:space="preserve">“Restoring Deleted Objects”</w:t>
      </w:r>
      <w:r>
        <w:t xml:space="preserve"> </w:t>
      </w:r>
      <w:r>
        <w:t xml:space="preserve">(permissions required),</w:t>
      </w:r>
      <w:r>
        <w:t xml:space="preserve"> </w:t>
      </w:r>
      <w:hyperlink r:id="rId575">
        <w:r>
          <w:rPr>
            <w:rStyle w:val="Hyperlink"/>
          </w:rPr>
          <w:t xml:space="preserve">https://learn.microsoft.com/windows/win32/ad/restoring-deleted-objects</w:t>
        </w:r>
      </w:hyperlink>
      <w:r>
        <w:t xml:space="preserve"> </w:t>
      </w:r>
      <w:r>
        <w:t xml:space="preserve">(accessed Oct 20, 2026).</w:t>
      </w:r>
    </w:p>
  </w:footnote>
  <w:footnote w:id="576">
    <w:p>
      <w:pPr>
        <w:pStyle w:val="FootnoteText"/>
      </w:pPr>
      <w:r>
        <w:rPr>
          <w:rStyle w:val="FootnoteReference"/>
        </w:rPr>
        <w:footnoteRef/>
      </w:r>
      <w:r>
        <w:t xml:space="preserve"> </w:t>
      </w:r>
      <w:r>
        <w:t xml:space="preserve">Microsoft Learn,</w:t>
      </w:r>
      <w:r>
        <w:t xml:space="preserve"> </w:t>
      </w:r>
      <w:r>
        <w:t xml:space="preserve">“Advanced AD DS Management using Active Directory Administrative Center (Level 200)”</w:t>
      </w:r>
      <w:r>
        <w:t xml:space="preserve"> </w:t>
      </w:r>
      <w:r>
        <w:t xml:space="preserve">(Active Directory Recycle Bin; tombstoneLifetime),</w:t>
      </w:r>
      <w:r>
        <w:t xml:space="preserve"> </w:t>
      </w:r>
      <w:hyperlink r:id="rId577">
        <w:r>
          <w:rPr>
            <w:rStyle w:val="Hyperlink"/>
          </w:rPr>
          <w:t xml:space="preserve">https://learn.microsoft.com/windows-server/identity/ad-ds/get-started/adac/advanced-ad-ds-management-using-active-directory-administrative-center--level-200-</w:t>
        </w:r>
      </w:hyperlink>
      <w:r>
        <w:t xml:space="preserve"> </w:t>
      </w:r>
      <w:r>
        <w:t xml:space="preserve">(accessed Oct 20, 2026).</w:t>
      </w:r>
    </w:p>
  </w:footnote>
  <w:footnote w:id="578">
    <w:p>
      <w:pPr>
        <w:pStyle w:val="FootnoteText"/>
      </w:pPr>
      <w:r>
        <w:rPr>
          <w:rStyle w:val="FootnoteReference"/>
        </w:rPr>
        <w:footnoteRef/>
      </w:r>
      <w:r>
        <w:t xml:space="preserve"> </w:t>
      </w:r>
      <w:r>
        <w:t xml:space="preserve">Microsoft Learn,</w:t>
      </w:r>
      <w:r>
        <w:t xml:space="preserve"> </w:t>
      </w:r>
      <w:r>
        <w:t xml:space="preserve">“Configure fine grained password policies for Active Directory Domain Services,”</w:t>
      </w:r>
      <w:r>
        <w:t xml:space="preserve"> </w:t>
      </w:r>
      <w:hyperlink r:id="rId579">
        <w:r>
          <w:rPr>
            <w:rStyle w:val="Hyperlink"/>
          </w:rPr>
          <w:t xml:space="preserve">https://learn.microsoft.com/windows-server/identity/ad-ds/get-started/adac/fine-grained-password-policies</w:t>
        </w:r>
      </w:hyperlink>
      <w:r>
        <w:t xml:space="preserve"> </w:t>
      </w:r>
      <w:r>
        <w:t xml:space="preserve">(accessed Oct 20, 2026).</w:t>
      </w:r>
    </w:p>
  </w:footnote>
  <w:footnote w:id="584">
    <w:p>
      <w:pPr>
        <w:pStyle w:val="FootnoteText"/>
      </w:pPr>
      <w:r>
        <w:rPr>
          <w:rStyle w:val="FootnoteReference"/>
        </w:rPr>
        <w:footnoteRef/>
      </w:r>
      <w:r>
        <w:t xml:space="preserve"> </w:t>
      </w:r>
      <w:r>
        <w:t xml:space="preserve">Microsoft Learn,</w:t>
      </w:r>
      <w:r>
        <w:t xml:space="preserve"> </w:t>
      </w:r>
      <w:r>
        <w:t xml:space="preserve">“Microsoft Defender for Identity alerts in Microsoft Defender format”</w:t>
      </w:r>
      <w:r>
        <w:t xml:space="preserve"> </w:t>
      </w:r>
      <w:r>
        <w:t xml:space="preserve">(discovery alerts, including Active Directory enumeration and LDAP queries targeting sensitive attributes),</w:t>
      </w:r>
      <w:r>
        <w:t xml:space="preserve"> </w:t>
      </w:r>
      <w:hyperlink r:id="rId585">
        <w:r>
          <w:rPr>
            <w:rStyle w:val="Hyperlink"/>
          </w:rPr>
          <w:t xml:space="preserve">https://learn.microsoft.com/defender-for-identity/alerts-xdr</w:t>
        </w:r>
      </w:hyperlink>
      <w:r>
        <w:t xml:space="preserve"> </w:t>
      </w:r>
      <w:r>
        <w:t xml:space="preserve">(accessed Oct 20, 2026).</w:t>
      </w:r>
    </w:p>
  </w:footnote>
  <w:footnote w:id="602">
    <w:p>
      <w:pPr>
        <w:pStyle w:val="FootnoteText"/>
      </w:pPr>
      <w:r>
        <w:rPr>
          <w:rStyle w:val="FootnoteReference"/>
        </w:rPr>
        <w:footnoteRef/>
      </w:r>
      <w:r>
        <w:t xml:space="preserve"> </w:t>
      </w:r>
      <w:r>
        <w:t xml:space="preserve">Microsoft Learn,</w:t>
      </w:r>
      <w:r>
        <w:t xml:space="preserve"> </w:t>
      </w:r>
      <w:r>
        <w:t xml:space="preserve">“Windows Server release information”</w:t>
      </w:r>
      <w:r>
        <w:t xml:space="preserve"> </w:t>
      </w:r>
      <w:r>
        <w:t xml:space="preserve">and</w:t>
      </w:r>
      <w:r>
        <w:t xml:space="preserve"> </w:t>
      </w:r>
      <w:r>
        <w:t xml:space="preserve">“Windows 11 release information,”</w:t>
      </w:r>
      <w:r>
        <w:t xml:space="preserve"> </w:t>
      </w:r>
      <w:hyperlink r:id="rId603">
        <w:r>
          <w:rPr>
            <w:rStyle w:val="Hyperlink"/>
          </w:rPr>
          <w:t xml:space="preserve">https://learn.microsoft.com/windows/release-health/windows-server-release-info</w:t>
        </w:r>
      </w:hyperlink>
      <w:r>
        <w:t xml:space="preserve"> </w:t>
      </w:r>
      <w:r>
        <w:t xml:space="preserve">and</w:t>
      </w:r>
      <w:r>
        <w:t xml:space="preserve"> </w:t>
      </w:r>
      <w:hyperlink r:id="rId604">
        <w:r>
          <w:rPr>
            <w:rStyle w:val="Hyperlink"/>
          </w:rPr>
          <w:t xml:space="preserve">https://learn.microsoft.com/windows/release-health/windows11-release-information</w:t>
        </w:r>
      </w:hyperlink>
      <w:r>
        <w:t xml:space="preserve"> </w:t>
      </w:r>
      <w:r>
        <w:t xml:space="preserve">(accessed Oct 20, 2026).</w:t>
      </w:r>
    </w:p>
  </w:footnote>
  <w:footnote w:id="605">
    <w:p>
      <w:pPr>
        <w:pStyle w:val="FootnoteText"/>
      </w:pPr>
      <w:r>
        <w:rPr>
          <w:rStyle w:val="FootnoteReference"/>
        </w:rPr>
        <w:footnoteRef/>
      </w:r>
      <w:r>
        <w:t xml:space="preserve"> </w:t>
      </w:r>
      <w:r>
        <w:t xml:space="preserve">Microsoft Learn,</w:t>
      </w:r>
      <w:r>
        <w:t xml:space="preserve"> </w:t>
      </w:r>
      <w:r>
        <w:t xml:space="preserve">“Install and manage Remote Server Administration Tools in Windows,”</w:t>
      </w:r>
      <w:r>
        <w:t xml:space="preserve"> </w:t>
      </w:r>
      <w:hyperlink r:id="rId606">
        <w:r>
          <w:rPr>
            <w:rStyle w:val="Hyperlink"/>
          </w:rPr>
          <w:t xml:space="preserve">https://learn.microsoft.com/windows-server/administration/install-remote-server-administration-tools</w:t>
        </w:r>
      </w:hyperlink>
      <w:r>
        <w:t xml:space="preserve"> </w:t>
      </w:r>
      <w:r>
        <w:t xml:space="preserve">(accessed Oct 20, 2026).</w:t>
      </w:r>
    </w:p>
  </w:footnote>
  <w:footnote w:id="607">
    <w:p>
      <w:pPr>
        <w:pStyle w:val="FootnoteText"/>
      </w:pPr>
      <w:r>
        <w:rPr>
          <w:rStyle w:val="FootnoteReference"/>
        </w:rPr>
        <w:footnoteRef/>
      </w:r>
      <w:r>
        <w:t xml:space="preserve"> </w:t>
      </w:r>
      <w:r>
        <w:t xml:space="preserve">Microsoft Learn,</w:t>
      </w:r>
      <w:r>
        <w:t xml:space="preserve"> </w:t>
      </w:r>
      <w:r>
        <w:t xml:space="preserve">“Available Features on Demand,”</w:t>
      </w:r>
      <w:r>
        <w:t xml:space="preserve"> </w:t>
      </w:r>
      <w:r>
        <w:t xml:space="preserve">section</w:t>
      </w:r>
      <w:r>
        <w:t xml:space="preserve"> </w:t>
      </w:r>
      <w:r>
        <w:t xml:space="preserve">“Remote server administration tools (RSAT),”</w:t>
      </w:r>
      <w:r>
        <w:t xml:space="preserve"> </w:t>
      </w:r>
      <w:hyperlink r:id="rId608">
        <w:r>
          <w:rPr>
            <w:rStyle w:val="Hyperlink"/>
          </w:rPr>
          <w:t xml:space="preserve">https://learn.microsoft.com/windows-hardware/manufacture/desktop/features-on-demand-non-language-fod</w:t>
        </w:r>
      </w:hyperlink>
      <w:r>
        <w:t xml:space="preserve"> </w:t>
      </w:r>
      <w:r>
        <w:t xml:space="preserve">(accessed Oct 20, 2026).</w:t>
      </w:r>
    </w:p>
  </w:footnote>
  <w:footnote w:id="609">
    <w:p>
      <w:pPr>
        <w:pStyle w:val="FootnoteText"/>
      </w:pPr>
      <w:r>
        <w:rPr>
          <w:rStyle w:val="FootnoteReference"/>
        </w:rPr>
        <w:footnoteRef/>
      </w:r>
      <w:r>
        <w:t xml:space="preserve"> </w:t>
      </w:r>
      <w:r>
        <w:t xml:space="preserve">Microsoft Learn,</w:t>
      </w:r>
      <w:r>
        <w:t xml:space="preserve"> </w:t>
      </w:r>
      <w:r>
        <w:t xml:space="preserve">“Install and manage Remote Server Administration Tools in Windows,”</w:t>
      </w:r>
      <w:r>
        <w:t xml:space="preserve"> </w:t>
      </w:r>
      <w:hyperlink r:id="rId606">
        <w:r>
          <w:rPr>
            <w:rStyle w:val="Hyperlink"/>
          </w:rPr>
          <w:t xml:space="preserve">https://learn.microsoft.com/windows-server/administration/install-remote-server-administration-tools</w:t>
        </w:r>
      </w:hyperlink>
      <w:r>
        <w:t xml:space="preserve"> </w:t>
      </w:r>
      <w:r>
        <w:t xml:space="preserve">(accessed Oct 20, 2026).</w:t>
      </w:r>
    </w:p>
  </w:footnote>
  <w:footnote w:id="610">
    <w:p>
      <w:pPr>
        <w:pStyle w:val="FootnoteText"/>
      </w:pPr>
      <w:r>
        <w:rPr>
          <w:rStyle w:val="FootnoteReference"/>
        </w:rPr>
        <w:footnoteRef/>
      </w:r>
      <w:r>
        <w:t xml:space="preserve"> </w:t>
      </w:r>
      <w:r>
        <w:t xml:space="preserve">Microsoft Learn,</w:t>
      </w:r>
      <w:r>
        <w:t xml:space="preserve"> </w:t>
      </w:r>
      <w:r>
        <w:t xml:space="preserve">“Making the second hop in PowerShell Remoting,”</w:t>
      </w:r>
      <w:r>
        <w:t xml:space="preserve"> </w:t>
      </w:r>
      <w:hyperlink r:id="rId611">
        <w:r>
          <w:rPr>
            <w:rStyle w:val="Hyperlink"/>
          </w:rPr>
          <w:t xml:space="preserve">https://learn.microsoft.com/powershell/scripting/security/remoting/ps-remoting-second-hop</w:t>
        </w:r>
      </w:hyperlink>
      <w:r>
        <w:t xml:space="preserve"> </w:t>
      </w:r>
      <w:r>
        <w:t xml:space="preserve">(accessed Oct 20, 2026).</w:t>
      </w:r>
    </w:p>
  </w:footnote>
  <w:footnote w:id="612">
    <w:p>
      <w:pPr>
        <w:pStyle w:val="FootnoteText"/>
      </w:pPr>
      <w:r>
        <w:rPr>
          <w:rStyle w:val="FootnoteReference"/>
        </w:rPr>
        <w:footnoteRef/>
      </w:r>
      <w:r>
        <w:t xml:space="preserve"> </w:t>
      </w:r>
      <w:r>
        <w:t xml:space="preserve">PKI Solutions,</w:t>
      </w:r>
      <w:r>
        <w:t xml:space="preserve"> </w:t>
      </w:r>
      <w:r>
        <w:t xml:space="preserve">“PowerShell PKI (PSPKI) Module,”</w:t>
      </w:r>
      <w:r>
        <w:t xml:space="preserve"> </w:t>
      </w:r>
      <w:hyperlink r:id="rId613">
        <w:r>
          <w:rPr>
            <w:rStyle w:val="Hyperlink"/>
          </w:rPr>
          <w:t xml:space="preserve">https://www.pkisolutions.com/tools/pspki/</w:t>
        </w:r>
      </w:hyperlink>
      <w:r>
        <w:t xml:space="preserve"> </w:t>
      </w:r>
      <w:r>
        <w:t xml:space="preserve">(accessed Oct 20, 2026).</w:t>
      </w:r>
    </w:p>
  </w:footnote>
  <w:footnote w:id="614">
    <w:p>
      <w:pPr>
        <w:pStyle w:val="FootnoteText"/>
      </w:pPr>
      <w:r>
        <w:rPr>
          <w:rStyle w:val="FootnoteReference"/>
        </w:rPr>
        <w:footnoteRef/>
      </w:r>
      <w:r>
        <w:t xml:space="preserve"> </w:t>
      </w:r>
      <w:r>
        <w:t xml:space="preserve">PowerShell Gallery,</w:t>
      </w:r>
      <w:r>
        <w:t xml:space="preserve"> </w:t>
      </w:r>
      <w:r>
        <w:t xml:space="preserve">“PSPKI 4.4.1,”</w:t>
      </w:r>
      <w:r>
        <w:t xml:space="preserve"> </w:t>
      </w:r>
      <w:hyperlink r:id="rId615">
        <w:r>
          <w:rPr>
            <w:rStyle w:val="Hyperlink"/>
          </w:rPr>
          <w:t xml:space="preserve">https://www.powershellgallery.com/packages/PSPKI</w:t>
        </w:r>
      </w:hyperlink>
      <w:r>
        <w:t xml:space="preserve"> </w:t>
      </w:r>
      <w:r>
        <w:t xml:space="preserve">(accessed Oct 20, 2026).</w:t>
      </w:r>
    </w:p>
  </w:footnote>
  <w:footnote w:id="617">
    <w:p>
      <w:pPr>
        <w:pStyle w:val="FootnoteText"/>
      </w:pPr>
      <w:r>
        <w:rPr>
          <w:rStyle w:val="FootnoteReference"/>
        </w:rPr>
        <w:footnoteRef/>
      </w:r>
      <w:r>
        <w:t xml:space="preserve"> </w:t>
      </w:r>
      <w:r>
        <w:t xml:space="preserve">Microsoft Learn,</w:t>
      </w:r>
      <w:r>
        <w:t xml:space="preserve"> </w:t>
      </w:r>
      <w:r>
        <w:t xml:space="preserve">“Security assessment: Unsafe permissions on the DnsAdmins group,”</w:t>
      </w:r>
      <w:r>
        <w:t xml:space="preserve"> </w:t>
      </w:r>
      <w:hyperlink r:id="rId618">
        <w:r>
          <w:rPr>
            <w:rStyle w:val="Hyperlink"/>
          </w:rPr>
          <w:t xml:space="preserve">https://learn.microsoft.com/defender-for-identity/unsafe-permissions-dns-admins-group</w:t>
        </w:r>
      </w:hyperlink>
      <w:r>
        <w:t xml:space="preserve"> </w:t>
      </w:r>
      <w:r>
        <w:t xml:space="preserve">(accessed Oct 20, 2026).</w:t>
      </w:r>
    </w:p>
  </w:footnote>
  <w:footnote w:id="619">
    <w:p>
      <w:pPr>
        <w:pStyle w:val="FootnoteText"/>
      </w:pPr>
      <w:r>
        <w:rPr>
          <w:rStyle w:val="FootnoteReference"/>
        </w:rPr>
        <w:footnoteRef/>
      </w:r>
      <w:r>
        <w:t xml:space="preserve"> </w:t>
      </w:r>
      <w:r>
        <w:t xml:space="preserve">Microsoft Learn,</w:t>
      </w:r>
      <w:r>
        <w:t xml:space="preserve"> </w:t>
      </w:r>
      <w:r>
        <w:t xml:space="preserve">“netdom trust”</w:t>
      </w:r>
      <w:r>
        <w:t xml:space="preserve"> </w:t>
      </w:r>
      <w:r>
        <w:t xml:space="preserve">and</w:t>
      </w:r>
      <w:r>
        <w:t xml:space="preserve"> </w:t>
      </w:r>
      <w:r>
        <w:t xml:space="preserve">“netdom query,”</w:t>
      </w:r>
      <w:r>
        <w:t xml:space="preserve"> </w:t>
      </w:r>
      <w:hyperlink r:id="rId620">
        <w:r>
          <w:rPr>
            <w:rStyle w:val="Hyperlink"/>
          </w:rPr>
          <w:t xml:space="preserve">https://learn.microsoft.com/windows-server/administration/windows-commands/netdom-trust</w:t>
        </w:r>
      </w:hyperlink>
      <w:r>
        <w:t xml:space="preserve"> </w:t>
      </w:r>
      <w:r>
        <w:t xml:space="preserve">and</w:t>
      </w:r>
      <w:r>
        <w:t xml:space="preserve"> </w:t>
      </w:r>
      <w:hyperlink r:id="rId621">
        <w:r>
          <w:rPr>
            <w:rStyle w:val="Hyperlink"/>
          </w:rPr>
          <w:t xml:space="preserve">https://learn.microsoft.com/windows-server/administration/windows-commands/netdom-query</w:t>
        </w:r>
      </w:hyperlink>
      <w:r>
        <w:t xml:space="preserve"> </w:t>
      </w:r>
      <w:r>
        <w:t xml:space="preserve">(accessed Oct 20, 2026).</w:t>
      </w:r>
    </w:p>
  </w:footnote>
  <w:footnote w:id="624">
    <w:p>
      <w:pPr>
        <w:pStyle w:val="FootnoteText"/>
      </w:pPr>
      <w:r>
        <w:rPr>
          <w:rStyle w:val="FootnoteReference"/>
        </w:rPr>
        <w:footnoteRef/>
      </w:r>
      <w:r>
        <w:t xml:space="preserve"> </w:t>
      </w:r>
      <w:r>
        <w:t xml:space="preserve">Microsoft Learn,</w:t>
      </w:r>
      <w:r>
        <w:t xml:space="preserve"> </w:t>
      </w:r>
      <w:r>
        <w:t xml:space="preserve">“Flexible Single Master Operations roles in Active Directory Domain Services,”</w:t>
      </w:r>
      <w:r>
        <w:t xml:space="preserve"> </w:t>
      </w:r>
      <w:hyperlink r:id="rId625">
        <w:r>
          <w:rPr>
            <w:rStyle w:val="Hyperlink"/>
          </w:rPr>
          <w:t xml:space="preserve">https://learn.microsoft.com/windows-server/identity/ad-ds/manage/understand-fsmo-roles</w:t>
        </w:r>
      </w:hyperlink>
      <w:r>
        <w:t xml:space="preserve"> </w:t>
      </w:r>
      <w:r>
        <w:t xml:space="preserve">(accessed Oct 20, 2026).</w:t>
      </w:r>
    </w:p>
  </w:footnote>
  <w:footnote w:id="626">
    <w:p>
      <w:pPr>
        <w:pStyle w:val="FootnoteText"/>
      </w:pPr>
      <w:r>
        <w:rPr>
          <w:rStyle w:val="FootnoteReference"/>
        </w:rPr>
        <w:footnoteRef/>
      </w:r>
      <w:r>
        <w:t xml:space="preserve"> </w:t>
      </w:r>
      <w:r>
        <w:t xml:space="preserve">Microsoft Learn,</w:t>
      </w:r>
      <w:r>
        <w:t xml:space="preserve"> </w:t>
      </w:r>
      <w:r>
        <w:t xml:space="preserve">“Flexible Single Master Operations roles in Active Directory Domain Services,”</w:t>
      </w:r>
      <w:r>
        <w:t xml:space="preserve"> </w:t>
      </w:r>
      <w:hyperlink r:id="rId625">
        <w:r>
          <w:rPr>
            <w:rStyle w:val="Hyperlink"/>
          </w:rPr>
          <w:t xml:space="preserve">https://learn.microsoft.com/windows-server/identity/ad-ds/manage/understand-fsmo-roles</w:t>
        </w:r>
      </w:hyperlink>
      <w:r>
        <w:t xml:space="preserve"> </w:t>
      </w:r>
      <w:r>
        <w:t xml:space="preserve">(accessed Oct 20, 2026).</w:t>
      </w:r>
    </w:p>
  </w:footnote>
  <w:footnote w:id="627">
    <w:p>
      <w:pPr>
        <w:pStyle w:val="FootnoteText"/>
      </w:pPr>
      <w:r>
        <w:rPr>
          <w:rStyle w:val="FootnoteReference"/>
        </w:rPr>
        <w:footnoteRef/>
      </w:r>
      <w:r>
        <w:t xml:space="preserve"> </w:t>
      </w:r>
      <w:r>
        <w:t xml:space="preserve">Microsoft Learn,</w:t>
      </w:r>
      <w:r>
        <w:t xml:space="preserve"> </w:t>
      </w:r>
      <w:r>
        <w:t xml:space="preserve">“Transfer Flexible Single Master Operations roles,”</w:t>
      </w:r>
      <w:r>
        <w:t xml:space="preserve"> </w:t>
      </w:r>
      <w:r>
        <w:t xml:space="preserve">section</w:t>
      </w:r>
      <w:r>
        <w:t xml:space="preserve"> </w:t>
      </w:r>
      <w:r>
        <w:t xml:space="preserve">“Find the current role holders,”</w:t>
      </w:r>
      <w:r>
        <w:t xml:space="preserve"> </w:t>
      </w:r>
      <w:hyperlink r:id="rId628">
        <w:r>
          <w:rPr>
            <w:rStyle w:val="Hyperlink"/>
          </w:rPr>
          <w:t xml:space="preserve">https://learn.microsoft.com/windows-server/identity/ad-ds/manage/manage-fsmo-roles</w:t>
        </w:r>
      </w:hyperlink>
      <w:r>
        <w:t xml:space="preserve"> </w:t>
      </w:r>
      <w:r>
        <w:t xml:space="preserve">(accessed Oct 20, 2026).</w:t>
      </w:r>
    </w:p>
  </w:footnote>
  <w:footnote w:id="630">
    <w:p>
      <w:pPr>
        <w:pStyle w:val="FootnoteText"/>
      </w:pPr>
      <w:r>
        <w:rPr>
          <w:rStyle w:val="FootnoteReference"/>
        </w:rPr>
        <w:footnoteRef/>
      </w:r>
      <w:r>
        <w:t xml:space="preserve"> </w:t>
      </w:r>
      <w:r>
        <w:t xml:space="preserve">Microsoft Learn,</w:t>
      </w:r>
      <w:r>
        <w:t xml:space="preserve"> </w:t>
      </w:r>
      <w:r>
        <w:t xml:space="preserve">“Set-ADForestMode,”</w:t>
      </w:r>
      <w:r>
        <w:t xml:space="preserve"> </w:t>
      </w:r>
      <w:r>
        <w:t xml:space="preserve">parameter</w:t>
      </w:r>
      <w:r>
        <w:t xml:space="preserve"> </w:t>
      </w:r>
      <w:r>
        <w:rPr>
          <w:rStyle w:val="VerbatimChar"/>
        </w:rPr>
        <w:t xml:space="preserve">-ForestMode</w:t>
      </w:r>
      <w:r>
        <w:t xml:space="preserve">,</w:t>
      </w:r>
      <w:r>
        <w:t xml:space="preserve"> </w:t>
      </w:r>
      <w:hyperlink r:id="rId631">
        <w:r>
          <w:rPr>
            <w:rStyle w:val="Hyperlink"/>
          </w:rPr>
          <w:t xml:space="preserve">https://learn.microsoft.com/powershell/module/activedirectory/set-adforestmode?view=windowsserver2025-ps</w:t>
        </w:r>
      </w:hyperlink>
      <w:r>
        <w:t xml:space="preserve"> </w:t>
      </w:r>
      <w:r>
        <w:t xml:space="preserve">(accessed Oct 20, 2026).</w:t>
      </w:r>
    </w:p>
  </w:footnote>
  <w:footnote w:id="632">
    <w:p>
      <w:pPr>
        <w:pStyle w:val="FootnoteText"/>
      </w:pPr>
      <w:r>
        <w:rPr>
          <w:rStyle w:val="FootnoteReference"/>
        </w:rPr>
        <w:footnoteRef/>
      </w:r>
      <w:r>
        <w:t xml:space="preserve"> </w:t>
      </w:r>
      <w:r>
        <w:t xml:space="preserve">Microsoft Learn,</w:t>
      </w:r>
      <w:r>
        <w:t xml:space="preserve"> </w:t>
      </w:r>
      <w:r>
        <w:t xml:space="preserve">“What’s new in Windows Server 2025,”</w:t>
      </w:r>
      <w:r>
        <w:t xml:space="preserve"> </w:t>
      </w:r>
      <w:r>
        <w:t xml:space="preserve">section</w:t>
      </w:r>
      <w:r>
        <w:t xml:space="preserve"> </w:t>
      </w:r>
      <w:r>
        <w:t xml:space="preserve">“Forest and domain functional levels,”</w:t>
      </w:r>
      <w:r>
        <w:t xml:space="preserve"> </w:t>
      </w:r>
      <w:hyperlink r:id="rId633">
        <w:r>
          <w:rPr>
            <w:rStyle w:val="Hyperlink"/>
          </w:rPr>
          <w:t xml:space="preserve">https://learn.microsoft.com/windows-server/get-started/whats-new-windows-server-2025</w:t>
        </w:r>
      </w:hyperlink>
      <w:r>
        <w:t xml:space="preserve"> </w:t>
      </w:r>
      <w:r>
        <w:t xml:space="preserve">(accessed Oct 20, 2026).</w:t>
      </w:r>
    </w:p>
  </w:footnote>
  <w:footnote w:id="634">
    <w:p>
      <w:pPr>
        <w:pStyle w:val="FootnoteText"/>
      </w:pPr>
      <w:r>
        <w:rPr>
          <w:rStyle w:val="FootnoteReference"/>
        </w:rPr>
        <w:footnoteRef/>
      </w:r>
      <w:r>
        <w:t xml:space="preserve"> </w:t>
      </w:r>
      <w:r>
        <w:t xml:space="preserve">Microsoft Learn,</w:t>
      </w:r>
      <w:r>
        <w:t xml:space="preserve"> </w:t>
      </w:r>
      <w:r>
        <w:t xml:space="preserve">“Active Directory Domain Services functional levels,”</w:t>
      </w:r>
      <w:r>
        <w:t xml:space="preserve"> </w:t>
      </w:r>
      <w:hyperlink r:id="rId635">
        <w:r>
          <w:rPr>
            <w:rStyle w:val="Hyperlink"/>
          </w:rPr>
          <w:t xml:space="preserve">https://learn.microsoft.com/windows-server/identity/ad-ds/active-directory-functional-levels</w:t>
        </w:r>
      </w:hyperlink>
      <w:r>
        <w:t xml:space="preserve"> </w:t>
      </w:r>
      <w:r>
        <w:t xml:space="preserve">(accessed Oct 20, 2026).</w:t>
      </w:r>
    </w:p>
  </w:footnote>
  <w:footnote w:id="636">
    <w:p>
      <w:pPr>
        <w:pStyle w:val="FootnoteText"/>
      </w:pPr>
      <w:r>
        <w:rPr>
          <w:rStyle w:val="FootnoteReference"/>
        </w:rPr>
        <w:footnoteRef/>
      </w:r>
      <w:r>
        <w:t xml:space="preserve"> </w:t>
      </w:r>
      <w:r>
        <w:t xml:space="preserve">Microsoft Learn,</w:t>
      </w:r>
      <w:r>
        <w:t xml:space="preserve"> </w:t>
      </w:r>
      <w:r>
        <w:t xml:space="preserve">“Identifying your functional level upgrade,”</w:t>
      </w:r>
      <w:r>
        <w:t xml:space="preserve"> </w:t>
      </w:r>
      <w:hyperlink r:id="rId637">
        <w:r>
          <w:rPr>
            <w:rStyle w:val="Hyperlink"/>
          </w:rPr>
          <w:t xml:space="preserve">https://learn.microsoft.com/windows-server/identity/ad-ds/plan/identifying-your-functional-level-upgrade</w:t>
        </w:r>
      </w:hyperlink>
      <w:r>
        <w:t xml:space="preserve"> </w:t>
      </w:r>
      <w:r>
        <w:t xml:space="preserve">(accessed Oct 20, 2026).</w:t>
      </w:r>
    </w:p>
  </w:footnote>
  <w:footnote w:id="638">
    <w:p>
      <w:pPr>
        <w:pStyle w:val="FootnoteText"/>
      </w:pPr>
      <w:r>
        <w:rPr>
          <w:rStyle w:val="FootnoteReference"/>
        </w:rPr>
        <w:footnoteRef/>
      </w:r>
      <w:r>
        <w:t xml:space="preserve"> </w:t>
      </w:r>
      <w:r>
        <w:t xml:space="preserve">Microsoft Learn,</w:t>
      </w:r>
      <w:r>
        <w:t xml:space="preserve"> </w:t>
      </w:r>
      <w:r>
        <w:t xml:space="preserve">“Raise domain and forest functional levels in Active Directory Domain Services,”</w:t>
      </w:r>
      <w:r>
        <w:t xml:space="preserve"> </w:t>
      </w:r>
      <w:hyperlink r:id="rId639">
        <w:r>
          <w:rPr>
            <w:rStyle w:val="Hyperlink"/>
          </w:rPr>
          <w:t xml:space="preserve">https://learn.microsoft.com/windows-server/identity/ad-ds/plan/raise-domain-forest-functional-levels</w:t>
        </w:r>
      </w:hyperlink>
      <w:r>
        <w:t xml:space="preserve"> </w:t>
      </w:r>
      <w:r>
        <w:t xml:space="preserve">(accessed Oct 20, 2026).</w:t>
      </w:r>
    </w:p>
  </w:footnote>
  <w:footnote w:id="641">
    <w:p>
      <w:pPr>
        <w:pStyle w:val="FootnoteText"/>
      </w:pPr>
      <w:r>
        <w:rPr>
          <w:rStyle w:val="FootnoteReference"/>
        </w:rPr>
        <w:footnoteRef/>
      </w:r>
      <w:r>
        <w:t xml:space="preserve"> </w:t>
      </w:r>
      <w:r>
        <w:t xml:space="preserve">Microsoft Learn,</w:t>
      </w:r>
      <w:r>
        <w:t xml:space="preserve"> </w:t>
      </w:r>
      <w:r>
        <w:t xml:space="preserve">“ActiveDirectory Module,”</w:t>
      </w:r>
      <w:r>
        <w:t xml:space="preserve"> </w:t>
      </w:r>
      <w:r>
        <w:t xml:space="preserve">cmdlet index,</w:t>
      </w:r>
      <w:r>
        <w:t xml:space="preserve"> </w:t>
      </w:r>
      <w:hyperlink r:id="rId642">
        <w:r>
          <w:rPr>
            <w:rStyle w:val="Hyperlink"/>
          </w:rPr>
          <w:t xml:space="preserve">https://learn.microsoft.com/powershell/module/activedirectory/?view=windowsserver2025-ps</w:t>
        </w:r>
      </w:hyperlink>
      <w:r>
        <w:t xml:space="preserve"> </w:t>
      </w:r>
      <w:r>
        <w:t xml:space="preserve">(accessed Oct 20, 2026).</w:t>
      </w:r>
    </w:p>
  </w:footnote>
  <w:footnote w:id="645">
    <w:p>
      <w:pPr>
        <w:pStyle w:val="FootnoteText"/>
      </w:pPr>
      <w:r>
        <w:rPr>
          <w:rStyle w:val="FootnoteReference"/>
        </w:rPr>
        <w:footnoteRef/>
      </w:r>
      <w:r>
        <w:t xml:space="preserve"> </w:t>
      </w:r>
      <w:r>
        <w:t xml:space="preserve">Microsoft Learn,</w:t>
      </w:r>
      <w:r>
        <w:t xml:space="preserve"> </w:t>
      </w:r>
      <w:r>
        <w:t xml:space="preserve">“Get-GPInheritance,”</w:t>
      </w:r>
      <w:r>
        <w:t xml:space="preserve"> </w:t>
      </w:r>
      <w:hyperlink r:id="rId646">
        <w:r>
          <w:rPr>
            <w:rStyle w:val="Hyperlink"/>
          </w:rPr>
          <w:t xml:space="preserve">https://learn.microsoft.com/powershell/module/grouppolicy/get-gpinheritance?view=windowsserver2025-ps</w:t>
        </w:r>
      </w:hyperlink>
      <w:r>
        <w:t xml:space="preserve"> </w:t>
      </w:r>
      <w:r>
        <w:t xml:space="preserve">(accessed Oct 20, 2026).</w:t>
      </w:r>
    </w:p>
  </w:footnote>
  <w:footnote w:id="647">
    <w:p>
      <w:pPr>
        <w:pStyle w:val="FootnoteText"/>
      </w:pPr>
      <w:r>
        <w:rPr>
          <w:rStyle w:val="FootnoteReference"/>
        </w:rPr>
        <w:footnoteRef/>
      </w:r>
      <w:r>
        <w:t xml:space="preserve"> </w:t>
      </w:r>
      <w:r>
        <w:t xml:space="preserve">Microsoft Learn,</w:t>
      </w:r>
      <w:r>
        <w:t xml:space="preserve"> </w:t>
      </w:r>
      <w:r>
        <w:t xml:space="preserve">“Group Policy scope,”</w:t>
      </w:r>
      <w:r>
        <w:t xml:space="preserve"> </w:t>
      </w:r>
      <w:r>
        <w:t xml:space="preserve">section</w:t>
      </w:r>
      <w:r>
        <w:t xml:space="preserve"> </w:t>
      </w:r>
      <w:r>
        <w:t xml:space="preserve">“GPO scope types,”</w:t>
      </w:r>
      <w:r>
        <w:t xml:space="preserve"> </w:t>
      </w:r>
      <w:hyperlink r:id="rId648">
        <w:r>
          <w:rPr>
            <w:rStyle w:val="Hyperlink"/>
          </w:rPr>
          <w:t xml:space="preserve">https://learn.microsoft.com/windows-server/identity/ad-ds/manage/group-policy/group-policy-scope</w:t>
        </w:r>
      </w:hyperlink>
      <w:r>
        <w:t xml:space="preserve"> </w:t>
      </w:r>
      <w:r>
        <w:t xml:space="preserve">(accessed Oct 20, 2026).</w:t>
      </w:r>
    </w:p>
  </w:footnote>
  <w:footnote w:id="649">
    <w:p>
      <w:pPr>
        <w:pStyle w:val="FootnoteText"/>
      </w:pPr>
      <w:r>
        <w:rPr>
          <w:rStyle w:val="FootnoteReference"/>
        </w:rPr>
        <w:footnoteRef/>
      </w:r>
      <w:r>
        <w:t xml:space="preserve"> </w:t>
      </w:r>
      <w:r>
        <w:t xml:space="preserve">Microsoft Learn,</w:t>
      </w:r>
      <w:r>
        <w:t xml:space="preserve"> </w:t>
      </w:r>
      <w:r>
        <w:t xml:space="preserve">“Group Policy processing,”</w:t>
      </w:r>
      <w:r>
        <w:t xml:space="preserve"> </w:t>
      </w:r>
      <w:r>
        <w:t xml:space="preserve">sections</w:t>
      </w:r>
      <w:r>
        <w:t xml:space="preserve"> </w:t>
      </w:r>
      <w:r>
        <w:t xml:space="preserve">“Enforced GPOs”</w:t>
      </w:r>
      <w:r>
        <w:t xml:space="preserve"> </w:t>
      </w:r>
      <w:r>
        <w:t xml:space="preserve">and</w:t>
      </w:r>
      <w:r>
        <w:t xml:space="preserve"> </w:t>
      </w:r>
      <w:r>
        <w:t xml:space="preserve">“Block Inheritance,”</w:t>
      </w:r>
      <w:r>
        <w:t xml:space="preserve"> </w:t>
      </w:r>
      <w:hyperlink r:id="rId650">
        <w:r>
          <w:rPr>
            <w:rStyle w:val="Hyperlink"/>
          </w:rPr>
          <w:t xml:space="preserve">https://learn.microsoft.com/windows-server/identity/ad-ds/manage/group-policy/group-policy-processing</w:t>
        </w:r>
      </w:hyperlink>
      <w:r>
        <w:t xml:space="preserve"> </w:t>
      </w:r>
      <w:r>
        <w:t xml:space="preserve">(accessed Oct 20, 2026).</w:t>
      </w:r>
    </w:p>
  </w:footnote>
  <w:footnote w:id="656">
    <w:p>
      <w:pPr>
        <w:pStyle w:val="FootnoteText"/>
      </w:pPr>
      <w:r>
        <w:rPr>
          <w:rStyle w:val="FootnoteReference"/>
        </w:rPr>
        <w:footnoteRef/>
      </w:r>
      <w:r>
        <w:t xml:space="preserve"> </w:t>
      </w:r>
      <w:r>
        <w:t xml:space="preserve">Microsoft Learn,</w:t>
      </w:r>
      <w:r>
        <w:t xml:space="preserve"> </w:t>
      </w:r>
      <w:r>
        <w:t xml:space="preserve">“GroupPolicy Module,”</w:t>
      </w:r>
      <w:r>
        <w:t xml:space="preserve"> </w:t>
      </w:r>
      <w:hyperlink r:id="rId657">
        <w:r>
          <w:rPr>
            <w:rStyle w:val="Hyperlink"/>
          </w:rPr>
          <w:t xml:space="preserve">https://learn.microsoft.com/powershell/module/grouppolicy/?view=windowsserver2025-ps</w:t>
        </w:r>
      </w:hyperlink>
      <w:r>
        <w:t xml:space="preserve"> </w:t>
      </w:r>
      <w:r>
        <w:t xml:space="preserve">(accessed Oct 20, 2026).</w:t>
      </w:r>
    </w:p>
  </w:footnote>
  <w:footnote w:id="658">
    <w:p>
      <w:pPr>
        <w:pStyle w:val="FootnoteText"/>
      </w:pPr>
      <w:r>
        <w:rPr>
          <w:rStyle w:val="FootnoteReference"/>
        </w:rPr>
        <w:footnoteRef/>
      </w:r>
      <w:r>
        <w:t xml:space="preserve"> </w:t>
      </w:r>
      <w:r>
        <w:t xml:space="preserve">Microsoft Learn,</w:t>
      </w:r>
      <w:r>
        <w:t xml:space="preserve"> </w:t>
      </w:r>
      <w:r>
        <w:t xml:space="preserve">“Get-GPOReport,”</w:t>
      </w:r>
      <w:r>
        <w:t xml:space="preserve"> </w:t>
      </w:r>
      <w:hyperlink r:id="rId659">
        <w:r>
          <w:rPr>
            <w:rStyle w:val="Hyperlink"/>
          </w:rPr>
          <w:t xml:space="preserve">https://learn.microsoft.com/powershell/module/grouppolicy/get-gporeport?view=windowsserver2025-ps</w:t>
        </w:r>
      </w:hyperlink>
      <w:r>
        <w:t xml:space="preserve"> </w:t>
      </w:r>
      <w:r>
        <w:t xml:space="preserve">(accessed Oct 20, 2026).</w:t>
      </w:r>
    </w:p>
  </w:footnote>
  <w:footnote w:id="660">
    <w:p>
      <w:pPr>
        <w:pStyle w:val="FootnoteText"/>
      </w:pPr>
      <w:r>
        <w:rPr>
          <w:rStyle w:val="FootnoteReference"/>
        </w:rPr>
        <w:footnoteRef/>
      </w:r>
      <w:r>
        <w:t xml:space="preserve"> </w:t>
      </w:r>
      <w:r>
        <w:t xml:space="preserve">Microsoft Learn,</w:t>
      </w:r>
      <w:r>
        <w:t xml:space="preserve"> </w:t>
      </w:r>
      <w:r>
        <w:t xml:space="preserve">“Get-GPPermission,”</w:t>
      </w:r>
      <w:r>
        <w:t xml:space="preserve"> </w:t>
      </w:r>
      <w:hyperlink r:id="rId661">
        <w:r>
          <w:rPr>
            <w:rStyle w:val="Hyperlink"/>
          </w:rPr>
          <w:t xml:space="preserve">https://learn.microsoft.com/powershell/module/grouppolicy/get-gppermission?view=windowsserver2025-ps</w:t>
        </w:r>
      </w:hyperlink>
      <w:r>
        <w:t xml:space="preserve"> </w:t>
      </w:r>
      <w:r>
        <w:t xml:space="preserve">(accessed Oct 20, 2026).</w:t>
      </w:r>
    </w:p>
  </w:footnote>
  <w:footnote w:id="663">
    <w:p>
      <w:pPr>
        <w:pStyle w:val="FootnoteText"/>
      </w:pPr>
      <w:r>
        <w:rPr>
          <w:rStyle w:val="FootnoteReference"/>
        </w:rPr>
        <w:footnoteRef/>
      </w:r>
      <w:r>
        <w:t xml:space="preserve"> </w:t>
      </w:r>
      <w:r>
        <w:t xml:space="preserve">Microsoft Learn,</w:t>
      </w:r>
      <w:r>
        <w:t xml:space="preserve"> </w:t>
      </w:r>
      <w:r>
        <w:t xml:space="preserve">“Create a Settings Catalog policy using your imported GPOs in Microsoft Intune,”</w:t>
      </w:r>
      <w:r>
        <w:t xml:space="preserve"> </w:t>
      </w:r>
      <w:r>
        <w:t xml:space="preserve">section</w:t>
      </w:r>
      <w:r>
        <w:t xml:space="preserve"> </w:t>
      </w:r>
      <w:r>
        <w:t xml:space="preserve">“Conflicting settings are detected early,”</w:t>
      </w:r>
      <w:r>
        <w:t xml:space="preserve"> </w:t>
      </w:r>
      <w:hyperlink r:id="rId475">
        <w:r>
          <w:rPr>
            <w:rStyle w:val="Hyperlink"/>
          </w:rPr>
          <w:t xml:space="preserve">https://learn.microsoft.com/intune/device-configuration/migrate-group-policy</w:t>
        </w:r>
      </w:hyperlink>
      <w:r>
        <w:t xml:space="preserve"> </w:t>
      </w:r>
      <w:r>
        <w:t xml:space="preserve">(accessed Oct 20, 2026).</w:t>
      </w:r>
    </w:p>
  </w:footnote>
  <w:footnote w:id="664">
    <w:p>
      <w:pPr>
        <w:pStyle w:val="FootnoteText"/>
      </w:pPr>
      <w:r>
        <w:rPr>
          <w:rStyle w:val="FootnoteReference"/>
        </w:rPr>
        <w:footnoteRef/>
      </w:r>
      <w:r>
        <w:t xml:space="preserve"> </w:t>
      </w:r>
      <w:r>
        <w:t xml:space="preserve">Microsoft Learn,</w:t>
      </w:r>
      <w:r>
        <w:t xml:space="preserve"> </w:t>
      </w:r>
      <w:r>
        <w:t xml:space="preserve">“Use Microsoft Intune to import and analyze group policies,”</w:t>
      </w:r>
      <w:r>
        <w:t xml:space="preserve"> </w:t>
      </w:r>
      <w:hyperlink r:id="rId317">
        <w:r>
          <w:rPr>
            <w:rStyle w:val="Hyperlink"/>
          </w:rPr>
          <w:t xml:space="preserve">https://learn.microsoft.com/intune/device-configuration/import-group-policy-analytics</w:t>
        </w:r>
      </w:hyperlink>
      <w:r>
        <w:t xml:space="preserve"> </w:t>
      </w:r>
      <w:r>
        <w:t xml:space="preserve">(accessed Oct 20, 2026).</w:t>
      </w:r>
    </w:p>
  </w:footnote>
  <w:footnote w:id="667">
    <w:p>
      <w:pPr>
        <w:pStyle w:val="FootnoteText"/>
      </w:pPr>
      <w:r>
        <w:rPr>
          <w:rStyle w:val="FootnoteReference"/>
        </w:rPr>
        <w:footnoteRef/>
      </w:r>
      <w:r>
        <w:t xml:space="preserve"> </w:t>
      </w:r>
      <w:r>
        <w:t xml:space="preserve">Microsoft Learn,</w:t>
      </w:r>
      <w:r>
        <w:t xml:space="preserve"> </w:t>
      </w:r>
      <w:r>
        <w:t xml:space="preserve">“Get-DnsServerDnsSecZoneSetting,”</w:t>
      </w:r>
      <w:r>
        <w:t xml:space="preserve"> </w:t>
      </w:r>
      <w:hyperlink r:id="rId668">
        <w:r>
          <w:rPr>
            <w:rStyle w:val="Hyperlink"/>
          </w:rPr>
          <w:t xml:space="preserve">https://learn.microsoft.com/powershell/module/dnsserver/get-dnsserverdnsseczonesetting?view=windowsserver2025-ps</w:t>
        </w:r>
      </w:hyperlink>
      <w:r>
        <w:t xml:space="preserve"> </w:t>
      </w:r>
      <w:r>
        <w:t xml:space="preserve">(accessed Oct 20, 2026).</w:t>
      </w:r>
    </w:p>
  </w:footnote>
  <w:footnote w:id="669">
    <w:p>
      <w:pPr>
        <w:pStyle w:val="FootnoteText"/>
      </w:pPr>
      <w:r>
        <w:rPr>
          <w:rStyle w:val="FootnoteReference"/>
        </w:rPr>
        <w:footnoteRef/>
      </w:r>
      <w:r>
        <w:t xml:space="preserve"> </w:t>
      </w:r>
      <w:r>
        <w:t xml:space="preserve">Microsoft Learn,</w:t>
      </w:r>
      <w:r>
        <w:t xml:space="preserve"> </w:t>
      </w:r>
      <w:r>
        <w:t xml:space="preserve">“Configure DNS aging and scavenging,”</w:t>
      </w:r>
      <w:r>
        <w:t xml:space="preserve"> </w:t>
      </w:r>
      <w:hyperlink r:id="rId670">
        <w:r>
          <w:rPr>
            <w:rStyle w:val="Hyperlink"/>
          </w:rPr>
          <w:t xml:space="preserve">https://learn.microsoft.com/windows-server/networking/dns/configure-aging-scavenging</w:t>
        </w:r>
      </w:hyperlink>
      <w:r>
        <w:t xml:space="preserve"> </w:t>
      </w:r>
      <w:r>
        <w:t xml:space="preserve">(accessed Oct 20, 2026).</w:t>
      </w:r>
    </w:p>
  </w:footnote>
  <w:footnote w:id="671">
    <w:p>
      <w:pPr>
        <w:pStyle w:val="FootnoteText"/>
      </w:pPr>
      <w:r>
        <w:rPr>
          <w:rStyle w:val="FootnoteReference"/>
        </w:rPr>
        <w:footnoteRef/>
      </w:r>
      <w:r>
        <w:t xml:space="preserve"> </w:t>
      </w:r>
      <w:r>
        <w:t xml:space="preserve">Microsoft Learn,</w:t>
      </w:r>
      <w:r>
        <w:t xml:space="preserve"> </w:t>
      </w:r>
      <w:r>
        <w:t xml:space="preserve">“Configure DNS aging and scavenging,”</w:t>
      </w:r>
      <w:r>
        <w:t xml:space="preserve"> </w:t>
      </w:r>
      <w:hyperlink r:id="rId670">
        <w:r>
          <w:rPr>
            <w:rStyle w:val="Hyperlink"/>
          </w:rPr>
          <w:t xml:space="preserve">https://learn.microsoft.com/windows-server/networking/dns/configure-aging-scavenging</w:t>
        </w:r>
      </w:hyperlink>
      <w:r>
        <w:t xml:space="preserve"> </w:t>
      </w:r>
      <w:r>
        <w:t xml:space="preserve">(accessed Oct 20, 2026).</w:t>
      </w:r>
    </w:p>
  </w:footnote>
  <w:footnote w:id="673">
    <w:p>
      <w:pPr>
        <w:pStyle w:val="FootnoteText"/>
      </w:pPr>
      <w:r>
        <w:rPr>
          <w:rStyle w:val="FootnoteReference"/>
        </w:rPr>
        <w:footnoteRef/>
      </w:r>
      <w:r>
        <w:t xml:space="preserve"> </w:t>
      </w:r>
      <w:r>
        <w:t xml:space="preserve">Microsoft Learn,</w:t>
      </w:r>
      <w:r>
        <w:t xml:space="preserve"> </w:t>
      </w:r>
      <w:r>
        <w:t xml:space="preserve">“Monitor AD CS publication health with Enterprise PKI,”</w:t>
      </w:r>
      <w:r>
        <w:t xml:space="preserve"> </w:t>
      </w:r>
      <w:r>
        <w:t xml:space="preserve">section</w:t>
      </w:r>
      <w:r>
        <w:t xml:space="preserve"> </w:t>
      </w:r>
      <w:r>
        <w:t xml:space="preserve">“Understand Public Key Services data,”</w:t>
      </w:r>
      <w:r>
        <w:t xml:space="preserve"> </w:t>
      </w:r>
      <w:hyperlink r:id="rId674">
        <w:r>
          <w:rPr>
            <w:rStyle w:val="Hyperlink"/>
          </w:rPr>
          <w:t xml:space="preserve">https://learn.microsoft.com/windows-server/identity/ad-cs/monitor-ad-cs-health-enterprise-pki</w:t>
        </w:r>
      </w:hyperlink>
      <w:r>
        <w:t xml:space="preserve"> </w:t>
      </w:r>
      <w:r>
        <w:t xml:space="preserve">(accessed Oct 20, 2026).</w:t>
      </w:r>
    </w:p>
  </w:footnote>
  <w:footnote w:id="675">
    <w:p>
      <w:pPr>
        <w:pStyle w:val="FootnoteText"/>
      </w:pPr>
      <w:r>
        <w:rPr>
          <w:rStyle w:val="FootnoteReference"/>
        </w:rPr>
        <w:footnoteRef/>
      </w:r>
      <w:r>
        <w:t xml:space="preserve"> </w:t>
      </w:r>
      <w:r>
        <w:t xml:space="preserve">Microsoft Learn,</w:t>
      </w:r>
      <w:r>
        <w:t xml:space="preserve"> </w:t>
      </w:r>
      <w:r>
        <w:t xml:space="preserve">“certutil,”</w:t>
      </w:r>
      <w:r>
        <w:t xml:space="preserve"> </w:t>
      </w:r>
      <w:hyperlink r:id="rId676">
        <w:r>
          <w:rPr>
            <w:rStyle w:val="Hyperlink"/>
          </w:rPr>
          <w:t xml:space="preserve">https://learn.microsoft.com/windows-server/administration/windows-commands/certutil</w:t>
        </w:r>
      </w:hyperlink>
      <w:r>
        <w:t xml:space="preserve"> </w:t>
      </w:r>
      <w:r>
        <w:t xml:space="preserve">(accessed Oct 20, 2026).</w:t>
      </w:r>
    </w:p>
  </w:footnote>
  <w:footnote w:id="677">
    <w:p>
      <w:pPr>
        <w:pStyle w:val="FootnoteText"/>
      </w:pPr>
      <w:r>
        <w:rPr>
          <w:rStyle w:val="FootnoteReference"/>
        </w:rPr>
        <w:footnoteRef/>
      </w:r>
      <w:r>
        <w:t xml:space="preserve"> </w:t>
      </w:r>
      <w:r>
        <w:t xml:space="preserve">PowerShell Gallery,</w:t>
      </w:r>
      <w:r>
        <w:t xml:space="preserve"> </w:t>
      </w:r>
      <w:r>
        <w:t xml:space="preserve">“PSPKI 4.4.1,”</w:t>
      </w:r>
      <w:r>
        <w:t xml:space="preserve"> </w:t>
      </w:r>
      <w:hyperlink r:id="rId615">
        <w:r>
          <w:rPr>
            <w:rStyle w:val="Hyperlink"/>
          </w:rPr>
          <w:t xml:space="preserve">https://www.powershellgallery.com/packages/PSPKI</w:t>
        </w:r>
      </w:hyperlink>
      <w:r>
        <w:t xml:space="preserve"> </w:t>
      </w:r>
      <w:r>
        <w:t xml:space="preserve">(accessed Oct 20, 2026).</w:t>
      </w:r>
    </w:p>
  </w:footnote>
  <w:footnote w:id="679">
    <w:p>
      <w:pPr>
        <w:pStyle w:val="FootnoteText"/>
      </w:pPr>
      <w:r>
        <w:rPr>
          <w:rStyle w:val="FootnoteReference"/>
        </w:rPr>
        <w:footnoteRef/>
      </w:r>
      <w:r>
        <w:t xml:space="preserve"> </w:t>
      </w:r>
      <w:r>
        <w:t xml:space="preserve">SpecterOps,</w:t>
      </w:r>
      <w:r>
        <w:t xml:space="preserve"> </w:t>
      </w:r>
      <w:r>
        <w:t xml:space="preserve">“Certify: command overview,”</w:t>
      </w:r>
      <w:r>
        <w:t xml:space="preserve"> </w:t>
      </w:r>
      <w:hyperlink r:id="rId680">
        <w:r>
          <w:rPr>
            <w:rStyle w:val="Hyperlink"/>
          </w:rPr>
          <w:t xml:space="preserve">https://docs.specterops.io/ghostpack-docs/Certify.wik-mdx/overview</w:t>
        </w:r>
      </w:hyperlink>
      <w:r>
        <w:t xml:space="preserve"> </w:t>
      </w:r>
      <w:r>
        <w:t xml:space="preserve">(accessed Oct 20, 2026). The underlying research is Will Schroeder and Lee Christensen,</w:t>
      </w:r>
      <w:r>
        <w:t xml:space="preserve"> </w:t>
      </w:r>
      <w:r>
        <w:rPr>
          <w:i/>
          <w:iCs/>
        </w:rPr>
        <w:t xml:space="preserve">Certified Pre-Owned: Abusing Active Directory Certificate Services</w:t>
      </w:r>
      <w:r>
        <w:t xml:space="preserve">, SpecterOps, June 2021.</w:t>
      </w:r>
    </w:p>
  </w:footnote>
  <w:footnote w:id="681">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522">
        <w:r>
          <w:rPr>
            <w:rStyle w:val="Hyperlink"/>
          </w:rPr>
          <w:t xml:space="preserve">https://learn.microsoft.com/defender-for-identity/security-posture-assessments/certificates</w:t>
        </w:r>
      </w:hyperlink>
      <w:r>
        <w:t xml:space="preserve"> </w:t>
      </w:r>
      <w:r>
        <w:t xml:space="preserve">(accessed Oct 20, 2026).</w:t>
      </w:r>
    </w:p>
  </w:footnote>
  <w:footnote w:id="682">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522">
        <w:r>
          <w:rPr>
            <w:rStyle w:val="Hyperlink"/>
          </w:rPr>
          <w:t xml:space="preserve">https://learn.microsoft.com/defender-for-identity/security-posture-assessments/certificates</w:t>
        </w:r>
      </w:hyperlink>
      <w:r>
        <w:t xml:space="preserve"> </w:t>
      </w:r>
      <w:r>
        <w:t xml:space="preserve">(accessed Oct 20, 2026).</w:t>
      </w:r>
    </w:p>
  </w:footnote>
  <w:footnote w:id="683">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522">
        <w:r>
          <w:rPr>
            <w:rStyle w:val="Hyperlink"/>
          </w:rPr>
          <w:t xml:space="preserve">https://learn.microsoft.com/defender-for-identity/security-posture-assessments/certificates</w:t>
        </w:r>
      </w:hyperlink>
      <w:r>
        <w:t xml:space="preserve"> </w:t>
      </w:r>
      <w:r>
        <w:t xml:space="preserve">(accessed Oct 20, 2026).</w:t>
      </w:r>
    </w:p>
  </w:footnote>
  <w:footnote w:id="684">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522">
        <w:r>
          <w:rPr>
            <w:rStyle w:val="Hyperlink"/>
          </w:rPr>
          <w:t xml:space="preserve">https://learn.microsoft.com/defender-for-identity/security-posture-assessments/certificates</w:t>
        </w:r>
      </w:hyperlink>
      <w:r>
        <w:t xml:space="preserve"> </w:t>
      </w:r>
      <w:r>
        <w:t xml:space="preserve">(accessed Oct 20, 2026).</w:t>
      </w:r>
    </w:p>
  </w:footnote>
  <w:footnote w:id="685">
    <w:p>
      <w:pPr>
        <w:pStyle w:val="FootnoteText"/>
      </w:pPr>
      <w:r>
        <w:rPr>
          <w:rStyle w:val="FootnoteReference"/>
        </w:rPr>
        <w:footnoteRef/>
      </w:r>
      <w:r>
        <w:t xml:space="preserve"> </w:t>
      </w:r>
      <w:r>
        <w:t xml:space="preserve">Microsoft Learn,</w:t>
      </w:r>
      <w:r>
        <w:t xml:space="preserve"> </w:t>
      </w:r>
      <w:r>
        <w:t xml:space="preserve">“X509CertificateTemplateSubjectNameFlag enumeration (certenroll.h),”</w:t>
      </w:r>
      <w:r>
        <w:t xml:space="preserve"> </w:t>
      </w:r>
      <w:hyperlink r:id="rId686">
        <w:r>
          <w:rPr>
            <w:rStyle w:val="Hyperlink"/>
          </w:rPr>
          <w:t xml:space="preserve">https://learn.microsoft.com/windows/win32/api/certenroll/ne-certenroll-x509certificatetemplatesubjectnameflag</w:t>
        </w:r>
      </w:hyperlink>
      <w:r>
        <w:t xml:space="preserve"> </w:t>
      </w:r>
      <w:r>
        <w:t xml:space="preserve">(accessed Oct 20, 2026).</w:t>
      </w:r>
    </w:p>
  </w:footnote>
  <w:footnote w:id="687">
    <w:p>
      <w:pPr>
        <w:pStyle w:val="FootnoteText"/>
      </w:pPr>
      <w:r>
        <w:rPr>
          <w:rStyle w:val="FootnoteReference"/>
        </w:rPr>
        <w:footnoteRef/>
      </w:r>
      <w:r>
        <w:t xml:space="preserve"> </w:t>
      </w:r>
      <w:r>
        <w:t xml:space="preserve">Microsoft Learn,</w:t>
      </w:r>
      <w:r>
        <w:t xml:space="preserve"> </w:t>
      </w:r>
      <w:r>
        <w:t xml:space="preserve">“X509CertificateTemplateEnrollmentFlag enumeration (certenroll.h),”</w:t>
      </w:r>
      <w:r>
        <w:t xml:space="preserve"> </w:t>
      </w:r>
      <w:hyperlink r:id="rId688">
        <w:r>
          <w:rPr>
            <w:rStyle w:val="Hyperlink"/>
          </w:rPr>
          <w:t xml:space="preserve">https://learn.microsoft.com/windows/win32/api/certenroll/ne-certenroll-x509certificatetemplateenrollmentflag</w:t>
        </w:r>
      </w:hyperlink>
      <w:r>
        <w:t xml:space="preserve"> </w:t>
      </w:r>
      <w:r>
        <w:t xml:space="preserve">(accessed Oct 20, 2026).</w:t>
      </w:r>
    </w:p>
  </w:footnote>
  <w:footnote w:id="689">
    <w:p>
      <w:pPr>
        <w:pStyle w:val="FootnoteText"/>
      </w:pPr>
      <w:r>
        <w:rPr>
          <w:rStyle w:val="FootnoteReference"/>
        </w:rPr>
        <w:footnoteRef/>
      </w:r>
      <w:r>
        <w:t xml:space="preserve"> </w:t>
      </w:r>
      <w:r>
        <w:t xml:space="preserve">Microsoft Learn,</w:t>
      </w:r>
      <w:r>
        <w:t xml:space="preserve"> </w:t>
      </w:r>
      <w:r>
        <w:t xml:space="preserve">“Guidelines for enabling smart card logon with third-party certification authorities,”</w:t>
      </w:r>
      <w:r>
        <w:t xml:space="preserve"> </w:t>
      </w:r>
      <w:hyperlink r:id="rId690">
        <w:r>
          <w:rPr>
            <w:rStyle w:val="Hyperlink"/>
          </w:rPr>
          <w:t xml:space="preserve">https://learn.microsoft.com/troubleshoot/windows-server/certificates-and-public-key-infrastructure-pki/enabling-smart-card-logon-third-party-certification-authorities</w:t>
        </w:r>
      </w:hyperlink>
      <w:r>
        <w:t xml:space="preserve"> </w:t>
      </w:r>
      <w:r>
        <w:t xml:space="preserve">(accessed Oct 20, 2026).</w:t>
      </w:r>
    </w:p>
  </w:footnote>
  <w:footnote w:id="691">
    <w:p>
      <w:pPr>
        <w:pStyle w:val="FootnoteText"/>
      </w:pPr>
      <w:r>
        <w:rPr>
          <w:rStyle w:val="FootnoteReference"/>
        </w:rPr>
        <w:footnoteRef/>
      </w:r>
      <w:r>
        <w:t xml:space="preserve"> </w:t>
      </w:r>
      <w:r>
        <w:t xml:space="preserve">Internet Engineering Task Force, RFC 4556,</w:t>
      </w:r>
      <w:r>
        <w:t xml:space="preserve"> </w:t>
      </w:r>
      <w:r>
        <w:rPr>
          <w:i/>
          <w:iCs/>
        </w:rPr>
        <w:t xml:space="preserve">Public Key Cryptography for Initial Authentication in Kerberos (PKINIT)</w:t>
      </w:r>
      <w:r>
        <w:t xml:space="preserve">, June 2006,</w:t>
      </w:r>
      <w:r>
        <w:t xml:space="preserve"> </w:t>
      </w:r>
      <w:hyperlink r:id="rId692">
        <w:r>
          <w:rPr>
            <w:rStyle w:val="Hyperlink"/>
          </w:rPr>
          <w:t xml:space="preserve">https://www.rfc-editor.org/rfc/rfc4556</w:t>
        </w:r>
      </w:hyperlink>
      <w:r>
        <w:t xml:space="preserve"> </w:t>
      </w:r>
      <w:r>
        <w:t xml:space="preserve">(accessed Oct 20, 2026).</w:t>
      </w:r>
    </w:p>
  </w:footnote>
  <w:footnote w:id="693">
    <w:p>
      <w:pPr>
        <w:pStyle w:val="FootnoteText"/>
      </w:pPr>
      <w:r>
        <w:rPr>
          <w:rStyle w:val="FootnoteReference"/>
        </w:rPr>
        <w:footnoteRef/>
      </w:r>
      <w:r>
        <w:t xml:space="preserve"> </w:t>
      </w:r>
      <w:r>
        <w:t xml:space="preserve">Internet Engineering Task Force, RFC 5280,</w:t>
      </w:r>
      <w:r>
        <w:t xml:space="preserve"> </w:t>
      </w:r>
      <w:r>
        <w:rPr>
          <w:i/>
          <w:iCs/>
        </w:rPr>
        <w:t xml:space="preserve">Internet X.509 Public Key Infrastructure Certificate and Certificate Revocation List (CRL) Profile</w:t>
      </w:r>
      <w:r>
        <w:t xml:space="preserve">, section 4.2.1.12, May 2008,</w:t>
      </w:r>
      <w:r>
        <w:t xml:space="preserve"> </w:t>
      </w:r>
      <w:hyperlink r:id="rId694">
        <w:r>
          <w:rPr>
            <w:rStyle w:val="Hyperlink"/>
          </w:rPr>
          <w:t xml:space="preserve">https://www.rfc-editor.org/rfc/rfc5280</w:t>
        </w:r>
      </w:hyperlink>
      <w:r>
        <w:t xml:space="preserve"> </w:t>
      </w:r>
      <w:r>
        <w:t xml:space="preserve">(accessed Oct 20, 2026).</w:t>
      </w:r>
    </w:p>
  </w:footnote>
  <w:footnote w:id="695">
    <w:p>
      <w:pPr>
        <w:pStyle w:val="FootnoteText"/>
      </w:pPr>
      <w:r>
        <w:rPr>
          <w:rStyle w:val="FootnoteReference"/>
        </w:rPr>
        <w:footnoteRef/>
      </w:r>
      <w:r>
        <w:t xml:space="preserve"> </w:t>
      </w:r>
      <w:r>
        <w:t xml:space="preserve">Microsoft Learn,</w:t>
      </w:r>
      <w:r>
        <w:t xml:space="preserve"> </w:t>
      </w:r>
      <w:r>
        <w:t xml:space="preserve">“What is Microsoft Entra certificate-based authentication?,”</w:t>
      </w:r>
      <w:r>
        <w:t xml:space="preserve"> </w:t>
      </w:r>
      <w:hyperlink r:id="rId174">
        <w:r>
          <w:rPr>
            <w:rStyle w:val="Hyperlink"/>
          </w:rPr>
          <w:t xml:space="preserve">https://learn.microsoft.com/entra/identity/authentication/concept-certificate-based-authentication</w:t>
        </w:r>
      </w:hyperlink>
      <w:r>
        <w:t xml:space="preserve"> </w:t>
      </w:r>
      <w:r>
        <w:t xml:space="preserve">(accessed Oct 20, 2026).</w:t>
      </w:r>
    </w:p>
  </w:footnote>
  <w:footnote w:id="698">
    <w:p>
      <w:pPr>
        <w:pStyle w:val="FootnoteText"/>
      </w:pPr>
      <w:r>
        <w:rPr>
          <w:rStyle w:val="FootnoteReference"/>
        </w:rPr>
        <w:footnoteRef/>
      </w:r>
      <w:r>
        <w:t xml:space="preserve"> </w:t>
      </w:r>
      <w:r>
        <w:t xml:space="preserve">Microsoft Learn,</w:t>
      </w:r>
      <w:r>
        <w:t xml:space="preserve"> </w:t>
      </w:r>
      <w:r>
        <w:t xml:space="preserve">“Last-Logon-Timestamp attribute,”</w:t>
      </w:r>
      <w:r>
        <w:t xml:space="preserve"> </w:t>
      </w:r>
      <w:hyperlink r:id="rId699">
        <w:r>
          <w:rPr>
            <w:rStyle w:val="Hyperlink"/>
          </w:rPr>
          <w:t xml:space="preserve">https://learn.microsoft.com/windows/win32/adschema/a-lastlogontimestamp</w:t>
        </w:r>
      </w:hyperlink>
      <w:r>
        <w:t xml:space="preserve">, and</w:t>
      </w:r>
      <w:r>
        <w:t xml:space="preserve"> </w:t>
      </w:r>
      <w:r>
        <w:t xml:space="preserve">“The lastLogonTimestamp attribute in System Center 2012 Configuration Manager may not be accurate,”</w:t>
      </w:r>
      <w:r>
        <w:t xml:space="preserve"> </w:t>
      </w:r>
      <w:hyperlink r:id="rId700">
        <w:r>
          <w:rPr>
            <w:rStyle w:val="Hyperlink"/>
          </w:rPr>
          <w:t xml:space="preserve">https://learn.microsoft.com/troubleshoot/mem/configmgr/discovery/lastlogontimestamp-not-accurate</w:t>
        </w:r>
      </w:hyperlink>
      <w:r>
        <w:t xml:space="preserve"> </w:t>
      </w:r>
      <w:r>
        <w:t xml:space="preserve">(accessed Oct 20, 2026).</w:t>
      </w:r>
    </w:p>
  </w:footnote>
  <w:footnote w:id="701">
    <w:p>
      <w:pPr>
        <w:pStyle w:val="FootnoteText"/>
      </w:pPr>
      <w:r>
        <w:rPr>
          <w:rStyle w:val="FootnoteReference"/>
        </w:rPr>
        <w:footnoteRef/>
      </w:r>
      <w:r>
        <w:t xml:space="preserve"> </w:t>
      </w:r>
      <w:r>
        <w:t xml:space="preserve">Microsoft Learn,</w:t>
      </w:r>
      <w:r>
        <w:t xml:space="preserve"> </w:t>
      </w:r>
      <w:r>
        <w:t xml:space="preserve">“Accounts security posture assessments,”</w:t>
      </w:r>
      <w:r>
        <w:t xml:space="preserve"> </w:t>
      </w:r>
      <w:r>
        <w:t xml:space="preserve">Microsoft Defender for Identity,</w:t>
      </w:r>
      <w:r>
        <w:t xml:space="preserve"> </w:t>
      </w:r>
      <w:hyperlink r:id="rId562">
        <w:r>
          <w:rPr>
            <w:rStyle w:val="Hyperlink"/>
          </w:rPr>
          <w:t xml:space="preserve">https://learn.microsoft.com/defender-for-identity/security-posture-assessments/accounts</w:t>
        </w:r>
      </w:hyperlink>
      <w:r>
        <w:t xml:space="preserve"> </w:t>
      </w:r>
      <w:r>
        <w:t xml:space="preserve">(accessed Oct 20, 2026).</w:t>
      </w:r>
    </w:p>
  </w:footnote>
  <w:footnote w:id="703">
    <w:p>
      <w:pPr>
        <w:pStyle w:val="FootnoteText"/>
      </w:pPr>
      <w:r>
        <w:rPr>
          <w:rStyle w:val="FootnoteReference"/>
        </w:rPr>
        <w:footnoteRef/>
      </w:r>
      <w:r>
        <w:t xml:space="preserve"> </w:t>
      </w:r>
      <w:r>
        <w:t xml:space="preserve">Microsoft Learn,</w:t>
      </w:r>
      <w:r>
        <w:t xml:space="preserve"> </w:t>
      </w:r>
      <w:r>
        <w:t xml:space="preserve">“Kerberos Constrained Delegation Overview,”</w:t>
      </w:r>
      <w:r>
        <w:t xml:space="preserve"> </w:t>
      </w:r>
      <w:r>
        <w:t xml:space="preserve">section</w:t>
      </w:r>
      <w:r>
        <w:t xml:space="preserve"> </w:t>
      </w:r>
      <w:r>
        <w:t xml:space="preserve">“Resource-based constrained delegation across domains,”</w:t>
      </w:r>
      <w:r>
        <w:t xml:space="preserve"> </w:t>
      </w:r>
      <w:hyperlink r:id="rId704">
        <w:r>
          <w:rPr>
            <w:rStyle w:val="Hyperlink"/>
          </w:rPr>
          <w:t xml:space="preserve">https://learn.microsoft.com/windows-server/security/kerberos/kerberos-constrained-delegation-overview</w:t>
        </w:r>
      </w:hyperlink>
      <w:r>
        <w:t xml:space="preserve"> </w:t>
      </w:r>
      <w:r>
        <w:t xml:space="preserve">(accessed Oct 20, 2026).</w:t>
      </w:r>
    </w:p>
  </w:footnote>
  <w:footnote w:id="705">
    <w:p>
      <w:pPr>
        <w:pStyle w:val="FootnoteText"/>
      </w:pPr>
      <w:r>
        <w:rPr>
          <w:rStyle w:val="FootnoteReference"/>
        </w:rPr>
        <w:footnoteRef/>
      </w:r>
      <w:r>
        <w:t xml:space="preserve"> </w:t>
      </w:r>
      <w:r>
        <w:t xml:space="preserve">Microsoft Learn,</w:t>
      </w:r>
      <w:r>
        <w:t xml:space="preserve"> </w:t>
      </w:r>
      <w:r>
        <w:t xml:space="preserve">“Making the second hop in PowerShell Remoting,”</w:t>
      </w:r>
      <w:r>
        <w:t xml:space="preserve"> </w:t>
      </w:r>
      <w:hyperlink r:id="rId611">
        <w:r>
          <w:rPr>
            <w:rStyle w:val="Hyperlink"/>
          </w:rPr>
          <w:t xml:space="preserve">https://learn.microsoft.com/powershell/scripting/security/remoting/ps-remoting-second-hop</w:t>
        </w:r>
      </w:hyperlink>
      <w:r>
        <w:t xml:space="preserve"> </w:t>
      </w:r>
      <w:r>
        <w:t xml:space="preserve">(accessed Oct 20, 2026).</w:t>
      </w:r>
    </w:p>
  </w:footnote>
  <w:footnote w:id="706">
    <w:p>
      <w:pPr>
        <w:pStyle w:val="FootnoteText"/>
      </w:pPr>
      <w:r>
        <w:rPr>
          <w:rStyle w:val="FootnoteReference"/>
        </w:rPr>
        <w:footnoteRef/>
      </w:r>
      <w:r>
        <w:t xml:space="preserve"> </w:t>
      </w:r>
      <w:r>
        <w:t xml:space="preserve">Microsoft Learn,</w:t>
      </w:r>
      <w:r>
        <w:t xml:space="preserve"> </w:t>
      </w:r>
      <w:r>
        <w:t xml:space="preserve">“Making the second hop in PowerShell Remoting,”</w:t>
      </w:r>
      <w:r>
        <w:t xml:space="preserve"> </w:t>
      </w:r>
      <w:hyperlink r:id="rId611">
        <w:r>
          <w:rPr>
            <w:rStyle w:val="Hyperlink"/>
          </w:rPr>
          <w:t xml:space="preserve">https://learn.microsoft.com/powershell/scripting/security/remoting/ps-remoting-second-hop</w:t>
        </w:r>
      </w:hyperlink>
      <w:r>
        <w:t xml:space="preserve"> </w:t>
      </w:r>
      <w:r>
        <w:t xml:space="preserve">(accessed Oct 20, 2026).</w:t>
      </w:r>
    </w:p>
  </w:footnote>
  <w:footnote w:id="707">
    <w:p>
      <w:pPr>
        <w:pStyle w:val="FootnoteText"/>
      </w:pPr>
      <w:r>
        <w:rPr>
          <w:rStyle w:val="FootnoteReference"/>
        </w:rPr>
        <w:footnoteRef/>
      </w:r>
      <w:r>
        <w:t xml:space="preserve"> </w:t>
      </w:r>
      <w:r>
        <w:t xml:space="preserve">Microsoft Learn,</w:t>
      </w:r>
      <w:r>
        <w:t xml:space="preserve"> </w:t>
      </w:r>
      <w:r>
        <w:t xml:space="preserve">“Accounts security posture assessments,”</w:t>
      </w:r>
      <w:r>
        <w:t xml:space="preserve"> </w:t>
      </w:r>
      <w:r>
        <w:t xml:space="preserve">Microsoft Defender for Identity,</w:t>
      </w:r>
      <w:r>
        <w:t xml:space="preserve"> </w:t>
      </w:r>
      <w:hyperlink r:id="rId562">
        <w:r>
          <w:rPr>
            <w:rStyle w:val="Hyperlink"/>
          </w:rPr>
          <w:t xml:space="preserve">https://learn.microsoft.com/defender-for-identity/security-posture-assessments/accounts</w:t>
        </w:r>
      </w:hyperlink>
      <w:r>
        <w:t xml:space="preserve"> </w:t>
      </w:r>
      <w:r>
        <w:t xml:space="preserve">(accessed Oct 20, 2026).</w:t>
      </w:r>
    </w:p>
  </w:footnote>
  <w:footnote w:id="710">
    <w:p>
      <w:pPr>
        <w:pStyle w:val="FootnoteText"/>
      </w:pPr>
      <w:r>
        <w:rPr>
          <w:rStyle w:val="FootnoteReference"/>
        </w:rPr>
        <w:footnoteRef/>
      </w:r>
      <w:r>
        <w:t xml:space="preserve"> </w:t>
      </w:r>
      <w:r>
        <w:t xml:space="preserve">Microsoft Learn,</w:t>
      </w:r>
      <w:r>
        <w:t xml:space="preserve"> </w:t>
      </w:r>
      <w:r>
        <w:t xml:space="preserve">“Privileged access security levels,”</w:t>
      </w:r>
      <w:r>
        <w:t xml:space="preserve"> </w:t>
      </w:r>
      <w:hyperlink r:id="rId711">
        <w:r>
          <w:rPr>
            <w:rStyle w:val="Hyperlink"/>
          </w:rPr>
          <w:t xml:space="preserve">https://learn.microsoft.com/security/privileged-access-workstations/privileged-access-security-levels</w:t>
        </w:r>
      </w:hyperlink>
      <w:r>
        <w:t xml:space="preserve"> </w:t>
      </w:r>
      <w:r>
        <w:t xml:space="preserve">(accessed Oct 20, 2026).</w:t>
      </w:r>
    </w:p>
  </w:footnote>
  <w:footnote w:id="712">
    <w:p>
      <w:pPr>
        <w:pStyle w:val="FootnoteText"/>
      </w:pPr>
      <w:r>
        <w:rPr>
          <w:rStyle w:val="FootnoteReference"/>
        </w:rPr>
        <w:footnoteRef/>
      </w:r>
      <w:r>
        <w:t xml:space="preserve"> </w:t>
      </w:r>
      <w:r>
        <w:t xml:space="preserve">Microsoft Learn,</w:t>
      </w:r>
      <w:r>
        <w:t xml:space="preserve"> </w:t>
      </w:r>
      <w:r>
        <w:t xml:space="preserve">“Appendix C: Protected Accounts and Groups in Active Directory,”</w:t>
      </w:r>
      <w:r>
        <w:t xml:space="preserve"> </w:t>
      </w:r>
      <w:hyperlink r:id="rId553">
        <w:r>
          <w:rPr>
            <w:rStyle w:val="Hyperlink"/>
          </w:rPr>
          <w:t xml:space="preserve">https://learn.microsoft.com/windows-server/identity/ad-ds/plan/security-best-practices/appendix-c--protected-accounts-and-groups-in-active-directory</w:t>
        </w:r>
      </w:hyperlink>
      <w:r>
        <w:t xml:space="preserve"> </w:t>
      </w:r>
      <w:r>
        <w:t xml:space="preserve">(accessed Oct 20, 2026).</w:t>
      </w:r>
    </w:p>
  </w:footnote>
  <w:footnote w:id="713">
    <w:p>
      <w:pPr>
        <w:pStyle w:val="FootnoteText"/>
      </w:pPr>
      <w:r>
        <w:rPr>
          <w:rStyle w:val="FootnoteReference"/>
        </w:rPr>
        <w:footnoteRef/>
      </w:r>
      <w:r>
        <w:t xml:space="preserve"> </w:t>
      </w:r>
      <w:r>
        <w:t xml:space="preserve">Microsoft Learn,</w:t>
      </w:r>
      <w:r>
        <w:t xml:space="preserve"> </w:t>
      </w:r>
      <w:r>
        <w:t xml:space="preserve">“Reducing the Active Directory Attack Surface,”</w:t>
      </w:r>
      <w:r>
        <w:t xml:space="preserve"> </w:t>
      </w:r>
      <w:r>
        <w:t xml:space="preserve">section</w:t>
      </w:r>
      <w:r>
        <w:t xml:space="preserve"> </w:t>
      </w:r>
      <w:r>
        <w:t xml:space="preserve">“Privileged Accounts and Groups in Active Directory,”</w:t>
      </w:r>
      <w:r>
        <w:t xml:space="preserve"> </w:t>
      </w:r>
      <w:hyperlink r:id="rId555">
        <w:r>
          <w:rPr>
            <w:rStyle w:val="Hyperlink"/>
          </w:rPr>
          <w:t xml:space="preserve">https://learn.microsoft.com/windows-server/identity/ad-ds/plan/security-best-practices/reducing-the-active-directory-attack-surface</w:t>
        </w:r>
      </w:hyperlink>
      <w:r>
        <w:t xml:space="preserve"> </w:t>
      </w:r>
      <w:r>
        <w:t xml:space="preserve">(accessed Oct 20, 2026).</w:t>
      </w:r>
    </w:p>
  </w:footnote>
  <w:footnote w:id="715">
    <w:p>
      <w:pPr>
        <w:pStyle w:val="FootnoteText"/>
      </w:pPr>
      <w:r>
        <w:rPr>
          <w:rStyle w:val="FootnoteReference"/>
        </w:rPr>
        <w:footnoteRef/>
      </w:r>
      <w:r>
        <w:t xml:space="preserve"> </w:t>
      </w:r>
      <w:r>
        <w:t xml:space="preserve">Microsoft Learn,</w:t>
      </w:r>
      <w:r>
        <w:t xml:space="preserve"> </w:t>
      </w:r>
      <w:r>
        <w:t xml:space="preserve">“Delegated Managed Service Accounts overview,”</w:t>
      </w:r>
      <w:r>
        <w:t xml:space="preserve"> </w:t>
      </w:r>
      <w:hyperlink r:id="rId716">
        <w:r>
          <w:rPr>
            <w:rStyle w:val="Hyperlink"/>
          </w:rPr>
          <w:t xml:space="preserve">https://learn.microsoft.com/windows-server/identity/ad-ds/manage/delegated-managed-service-accounts/delegated-managed-service-accounts-overview</w:t>
        </w:r>
      </w:hyperlink>
      <w:r>
        <w:t xml:space="preserve"> </w:t>
      </w:r>
      <w:r>
        <w:t xml:space="preserve">(accessed Oct 20, 2026).</w:t>
      </w:r>
    </w:p>
  </w:footnote>
  <w:footnote w:id="717">
    <w:p>
      <w:pPr>
        <w:pStyle w:val="FootnoteText"/>
      </w:pPr>
      <w:r>
        <w:rPr>
          <w:rStyle w:val="FootnoteReference"/>
        </w:rPr>
        <w:footnoteRef/>
      </w:r>
      <w:r>
        <w:t xml:space="preserve"> </w:t>
      </w:r>
      <w:r>
        <w:t xml:space="preserve">Microsoft Learn,</w:t>
      </w:r>
      <w:r>
        <w:t xml:space="preserve"> </w:t>
      </w:r>
      <w:r>
        <w:t xml:space="preserve">“Manage group Managed Service Accounts,”</w:t>
      </w:r>
      <w:r>
        <w:t xml:space="preserve"> </w:t>
      </w:r>
      <w:hyperlink r:id="rId718">
        <w:r>
          <w:rPr>
            <w:rStyle w:val="Hyperlink"/>
          </w:rPr>
          <w:t xml:space="preserve">https://learn.microsoft.com/windows-server/identity/ad-ds/manage/group-managed-service-accounts/group-managed-service-accounts/manage-group-managed-service-accounts</w:t>
        </w:r>
      </w:hyperlink>
      <w:r>
        <w:t xml:space="preserve"> </w:t>
      </w:r>
      <w:r>
        <w:t xml:space="preserve">(accessed Oct 20, 2026).</w:t>
      </w:r>
    </w:p>
  </w:footnote>
  <w:footnote w:id="720">
    <w:p>
      <w:pPr>
        <w:pStyle w:val="FootnoteText"/>
      </w:pPr>
      <w:r>
        <w:rPr>
          <w:rStyle w:val="FootnoteReference"/>
        </w:rPr>
        <w:footnoteRef/>
      </w:r>
      <w:r>
        <w:t xml:space="preserve"> </w:t>
      </w:r>
      <w:r>
        <w:t xml:space="preserve">Microsoft Learn,</w:t>
      </w:r>
      <w:r>
        <w:t xml:space="preserve"> </w:t>
      </w:r>
      <w:r>
        <w:t xml:space="preserve">“Windows Server 2008 and newer domain controller returns only 5000 values in an LDAP response,”</w:t>
      </w:r>
      <w:r>
        <w:t xml:space="preserve"> </w:t>
      </w:r>
      <w:hyperlink r:id="rId721">
        <w:r>
          <w:rPr>
            <w:rStyle w:val="Hyperlink"/>
          </w:rPr>
          <w:t xml:space="preserve">https://learn.microsoft.com/troubleshoot/windows-server/active-directory/domain-controller-returns-500-values-ldap-response</w:t>
        </w:r>
      </w:hyperlink>
      <w:r>
        <w:t xml:space="preserve"> </w:t>
      </w:r>
      <w:r>
        <w:t xml:space="preserve">(accessed Oct 20, 2026).</w:t>
      </w:r>
    </w:p>
  </w:footnote>
  <w:footnote w:id="722">
    <w:p>
      <w:pPr>
        <w:pStyle w:val="FootnoteText"/>
      </w:pPr>
      <w:r>
        <w:rPr>
          <w:rStyle w:val="FootnoteReference"/>
        </w:rPr>
        <w:footnoteRef/>
      </w:r>
      <w:r>
        <w:t xml:space="preserve"> </w:t>
      </w:r>
      <w:r>
        <w:t xml:space="preserve">Microsoft Learn,</w:t>
      </w:r>
      <w:r>
        <w:t xml:space="preserve"> </w:t>
      </w:r>
      <w:r>
        <w:t xml:space="preserve">“Active Directory Domain Services maximum limits and scalability,”</w:t>
      </w:r>
      <w:r>
        <w:t xml:space="preserve"> </w:t>
      </w:r>
      <w:r>
        <w:t xml:space="preserve">section</w:t>
      </w:r>
      <w:r>
        <w:t xml:space="preserve"> </w:t>
      </w:r>
      <w:r>
        <w:t xml:space="preserve">“Group Memberships for security principals,”</w:t>
      </w:r>
      <w:r>
        <w:t xml:space="preserve"> </w:t>
      </w:r>
      <w:hyperlink r:id="rId723">
        <w:r>
          <w:rPr>
            <w:rStyle w:val="Hyperlink"/>
          </w:rPr>
          <w:t xml:space="preserve">https://learn.microsoft.com/windows-server/identity/ad-ds/plan/active-directory-domain-services-maximum-limits</w:t>
        </w:r>
      </w:hyperlink>
      <w:r>
        <w:t xml:space="preserve"> </w:t>
      </w:r>
      <w:r>
        <w:t xml:space="preserve">(accessed Oct 20, 2026).</w:t>
      </w:r>
    </w:p>
  </w:footnote>
  <w:footnote w:id="726">
    <w:p>
      <w:pPr>
        <w:pStyle w:val="FootnoteText"/>
      </w:pPr>
      <w:r>
        <w:rPr>
          <w:rStyle w:val="FootnoteReference"/>
        </w:rPr>
        <w:footnoteRef/>
      </w:r>
      <w:r>
        <w:t xml:space="preserve"> </w:t>
      </w:r>
      <w:r>
        <w:t xml:space="preserve">Microsoft Learn,</w:t>
      </w:r>
      <w:r>
        <w:t xml:space="preserve"> </w:t>
      </w:r>
      <w:r>
        <w:t xml:space="preserve">“How trust relationships work for forests in Active Directory,”</w:t>
      </w:r>
      <w:r>
        <w:t xml:space="preserve"> </w:t>
      </w:r>
      <w:r>
        <w:t xml:space="preserve">section</w:t>
      </w:r>
      <w:r>
        <w:t xml:space="preserve"> </w:t>
      </w:r>
      <w:r>
        <w:t xml:space="preserve">“Trusted domain object,”</w:t>
      </w:r>
      <w:r>
        <w:t xml:space="preserve"> </w:t>
      </w:r>
      <w:hyperlink r:id="rId727">
        <w:r>
          <w:rPr>
            <w:rStyle w:val="Hyperlink"/>
          </w:rPr>
          <w:t xml:space="preserve">https://learn.microsoft.com/entra/identity/domain-services/concepts-forest-trust</w:t>
        </w:r>
      </w:hyperlink>
      <w:r>
        <w:t xml:space="preserve"> </w:t>
      </w:r>
      <w:r>
        <w:t xml:space="preserve">(accessed Oct 20, 2026).</w:t>
      </w:r>
    </w:p>
  </w:footnote>
  <w:footnote w:id="728">
    <w:p>
      <w:pPr>
        <w:pStyle w:val="FootnoteText"/>
      </w:pPr>
      <w:r>
        <w:rPr>
          <w:rStyle w:val="FootnoteReference"/>
        </w:rPr>
        <w:footnoteRef/>
      </w:r>
      <w:r>
        <w:t xml:space="preserve"> </w:t>
      </w:r>
      <w:r>
        <w:t xml:space="preserve">Microsoft Learn,</w:t>
      </w:r>
      <w:r>
        <w:t xml:space="preserve"> </w:t>
      </w:r>
      <w:r>
        <w:t xml:space="preserve">“Get-ADTrust,”</w:t>
      </w:r>
      <w:r>
        <w:t xml:space="preserve"> </w:t>
      </w:r>
      <w:hyperlink r:id="rId729">
        <w:r>
          <w:rPr>
            <w:rStyle w:val="Hyperlink"/>
          </w:rPr>
          <w:t xml:space="preserve">https://learn.microsoft.com/powershell/module/activedirectory/get-adtrust?view=windowsserver2025-ps</w:t>
        </w:r>
      </w:hyperlink>
      <w:r>
        <w:t xml:space="preserve"> </w:t>
      </w:r>
      <w:r>
        <w:t xml:space="preserve">(accessed Oct 20, 2026).</w:t>
      </w:r>
    </w:p>
  </w:footnote>
  <w:footnote w:id="730">
    <w:p>
      <w:pPr>
        <w:pStyle w:val="FootnoteText"/>
      </w:pPr>
      <w:r>
        <w:rPr>
          <w:rStyle w:val="FootnoteReference"/>
        </w:rPr>
        <w:footnoteRef/>
      </w:r>
      <w:r>
        <w:t xml:space="preserve"> </w:t>
      </w:r>
      <w:r>
        <w:t xml:space="preserve">Microsoft, [MS-ADTS]</w:t>
      </w:r>
      <w:r>
        <w:t xml:space="preserve"> </w:t>
      </w:r>
      <w:r>
        <w:rPr>
          <w:i/>
          <w:iCs/>
        </w:rPr>
        <w:t xml:space="preserve">Active Directory Technical Specification</w:t>
      </w:r>
      <w:r>
        <w:t xml:space="preserve">,</w:t>
      </w:r>
      <w:r>
        <w:t xml:space="preserve"> </w:t>
      </w:r>
      <w:r>
        <w:t xml:space="preserve">“trustAttributes,”</w:t>
      </w:r>
      <w:r>
        <w:t xml:space="preserve"> </w:t>
      </w:r>
      <w:hyperlink r:id="rId731">
        <w:r>
          <w:rPr>
            <w:rStyle w:val="Hyperlink"/>
          </w:rPr>
          <w:t xml:space="preserve">https://learn.microsoft.com/openspecs/windows_protocols/ms-adts/e9a2d23c-c31e-4a6f-88a0-6646fdb51a3c</w:t>
        </w:r>
      </w:hyperlink>
      <w:r>
        <w:t xml:space="preserve"> </w:t>
      </w:r>
      <w:r>
        <w:t xml:space="preserve">(accessed Oct 20, 2026).</w:t>
      </w:r>
    </w:p>
  </w:footnote>
  <w:footnote w:id="732">
    <w:p>
      <w:pPr>
        <w:pStyle w:val="FootnoteText"/>
      </w:pPr>
      <w:r>
        <w:rPr>
          <w:rStyle w:val="FootnoteReference"/>
        </w:rPr>
        <w:footnoteRef/>
      </w:r>
      <w:r>
        <w:t xml:space="preserve"> </w:t>
      </w:r>
      <w:r>
        <w:t xml:space="preserve">Microsoft Learn,</w:t>
      </w:r>
      <w:r>
        <w:t xml:space="preserve"> </w:t>
      </w:r>
      <w:r>
        <w:t xml:space="preserve">“Management concepts for user accounts, passwords, and administration in Microsoft Entra Domain Services,”</w:t>
      </w:r>
      <w:r>
        <w:t xml:space="preserve"> </w:t>
      </w:r>
      <w:r>
        <w:t xml:space="preserve">section</w:t>
      </w:r>
      <w:r>
        <w:t xml:space="preserve"> </w:t>
      </w:r>
      <w:r>
        <w:t xml:space="preserve">“Forests and trusts,”</w:t>
      </w:r>
      <w:r>
        <w:t xml:space="preserve"> </w:t>
      </w:r>
      <w:hyperlink r:id="rId733">
        <w:r>
          <w:rPr>
            <w:rStyle w:val="Hyperlink"/>
          </w:rPr>
          <w:t xml:space="preserve">https://learn.microsoft.com/entra/identity/domain-services/administration-concepts</w:t>
        </w:r>
      </w:hyperlink>
      <w:r>
        <w:t xml:space="preserve">, and</w:t>
      </w:r>
      <w:r>
        <w:t xml:space="preserve"> </w:t>
      </w:r>
      <w:r>
        <w:t xml:space="preserve">“How trust relationships work for forests in Active Directory,”</w:t>
      </w:r>
      <w:r>
        <w:t xml:space="preserve"> </w:t>
      </w:r>
      <w:r>
        <w:t xml:space="preserve">section</w:t>
      </w:r>
      <w:r>
        <w:t xml:space="preserve"> </w:t>
      </w:r>
      <w:r>
        <w:t xml:space="preserve">“Forest trusts,”</w:t>
      </w:r>
      <w:r>
        <w:t xml:space="preserve"> </w:t>
      </w:r>
      <w:hyperlink r:id="rId727">
        <w:r>
          <w:rPr>
            <w:rStyle w:val="Hyperlink"/>
          </w:rPr>
          <w:t xml:space="preserve">https://learn.microsoft.com/entra/identity/domain-services/concepts-forest-trust</w:t>
        </w:r>
      </w:hyperlink>
      <w:r>
        <w:t xml:space="preserve"> </w:t>
      </w:r>
      <w:r>
        <w:t xml:space="preserve">(accessed Oct 20, 2026).</w:t>
      </w:r>
    </w:p>
  </w:footnote>
  <w:footnote w:id="735">
    <w:p>
      <w:pPr>
        <w:pStyle w:val="FootnoteText"/>
      </w:pPr>
      <w:r>
        <w:rPr>
          <w:rStyle w:val="FootnoteReference"/>
        </w:rPr>
        <w:footnoteRef/>
      </w:r>
      <w:r>
        <w:t xml:space="preserve"> </w:t>
      </w:r>
      <w:r>
        <w:t xml:space="preserve">Microsoft Learn,</w:t>
      </w:r>
      <w:r>
        <w:t xml:space="preserve"> </w:t>
      </w:r>
      <w:r>
        <w:t xml:space="preserve">“ActiveDirectory Module,”</w:t>
      </w:r>
      <w:r>
        <w:t xml:space="preserve"> </w:t>
      </w:r>
      <w:r>
        <w:t xml:space="preserve">cmdlet index,</w:t>
      </w:r>
      <w:r>
        <w:t xml:space="preserve"> </w:t>
      </w:r>
      <w:hyperlink r:id="rId642">
        <w:r>
          <w:rPr>
            <w:rStyle w:val="Hyperlink"/>
          </w:rPr>
          <w:t xml:space="preserve">https://learn.microsoft.com/powershell/module/activedirectory/?view=windowsserver2025-ps</w:t>
        </w:r>
      </w:hyperlink>
      <w:r>
        <w:t xml:space="preserve"> </w:t>
      </w:r>
      <w:r>
        <w:t xml:space="preserve">(accessed Oct 20, 2026).</w:t>
      </w:r>
    </w:p>
  </w:footnote>
  <w:footnote w:id="736">
    <w:p>
      <w:pPr>
        <w:pStyle w:val="FootnoteText"/>
      </w:pPr>
      <w:r>
        <w:rPr>
          <w:rStyle w:val="FootnoteReference"/>
        </w:rPr>
        <w:footnoteRef/>
      </w:r>
      <w:r>
        <w:t xml:space="preserve"> </w:t>
      </w:r>
      <w:r>
        <w:t xml:space="preserve">Microsoft Learn,</w:t>
      </w:r>
      <w:r>
        <w:t xml:space="preserve"> </w:t>
      </w:r>
      <w:r>
        <w:t xml:space="preserve">“netdom trust”</w:t>
      </w:r>
      <w:r>
        <w:t xml:space="preserve"> </w:t>
      </w:r>
      <w:r>
        <w:t xml:space="preserve">and</w:t>
      </w:r>
      <w:r>
        <w:t xml:space="preserve"> </w:t>
      </w:r>
      <w:r>
        <w:t xml:space="preserve">“netdom query,”</w:t>
      </w:r>
      <w:r>
        <w:t xml:space="preserve"> </w:t>
      </w:r>
      <w:hyperlink r:id="rId620">
        <w:r>
          <w:rPr>
            <w:rStyle w:val="Hyperlink"/>
          </w:rPr>
          <w:t xml:space="preserve">https://learn.microsoft.com/windows-server/administration/windows-commands/netdom-trust</w:t>
        </w:r>
      </w:hyperlink>
      <w:r>
        <w:t xml:space="preserve"> </w:t>
      </w:r>
      <w:r>
        <w:t xml:space="preserve">and</w:t>
      </w:r>
      <w:r>
        <w:t xml:space="preserve"> </w:t>
      </w:r>
      <w:hyperlink r:id="rId621">
        <w:r>
          <w:rPr>
            <w:rStyle w:val="Hyperlink"/>
          </w:rPr>
          <w:t xml:space="preserve">https://learn.microsoft.com/windows-server/administration/windows-commands/netdom-query</w:t>
        </w:r>
      </w:hyperlink>
      <w:r>
        <w:t xml:space="preserve"> </w:t>
      </w:r>
      <w:r>
        <w:t xml:space="preserve">(accessed Oct 20, 2026).</w:t>
      </w:r>
    </w:p>
  </w:footnote>
  <w:footnote w:id="737">
    <w:p>
      <w:pPr>
        <w:pStyle w:val="FootnoteText"/>
      </w:pPr>
      <w:r>
        <w:rPr>
          <w:rStyle w:val="FootnoteReference"/>
        </w:rPr>
        <w:footnoteRef/>
      </w:r>
      <w:r>
        <w:t xml:space="preserve"> </w:t>
      </w:r>
      <w:r>
        <w:t xml:space="preserve">Microsoft Learn,</w:t>
      </w:r>
      <w:r>
        <w:t xml:space="preserve"> </w:t>
      </w:r>
      <w:r>
        <w:t xml:space="preserve">“Overview: Cross-tenant access with Microsoft Entra External ID,”</w:t>
      </w:r>
      <w:r>
        <w:t xml:space="preserve"> </w:t>
      </w:r>
      <w:hyperlink r:id="rId738">
        <w:r>
          <w:rPr>
            <w:rStyle w:val="Hyperlink"/>
          </w:rPr>
          <w:t xml:space="preserve">https://learn.microsoft.com/entra/external-id/cross-tenant-access-overview</w:t>
        </w:r>
      </w:hyperlink>
      <w:r>
        <w:t xml:space="preserve"> </w:t>
      </w:r>
      <w:r>
        <w:t xml:space="preserve">(accessed Oct 20, 2026).</w:t>
      </w:r>
    </w:p>
  </w:footnote>
  <w:footnote w:id="747">
    <w:p>
      <w:pPr>
        <w:pStyle w:val="FootnoteText"/>
      </w:pPr>
      <w:r>
        <w:rPr>
          <w:rStyle w:val="FootnoteReference"/>
        </w:rPr>
        <w:footnoteRef/>
      </w:r>
      <w:r>
        <w:t xml:space="preserve"> </w:t>
      </w:r>
      <w:r>
        <w:t xml:space="preserve">Microsoft Learn,</w:t>
      </w:r>
      <w:r>
        <w:t xml:space="preserve"> </w:t>
      </w:r>
      <w:r>
        <w:t xml:space="preserve">“Manage group Managed Service Accounts,”</w:t>
      </w:r>
      <w:r>
        <w:t xml:space="preserve"> </w:t>
      </w:r>
      <w:hyperlink r:id="rId718">
        <w:r>
          <w:rPr>
            <w:rStyle w:val="Hyperlink"/>
          </w:rPr>
          <w:t xml:space="preserve">https://learn.microsoft.com/windows-server/identity/ad-ds/manage/group-managed-service-accounts/group-managed-service-accounts/manage-group-managed-service-accounts</w:t>
        </w:r>
      </w:hyperlink>
      <w:r>
        <w:t xml:space="preserve"> </w:t>
      </w:r>
      <w:r>
        <w:t xml:space="preserve">(accessed Oct 20, 2026).</w:t>
      </w:r>
    </w:p>
  </w:footnote>
  <w:footnote w:id="748">
    <w:p>
      <w:pPr>
        <w:pStyle w:val="FootnoteText"/>
      </w:pPr>
      <w:r>
        <w:rPr>
          <w:rStyle w:val="FootnoteReference"/>
        </w:rPr>
        <w:footnoteRef/>
      </w:r>
      <w:r>
        <w:t xml:space="preserve"> </w:t>
      </w:r>
      <w:r>
        <w:t xml:space="preserve">Microsoft Learn,</w:t>
      </w:r>
      <w:r>
        <w:t xml:space="preserve"> </w:t>
      </w:r>
      <w:r>
        <w:t xml:space="preserve">“Run assessments with Managed Service Accounts,”</w:t>
      </w:r>
      <w:r>
        <w:t xml:space="preserve"> </w:t>
      </w:r>
      <w:r>
        <w:t xml:space="preserve">Microsoft Engage Center,</w:t>
      </w:r>
      <w:r>
        <w:t xml:space="preserve"> </w:t>
      </w:r>
      <w:hyperlink r:id="rId749">
        <w:r>
          <w:rPr>
            <w:rStyle w:val="Hyperlink"/>
          </w:rPr>
          <w:t xml:space="preserve">https://learn.microsoft.com/services-hub/microsoft-engage-center/health/kb/kb-running-assessments-with-msas</w:t>
        </w:r>
      </w:hyperlink>
      <w:r>
        <w:t xml:space="preserve"> </w:t>
      </w:r>
      <w:r>
        <w:t xml:space="preserve">(accessed Oct 20, 2026).</w:t>
      </w:r>
    </w:p>
  </w:footnote>
  <w:footnote w:id="752">
    <w:p>
      <w:pPr>
        <w:pStyle w:val="FootnoteText"/>
      </w:pPr>
      <w:r>
        <w:rPr>
          <w:rStyle w:val="FootnoteReference"/>
        </w:rPr>
        <w:footnoteRef/>
      </w:r>
      <w:r>
        <w:t xml:space="preserve"> </w:t>
      </w:r>
      <w:r>
        <w:t xml:space="preserve">Gitea,</w:t>
      </w:r>
      <w:r>
        <w:t xml:space="preserve"> </w:t>
      </w:r>
      <w:r>
        <w:t xml:space="preserve">“API Usage,”</w:t>
      </w:r>
      <w:r>
        <w:t xml:space="preserve"> </w:t>
      </w:r>
      <w:hyperlink r:id="rId753">
        <w:r>
          <w:rPr>
            <w:rStyle w:val="Hyperlink"/>
          </w:rPr>
          <w:t xml:space="preserve">https://docs.gitea.com/development/api-usage</w:t>
        </w:r>
      </w:hyperlink>
      <w:r>
        <w:t xml:space="preserve"> </w:t>
      </w:r>
      <w:r>
        <w:t xml:space="preserve">(accessed Oct 20, 2026).</w:t>
      </w:r>
    </w:p>
  </w:footnote>
  <w:footnote w:id="754">
    <w:p>
      <w:pPr>
        <w:pStyle w:val="FootnoteText"/>
      </w:pPr>
      <w:r>
        <w:rPr>
          <w:rStyle w:val="FootnoteReference"/>
        </w:rPr>
        <w:footnoteRef/>
      </w:r>
      <w:r>
        <w:t xml:space="preserve"> </w:t>
      </w:r>
      <w:r>
        <w:t xml:space="preserve">Gitea, API specification (OpenAPI 2.0),</w:t>
      </w:r>
      <w:r>
        <w:t xml:space="preserve"> </w:t>
      </w:r>
      <w:hyperlink r:id="rId755">
        <w:r>
          <w:rPr>
            <w:rStyle w:val="Hyperlink"/>
          </w:rPr>
          <w:t xml:space="preserve">https://gitea.com/swagger.v1.json</w:t>
        </w:r>
      </w:hyperlink>
      <w:r>
        <w:t xml:space="preserve"> </w:t>
      </w:r>
      <w:r>
        <w:t xml:space="preserve">(accessed Oct 20, 2026). Endpoint names, request fields and the deprecation of query-parameter tokens are as published there; confirm them against</w:t>
      </w:r>
      <w:r>
        <w:t xml:space="preserve"> </w:t>
      </w:r>
      <w:r>
        <w:rPr>
          <w:rStyle w:val="VerbatimChar"/>
        </w:rPr>
        <w:t xml:space="preserve">/api/swagger</w:t>
      </w:r>
      <w:r>
        <w:t xml:space="preserve"> </w:t>
      </w:r>
      <w:r>
        <w:t xml:space="preserve">on your own instance, because fields vary by Gitea version.</w:t>
      </w:r>
    </w:p>
  </w:footnote>
  <w:footnote w:id="756">
    <w:p>
      <w:pPr>
        <w:pStyle w:val="FootnoteText"/>
      </w:pPr>
      <w:r>
        <w:rPr>
          <w:rStyle w:val="FootnoteReference"/>
        </w:rPr>
        <w:footnoteRef/>
      </w:r>
      <w:r>
        <w:t xml:space="preserve"> </w:t>
      </w:r>
      <w:r>
        <w:t xml:space="preserve">Gitea, API specification (OpenAPI 2.0),</w:t>
      </w:r>
      <w:r>
        <w:t xml:space="preserve"> </w:t>
      </w:r>
      <w:hyperlink r:id="rId755">
        <w:r>
          <w:rPr>
            <w:rStyle w:val="Hyperlink"/>
          </w:rPr>
          <w:t xml:space="preserve">https://gitea.com/swagger.v1.json</w:t>
        </w:r>
      </w:hyperlink>
      <w:r>
        <w:t xml:space="preserve"> </w:t>
      </w:r>
      <w:r>
        <w:t xml:space="preserve">(accessed Oct 20, 2026). Endpoint names, request fields and the deprecation of query-parameter tokens are as published there; confirm them against</w:t>
      </w:r>
      <w:r>
        <w:t xml:space="preserve"> </w:t>
      </w:r>
      <w:r>
        <w:rPr>
          <w:rStyle w:val="VerbatimChar"/>
        </w:rPr>
        <w:t xml:space="preserve">/api/swagger</w:t>
      </w:r>
      <w:r>
        <w:t xml:space="preserve"> </w:t>
      </w:r>
      <w:r>
        <w:t xml:space="preserve">on your own instance, because fields vary by Gitea version.</w:t>
      </w:r>
    </w:p>
  </w:footnote>
  <w:footnote w:id="758">
    <w:p>
      <w:pPr>
        <w:pStyle w:val="FootnoteText"/>
      </w:pPr>
      <w:r>
        <w:rPr>
          <w:rStyle w:val="FootnoteReference"/>
        </w:rPr>
        <w:footnoteRef/>
      </w:r>
      <w:r>
        <w:t xml:space="preserve"> </w:t>
      </w:r>
      <w:r>
        <w:t xml:space="preserve">Microsoft Learn,</w:t>
      </w:r>
      <w:r>
        <w:t xml:space="preserve"> </w:t>
      </w:r>
      <w:r>
        <w:t xml:space="preserve">“Security assessment: Unsafe permissions on the DnsAdmins group,”</w:t>
      </w:r>
      <w:r>
        <w:t xml:space="preserve"> </w:t>
      </w:r>
      <w:hyperlink r:id="rId618">
        <w:r>
          <w:rPr>
            <w:rStyle w:val="Hyperlink"/>
          </w:rPr>
          <w:t xml:space="preserve">https://learn.microsoft.com/defender-for-identity/unsafe-permissions-dns-admins-group</w:t>
        </w:r>
      </w:hyperlink>
      <w:r>
        <w:t xml:space="preserve"> </w:t>
      </w:r>
      <w:r>
        <w:t xml:space="preserve">(accessed Oct 20, 2026).</w:t>
      </w:r>
    </w:p>
  </w:footnote>
  <w:footnote w:id="759">
    <w:p>
      <w:pPr>
        <w:pStyle w:val="FootnoteText"/>
      </w:pPr>
      <w:r>
        <w:rPr>
          <w:rStyle w:val="FootnoteReference"/>
        </w:rPr>
        <w:footnoteRef/>
      </w:r>
      <w:r>
        <w:t xml:space="preserve"> </w:t>
      </w:r>
      <w:r>
        <w:t xml:space="preserve">Microsoft Learn,</w:t>
      </w:r>
      <w:r>
        <w:t xml:space="preserve"> </w:t>
      </w:r>
      <w:r>
        <w:t xml:space="preserve">“Run assessments with Managed Service Accounts,”</w:t>
      </w:r>
      <w:r>
        <w:t xml:space="preserve"> </w:t>
      </w:r>
      <w:r>
        <w:t xml:space="preserve">Microsoft Engage Center,</w:t>
      </w:r>
      <w:r>
        <w:t xml:space="preserve"> </w:t>
      </w:r>
      <w:hyperlink r:id="rId749">
        <w:r>
          <w:rPr>
            <w:rStyle w:val="Hyperlink"/>
          </w:rPr>
          <w:t xml:space="preserve">https://learn.microsoft.com/services-hub/microsoft-engage-center/health/kb/kb-running-assessments-with-msas</w:t>
        </w:r>
      </w:hyperlink>
      <w:r>
        <w:t xml:space="preserve"> </w:t>
      </w:r>
      <w:r>
        <w:t xml:space="preserve">(accessed Oct 20, 2026).</w:t>
      </w:r>
    </w:p>
  </w:footnote>
  <w:footnote w:id="761">
    <w:p>
      <w:pPr>
        <w:pStyle w:val="FootnoteText"/>
      </w:pPr>
      <w:r>
        <w:rPr>
          <w:rStyle w:val="FootnoteReference"/>
        </w:rPr>
        <w:footnoteRef/>
      </w:r>
      <w:r>
        <w:t xml:space="preserve"> </w:t>
      </w:r>
      <w:r>
        <w:t xml:space="preserve">Microsoft Learn,</w:t>
      </w:r>
      <w:r>
        <w:t xml:space="preserve"> </w:t>
      </w:r>
      <w:r>
        <w:t xml:space="preserve">“Specify a server name and port number for an Active Directory cmdlet,”</w:t>
      </w:r>
      <w:r>
        <w:t xml:space="preserve"> </w:t>
      </w:r>
      <w:hyperlink r:id="rId762">
        <w:r>
          <w:rPr>
            <w:rStyle w:val="Hyperlink"/>
          </w:rPr>
          <w:t xml:space="preserve">https://learn.microsoft.com/troubleshoot/windows-server/active-directory/specify-server-port-active-directory-powershell-cmdlet</w:t>
        </w:r>
      </w:hyperlink>
      <w:r>
        <w:t xml:space="preserve"> </w:t>
      </w:r>
      <w:r>
        <w:t xml:space="preserve">(accessed Oct 20, 2026).</w:t>
      </w:r>
    </w:p>
  </w:footnote>
  <w:footnote w:id="763">
    <w:p>
      <w:pPr>
        <w:pStyle w:val="FootnoteText"/>
      </w:pPr>
      <w:r>
        <w:rPr>
          <w:rStyle w:val="FootnoteReference"/>
        </w:rPr>
        <w:footnoteRef/>
      </w:r>
      <w:r>
        <w:t xml:space="preserve"> </w:t>
      </w:r>
      <w:r>
        <w:t xml:space="preserve">Microsoft Learn,</w:t>
      </w:r>
      <w:r>
        <w:t xml:space="preserve"> </w:t>
      </w:r>
      <w:r>
        <w:t xml:space="preserve">“Service overview and network port requirements for Windows,”</w:t>
      </w:r>
      <w:r>
        <w:t xml:space="preserve"> </w:t>
      </w:r>
      <w:hyperlink r:id="rId764">
        <w:r>
          <w:rPr>
            <w:rStyle w:val="Hyperlink"/>
          </w:rPr>
          <w:t xml:space="preserve">https://learn.microsoft.com/troubleshoot/windows-server/networking/service-overview-and-network-port-requirements</w:t>
        </w:r>
      </w:hyperlink>
      <w:r>
        <w:t xml:space="preserve"> </w:t>
      </w:r>
      <w:r>
        <w:t xml:space="preserve">(accessed Oct 20, 2026).</w:t>
      </w:r>
    </w:p>
  </w:footnote>
  <w:footnote w:id="765">
    <w:p>
      <w:pPr>
        <w:pStyle w:val="FootnoteText"/>
      </w:pPr>
      <w:r>
        <w:rPr>
          <w:rStyle w:val="FootnoteReference"/>
        </w:rPr>
        <w:footnoteRef/>
      </w:r>
      <w:r>
        <w:t xml:space="preserve"> </w:t>
      </w:r>
      <w:r>
        <w:t xml:space="preserve">Microsoft Learn,</w:t>
      </w:r>
      <w:r>
        <w:t xml:space="preserve"> </w:t>
      </w:r>
      <w:r>
        <w:t xml:space="preserve">“Security Considerations for PowerShell Remoting using WinRM,”</w:t>
      </w:r>
      <w:r>
        <w:t xml:space="preserve"> </w:t>
      </w:r>
      <w:hyperlink r:id="rId766">
        <w:r>
          <w:rPr>
            <w:rStyle w:val="Hyperlink"/>
          </w:rPr>
          <w:t xml:space="preserve">https://learn.microsoft.com/powershell/scripting/security/remoting/winrm-security</w:t>
        </w:r>
      </w:hyperlink>
      <w:r>
        <w:t xml:space="preserve"> </w:t>
      </w:r>
      <w:r>
        <w:t xml:space="preserve">(accessed Oct 20, 2026).</w:t>
      </w:r>
    </w:p>
  </w:footnote>
  <w:footnote w:id="770">
    <w:p>
      <w:pPr>
        <w:pStyle w:val="FootnoteText"/>
      </w:pPr>
      <w:r>
        <w:rPr>
          <w:rStyle w:val="FootnoteReference"/>
        </w:rPr>
        <w:footnoteRef/>
      </w:r>
      <w:r>
        <w:t xml:space="preserve"> </w:t>
      </w:r>
      <w:r>
        <w:t xml:space="preserve">Microsoft Learn,</w:t>
      </w:r>
      <w:r>
        <w:t xml:space="preserve"> </w:t>
      </w:r>
      <w:r>
        <w:t xml:space="preserve">“Specify a server name and port number for an Active Directory cmdlet,”</w:t>
      </w:r>
      <w:r>
        <w:t xml:space="preserve"> </w:t>
      </w:r>
      <w:hyperlink r:id="rId762">
        <w:r>
          <w:rPr>
            <w:rStyle w:val="Hyperlink"/>
          </w:rPr>
          <w:t xml:space="preserve">https://learn.microsoft.com/troubleshoot/windows-server/active-directory/specify-server-port-active-directory-powershell-cmdlet</w:t>
        </w:r>
      </w:hyperlink>
      <w:r>
        <w:t xml:space="preserve"> </w:t>
      </w:r>
      <w:r>
        <w:t xml:space="preserve">(accessed Oct 20, 2026).</w:t>
      </w:r>
    </w:p>
  </w:footnote>
  <w:footnote w:id="771">
    <w:p>
      <w:pPr>
        <w:pStyle w:val="FootnoteText"/>
      </w:pPr>
      <w:r>
        <w:rPr>
          <w:rStyle w:val="FootnoteReference"/>
        </w:rPr>
        <w:footnoteRef/>
      </w:r>
      <w:r>
        <w:t xml:space="preserve"> </w:t>
      </w:r>
      <w:r>
        <w:t xml:space="preserve">Microsoft Learn,</w:t>
      </w:r>
      <w:r>
        <w:t xml:space="preserve"> </w:t>
      </w:r>
      <w:r>
        <w:t xml:space="preserve">“Installation and configuration for Windows Remote Management,”</w:t>
      </w:r>
      <w:r>
        <w:t xml:space="preserve"> </w:t>
      </w:r>
      <w:r>
        <w:t xml:space="preserve">section</w:t>
      </w:r>
      <w:r>
        <w:t xml:space="preserve"> </w:t>
      </w:r>
      <w:r>
        <w:t xml:space="preserve">“TrustedHosts,”</w:t>
      </w:r>
      <w:r>
        <w:t xml:space="preserve"> </w:t>
      </w:r>
      <w:hyperlink r:id="rId772">
        <w:r>
          <w:rPr>
            <w:rStyle w:val="Hyperlink"/>
          </w:rPr>
          <w:t xml:space="preserve">https://learn.microsoft.com/windows/win32/winrm/installation-and-configuration-for-windows-remote-management</w:t>
        </w:r>
      </w:hyperlink>
      <w:r>
        <w:t xml:space="preserve"> </w:t>
      </w:r>
      <w:r>
        <w:t xml:space="preserve">(accessed Oct 20, 2026).</w:t>
      </w:r>
    </w:p>
  </w:footnote>
  <w:footnote w:id="773">
    <w:p>
      <w:pPr>
        <w:pStyle w:val="FootnoteText"/>
      </w:pPr>
      <w:r>
        <w:rPr>
          <w:rStyle w:val="FootnoteReference"/>
        </w:rPr>
        <w:footnoteRef/>
      </w:r>
      <w:r>
        <w:t xml:space="preserve"> </w:t>
      </w:r>
      <w:r>
        <w:t xml:space="preserve">Microsoft Learn,</w:t>
      </w:r>
      <w:r>
        <w:t xml:space="preserve"> </w:t>
      </w:r>
      <w:r>
        <w:t xml:space="preserve">“</w:t>
      </w:r>
      <w:r>
        <w:t xml:space="preserve">‘Size Limit Exceeded - Error Code 0x4’</w:t>
      </w:r>
      <w:r>
        <w:t xml:space="preserve"> </w:t>
      </w:r>
      <w:r>
        <w:t xml:space="preserve">error message during delta import in Microsoft Entra Connect,”</w:t>
      </w:r>
      <w:r>
        <w:t xml:space="preserve"> </w:t>
      </w:r>
      <w:hyperlink r:id="rId774">
        <w:r>
          <w:rPr>
            <w:rStyle w:val="Hyperlink"/>
          </w:rPr>
          <w:t xml:space="preserve">https://learn.microsoft.com/troubleshoot/entra/entra-id/user-prov-sync/size-limit-exceeded</w:t>
        </w:r>
      </w:hyperlink>
      <w:r>
        <w:t xml:space="preserve"> </w:t>
      </w:r>
      <w:r>
        <w:t xml:space="preserve">(accessed Oct 20, 2026).</w:t>
      </w:r>
    </w:p>
  </w:footnote>
  <w:footnote w:id="782">
    <w:p>
      <w:pPr>
        <w:pStyle w:val="FootnoteText"/>
      </w:pPr>
      <w:r>
        <w:rPr>
          <w:rStyle w:val="FootnoteReference"/>
        </w:rPr>
        <w:footnoteRef/>
      </w:r>
      <w:r>
        <w:t xml:space="preserve"> </w:t>
      </w:r>
      <w:r>
        <w:t xml:space="preserve">Microsoft Learn,</w:t>
      </w:r>
      <w:r>
        <w:t xml:space="preserve"> </w:t>
      </w:r>
      <w:r>
        <w:t xml:space="preserve">“Microsoft Graph national cloud deployments,”</w:t>
      </w:r>
      <w:r>
        <w:t xml:space="preserve"> </w:t>
      </w:r>
      <w:hyperlink r:id="rId783">
        <w:r>
          <w:rPr>
            <w:rStyle w:val="Hyperlink"/>
          </w:rPr>
          <w:t xml:space="preserve">https://learn.microsoft.com/graph/deployments</w:t>
        </w:r>
      </w:hyperlink>
      <w:r>
        <w:t xml:space="preserve"> </w:t>
      </w:r>
      <w:r>
        <w:t xml:space="preserve">(accessed Oct 20, 2026).</w:t>
      </w:r>
    </w:p>
  </w:footnote>
  <w:footnote w:id="789">
    <w:p>
      <w:pPr>
        <w:pStyle w:val="FootnoteText"/>
      </w:pPr>
      <w:r>
        <w:rPr>
          <w:rStyle w:val="FootnoteReference"/>
        </w:rPr>
        <w:footnoteRef/>
      </w:r>
      <w:r>
        <w:t xml:space="preserve"> </w:t>
      </w:r>
      <w:r>
        <w:t xml:space="preserve">Microsoft Learn,</w:t>
      </w:r>
      <w:r>
        <w:t xml:space="preserve"> </w:t>
      </w:r>
      <w:r>
        <w:t xml:space="preserve">“Microsoft Entra UserPrincipalName population,”</w:t>
      </w:r>
      <w:r>
        <w:t xml:space="preserve"> </w:t>
      </w:r>
      <w:hyperlink r:id="rId790">
        <w:r>
          <w:rPr>
            <w:rStyle w:val="Hyperlink"/>
          </w:rPr>
          <w:t xml:space="preserve">https://learn.microsoft.com/entra/identity/hybrid/connect/plan-connect-userprincipalname</w:t>
        </w:r>
      </w:hyperlink>
      <w:r>
        <w:t xml:space="preserve"> </w:t>
      </w:r>
      <w:r>
        <w:t xml:space="preserve">(accessed Oct 20, 2026).</w:t>
      </w:r>
    </w:p>
  </w:footnote>
  <w:footnote w:id="791">
    <w:p>
      <w:pPr>
        <w:pStyle w:val="FootnoteText"/>
      </w:pPr>
      <w:r>
        <w:rPr>
          <w:rStyle w:val="FootnoteReference"/>
        </w:rPr>
        <w:footnoteRef/>
      </w:r>
      <w:r>
        <w:t xml:space="preserve"> </w:t>
      </w:r>
      <w:r>
        <w:t xml:space="preserve">Microsoft Learn,</w:t>
      </w:r>
      <w:r>
        <w:t xml:space="preserve"> </w:t>
      </w:r>
      <w:r>
        <w:t xml:space="preserve">“Configure Microsoft Entra Connect for an existing tenant,”</w:t>
      </w:r>
      <w:r>
        <w:t xml:space="preserve"> </w:t>
      </w:r>
      <w:hyperlink r:id="rId792">
        <w:r>
          <w:rPr>
            <w:rStyle w:val="Hyperlink"/>
          </w:rPr>
          <w:t xml:space="preserve">https://learn.microsoft.com/entra/identity/hybrid/connect/how-to-connect-install-existing-tenant</w:t>
        </w:r>
      </w:hyperlink>
      <w:r>
        <w:t xml:space="preserve"> </w:t>
      </w:r>
      <w:r>
        <w:t xml:space="preserve">(accessed Oct 20, 2026).</w:t>
      </w:r>
    </w:p>
  </w:footnote>
  <w:footnote w:id="798">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hyperlink r:id="rId350">
        <w:r>
          <w:rPr>
            <w:rStyle w:val="Hyperlink"/>
          </w:rPr>
          <w:t xml:space="preserve">https://learn.microsoft.com/entra/identity/role-based-access-control/administrative-units</w:t>
        </w:r>
      </w:hyperlink>
      <w:r>
        <w:t xml:space="preserve"> </w:t>
      </w:r>
      <w:r>
        <w:t xml:space="preserve">(accessed Oct 20, 2026).</w:t>
      </w:r>
    </w:p>
  </w:footnote>
  <w:footnote w:id="802">
    <w:p>
      <w:pPr>
        <w:pStyle w:val="FootnoteText"/>
      </w:pPr>
      <w:r>
        <w:rPr>
          <w:rStyle w:val="FootnoteReference"/>
        </w:rPr>
        <w:footnoteRef/>
      </w:r>
      <w:r>
        <w:t xml:space="preserve"> </w:t>
      </w:r>
      <w:r>
        <w:t xml:space="preserve">Microsoft Learn,</w:t>
      </w:r>
      <w:r>
        <w:t xml:space="preserve"> </w:t>
      </w:r>
      <w:r>
        <w:t xml:space="preserve">“Appendix C: Protected Accounts and Groups in Active Directory,”</w:t>
      </w:r>
      <w:r>
        <w:t xml:space="preserve"> </w:t>
      </w:r>
      <w:hyperlink r:id="rId553">
        <w:r>
          <w:rPr>
            <w:rStyle w:val="Hyperlink"/>
          </w:rPr>
          <w:t xml:space="preserve">https://learn.microsoft.com/windows-server/identity/ad-ds/plan/security-best-practices/appendix-c--protected-accounts-and-groups-in-active-directory</w:t>
        </w:r>
      </w:hyperlink>
      <w:r>
        <w:t xml:space="preserve"> </w:t>
      </w:r>
      <w:r>
        <w:t xml:space="preserve">(accessed Oct 20, 2026).</w:t>
      </w:r>
    </w:p>
  </w:footnote>
  <w:footnote w:id="803">
    <w:p>
      <w:pPr>
        <w:pStyle w:val="FootnoteText"/>
      </w:pPr>
      <w:r>
        <w:rPr>
          <w:rStyle w:val="FootnoteReference"/>
        </w:rPr>
        <w:footnoteRef/>
      </w:r>
      <w:r>
        <w:t xml:space="preserve"> </w:t>
      </w:r>
      <w:r>
        <w:t xml:space="preserve">Microsoft Learn,</w:t>
      </w:r>
      <w:r>
        <w:t xml:space="preserve"> </w:t>
      </w:r>
      <w:r>
        <w:t xml:space="preserve">“Appendix C: Protected Accounts and Groups in Active Directory,”</w:t>
      </w:r>
      <w:r>
        <w:t xml:space="preserve"> </w:t>
      </w:r>
      <w:hyperlink r:id="rId553">
        <w:r>
          <w:rPr>
            <w:rStyle w:val="Hyperlink"/>
          </w:rPr>
          <w:t xml:space="preserve">https://learn.microsoft.com/windows-server/identity/ad-ds/plan/security-best-practices/appendix-c--protected-accounts-and-groups-in-active-directory</w:t>
        </w:r>
      </w:hyperlink>
      <w:r>
        <w:t xml:space="preserve"> </w:t>
      </w:r>
      <w:r>
        <w:t xml:space="preserve">(accessed Oct 20, 2026).</w:t>
      </w:r>
    </w:p>
  </w:footnote>
  <w:footnote w:id="804">
    <w:p>
      <w:pPr>
        <w:pStyle w:val="FootnoteText"/>
      </w:pPr>
      <w:r>
        <w:rPr>
          <w:rStyle w:val="FootnoteReference"/>
        </w:rPr>
        <w:footnoteRef/>
      </w:r>
      <w:r>
        <w:t xml:space="preserve"> </w:t>
      </w:r>
      <w:r>
        <w:t xml:space="preserve">Microsoft Learn,</w:t>
      </w:r>
      <w:r>
        <w:t xml:space="preserve"> </w:t>
      </w:r>
      <w:r>
        <w:t xml:space="preserve">“Reducing the Active Directory Attack Surface,”</w:t>
      </w:r>
      <w:r>
        <w:t xml:space="preserve"> </w:t>
      </w:r>
      <w:hyperlink r:id="rId555">
        <w:r>
          <w:rPr>
            <w:rStyle w:val="Hyperlink"/>
          </w:rPr>
          <w:t xml:space="preserve">https://learn.microsoft.com/windows-server/identity/ad-ds/plan/security-best-practices/reducing-the-active-directory-attack-surface</w:t>
        </w:r>
      </w:hyperlink>
      <w:r>
        <w:t xml:space="preserve"> </w:t>
      </w:r>
      <w:r>
        <w:t xml:space="preserve">(accessed Oct 20, 2026).</w:t>
      </w:r>
    </w:p>
  </w:footnote>
  <w:footnote w:id="805">
    <w:p>
      <w:pPr>
        <w:pStyle w:val="FootnoteText"/>
      </w:pPr>
      <w:r>
        <w:rPr>
          <w:rStyle w:val="FootnoteReference"/>
        </w:rPr>
        <w:footnoteRef/>
      </w:r>
      <w:r>
        <w:t xml:space="preserve"> </w:t>
      </w:r>
      <w:r>
        <w:t xml:space="preserve">Microsoft Learn,</w:t>
      </w:r>
      <w:r>
        <w:t xml:space="preserve"> </w:t>
      </w:r>
      <w:r>
        <w:t xml:space="preserve">“What are protected actions in Microsoft Entra ID?,”</w:t>
      </w:r>
      <w:r>
        <w:t xml:space="preserve"> </w:t>
      </w:r>
      <w:hyperlink r:id="rId806">
        <w:r>
          <w:rPr>
            <w:rStyle w:val="Hyperlink"/>
          </w:rPr>
          <w:t xml:space="preserve">https://learn.microsoft.com/entra/identity/role-based-access-control/protected-actions-overview</w:t>
        </w:r>
      </w:hyperlink>
      <w:r>
        <w:t xml:space="preserve"> </w:t>
      </w:r>
      <w:r>
        <w:t xml:space="preserve">(accessed Oct 20, 2026).</w:t>
      </w:r>
    </w:p>
  </w:footnote>
  <w:footnote w:id="808">
    <w:p>
      <w:pPr>
        <w:pStyle w:val="FootnoteText"/>
      </w:pPr>
      <w:r>
        <w:rPr>
          <w:rStyle w:val="FootnoteReference"/>
        </w:rPr>
        <w:footnoteRef/>
      </w:r>
      <w:r>
        <w:t xml:space="preserve"> </w:t>
      </w:r>
      <w:r>
        <w:t xml:space="preserve">Microsoft Learn,</w:t>
      </w:r>
      <w:r>
        <w:t xml:space="preserve"> </w:t>
      </w:r>
      <w:r>
        <w:t xml:space="preserve">“What is managed identities for Azure resources?,”</w:t>
      </w:r>
      <w:r>
        <w:t xml:space="preserve"> </w:t>
      </w:r>
      <w:hyperlink r:id="rId809">
        <w:r>
          <w:rPr>
            <w:rStyle w:val="Hyperlink"/>
          </w:rPr>
          <w:t xml:space="preserve">https://learn.microsoft.com/entra/identity/managed-identities-azure-resources/overview</w:t>
        </w:r>
      </w:hyperlink>
      <w:r>
        <w:t xml:space="preserve"> </w:t>
      </w:r>
      <w:r>
        <w:t xml:space="preserve">(accessed Oct 20, 2026).</w:t>
      </w:r>
    </w:p>
  </w:footnote>
  <w:footnote w:id="811">
    <w:p>
      <w:pPr>
        <w:pStyle w:val="FootnoteText"/>
      </w:pPr>
      <w:r>
        <w:rPr>
          <w:rStyle w:val="FootnoteReference"/>
        </w:rPr>
        <w:footnoteRef/>
      </w:r>
      <w:r>
        <w:t xml:space="preserve"> </w:t>
      </w:r>
      <w:r>
        <w:t xml:space="preserve">Microsoft Learn,</w:t>
      </w:r>
      <w:r>
        <w:t xml:space="preserve"> </w:t>
      </w:r>
      <w:r>
        <w:t xml:space="preserve">“Microsoft Entra Cloud Sync migration decision guide,”</w:t>
      </w:r>
      <w:r>
        <w:t xml:space="preserve"> </w:t>
      </w:r>
      <w:hyperlink r:id="rId305">
        <w:r>
          <w:rPr>
            <w:rStyle w:val="Hyperlink"/>
          </w:rPr>
          <w:t xml:space="preserve">https://learn.microsoft.com/entra/identity/hybrid/cloud-sync/connect-to-cloud-sync-decision-guide</w:t>
        </w:r>
      </w:hyperlink>
      <w:r>
        <w:t xml:space="preserve"> </w:t>
      </w:r>
      <w:r>
        <w:t xml:space="preserve">(accessed Oct 20, 2026).</w:t>
      </w:r>
    </w:p>
  </w:footnote>
  <w:footnote w:id="813">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453">
        <w:r>
          <w:rPr>
            <w:rStyle w:val="Hyperlink"/>
          </w:rPr>
          <w:t xml:space="preserve">https://learn.microsoft.com/entra/id-governance/licensing-fundamentals</w:t>
        </w:r>
      </w:hyperlink>
      <w:r>
        <w:t xml:space="preserve"> </w:t>
      </w:r>
      <w:r>
        <w:t xml:space="preserve">(accessed Oct 20, 2026).</w:t>
      </w:r>
    </w:p>
  </w:footnote>
  <w:footnote w:id="814">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815">
        <w:r>
          <w:rPr>
            <w:rStyle w:val="Hyperlink"/>
          </w:rPr>
          <w:t xml:space="preserve">https://learn.microsoft.com/entra/identity/users/groups-dynamic-membership</w:t>
        </w:r>
      </w:hyperlink>
      <w:r>
        <w:t xml:space="preserve"> </w:t>
      </w:r>
      <w:r>
        <w:t xml:space="preserve">(accessed Oct 20, 2026).</w:t>
      </w:r>
    </w:p>
  </w:footnote>
  <w:footnote w:id="816">
    <w:p>
      <w:pPr>
        <w:pStyle w:val="FootnoteText"/>
      </w:pPr>
      <w:r>
        <w:rPr>
          <w:rStyle w:val="FootnoteReference"/>
        </w:rPr>
        <w:footnoteRef/>
      </w:r>
      <w:r>
        <w:t xml:space="preserve"> </w:t>
      </w:r>
      <w:r>
        <w:t xml:space="preserve">Microsoft Learn,</w:t>
      </w:r>
      <w:r>
        <w:t xml:space="preserve"> </w:t>
      </w:r>
      <w:r>
        <w:t xml:space="preserve">“Microsoft Entra licensing,”</w:t>
      </w:r>
      <w:r>
        <w:t xml:space="preserve"> </w:t>
      </w:r>
      <w:hyperlink r:id="rId515">
        <w:r>
          <w:rPr>
            <w:rStyle w:val="Hyperlink"/>
          </w:rPr>
          <w:t xml:space="preserve">https://learn.microsoft.com/entra/fundamentals/licensing</w:t>
        </w:r>
      </w:hyperlink>
      <w:r>
        <w:t xml:space="preserve"> </w:t>
      </w:r>
      <w:r>
        <w:t xml:space="preserve">(accessed Oct 20, 2026).</w:t>
      </w:r>
    </w:p>
  </w:footnote>
  <w:footnote w:id="817">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453">
        <w:r>
          <w:rPr>
            <w:rStyle w:val="Hyperlink"/>
          </w:rPr>
          <w:t xml:space="preserve">https://learn.microsoft.com/entra/id-governance/licensing-fundamentals</w:t>
        </w:r>
      </w:hyperlink>
      <w:r>
        <w:t xml:space="preserve"> </w:t>
      </w:r>
      <w:r>
        <w:t xml:space="preserve">(accessed Oct 20, 2026).</w:t>
      </w:r>
    </w:p>
  </w:footnote>
  <w:footnote w:id="818">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453">
        <w:r>
          <w:rPr>
            <w:rStyle w:val="Hyperlink"/>
          </w:rPr>
          <w:t xml:space="preserve">https://learn.microsoft.com/entra/id-governance/licensing-fundamentals</w:t>
        </w:r>
      </w:hyperlink>
      <w:r>
        <w:t xml:space="preserve"> </w:t>
      </w:r>
      <w:r>
        <w:t xml:space="preserve">(accessed Oct 20, 2026).</w:t>
      </w:r>
    </w:p>
  </w:footnote>
  <w:footnote w:id="819">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453">
        <w:r>
          <w:rPr>
            <w:rStyle w:val="Hyperlink"/>
          </w:rPr>
          <w:t xml:space="preserve">https://learn.microsoft.com/entra/id-governance/licensing-fundamentals</w:t>
        </w:r>
      </w:hyperlink>
      <w:r>
        <w:t xml:space="preserve"> </w:t>
      </w:r>
      <w:r>
        <w:t xml:space="preserve">(accessed Oct 20, 2026).</w:t>
      </w:r>
    </w:p>
  </w:footnote>
  <w:footnote w:id="820">
    <w:p>
      <w:pPr>
        <w:pStyle w:val="FootnoteText"/>
      </w:pPr>
      <w:r>
        <w:rPr>
          <w:rStyle w:val="FootnoteReference"/>
        </w:rPr>
        <w:footnoteRef/>
      </w:r>
      <w:r>
        <w:t xml:space="preserve"> </w:t>
      </w:r>
      <w:r>
        <w:t xml:space="preserve">Microsoft Learn,</w:t>
      </w:r>
      <w:r>
        <w:t xml:space="preserve"> </w:t>
      </w:r>
      <w:r>
        <w:t xml:space="preserve">“Risk-based access policies,”</w:t>
      </w:r>
      <w:r>
        <w:t xml:space="preserve"> </w:t>
      </w:r>
      <w:hyperlink r:id="rId821">
        <w:r>
          <w:rPr>
            <w:rStyle w:val="Hyperlink"/>
          </w:rPr>
          <w:t xml:space="preserve">https://learn.microsoft.com/entra/id-protection/concept-identity-protection-policies</w:t>
        </w:r>
      </w:hyperlink>
      <w:r>
        <w:t xml:space="preserve"> </w:t>
      </w:r>
      <w:r>
        <w:t xml:space="preserve">(accessed Oct 20, 2026).</w:t>
      </w:r>
    </w:p>
  </w:footnote>
  <w:footnote w:id="825">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 rule syntax for a single expression,”</w:t>
      </w:r>
      <w:r>
        <w:t xml:space="preserve"> </w:t>
      </w:r>
      <w:hyperlink r:id="rId826">
        <w:r>
          <w:rPr>
            <w:rStyle w:val="Hyperlink"/>
          </w:rPr>
          <w:t xml:space="preserve">https://learn.microsoft.com/entra/identity/users/groups-dynamic-membership#rule-syntax-for-a-single-expression</w:t>
        </w:r>
      </w:hyperlink>
      <w:r>
        <w:t xml:space="preserve"> </w:t>
      </w:r>
      <w:r>
        <w:t xml:space="preserve">(accessed Oct 20, 2026).</w:t>
      </w:r>
    </w:p>
  </w:footnote>
  <w:footnote w:id="827">
    <w:p>
      <w:pPr>
        <w:pStyle w:val="FootnoteText"/>
      </w:pPr>
      <w:r>
        <w:rPr>
          <w:rStyle w:val="FootnoteReference"/>
        </w:rPr>
        <w:footnoteRef/>
      </w:r>
      <w:r>
        <w:t xml:space="preserve"> </w:t>
      </w:r>
      <w:r>
        <w:t xml:space="preserve">Microsoft Learn,</w:t>
      </w:r>
      <w:r>
        <w:t xml:space="preserve"> </w:t>
      </w:r>
      <w:r>
        <w:t xml:space="preserve">“Troubleshoot dynamic groups,”</w:t>
      </w:r>
      <w:r>
        <w:t xml:space="preserve"> </w:t>
      </w:r>
      <w:hyperlink r:id="rId828">
        <w:r>
          <w:rPr>
            <w:rStyle w:val="Hyperlink"/>
          </w:rPr>
          <w:t xml:space="preserve">https://learn.microsoft.com/troubleshoot/entra/entra-id/dir-dmns-obj/troubleshoot-dynamic-groups</w:t>
        </w:r>
      </w:hyperlink>
      <w:r>
        <w:t xml:space="preserve"> </w:t>
      </w:r>
      <w:r>
        <w:t xml:space="preserve">(accessed Oct 20, 2026).</w:t>
      </w:r>
    </w:p>
  </w:footnote>
  <w:footnote w:id="829">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815">
        <w:r>
          <w:rPr>
            <w:rStyle w:val="Hyperlink"/>
          </w:rPr>
          <w:t xml:space="preserve">https://learn.microsoft.com/entra/identity/users/groups-dynamic-membership</w:t>
        </w:r>
      </w:hyperlink>
      <w:r>
        <w:t xml:space="preserve"> </w:t>
      </w:r>
      <w:r>
        <w:t xml:space="preserve">(accessed Oct 20, 2026).</w:t>
      </w:r>
    </w:p>
  </w:footnote>
  <w:footnote w:id="830">
    <w:p>
      <w:pPr>
        <w:pStyle w:val="FootnoteText"/>
      </w:pPr>
      <w:r>
        <w:rPr>
          <w:rStyle w:val="FootnoteReference"/>
        </w:rPr>
        <w:footnoteRef/>
      </w:r>
      <w:r>
        <w:t xml:space="preserve"> </w:t>
      </w:r>
      <w:r>
        <w:t xml:space="preserve">Microsoft Learn,</w:t>
      </w:r>
      <w:r>
        <w:t xml:space="preserve"> </w:t>
      </w:r>
      <w:r>
        <w:t xml:space="preserve">“Configure dynamic membership groups with the memberOf operator in the Entra Admin Center (preview),”</w:t>
      </w:r>
      <w:r>
        <w:t xml:space="preserve"> </w:t>
      </w:r>
      <w:hyperlink r:id="rId831">
        <w:r>
          <w:rPr>
            <w:rStyle w:val="Hyperlink"/>
          </w:rPr>
          <w:t xml:space="preserve">https://learn.microsoft.com/entra/identity/users/groups-dynamic-rule-member-of</w:t>
        </w:r>
      </w:hyperlink>
      <w:r>
        <w:t xml:space="preserve"> </w:t>
      </w:r>
      <w:r>
        <w:t xml:space="preserve">(accessed Oct 20, 2026).</w:t>
      </w:r>
    </w:p>
  </w:footnote>
  <w:footnote w:id="833">
    <w:p>
      <w:pPr>
        <w:pStyle w:val="FootnoteText"/>
      </w:pPr>
      <w:r>
        <w:rPr>
          <w:rStyle w:val="FootnoteReference"/>
        </w:rPr>
        <w:footnoteRef/>
      </w:r>
      <w:r>
        <w:t xml:space="preserve"> </w:t>
      </w:r>
      <w:r>
        <w:t xml:space="preserve">Microsoft Learn,</w:t>
      </w:r>
      <w:r>
        <w:t xml:space="preserve"> </w:t>
      </w:r>
      <w:r>
        <w:t xml:space="preserve">“Microsoft Entra Cloud Sync migration decision guide,”</w:t>
      </w:r>
      <w:r>
        <w:t xml:space="preserve"> </w:t>
      </w:r>
      <w:hyperlink r:id="rId305">
        <w:r>
          <w:rPr>
            <w:rStyle w:val="Hyperlink"/>
          </w:rPr>
          <w:t xml:space="preserve">https://learn.microsoft.com/entra/identity/hybrid/cloud-sync/connect-to-cloud-sync-decision-guide</w:t>
        </w:r>
      </w:hyperlink>
      <w:r>
        <w:t xml:space="preserve"> </w:t>
      </w:r>
      <w:r>
        <w:t xml:space="preserve">(accessed Oct 20, 2026).</w:t>
      </w:r>
    </w:p>
  </w:footnote>
  <w:footnote w:id="834">
    <w:p>
      <w:pPr>
        <w:pStyle w:val="FootnoteText"/>
      </w:pPr>
      <w:r>
        <w:rPr>
          <w:rStyle w:val="FootnoteReference"/>
        </w:rPr>
        <w:footnoteRef/>
      </w:r>
      <w:r>
        <w:t xml:space="preserve"> </w:t>
      </w:r>
      <w:r>
        <w:t xml:space="preserve">Microsoft Learn,</w:t>
      </w:r>
      <w:r>
        <w:t xml:space="preserve"> </w:t>
      </w:r>
      <w:r>
        <w:t xml:space="preserve">“Microsoft Entra Cloud Sync migration decision guide,”</w:t>
      </w:r>
      <w:r>
        <w:t xml:space="preserve"> </w:t>
      </w:r>
      <w:hyperlink r:id="rId305">
        <w:r>
          <w:rPr>
            <w:rStyle w:val="Hyperlink"/>
          </w:rPr>
          <w:t xml:space="preserve">https://learn.microsoft.com/entra/identity/hybrid/cloud-sync/connect-to-cloud-sync-decision-guide</w:t>
        </w:r>
      </w:hyperlink>
      <w:r>
        <w:t xml:space="preserve"> </w:t>
      </w:r>
      <w:r>
        <w:t xml:space="preserve">(accessed Oct 20, 2026).</w:t>
      </w:r>
    </w:p>
  </w:footnote>
  <w:footnote w:id="835">
    <w:p>
      <w:pPr>
        <w:pStyle w:val="FootnoteText"/>
      </w:pPr>
      <w:r>
        <w:rPr>
          <w:rStyle w:val="FootnoteReference"/>
        </w:rPr>
        <w:footnoteRef/>
      </w:r>
      <w:r>
        <w:t xml:space="preserve"> </w:t>
      </w:r>
      <w:r>
        <w:t xml:space="preserve">Microsoft Learn,</w:t>
      </w:r>
      <w:r>
        <w:t xml:space="preserve"> </w:t>
      </w:r>
      <w:r>
        <w:t xml:space="preserve">“Disable group writeback,”</w:t>
      </w:r>
      <w:r>
        <w:t xml:space="preserve"> </w:t>
      </w:r>
      <w:hyperlink r:id="rId836">
        <w:r>
          <w:rPr>
            <w:rStyle w:val="Hyperlink"/>
          </w:rPr>
          <w:t xml:space="preserve">https://learn.microsoft.com/entra/identity/hybrid/connect/how-to-connect-group-writeback-disable</w:t>
        </w:r>
      </w:hyperlink>
      <w:r>
        <w:t xml:space="preserve"> </w:t>
      </w:r>
      <w:r>
        <w:t xml:space="preserve">(accessed Oct 20, 2026).</w:t>
      </w:r>
    </w:p>
  </w:footnote>
  <w:footnote w:id="837">
    <w:p>
      <w:pPr>
        <w:pStyle w:val="FootnoteText"/>
      </w:pPr>
      <w:r>
        <w:rPr>
          <w:rStyle w:val="FootnoteReference"/>
        </w:rPr>
        <w:footnoteRef/>
      </w:r>
      <w:r>
        <w:t xml:space="preserve"> </w:t>
      </w:r>
      <w:r>
        <w:t xml:space="preserve">Microsoft Learn,</w:t>
      </w:r>
      <w:r>
        <w:t xml:space="preserve"> </w:t>
      </w:r>
      <w:r>
        <w:t xml:space="preserve">“Microsoft Entra Cloud Sync migration decision guide,”</w:t>
      </w:r>
      <w:r>
        <w:t xml:space="preserve"> </w:t>
      </w:r>
      <w:hyperlink r:id="rId305">
        <w:r>
          <w:rPr>
            <w:rStyle w:val="Hyperlink"/>
          </w:rPr>
          <w:t xml:space="preserve">https://learn.microsoft.com/entra/identity/hybrid/cloud-sync/connect-to-cloud-sync-decision-guide</w:t>
        </w:r>
      </w:hyperlink>
      <w:r>
        <w:t xml:space="preserve"> </w:t>
      </w:r>
      <w:r>
        <w:t xml:space="preserve">(accessed Oct 20, 2026).</w:t>
      </w:r>
    </w:p>
  </w:footnote>
  <w:footnote w:id="840">
    <w:p>
      <w:pPr>
        <w:pStyle w:val="FootnoteText"/>
      </w:pPr>
      <w:r>
        <w:rPr>
          <w:rStyle w:val="FootnoteReference"/>
        </w:rPr>
        <w:footnoteRef/>
      </w:r>
      <w:r>
        <w:t xml:space="preserve"> </w:t>
      </w:r>
      <w:r>
        <w:t xml:space="preserve">Microsoft Learn,</w:t>
      </w:r>
      <w:r>
        <w:t xml:space="preserve"> </w:t>
      </w:r>
      <w:r>
        <w:t xml:space="preserve">“Hybrid scenarios,”</w:t>
      </w:r>
      <w:r>
        <w:t xml:space="preserve"> </w:t>
      </w:r>
      <w:hyperlink r:id="rId841">
        <w:r>
          <w:rPr>
            <w:rStyle w:val="Hyperlink"/>
          </w:rPr>
          <w:t xml:space="preserve">https://learn.microsoft.com/entra/identity/hybrid/common-scenarios</w:t>
        </w:r>
      </w:hyperlink>
      <w:r>
        <w:t xml:space="preserve"> </w:t>
      </w:r>
      <w:r>
        <w:t xml:space="preserve">(accessed Oct 20, 2026).</w:t>
      </w:r>
    </w:p>
  </w:footnote>
  <w:footnote w:id="849">
    <w:p>
      <w:pPr>
        <w:pStyle w:val="FootnoteText"/>
      </w:pPr>
      <w:r>
        <w:rPr>
          <w:rStyle w:val="FootnoteReference"/>
        </w:rPr>
        <w:footnoteRef/>
      </w:r>
      <w:r>
        <w:t xml:space="preserve"> </w:t>
      </w:r>
      <w:r>
        <w:t xml:space="preserve">Microsoft Learn,</w:t>
      </w:r>
      <w:r>
        <w:t xml:space="preserve"> </w:t>
      </w:r>
      <w:r>
        <w:t xml:space="preserve">“Choose the right authentication method for your Microsoft Entra hybrid identity solution,”</w:t>
      </w:r>
      <w:r>
        <w:t xml:space="preserve"> </w:t>
      </w:r>
      <w:hyperlink r:id="rId850">
        <w:r>
          <w:rPr>
            <w:rStyle w:val="Hyperlink"/>
          </w:rPr>
          <w:t xml:space="preserve">https://learn.microsoft.com/entra/identity/hybrid/connect/choose-ad-authn</w:t>
        </w:r>
      </w:hyperlink>
      <w:r>
        <w:t xml:space="preserve"> </w:t>
      </w:r>
      <w:r>
        <w:t xml:space="preserve">(accessed Oct 20, 2026).</w:t>
      </w:r>
    </w:p>
  </w:footnote>
  <w:footnote w:id="852">
    <w:p>
      <w:pPr>
        <w:pStyle w:val="FootnoteText"/>
      </w:pPr>
      <w:r>
        <w:rPr>
          <w:rStyle w:val="FootnoteReference"/>
        </w:rPr>
        <w:footnoteRef/>
      </w:r>
      <w:r>
        <w:t xml:space="preserve"> </w:t>
      </w:r>
      <w:r>
        <w:t xml:space="preserve">Microsoft Learn,</w:t>
      </w:r>
      <w:r>
        <w:t xml:space="preserve"> </w:t>
      </w:r>
      <w:r>
        <w:t xml:space="preserve">“Microsoft Entra Cloud Sync migration decision guide,”</w:t>
      </w:r>
      <w:r>
        <w:t xml:space="preserve"> </w:t>
      </w:r>
      <w:hyperlink r:id="rId305">
        <w:r>
          <w:rPr>
            <w:rStyle w:val="Hyperlink"/>
          </w:rPr>
          <w:t xml:space="preserve">https://learn.microsoft.com/entra/identity/hybrid/cloud-sync/connect-to-cloud-sync-decision-guide</w:t>
        </w:r>
      </w:hyperlink>
      <w:r>
        <w:t xml:space="preserve"> </w:t>
      </w:r>
      <w:r>
        <w:t xml:space="preserve">(accessed Oct 20, 2026).</w:t>
      </w:r>
    </w:p>
  </w:footnote>
  <w:footnote w:id="854">
    <w:p>
      <w:pPr>
        <w:pStyle w:val="FootnoteText"/>
      </w:pPr>
      <w:r>
        <w:rPr>
          <w:rStyle w:val="FootnoteReference"/>
        </w:rPr>
        <w:footnoteRef/>
      </w:r>
      <w:r>
        <w:t xml:space="preserve"> </w:t>
      </w:r>
      <w:r>
        <w:t xml:space="preserve">Microsoft Learn,</w:t>
      </w:r>
      <w:r>
        <w:t xml:space="preserve"> </w:t>
      </w:r>
      <w:r>
        <w:t xml:space="preserve">“Choose the right authentication method for your Microsoft Entra hybrid identity solution,”</w:t>
      </w:r>
      <w:r>
        <w:t xml:space="preserve"> </w:t>
      </w:r>
      <w:hyperlink r:id="rId850">
        <w:r>
          <w:rPr>
            <w:rStyle w:val="Hyperlink"/>
          </w:rPr>
          <w:t xml:space="preserve">https://learn.microsoft.com/entra/identity/hybrid/connect/choose-ad-authn</w:t>
        </w:r>
      </w:hyperlink>
      <w:r>
        <w:t xml:space="preserve"> </w:t>
      </w:r>
      <w:r>
        <w:t xml:space="preserve">(accessed Oct 20, 2026).</w:t>
      </w:r>
    </w:p>
  </w:footnote>
  <w:footnote w:id="855">
    <w:p>
      <w:pPr>
        <w:pStyle w:val="FootnoteText"/>
      </w:pPr>
      <w:r>
        <w:rPr>
          <w:rStyle w:val="FootnoteReference"/>
        </w:rPr>
        <w:footnoteRef/>
      </w:r>
      <w:r>
        <w:t xml:space="preserve"> </w:t>
      </w:r>
      <w:r>
        <w:t xml:space="preserve">Microsoft Learn,</w:t>
      </w:r>
      <w:r>
        <w:t xml:space="preserve"> </w:t>
      </w:r>
      <w:r>
        <w:t xml:space="preserve">“Microsoft Entra pass-through authentication: Quickstart,”</w:t>
      </w:r>
      <w:r>
        <w:t xml:space="preserve"> </w:t>
      </w:r>
      <w:hyperlink r:id="rId856">
        <w:r>
          <w:rPr>
            <w:rStyle w:val="Hyperlink"/>
          </w:rPr>
          <w:t xml:space="preserve">https://learn.microsoft.com/entra/identity/hybrid/connect/how-to-connect-pta-quick-start</w:t>
        </w:r>
      </w:hyperlink>
      <w:r>
        <w:t xml:space="preserve"> </w:t>
      </w:r>
      <w:r>
        <w:t xml:space="preserve">(accessed Oct 20, 2026).</w:t>
      </w:r>
    </w:p>
  </w:footnote>
  <w:footnote w:id="857">
    <w:p>
      <w:pPr>
        <w:pStyle w:val="FootnoteText"/>
      </w:pPr>
      <w:r>
        <w:rPr>
          <w:rStyle w:val="FootnoteReference"/>
        </w:rPr>
        <w:footnoteRef/>
      </w:r>
      <w:r>
        <w:t xml:space="preserve"> </w:t>
      </w:r>
      <w:r>
        <w:t xml:space="preserve">Microsoft Learn,</w:t>
      </w:r>
      <w:r>
        <w:t xml:space="preserve"> </w:t>
      </w:r>
      <w:r>
        <w:t xml:space="preserve">“Choose the right authentication method for your Microsoft Entra hybrid identity solution,”</w:t>
      </w:r>
      <w:r>
        <w:t xml:space="preserve"> </w:t>
      </w:r>
      <w:hyperlink r:id="rId850">
        <w:r>
          <w:rPr>
            <w:rStyle w:val="Hyperlink"/>
          </w:rPr>
          <w:t xml:space="preserve">https://learn.microsoft.com/entra/identity/hybrid/connect/choose-ad-authn</w:t>
        </w:r>
      </w:hyperlink>
      <w:r>
        <w:t xml:space="preserve"> </w:t>
      </w:r>
      <w:r>
        <w:t xml:space="preserve">(accessed Oct 20, 2026).</w:t>
      </w:r>
    </w:p>
  </w:footnote>
  <w:footnote w:id="858">
    <w:p>
      <w:pPr>
        <w:pStyle w:val="FootnoteText"/>
      </w:pPr>
      <w:r>
        <w:rPr>
          <w:rStyle w:val="FootnoteReference"/>
        </w:rPr>
        <w:footnoteRef/>
      </w:r>
      <w:r>
        <w:t xml:space="preserve"> </w:t>
      </w:r>
      <w:r>
        <w:t xml:space="preserve">Microsoft Learn,</w:t>
      </w:r>
      <w:r>
        <w:t xml:space="preserve"> </w:t>
      </w:r>
      <w:r>
        <w:t xml:space="preserve">“Choose the right authentication method for your Microsoft Entra hybrid identity solution,”</w:t>
      </w:r>
      <w:r>
        <w:t xml:space="preserve"> </w:t>
      </w:r>
      <w:hyperlink r:id="rId850">
        <w:r>
          <w:rPr>
            <w:rStyle w:val="Hyperlink"/>
          </w:rPr>
          <w:t xml:space="preserve">https://learn.microsoft.com/entra/identity/hybrid/connect/choose-ad-authn</w:t>
        </w:r>
      </w:hyperlink>
      <w:r>
        <w:t xml:space="preserve"> </w:t>
      </w:r>
      <w:r>
        <w:t xml:space="preserve">(accessed Oct 20, 2026).</w:t>
      </w:r>
    </w:p>
  </w:footnote>
  <w:footnote w:id="861">
    <w:p>
      <w:pPr>
        <w:pStyle w:val="FootnoteText"/>
      </w:pPr>
      <w:r>
        <w:rPr>
          <w:rStyle w:val="FootnoteReference"/>
        </w:rPr>
        <w:footnoteRef/>
      </w:r>
      <w:r>
        <w:t xml:space="preserve"> </w:t>
      </w:r>
      <w:r>
        <w:t xml:space="preserve">Microsoft Learn,</w:t>
      </w:r>
      <w:r>
        <w:t xml:space="preserve"> </w:t>
      </w:r>
      <w:r>
        <w:t xml:space="preserve">“Configure Microsoft Entra Connect for an existing tenant,”</w:t>
      </w:r>
      <w:r>
        <w:t xml:space="preserve"> </w:t>
      </w:r>
      <w:hyperlink r:id="rId792">
        <w:r>
          <w:rPr>
            <w:rStyle w:val="Hyperlink"/>
          </w:rPr>
          <w:t xml:space="preserve">https://learn.microsoft.com/entra/identity/hybrid/connect/how-to-connect-install-existing-tenant</w:t>
        </w:r>
      </w:hyperlink>
      <w:r>
        <w:t xml:space="preserve"> </w:t>
      </w:r>
      <w:r>
        <w:t xml:space="preserve">(accessed Oct 20, 2026).</w:t>
      </w:r>
    </w:p>
  </w:footnote>
  <w:footnote w:id="862">
    <w:p>
      <w:pPr>
        <w:pStyle w:val="FootnoteText"/>
      </w:pPr>
      <w:r>
        <w:rPr>
          <w:rStyle w:val="FootnoteReference"/>
        </w:rPr>
        <w:footnoteRef/>
      </w:r>
      <w:r>
        <w:t xml:space="preserve"> </w:t>
      </w:r>
      <w:r>
        <w:t xml:space="preserve">Microsoft Learn,</w:t>
      </w:r>
      <w:r>
        <w:t xml:space="preserve"> </w:t>
      </w:r>
      <w:r>
        <w:t xml:space="preserve">“Configure Microsoft Entra Connect for an existing tenant,”</w:t>
      </w:r>
      <w:r>
        <w:t xml:space="preserve"> </w:t>
      </w:r>
      <w:hyperlink r:id="rId792">
        <w:r>
          <w:rPr>
            <w:rStyle w:val="Hyperlink"/>
          </w:rPr>
          <w:t xml:space="preserve">https://learn.microsoft.com/entra/identity/hybrid/connect/how-to-connect-install-existing-tenant</w:t>
        </w:r>
      </w:hyperlink>
      <w:r>
        <w:t xml:space="preserve"> </w:t>
      </w:r>
      <w:r>
        <w:t xml:space="preserve">(accessed Oct 20, 2026).</w:t>
      </w:r>
    </w:p>
  </w:footnote>
  <w:footnote w:id="863">
    <w:p>
      <w:pPr>
        <w:pStyle w:val="FootnoteText"/>
      </w:pPr>
      <w:r>
        <w:rPr>
          <w:rStyle w:val="FootnoteReference"/>
        </w:rPr>
        <w:footnoteRef/>
      </w:r>
      <w:r>
        <w:t xml:space="preserve"> </w:t>
      </w:r>
      <w:r>
        <w:t xml:space="preserve">Microsoft Learn,</w:t>
      </w:r>
      <w:r>
        <w:t xml:space="preserve"> </w:t>
      </w:r>
      <w:r>
        <w:t xml:space="preserve">“Configure Microsoft Entra Connect for an existing tenant,”</w:t>
      </w:r>
      <w:r>
        <w:t xml:space="preserve"> </w:t>
      </w:r>
      <w:hyperlink r:id="rId792">
        <w:r>
          <w:rPr>
            <w:rStyle w:val="Hyperlink"/>
          </w:rPr>
          <w:t xml:space="preserve">https://learn.microsoft.com/entra/identity/hybrid/connect/how-to-connect-install-existing-tenant</w:t>
        </w:r>
      </w:hyperlink>
      <w:r>
        <w:t xml:space="preserve"> </w:t>
      </w:r>
      <w:r>
        <w:t xml:space="preserve">(accessed Oct 20, 2026).</w:t>
      </w:r>
    </w:p>
  </w:footnote>
  <w:footnote w:id="865">
    <w:p>
      <w:pPr>
        <w:pStyle w:val="FootnoteText"/>
      </w:pPr>
      <w:r>
        <w:rPr>
          <w:rStyle w:val="FootnoteReference"/>
        </w:rPr>
        <w:footnoteRef/>
      </w:r>
      <w:r>
        <w:t xml:space="preserve"> </w:t>
      </w:r>
      <w:r>
        <w:t xml:space="preserve">Microsoft Learn,</w:t>
      </w:r>
      <w:r>
        <w:t xml:space="preserve"> </w:t>
      </w:r>
      <w:r>
        <w:t xml:space="preserve">“Microsoft Entra Connect user sign-in options,”</w:t>
      </w:r>
      <w:r>
        <w:t xml:space="preserve"> </w:t>
      </w:r>
      <w:hyperlink r:id="rId866">
        <w:r>
          <w:rPr>
            <w:rStyle w:val="Hyperlink"/>
          </w:rPr>
          <w:t xml:space="preserve">https://learn.microsoft.com/entra/identity/hybrid/connect/plan-connect-user-signin</w:t>
        </w:r>
      </w:hyperlink>
      <w:r>
        <w:t xml:space="preserve"> </w:t>
      </w:r>
      <w:r>
        <w:t xml:space="preserve">(accessed Oct 20, 2026).</w:t>
      </w:r>
    </w:p>
  </w:footnote>
  <w:footnote w:id="867">
    <w:p>
      <w:pPr>
        <w:pStyle w:val="FootnoteText"/>
      </w:pPr>
      <w:r>
        <w:rPr>
          <w:rStyle w:val="FootnoteReference"/>
        </w:rPr>
        <w:footnoteRef/>
      </w:r>
      <w:r>
        <w:t xml:space="preserve"> </w:t>
      </w:r>
      <w:r>
        <w:t xml:space="preserve">Microsoft Learn,</w:t>
      </w:r>
      <w:r>
        <w:t xml:space="preserve"> </w:t>
      </w:r>
      <w:r>
        <w:t xml:space="preserve">“Microsoft Entra Connect user sign-in options,”</w:t>
      </w:r>
      <w:r>
        <w:t xml:space="preserve"> </w:t>
      </w:r>
      <w:hyperlink r:id="rId866">
        <w:r>
          <w:rPr>
            <w:rStyle w:val="Hyperlink"/>
          </w:rPr>
          <w:t xml:space="preserve">https://learn.microsoft.com/entra/identity/hybrid/connect/plan-connect-user-signin</w:t>
        </w:r>
      </w:hyperlink>
      <w:r>
        <w:t xml:space="preserve"> </w:t>
      </w:r>
      <w:r>
        <w:t xml:space="preserve">(accessed Oct 20, 2026).</w:t>
      </w:r>
    </w:p>
  </w:footnote>
  <w:footnote w:id="868">
    <w:p>
      <w:pPr>
        <w:pStyle w:val="FootnoteText"/>
      </w:pPr>
      <w:r>
        <w:rPr>
          <w:rStyle w:val="FootnoteReference"/>
        </w:rPr>
        <w:footnoteRef/>
      </w:r>
      <w:r>
        <w:t xml:space="preserve"> </w:t>
      </w:r>
      <w:r>
        <w:t xml:space="preserve">Microsoft Learn,</w:t>
      </w:r>
      <w:r>
        <w:t xml:space="preserve"> </w:t>
      </w:r>
      <w:r>
        <w:t xml:space="preserve">“Sign-in to Microsoft Entra ID with email as an alternate login ID (Preview),”</w:t>
      </w:r>
      <w:r>
        <w:t xml:space="preserve"> </w:t>
      </w:r>
      <w:hyperlink r:id="rId869">
        <w:r>
          <w:rPr>
            <w:rStyle w:val="Hyperlink"/>
          </w:rPr>
          <w:t xml:space="preserve">https://learn.microsoft.com/entra/identity/authentication/howto-authentication-use-email-signin</w:t>
        </w:r>
      </w:hyperlink>
      <w:r>
        <w:t xml:space="preserve"> </w:t>
      </w:r>
      <w:r>
        <w:t xml:space="preserve">(accessed Oct 20, 2026).</w:t>
      </w:r>
    </w:p>
  </w:footnote>
  <w:footnote w:id="872">
    <w:p>
      <w:pPr>
        <w:pStyle w:val="FootnoteText"/>
      </w:pPr>
      <w:r>
        <w:rPr>
          <w:rStyle w:val="FootnoteReference"/>
        </w:rPr>
        <w:footnoteRef/>
      </w:r>
      <w:r>
        <w:t xml:space="preserve"> </w:t>
      </w:r>
      <w:r>
        <w:t xml:space="preserve">Microsoft Learn,</w:t>
      </w:r>
      <w:r>
        <w:t xml:space="preserve"> </w:t>
      </w:r>
      <w:r>
        <w:t xml:space="preserve">“Group writeback with Microsoft Entra Cloud Sync,”</w:t>
      </w:r>
      <w:r>
        <w:t xml:space="preserve"> </w:t>
      </w:r>
      <w:hyperlink r:id="rId873">
        <w:r>
          <w:rPr>
            <w:rStyle w:val="Hyperlink"/>
          </w:rPr>
          <w:t xml:space="preserve">https://learn.microsoft.com/entra/identity/hybrid/group-writeback-cloud-sync</w:t>
        </w:r>
      </w:hyperlink>
      <w:r>
        <w:t xml:space="preserve"> </w:t>
      </w:r>
      <w:r>
        <w:t xml:space="preserve">(accessed Oct 20, 2026).</w:t>
      </w:r>
    </w:p>
  </w:footnote>
  <w:footnote w:id="876">
    <w:p>
      <w:pPr>
        <w:pStyle w:val="FootnoteText"/>
      </w:pPr>
      <w:r>
        <w:rPr>
          <w:rStyle w:val="FootnoteReference"/>
        </w:rPr>
        <w:footnoteRef/>
      </w:r>
      <w:r>
        <w:t xml:space="preserve"> </w:t>
      </w:r>
      <w:r>
        <w:t xml:space="preserve">Microsoft Learn,</w:t>
      </w:r>
      <w:r>
        <w:t xml:space="preserve"> </w:t>
      </w:r>
      <w:r>
        <w:t xml:space="preserve">“Manage Microsoft Entra groups and group membership,”</w:t>
      </w:r>
      <w:r>
        <w:t xml:space="preserve"> </w:t>
      </w:r>
      <w:hyperlink r:id="rId877">
        <w:r>
          <w:rPr>
            <w:rStyle w:val="Hyperlink"/>
          </w:rPr>
          <w:t xml:space="preserve">https://learn.microsoft.com/entra/fundamentals/how-to-manage-groups</w:t>
        </w:r>
      </w:hyperlink>
      <w:r>
        <w:t xml:space="preserve"> </w:t>
      </w:r>
      <w:r>
        <w:t xml:space="preserve">(accessed Oct 20, 2026).</w:t>
      </w:r>
    </w:p>
  </w:footnote>
  <w:footnote w:id="878">
    <w:p>
      <w:pPr>
        <w:pStyle w:val="FootnoteText"/>
      </w:pPr>
      <w:r>
        <w:rPr>
          <w:rStyle w:val="FootnoteReference"/>
        </w:rPr>
        <w:footnoteRef/>
      </w:r>
      <w:r>
        <w:t xml:space="preserve"> </w:t>
      </w:r>
      <w:r>
        <w:t xml:space="preserve">Microsoft Learn,</w:t>
      </w:r>
      <w:r>
        <w:t xml:space="preserve"> </w:t>
      </w:r>
      <w:r>
        <w:t xml:space="preserve">“Conditional Access: Users, groups, agents, and workload identities,”</w:t>
      </w:r>
      <w:r>
        <w:t xml:space="preserve"> </w:t>
      </w:r>
      <w:hyperlink r:id="rId879">
        <w:r>
          <w:rPr>
            <w:rStyle w:val="Hyperlink"/>
          </w:rPr>
          <w:t xml:space="preserve">https://learn.microsoft.com/entra/identity/conditional-access/concept-conditional-access-users-groups</w:t>
        </w:r>
      </w:hyperlink>
      <w:r>
        <w:t xml:space="preserve"> </w:t>
      </w:r>
      <w:r>
        <w:t xml:space="preserve">(accessed Oct 20, 2026).</w:t>
      </w:r>
    </w:p>
  </w:footnote>
  <w:footnote w:id="880">
    <w:p>
      <w:pPr>
        <w:pStyle w:val="FootnoteText"/>
      </w:pPr>
      <w:r>
        <w:rPr>
          <w:rStyle w:val="FootnoteReference"/>
        </w:rPr>
        <w:footnoteRef/>
      </w:r>
      <w:r>
        <w:t xml:space="preserve"> </w:t>
      </w:r>
      <w:r>
        <w:t xml:space="preserve">Microsoft Learn,</w:t>
      </w:r>
      <w:r>
        <w:t xml:space="preserve"> </w:t>
      </w:r>
      <w:r>
        <w:t xml:space="preserve">“Manage Microsoft Entra groups and group membership,”</w:t>
      </w:r>
      <w:r>
        <w:t xml:space="preserve"> </w:t>
      </w:r>
      <w:hyperlink r:id="rId877">
        <w:r>
          <w:rPr>
            <w:rStyle w:val="Hyperlink"/>
          </w:rPr>
          <w:t xml:space="preserve">https://learn.microsoft.com/entra/fundamentals/how-to-manage-groups</w:t>
        </w:r>
      </w:hyperlink>
      <w:r>
        <w:t xml:space="preserve"> </w:t>
      </w:r>
      <w:r>
        <w:t xml:space="preserve">(accessed Oct 20, 2026).</w:t>
      </w:r>
    </w:p>
  </w:footnote>
  <w:footnote w:id="881">
    <w:p>
      <w:pPr>
        <w:pStyle w:val="FootnoteText"/>
      </w:pPr>
      <w:r>
        <w:rPr>
          <w:rStyle w:val="FootnoteReference"/>
        </w:rPr>
        <w:footnoteRef/>
      </w:r>
      <w:r>
        <w:t xml:space="preserve"> </w:t>
      </w:r>
      <w:r>
        <w:t xml:space="preserve">Microsoft Learn,</w:t>
      </w:r>
      <w:r>
        <w:t xml:space="preserve"> </w:t>
      </w:r>
      <w:r>
        <w:t xml:space="preserve">“Manage Microsoft Entra groups and group membership,”</w:t>
      </w:r>
      <w:r>
        <w:t xml:space="preserve"> </w:t>
      </w:r>
      <w:hyperlink r:id="rId877">
        <w:r>
          <w:rPr>
            <w:rStyle w:val="Hyperlink"/>
          </w:rPr>
          <w:t xml:space="preserve">https://learn.microsoft.com/entra/fundamentals/how-to-manage-groups</w:t>
        </w:r>
      </w:hyperlink>
      <w:r>
        <w:t xml:space="preserve"> </w:t>
      </w:r>
      <w:r>
        <w:t xml:space="preserve">(accessed Oct 20, 2026).</w:t>
      </w:r>
    </w:p>
  </w:footnote>
  <w:footnote w:id="882">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815">
        <w:r>
          <w:rPr>
            <w:rStyle w:val="Hyperlink"/>
          </w:rPr>
          <w:t xml:space="preserve">https://learn.microsoft.com/entra/identity/users/groups-dynamic-membership</w:t>
        </w:r>
      </w:hyperlink>
      <w:r>
        <w:t xml:space="preserve"> </w:t>
      </w:r>
      <w:r>
        <w:t xml:space="preserve">(accessed Oct 20, 2026).</w:t>
      </w:r>
    </w:p>
  </w:footnote>
  <w:footnote w:id="884">
    <w:p>
      <w:pPr>
        <w:pStyle w:val="FootnoteText"/>
      </w:pPr>
      <w:r>
        <w:rPr>
          <w:rStyle w:val="FootnoteReference"/>
        </w:rPr>
        <w:footnoteRef/>
      </w:r>
      <w:r>
        <w:t xml:space="preserve"> </w:t>
      </w:r>
      <w:r>
        <w:t xml:space="preserve">Microsoft Learn,</w:t>
      </w:r>
      <w:r>
        <w:t xml:space="preserve"> </w:t>
      </w:r>
      <w:r>
        <w:t xml:space="preserve">“Manage Microsoft Entra groups and group membership,”</w:t>
      </w:r>
      <w:r>
        <w:t xml:space="preserve"> </w:t>
      </w:r>
      <w:hyperlink r:id="rId877">
        <w:r>
          <w:rPr>
            <w:rStyle w:val="Hyperlink"/>
          </w:rPr>
          <w:t xml:space="preserve">https://learn.microsoft.com/entra/fundamentals/how-to-manage-groups</w:t>
        </w:r>
      </w:hyperlink>
      <w:r>
        <w:t xml:space="preserve"> </w:t>
      </w:r>
      <w:r>
        <w:t xml:space="preserve">(accessed Oct 20, 2026).</w:t>
      </w:r>
    </w:p>
  </w:footnote>
  <w:footnote w:id="885">
    <w:p>
      <w:pPr>
        <w:pStyle w:val="FootnoteText"/>
      </w:pPr>
      <w:r>
        <w:rPr>
          <w:rStyle w:val="FootnoteReference"/>
        </w:rPr>
        <w:footnoteRef/>
      </w:r>
      <w:r>
        <w:t xml:space="preserve"> </w:t>
      </w:r>
      <w:r>
        <w:t xml:space="preserve">Microsoft Learn,</w:t>
      </w:r>
      <w:r>
        <w:t xml:space="preserve"> </w:t>
      </w:r>
      <w:r>
        <w:t xml:space="preserve">“Configure the expiration policy for Microsoft 365 groups,”</w:t>
      </w:r>
      <w:r>
        <w:t xml:space="preserve"> </w:t>
      </w:r>
      <w:hyperlink r:id="rId886">
        <w:r>
          <w:rPr>
            <w:rStyle w:val="Hyperlink"/>
          </w:rPr>
          <w:t xml:space="preserve">https://learn.microsoft.com/entra/identity/users/groups-lifecycle</w:t>
        </w:r>
      </w:hyperlink>
      <w:r>
        <w:t xml:space="preserve"> </w:t>
      </w:r>
      <w:r>
        <w:t xml:space="preserve">(accessed Oct 20, 2026).</w:t>
      </w:r>
    </w:p>
  </w:footnote>
  <w:footnote w:id="893">
    <w:p>
      <w:pPr>
        <w:pStyle w:val="FootnoteText"/>
      </w:pPr>
      <w:r>
        <w:rPr>
          <w:rStyle w:val="FootnoteReference"/>
        </w:rPr>
        <w:footnoteRef/>
      </w:r>
      <w:r>
        <w:t xml:space="preserve"> </w:t>
      </w:r>
      <w:r>
        <w:t xml:space="preserve">Microsoft Learn,</w:t>
      </w:r>
      <w:r>
        <w:t xml:space="preserve"> </w:t>
      </w:r>
      <w:r>
        <w:t xml:space="preserve">“Configure an app to trust an external identity provider,”</w:t>
      </w:r>
      <w:r>
        <w:t xml:space="preserve"> </w:t>
      </w:r>
      <w:hyperlink r:id="rId894">
        <w:r>
          <w:rPr>
            <w:rStyle w:val="Hyperlink"/>
          </w:rPr>
          <w:t xml:space="preserve">https://learn.microsoft.com/entra/workload-id/workload-identity-federation-create-trust</w:t>
        </w:r>
      </w:hyperlink>
      <w:r>
        <w:t xml:space="preserve"> </w:t>
      </w:r>
      <w:r>
        <w:t xml:space="preserve">(accessed Oct 20, 2026).</w:t>
      </w:r>
    </w:p>
  </w:footnote>
  <w:footnote w:id="895">
    <w:p>
      <w:pPr>
        <w:pStyle w:val="FootnoteText"/>
      </w:pPr>
      <w:r>
        <w:rPr>
          <w:rStyle w:val="FootnoteReference"/>
        </w:rPr>
        <w:footnoteRef/>
      </w:r>
      <w:r>
        <w:t xml:space="preserve"> </w:t>
      </w:r>
      <w:r>
        <w:t xml:space="preserve">Microsoft Learn,</w:t>
      </w:r>
      <w:r>
        <w:t xml:space="preserve"> </w:t>
      </w:r>
      <w:r>
        <w:t xml:space="preserve">“Important considerations and restrictions for federated identity credentials,”</w:t>
      </w:r>
      <w:r>
        <w:t xml:space="preserve"> </w:t>
      </w:r>
      <w:hyperlink r:id="rId896">
        <w:r>
          <w:rPr>
            <w:rStyle w:val="Hyperlink"/>
          </w:rPr>
          <w:t xml:space="preserve">https://learn.microsoft.com/entra/workload-id/workload-identity-federation-considerations</w:t>
        </w:r>
      </w:hyperlink>
      <w:r>
        <w:t xml:space="preserve"> </w:t>
      </w:r>
      <w:r>
        <w:t xml:space="preserve">(accessed Oct 20, 2026).</w:t>
      </w:r>
    </w:p>
  </w:footnote>
  <w:footnote w:id="897">
    <w:p>
      <w:pPr>
        <w:pStyle w:val="FootnoteText"/>
      </w:pPr>
      <w:r>
        <w:rPr>
          <w:rStyle w:val="FootnoteReference"/>
        </w:rPr>
        <w:footnoteRef/>
      </w:r>
      <w:r>
        <w:t xml:space="preserve"> </w:t>
      </w:r>
      <w:r>
        <w:t xml:space="preserve">Microsoft Learn,</w:t>
      </w:r>
      <w:r>
        <w:t xml:space="preserve"> </w:t>
      </w:r>
      <w:r>
        <w:t xml:space="preserve">“Important considerations and restrictions for federated identity credentials,”</w:t>
      </w:r>
      <w:r>
        <w:t xml:space="preserve"> </w:t>
      </w:r>
      <w:hyperlink r:id="rId896">
        <w:r>
          <w:rPr>
            <w:rStyle w:val="Hyperlink"/>
          </w:rPr>
          <w:t xml:space="preserve">https://learn.microsoft.com/entra/workload-id/workload-identity-federation-considerations</w:t>
        </w:r>
      </w:hyperlink>
      <w:r>
        <w:t xml:space="preserve"> </w:t>
      </w:r>
      <w:r>
        <w:t xml:space="preserve">(accessed Oct 20, 2026).</w:t>
      </w:r>
    </w:p>
  </w:footnote>
  <w:footnote w:id="899">
    <w:p>
      <w:pPr>
        <w:pStyle w:val="FootnoteText"/>
      </w:pPr>
      <w:r>
        <w:rPr>
          <w:rStyle w:val="FootnoteReference"/>
        </w:rPr>
        <w:footnoteRef/>
      </w:r>
      <w:r>
        <w:t xml:space="preserve"> </w:t>
      </w:r>
      <w:r>
        <w:t xml:space="preserve">Microsoft Learn,</w:t>
      </w:r>
      <w:r>
        <w:t xml:space="preserve"> </w:t>
      </w:r>
      <w:r>
        <w:t xml:space="preserve">“Conditional Access for workload identities,”</w:t>
      </w:r>
      <w:r>
        <w:t xml:space="preserve"> </w:t>
      </w:r>
      <w:hyperlink r:id="rId900">
        <w:r>
          <w:rPr>
            <w:rStyle w:val="Hyperlink"/>
          </w:rPr>
          <w:t xml:space="preserve">https://learn.microsoft.com/entra/identity/conditional-access/workload-identity</w:t>
        </w:r>
      </w:hyperlink>
      <w:r>
        <w:t xml:space="preserve"> </w:t>
      </w:r>
      <w:r>
        <w:t xml:space="preserve">(accessed Oct 20, 2026).</w:t>
      </w:r>
    </w:p>
  </w:footnote>
  <w:footnote w:id="901">
    <w:p>
      <w:pPr>
        <w:pStyle w:val="FootnoteText"/>
      </w:pPr>
      <w:r>
        <w:rPr>
          <w:rStyle w:val="FootnoteReference"/>
        </w:rPr>
        <w:footnoteRef/>
      </w:r>
      <w:r>
        <w:t xml:space="preserve"> </w:t>
      </w:r>
      <w:r>
        <w:t xml:space="preserve">Microsoft Learn,</w:t>
      </w:r>
      <w:r>
        <w:t xml:space="preserve"> </w:t>
      </w:r>
      <w:r>
        <w:t xml:space="preserve">“Conditional Access for workload identities,”</w:t>
      </w:r>
      <w:r>
        <w:t xml:space="preserve"> </w:t>
      </w:r>
      <w:hyperlink r:id="rId900">
        <w:r>
          <w:rPr>
            <w:rStyle w:val="Hyperlink"/>
          </w:rPr>
          <w:t xml:space="preserve">https://learn.microsoft.com/entra/identity/conditional-access/workload-identity</w:t>
        </w:r>
      </w:hyperlink>
      <w:r>
        <w:t xml:space="preserve"> </w:t>
      </w:r>
      <w:r>
        <w:t xml:space="preserve">(accessed Oct 20, 2026).</w:t>
      </w:r>
    </w:p>
  </w:footnote>
  <w:footnote w:id="906">
    <w:p>
      <w:pPr>
        <w:pStyle w:val="FootnoteText"/>
      </w:pPr>
      <w:r>
        <w:rPr>
          <w:rStyle w:val="FootnoteReference"/>
        </w:rPr>
        <w:footnoteRef/>
      </w:r>
      <w:r>
        <w:t xml:space="preserve"> </w:t>
      </w:r>
      <w:r>
        <w:t xml:space="preserve">Microsoft Learn,</w:t>
      </w:r>
      <w:r>
        <w:t xml:space="preserve"> </w:t>
      </w:r>
      <w:r>
        <w:t xml:space="preserve">“Privileged roles and permissions in Microsoft Entra ID (preview),”</w:t>
      </w:r>
      <w:r>
        <w:t xml:space="preserve"> </w:t>
      </w:r>
      <w:hyperlink r:id="rId907">
        <w:r>
          <w:rPr>
            <w:rStyle w:val="Hyperlink"/>
          </w:rPr>
          <w:t xml:space="preserve">https://learn.microsoft.com/entra/identity/role-based-access-control/privileged-roles-permissions</w:t>
        </w:r>
      </w:hyperlink>
      <w:r>
        <w:t xml:space="preserve"> </w:t>
      </w:r>
      <w:r>
        <w:t xml:space="preserve">(accessed Oct 20, 2026).</w:t>
      </w:r>
    </w:p>
  </w:footnote>
  <w:footnote w:id="908">
    <w:p>
      <w:pPr>
        <w:pStyle w:val="FootnoteText"/>
      </w:pPr>
      <w:r>
        <w:rPr>
          <w:rStyle w:val="FootnoteReference"/>
        </w:rPr>
        <w:footnoteRef/>
      </w:r>
      <w:r>
        <w:t xml:space="preserve"> </w:t>
      </w:r>
      <w:r>
        <w:t xml:space="preserve">Microsoft Learn,</w:t>
      </w:r>
      <w:r>
        <w:t xml:space="preserve"> </w:t>
      </w:r>
      <w:r>
        <w:t xml:space="preserve">“Conditional Access: Users, groups, agents, and workload identities,”</w:t>
      </w:r>
      <w:r>
        <w:t xml:space="preserve"> </w:t>
      </w:r>
      <w:hyperlink r:id="rId879">
        <w:r>
          <w:rPr>
            <w:rStyle w:val="Hyperlink"/>
          </w:rPr>
          <w:t xml:space="preserve">https://learn.microsoft.com/entra/identity/conditional-access/concept-conditional-access-users-groups</w:t>
        </w:r>
      </w:hyperlink>
      <w:r>
        <w:t xml:space="preserve"> </w:t>
      </w:r>
      <w:r>
        <w:t xml:space="preserve">(accessed Oct 20, 2026).</w:t>
      </w:r>
    </w:p>
  </w:footnote>
  <w:footnote w:id="910">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911">
        <w:r>
          <w:rPr>
            <w:rStyle w:val="Hyperlink"/>
          </w:rPr>
          <w:t xml:space="preserve">https://learn.microsoft.com/entra/id-governance/privileged-identity-management/pim-how-to-change-default-settings</w:t>
        </w:r>
      </w:hyperlink>
      <w:r>
        <w:t xml:space="preserve"> </w:t>
      </w:r>
      <w:r>
        <w:t xml:space="preserve">(accessed Oct 20, 2026).</w:t>
      </w:r>
    </w:p>
  </w:footnote>
  <w:footnote w:id="912">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911">
        <w:r>
          <w:rPr>
            <w:rStyle w:val="Hyperlink"/>
          </w:rPr>
          <w:t xml:space="preserve">https://learn.microsoft.com/entra/id-governance/privileged-identity-management/pim-how-to-change-default-settings</w:t>
        </w:r>
      </w:hyperlink>
      <w:r>
        <w:t xml:space="preserve"> </w:t>
      </w:r>
      <w:r>
        <w:t xml:space="preserve">(accessed Oct 20, 2026).</w:t>
      </w:r>
    </w:p>
  </w:footnote>
  <w:footnote w:id="913">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911">
        <w:r>
          <w:rPr>
            <w:rStyle w:val="Hyperlink"/>
          </w:rPr>
          <w:t xml:space="preserve">https://learn.microsoft.com/entra/id-governance/privileged-identity-management/pim-how-to-change-default-settings</w:t>
        </w:r>
      </w:hyperlink>
      <w:r>
        <w:t xml:space="preserve"> </w:t>
      </w:r>
      <w:r>
        <w:t xml:space="preserve">(accessed Oct 20, 2026).</w:t>
      </w:r>
    </w:p>
  </w:footnote>
  <w:footnote w:id="914">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911">
        <w:r>
          <w:rPr>
            <w:rStyle w:val="Hyperlink"/>
          </w:rPr>
          <w:t xml:space="preserve">https://learn.microsoft.com/entra/id-governance/privileged-identity-management/pim-how-to-change-default-settings</w:t>
        </w:r>
      </w:hyperlink>
      <w:r>
        <w:t xml:space="preserve"> </w:t>
      </w:r>
      <w:r>
        <w:t xml:space="preserve">(accessed Oct 20, 2026).</w:t>
      </w:r>
    </w:p>
  </w:footnote>
  <w:footnote w:id="915">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911">
        <w:r>
          <w:rPr>
            <w:rStyle w:val="Hyperlink"/>
          </w:rPr>
          <w:t xml:space="preserve">https://learn.microsoft.com/entra/id-governance/privileged-identity-management/pim-how-to-change-default-settings</w:t>
        </w:r>
      </w:hyperlink>
      <w:r>
        <w:t xml:space="preserve"> </w:t>
      </w:r>
      <w:r>
        <w:t xml:space="preserve">(accessed Oct 20, 2026).</w:t>
      </w:r>
    </w:p>
  </w:footnote>
  <w:footnote w:id="917">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918">
        <w:r>
          <w:rPr>
            <w:rStyle w:val="Hyperlink"/>
          </w:rPr>
          <w:t xml:space="preserve">https://learn.microsoft.com/entra/id-governance/privileged-identity-management/concept-pim-for-groups</w:t>
        </w:r>
      </w:hyperlink>
      <w:r>
        <w:t xml:space="preserve"> </w:t>
      </w:r>
      <w:r>
        <w:t xml:space="preserve">(accessed Oct 20, 2026).</w:t>
      </w:r>
    </w:p>
  </w:footnote>
  <w:footnote w:id="919">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918">
        <w:r>
          <w:rPr>
            <w:rStyle w:val="Hyperlink"/>
          </w:rPr>
          <w:t xml:space="preserve">https://learn.microsoft.com/entra/id-governance/privileged-identity-management/concept-pim-for-groups</w:t>
        </w:r>
      </w:hyperlink>
      <w:r>
        <w:t xml:space="preserve"> </w:t>
      </w:r>
      <w:r>
        <w:t xml:space="preserve">(accessed Oct 20, 2026).</w:t>
      </w:r>
    </w:p>
  </w:footnote>
  <w:footnote w:id="920">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918">
        <w:r>
          <w:rPr>
            <w:rStyle w:val="Hyperlink"/>
          </w:rPr>
          <w:t xml:space="preserve">https://learn.microsoft.com/entra/id-governance/privileged-identity-management/concept-pim-for-groups</w:t>
        </w:r>
      </w:hyperlink>
      <w:r>
        <w:t xml:space="preserve"> </w:t>
      </w:r>
      <w:r>
        <w:t xml:space="preserve">(accessed Oct 20, 2026).</w:t>
      </w:r>
    </w:p>
  </w:footnote>
  <w:footnote w:id="921">
    <w:p>
      <w:pPr>
        <w:pStyle w:val="FootnoteText"/>
      </w:pPr>
      <w:r>
        <w:rPr>
          <w:rStyle w:val="FootnoteReference"/>
        </w:rPr>
        <w:footnoteRef/>
      </w:r>
      <w:r>
        <w:t xml:space="preserve"> </w:t>
      </w:r>
      <w:r>
        <w:t xml:space="preserve">Microsoft Learn,</w:t>
      </w:r>
      <w:r>
        <w:t xml:space="preserve"> </w:t>
      </w:r>
      <w:r>
        <w:t xml:space="preserve">“Assign eligibility for a group in Privileged Identity Management,”</w:t>
      </w:r>
      <w:r>
        <w:t xml:space="preserve"> </w:t>
      </w:r>
      <w:hyperlink r:id="rId922">
        <w:r>
          <w:rPr>
            <w:rStyle w:val="Hyperlink"/>
          </w:rPr>
          <w:t xml:space="preserve">https://learn.microsoft.com/entra/id-governance/privileged-identity-management/groups-assign-member-owner</w:t>
        </w:r>
      </w:hyperlink>
      <w:r>
        <w:t xml:space="preserve"> </w:t>
      </w:r>
      <w:r>
        <w:t xml:space="preserve">(accessed Oct 20, 2026).</w:t>
      </w:r>
    </w:p>
  </w:footnote>
  <w:footnote w:id="924">
    <w:p>
      <w:pPr>
        <w:pStyle w:val="FootnoteText"/>
      </w:pPr>
      <w:r>
        <w:rPr>
          <w:rStyle w:val="FootnoteReference"/>
        </w:rPr>
        <w:footnoteRef/>
      </w:r>
      <w:r>
        <w:t xml:space="preserve"> </w:t>
      </w:r>
      <w:r>
        <w:t xml:space="preserve">Microsoft Learn,</w:t>
      </w:r>
      <w:r>
        <w:t xml:space="preserve"> </w:t>
      </w:r>
      <w:r>
        <w:t xml:space="preserve">“Manage emergency access accounts in Microsoft Entra ID,”</w:t>
      </w:r>
      <w:r>
        <w:t xml:space="preserve"> </w:t>
      </w:r>
      <w:hyperlink r:id="rId925">
        <w:r>
          <w:rPr>
            <w:rStyle w:val="Hyperlink"/>
          </w:rPr>
          <w:t xml:space="preserve">https://learn.microsoft.com/entra/identity/role-based-access-control/security-emergency-access</w:t>
        </w:r>
      </w:hyperlink>
      <w:r>
        <w:t xml:space="preserve"> </w:t>
      </w:r>
      <w:r>
        <w:t xml:space="preserve">(accessed Oct 20, 2026).</w:t>
      </w:r>
    </w:p>
  </w:footnote>
  <w:footnote w:id="926">
    <w:p>
      <w:pPr>
        <w:pStyle w:val="FootnoteText"/>
      </w:pPr>
      <w:r>
        <w:rPr>
          <w:rStyle w:val="FootnoteReference"/>
        </w:rPr>
        <w:footnoteRef/>
      </w:r>
      <w:r>
        <w:t xml:space="preserve"> </w:t>
      </w:r>
      <w:r>
        <w:t xml:space="preserve">Microsoft Learn,</w:t>
      </w:r>
      <w:r>
        <w:t xml:space="preserve"> </w:t>
      </w:r>
      <w:r>
        <w:t xml:space="preserve">“Manage emergency access accounts in Microsoft Entra ID,”</w:t>
      </w:r>
      <w:r>
        <w:t xml:space="preserve"> </w:t>
      </w:r>
      <w:hyperlink r:id="rId925">
        <w:r>
          <w:rPr>
            <w:rStyle w:val="Hyperlink"/>
          </w:rPr>
          <w:t xml:space="preserve">https://learn.microsoft.com/entra/identity/role-based-access-control/security-emergency-access</w:t>
        </w:r>
      </w:hyperlink>
      <w:r>
        <w:t xml:space="preserve"> </w:t>
      </w:r>
      <w:r>
        <w:t xml:space="preserve">(accessed Oct 20, 2026).</w:t>
      </w:r>
    </w:p>
  </w:footnote>
  <w:footnote w:id="927">
    <w:p>
      <w:pPr>
        <w:pStyle w:val="FootnoteText"/>
      </w:pPr>
      <w:r>
        <w:rPr>
          <w:rStyle w:val="FootnoteReference"/>
        </w:rPr>
        <w:footnoteRef/>
      </w:r>
      <w:r>
        <w:t xml:space="preserve"> </w:t>
      </w:r>
      <w:r>
        <w:t xml:space="preserve">Microsoft Learn,</w:t>
      </w:r>
      <w:r>
        <w:t xml:space="preserve"> </w:t>
      </w:r>
      <w:r>
        <w:t xml:space="preserve">“Manage emergency access accounts in Microsoft Entra ID,”</w:t>
      </w:r>
      <w:r>
        <w:t xml:space="preserve"> </w:t>
      </w:r>
      <w:hyperlink r:id="rId925">
        <w:r>
          <w:rPr>
            <w:rStyle w:val="Hyperlink"/>
          </w:rPr>
          <w:t xml:space="preserve">https://learn.microsoft.com/entra/identity/role-based-access-control/security-emergency-access</w:t>
        </w:r>
      </w:hyperlink>
      <w:r>
        <w:t xml:space="preserve"> </w:t>
      </w:r>
      <w:r>
        <w:t xml:space="preserve">(accessed Oct 20, 2026).</w:t>
      </w:r>
    </w:p>
  </w:footnote>
  <w:footnote w:id="928">
    <w:p>
      <w:pPr>
        <w:pStyle w:val="FootnoteText"/>
      </w:pPr>
      <w:r>
        <w:rPr>
          <w:rStyle w:val="FootnoteReference"/>
        </w:rPr>
        <w:footnoteRef/>
      </w:r>
      <w:r>
        <w:t xml:space="preserve"> </w:t>
      </w:r>
      <w:r>
        <w:t xml:space="preserve">Microsoft Learn,</w:t>
      </w:r>
      <w:r>
        <w:t xml:space="preserve"> </w:t>
      </w:r>
      <w:r>
        <w:t xml:space="preserve">“Manage emergency access accounts in Microsoft Entra ID,”</w:t>
      </w:r>
      <w:r>
        <w:t xml:space="preserve"> </w:t>
      </w:r>
      <w:hyperlink r:id="rId925">
        <w:r>
          <w:rPr>
            <w:rStyle w:val="Hyperlink"/>
          </w:rPr>
          <w:t xml:space="preserve">https://learn.microsoft.com/entra/identity/role-based-access-control/security-emergency-access</w:t>
        </w:r>
      </w:hyperlink>
      <w:r>
        <w:t xml:space="preserve"> </w:t>
      </w:r>
      <w:r>
        <w:t xml:space="preserve">(accessed Oct 20, 2026).</w:t>
      </w:r>
    </w:p>
  </w:footnote>
  <w:footnote w:id="929">
    <w:p>
      <w:pPr>
        <w:pStyle w:val="FootnoteText"/>
      </w:pPr>
      <w:r>
        <w:rPr>
          <w:rStyle w:val="FootnoteReference"/>
        </w:rPr>
        <w:footnoteRef/>
      </w:r>
      <w:r>
        <w:t xml:space="preserve"> </w:t>
      </w:r>
      <w:r>
        <w:t xml:space="preserve">Microsoft Learn,</w:t>
      </w:r>
      <w:r>
        <w:t xml:space="preserve"> </w:t>
      </w:r>
      <w:r>
        <w:t xml:space="preserve">“Manage emergency access accounts in Microsoft Entra ID,”</w:t>
      </w:r>
      <w:r>
        <w:t xml:space="preserve"> </w:t>
      </w:r>
      <w:hyperlink r:id="rId925">
        <w:r>
          <w:rPr>
            <w:rStyle w:val="Hyperlink"/>
          </w:rPr>
          <w:t xml:space="preserve">https://learn.microsoft.com/entra/identity/role-based-access-control/security-emergency-access</w:t>
        </w:r>
      </w:hyperlink>
      <w:r>
        <w:t xml:space="preserve"> </w:t>
      </w:r>
      <w:r>
        <w:t xml:space="preserve">(accessed Oct 20, 2026).</w:t>
      </w:r>
    </w:p>
  </w:footnote>
  <w:footnote w:id="931">
    <w:p>
      <w:pPr>
        <w:pStyle w:val="FootnoteText"/>
      </w:pPr>
      <w:r>
        <w:rPr>
          <w:rStyle w:val="FootnoteReference"/>
        </w:rPr>
        <w:footnoteRef/>
      </w:r>
      <w:r>
        <w:t xml:space="preserve"> </w:t>
      </w:r>
      <w:r>
        <w:t xml:space="preserve">Microsoft Learn,</w:t>
      </w:r>
      <w:r>
        <w:t xml:space="preserve"> </w:t>
      </w:r>
      <w:r>
        <w:t xml:space="preserve">“What are protected actions in Microsoft Entra ID?,”</w:t>
      </w:r>
      <w:r>
        <w:t xml:space="preserve"> </w:t>
      </w:r>
      <w:hyperlink r:id="rId806">
        <w:r>
          <w:rPr>
            <w:rStyle w:val="Hyperlink"/>
          </w:rPr>
          <w:t xml:space="preserve">https://learn.microsoft.com/entra/identity/role-based-access-control/protected-actions-overview</w:t>
        </w:r>
      </w:hyperlink>
      <w:r>
        <w:t xml:space="preserve"> </w:t>
      </w:r>
      <w:r>
        <w:t xml:space="preserve">(accessed Oct 20, 2026).</w:t>
      </w:r>
    </w:p>
  </w:footnote>
  <w:footnote w:id="932">
    <w:p>
      <w:pPr>
        <w:pStyle w:val="FootnoteText"/>
      </w:pPr>
      <w:r>
        <w:rPr>
          <w:rStyle w:val="FootnoteReference"/>
        </w:rPr>
        <w:footnoteRef/>
      </w:r>
      <w:r>
        <w:t xml:space="preserve"> </w:t>
      </w:r>
      <w:r>
        <w:t xml:space="preserve">Microsoft Learn,</w:t>
      </w:r>
      <w:r>
        <w:t xml:space="preserve"> </w:t>
      </w:r>
      <w:r>
        <w:t xml:space="preserve">“What are protected actions in Microsoft Entra ID?,”</w:t>
      </w:r>
      <w:r>
        <w:t xml:space="preserve"> </w:t>
      </w:r>
      <w:hyperlink r:id="rId806">
        <w:r>
          <w:rPr>
            <w:rStyle w:val="Hyperlink"/>
          </w:rPr>
          <w:t xml:space="preserve">https://learn.microsoft.com/entra/identity/role-based-access-control/protected-actions-overview</w:t>
        </w:r>
      </w:hyperlink>
      <w:r>
        <w:t xml:space="preserve"> </w:t>
      </w:r>
      <w:r>
        <w:t xml:space="preserve">(accessed Oct 20, 2026).</w:t>
      </w:r>
    </w:p>
  </w:footnote>
  <w:footnote w:id="933">
    <w:p>
      <w:pPr>
        <w:pStyle w:val="FootnoteText"/>
      </w:pPr>
      <w:r>
        <w:rPr>
          <w:rStyle w:val="FootnoteReference"/>
        </w:rPr>
        <w:footnoteRef/>
      </w:r>
      <w:r>
        <w:t xml:space="preserve"> </w:t>
      </w:r>
      <w:r>
        <w:t xml:space="preserve">Microsoft Learn,</w:t>
      </w:r>
      <w:r>
        <w:t xml:space="preserve"> </w:t>
      </w:r>
      <w:r>
        <w:t xml:space="preserve">“What are protected actions in Microsoft Entra ID?,”</w:t>
      </w:r>
      <w:r>
        <w:t xml:space="preserve"> </w:t>
      </w:r>
      <w:hyperlink r:id="rId806">
        <w:r>
          <w:rPr>
            <w:rStyle w:val="Hyperlink"/>
          </w:rPr>
          <w:t xml:space="preserve">https://learn.microsoft.com/entra/identity/role-based-access-control/protected-actions-overview</w:t>
        </w:r>
      </w:hyperlink>
      <w:r>
        <w:t xml:space="preserve"> </w:t>
      </w:r>
      <w:r>
        <w:t xml:space="preserve">(accessed Oct 20, 2026).</w:t>
      </w:r>
    </w:p>
  </w:footnote>
  <w:footnote w:id="934">
    <w:p>
      <w:pPr>
        <w:pStyle w:val="FootnoteText"/>
      </w:pPr>
      <w:r>
        <w:rPr>
          <w:rStyle w:val="FootnoteReference"/>
        </w:rPr>
        <w:footnoteRef/>
      </w:r>
      <w:r>
        <w:t xml:space="preserve"> </w:t>
      </w:r>
      <w:r>
        <w:t xml:space="preserve">Microsoft Learn,</w:t>
      </w:r>
      <w:r>
        <w:t xml:space="preserve"> </w:t>
      </w:r>
      <w:r>
        <w:t xml:space="preserve">“Privileged roles and permissions in Microsoft Entra ID (preview),”</w:t>
      </w:r>
      <w:r>
        <w:t xml:space="preserve"> </w:t>
      </w:r>
      <w:hyperlink r:id="rId907">
        <w:r>
          <w:rPr>
            <w:rStyle w:val="Hyperlink"/>
          </w:rPr>
          <w:t xml:space="preserve">https://learn.microsoft.com/entra/identity/role-based-access-control/privileged-roles-permissions</w:t>
        </w:r>
      </w:hyperlink>
      <w:r>
        <w:t xml:space="preserve"> </w:t>
      </w:r>
      <w:r>
        <w:t xml:space="preserve">(accessed Oct 20, 2026).</w:t>
      </w:r>
    </w:p>
  </w:footnote>
  <w:footnote w:id="937">
    <w:p>
      <w:pPr>
        <w:pStyle w:val="FootnoteText"/>
      </w:pPr>
      <w:r>
        <w:rPr>
          <w:rStyle w:val="FootnoteReference"/>
        </w:rPr>
        <w:footnoteRef/>
      </w:r>
      <w:r>
        <w:t xml:space="preserve"> </w:t>
      </w:r>
      <w:r>
        <w:t xml:space="preserve">Microsoft Learn,</w:t>
      </w:r>
      <w:r>
        <w:t xml:space="preserve"> </w:t>
      </w:r>
      <w:r>
        <w:t xml:space="preserve">“Conditional Access: Users, groups, agents, and workload identities,”</w:t>
      </w:r>
      <w:r>
        <w:t xml:space="preserve"> </w:t>
      </w:r>
      <w:hyperlink r:id="rId879">
        <w:r>
          <w:rPr>
            <w:rStyle w:val="Hyperlink"/>
          </w:rPr>
          <w:t xml:space="preserve">https://learn.microsoft.com/entra/identity/conditional-access/concept-conditional-access-users-groups</w:t>
        </w:r>
      </w:hyperlink>
      <w:r>
        <w:t xml:space="preserve"> </w:t>
      </w:r>
      <w:r>
        <w:t xml:space="preserve">(accessed Oct 20, 2026).</w:t>
      </w:r>
    </w:p>
  </w:footnote>
  <w:footnote w:id="939">
    <w:p>
      <w:pPr>
        <w:pStyle w:val="FootnoteText"/>
      </w:pPr>
      <w:r>
        <w:rPr>
          <w:rStyle w:val="FootnoteReference"/>
        </w:rPr>
        <w:footnoteRef/>
      </w:r>
      <w:r>
        <w:t xml:space="preserve"> </w:t>
      </w:r>
      <w:r>
        <w:t xml:space="preserve">Microsoft Learn,</w:t>
      </w:r>
      <w:r>
        <w:t xml:space="preserve"> </w:t>
      </w:r>
      <w:r>
        <w:t xml:space="preserve">“Understand Microsoft U.S. government cloud environments for Microsoft 365 and Microsoft Copilot,”</w:t>
      </w:r>
      <w:r>
        <w:t xml:space="preserve"> </w:t>
      </w:r>
      <w:hyperlink r:id="rId940">
        <w:r>
          <w:rPr>
            <w:rStyle w:val="Hyperlink"/>
          </w:rPr>
          <w:t xml:space="preserve">https://learn.microsoft.com/microsoft-365/copilot/gov-overview</w:t>
        </w:r>
      </w:hyperlink>
      <w:r>
        <w:t xml:space="preserve"> </w:t>
      </w:r>
      <w:r>
        <w:t xml:space="preserve">(accessed Oct 20, 2026).</w:t>
      </w:r>
    </w:p>
  </w:footnote>
  <w:footnote w:id="942">
    <w:p>
      <w:pPr>
        <w:pStyle w:val="FootnoteText"/>
      </w:pPr>
      <w:r>
        <w:rPr>
          <w:rStyle w:val="FootnoteReference"/>
        </w:rPr>
        <w:footnoteRef/>
      </w:r>
      <w:r>
        <w:t xml:space="preserve"> </w:t>
      </w:r>
      <w:r>
        <w:t xml:space="preserve">Microsoft Learn,</w:t>
      </w:r>
      <w:r>
        <w:t xml:space="preserve"> </w:t>
      </w:r>
      <w:r>
        <w:t xml:space="preserve">“Conditional Access authentication strengths,”</w:t>
      </w:r>
      <w:r>
        <w:t xml:space="preserve"> </w:t>
      </w:r>
      <w:hyperlink r:id="rId943">
        <w:r>
          <w:rPr>
            <w:rStyle w:val="Hyperlink"/>
          </w:rPr>
          <w:t xml:space="preserve">https://learn.microsoft.com/entra/identity/authentication/concept-authentication-strengths</w:t>
        </w:r>
      </w:hyperlink>
      <w:r>
        <w:t xml:space="preserve"> </w:t>
      </w:r>
      <w:r>
        <w:t xml:space="preserve">(accessed Oct 20, 2026).</w:t>
      </w:r>
    </w:p>
  </w:footnote>
  <w:footnote w:id="944">
    <w:p>
      <w:pPr>
        <w:pStyle w:val="FootnoteText"/>
      </w:pPr>
      <w:r>
        <w:rPr>
          <w:rStyle w:val="FootnoteReference"/>
        </w:rPr>
        <w:footnoteRef/>
      </w:r>
      <w:r>
        <w:t xml:space="preserve"> </w:t>
      </w:r>
      <w:r>
        <w:t xml:space="preserve">Microsoft Learn,</w:t>
      </w:r>
      <w:r>
        <w:t xml:space="preserve"> </w:t>
      </w:r>
      <w:r>
        <w:t xml:space="preserve">“Meet multifactor authentication requirements of memorandum 22-09,”</w:t>
      </w:r>
      <w:r>
        <w:t xml:space="preserve"> </w:t>
      </w:r>
      <w:hyperlink r:id="rId172">
        <w:r>
          <w:rPr>
            <w:rStyle w:val="Hyperlink"/>
          </w:rPr>
          <w:t xml:space="preserve">https://learn.microsoft.com/entra/standards/memo-22-09-multi-factor-authentication</w:t>
        </w:r>
      </w:hyperlink>
      <w:r>
        <w:t xml:space="preserve"> </w:t>
      </w:r>
      <w:r>
        <w:t xml:space="preserve">(accessed Oct 20, 2026).</w:t>
      </w:r>
    </w:p>
  </w:footnote>
  <w:footnote w:id="945">
    <w:p>
      <w:pPr>
        <w:pStyle w:val="FootnoteText"/>
      </w:pPr>
      <w:r>
        <w:rPr>
          <w:rStyle w:val="FootnoteReference"/>
        </w:rPr>
        <w:footnoteRef/>
      </w:r>
      <w:r>
        <w:t xml:space="preserve"> </w:t>
      </w:r>
      <w:r>
        <w:t xml:space="preserve">Microsoft Learn,</w:t>
      </w:r>
      <w:r>
        <w:t xml:space="preserve"> </w:t>
      </w:r>
      <w:r>
        <w:t xml:space="preserve">“Conditional Access authentication strengths,”</w:t>
      </w:r>
      <w:r>
        <w:t xml:space="preserve"> </w:t>
      </w:r>
      <w:hyperlink r:id="rId943">
        <w:r>
          <w:rPr>
            <w:rStyle w:val="Hyperlink"/>
          </w:rPr>
          <w:t xml:space="preserve">https://learn.microsoft.com/entra/identity/authentication/concept-authentication-strengths</w:t>
        </w:r>
      </w:hyperlink>
      <w:r>
        <w:t xml:space="preserve"> </w:t>
      </w:r>
      <w:r>
        <w:t xml:space="preserve">(accessed Oct 20, 2026).</w:t>
      </w:r>
    </w:p>
  </w:footnote>
  <w:footnote w:id="950">
    <w:p>
      <w:pPr>
        <w:pStyle w:val="FootnoteText"/>
      </w:pPr>
      <w:r>
        <w:rPr>
          <w:rStyle w:val="FootnoteReference"/>
        </w:rPr>
        <w:footnoteRef/>
      </w:r>
      <w:r>
        <w:t xml:space="preserve"> </w:t>
      </w:r>
      <w:r>
        <w:t xml:space="preserve">Microsoft Learn,</w:t>
      </w:r>
      <w:r>
        <w:t xml:space="preserve"> </w:t>
      </w:r>
      <w:r>
        <w:t xml:space="preserve">“Configure and enable risk policies,”</w:t>
      </w:r>
      <w:r>
        <w:t xml:space="preserve"> </w:t>
      </w:r>
      <w:hyperlink r:id="rId951">
        <w:r>
          <w:rPr>
            <w:rStyle w:val="Hyperlink"/>
          </w:rPr>
          <w:t xml:space="preserve">https://learn.microsoft.com/entra/id-protection/howto-identity-protection-configure-risk-policies</w:t>
        </w:r>
      </w:hyperlink>
      <w:r>
        <w:t xml:space="preserve"> </w:t>
      </w:r>
      <w:r>
        <w:t xml:space="preserve">(accessed Oct 20, 2026).</w:t>
      </w:r>
    </w:p>
  </w:footnote>
  <w:footnote w:id="952">
    <w:p>
      <w:pPr>
        <w:pStyle w:val="FootnoteText"/>
      </w:pPr>
      <w:r>
        <w:rPr>
          <w:rStyle w:val="FootnoteReference"/>
        </w:rPr>
        <w:footnoteRef/>
      </w:r>
      <w:r>
        <w:t xml:space="preserve"> </w:t>
      </w:r>
      <w:r>
        <w:t xml:space="preserve">Microsoft Learn,</w:t>
      </w:r>
      <w:r>
        <w:t xml:space="preserve"> </w:t>
      </w:r>
      <w:r>
        <w:t xml:space="preserve">“Risk-based access policies,”</w:t>
      </w:r>
      <w:r>
        <w:t xml:space="preserve"> </w:t>
      </w:r>
      <w:hyperlink r:id="rId821">
        <w:r>
          <w:rPr>
            <w:rStyle w:val="Hyperlink"/>
          </w:rPr>
          <w:t xml:space="preserve">https://learn.microsoft.com/entra/id-protection/concept-identity-protection-policies</w:t>
        </w:r>
      </w:hyperlink>
      <w:r>
        <w:t xml:space="preserve"> </w:t>
      </w:r>
      <w:r>
        <w:t xml:space="preserve">(accessed Oct 20, 2026).</w:t>
      </w:r>
    </w:p>
  </w:footnote>
  <w:footnote w:id="953">
    <w:p>
      <w:pPr>
        <w:pStyle w:val="FootnoteText"/>
      </w:pPr>
      <w:r>
        <w:rPr>
          <w:rStyle w:val="FootnoteReference"/>
        </w:rPr>
        <w:footnoteRef/>
      </w:r>
      <w:r>
        <w:t xml:space="preserve"> </w:t>
      </w:r>
      <w:r>
        <w:t xml:space="preserve">Microsoft Learn,</w:t>
      </w:r>
      <w:r>
        <w:t xml:space="preserve"> </w:t>
      </w:r>
      <w:r>
        <w:t xml:space="preserve">“What are risk detections?,”</w:t>
      </w:r>
      <w:r>
        <w:t xml:space="preserve"> </w:t>
      </w:r>
      <w:hyperlink r:id="rId954">
        <w:r>
          <w:rPr>
            <w:rStyle w:val="Hyperlink"/>
          </w:rPr>
          <w:t xml:space="preserve">https://learn.microsoft.com/entra/id-protection/concept-identity-protection-risks</w:t>
        </w:r>
      </w:hyperlink>
      <w:r>
        <w:t xml:space="preserve"> </w:t>
      </w:r>
      <w:r>
        <w:t xml:space="preserve">(accessed Oct 20, 2026).</w:t>
      </w:r>
    </w:p>
  </w:footnote>
  <w:footnote w:id="955">
    <w:p>
      <w:pPr>
        <w:pStyle w:val="FootnoteText"/>
      </w:pPr>
      <w:r>
        <w:rPr>
          <w:rStyle w:val="FootnoteReference"/>
        </w:rPr>
        <w:footnoteRef/>
      </w:r>
      <w:r>
        <w:t xml:space="preserve"> </w:t>
      </w:r>
      <w:r>
        <w:t xml:space="preserve">Microsoft Learn,</w:t>
      </w:r>
      <w:r>
        <w:t xml:space="preserve"> </w:t>
      </w:r>
      <w:r>
        <w:t xml:space="preserve">“Choose the right authentication method for your Microsoft Entra hybrid identity solution,”</w:t>
      </w:r>
      <w:r>
        <w:t xml:space="preserve"> </w:t>
      </w:r>
      <w:hyperlink r:id="rId850">
        <w:r>
          <w:rPr>
            <w:rStyle w:val="Hyperlink"/>
          </w:rPr>
          <w:t xml:space="preserve">https://learn.microsoft.com/entra/identity/hybrid/connect/choose-ad-authn</w:t>
        </w:r>
      </w:hyperlink>
      <w:r>
        <w:t xml:space="preserve"> </w:t>
      </w:r>
      <w:r>
        <w:t xml:space="preserve">(accessed Oct 20, 2026).</w:t>
      </w:r>
    </w:p>
  </w:footnote>
  <w:footnote w:id="965">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453">
        <w:r>
          <w:rPr>
            <w:rStyle w:val="Hyperlink"/>
          </w:rPr>
          <w:t xml:space="preserve">https://learn.microsoft.com/entra/id-governance/licensing-fundamentals</w:t>
        </w:r>
      </w:hyperlink>
      <w:r>
        <w:t xml:space="preserve"> </w:t>
      </w:r>
      <w:r>
        <w:t xml:space="preserve">(accessed Oct 20, 2026).</w:t>
      </w:r>
    </w:p>
  </w:footnote>
  <w:footnote w:id="967">
    <w:p>
      <w:pPr>
        <w:pStyle w:val="FootnoteText"/>
      </w:pPr>
      <w:r>
        <w:rPr>
          <w:rStyle w:val="FootnoteReference"/>
        </w:rPr>
        <w:footnoteRef/>
      </w:r>
      <w:r>
        <w:t xml:space="preserve"> </w:t>
      </w:r>
      <w:r>
        <w:t xml:space="preserve">Microsoft Learn,</w:t>
      </w:r>
      <w:r>
        <w:t xml:space="preserve"> </w:t>
      </w:r>
      <w:r>
        <w:t xml:space="preserve">“Microsoft Entra licensing,”</w:t>
      </w:r>
      <w:r>
        <w:t xml:space="preserve"> </w:t>
      </w:r>
      <w:hyperlink r:id="rId515">
        <w:r>
          <w:rPr>
            <w:rStyle w:val="Hyperlink"/>
          </w:rPr>
          <w:t xml:space="preserve">https://learn.microsoft.com/entra/fundamentals/licensing</w:t>
        </w:r>
      </w:hyperlink>
      <w:r>
        <w:t xml:space="preserve"> </w:t>
      </w:r>
      <w:r>
        <w:t xml:space="preserve">(accessed Oct 20, 2026).</w:t>
      </w:r>
    </w:p>
  </w:footnote>
  <w:footnote w:id="968">
    <w:p>
      <w:pPr>
        <w:pStyle w:val="FootnoteText"/>
      </w:pPr>
      <w:r>
        <w:rPr>
          <w:rStyle w:val="FootnoteReference"/>
        </w:rPr>
        <w:footnoteRef/>
      </w:r>
      <w:r>
        <w:t xml:space="preserve"> </w:t>
      </w:r>
      <w:r>
        <w:t xml:space="preserve">Microsoft Learn,</w:t>
      </w:r>
      <w:r>
        <w:t xml:space="preserve"> </w:t>
      </w:r>
      <w:r>
        <w:t xml:space="preserve">“Configure dynamic membership groups with the memberOf operator in the Entra Admin Center (preview),”</w:t>
      </w:r>
      <w:r>
        <w:t xml:space="preserve"> </w:t>
      </w:r>
      <w:hyperlink r:id="rId831">
        <w:r>
          <w:rPr>
            <w:rStyle w:val="Hyperlink"/>
          </w:rPr>
          <w:t xml:space="preserve">https://learn.microsoft.com/entra/identity/users/groups-dynamic-rule-member-of</w:t>
        </w:r>
      </w:hyperlink>
      <w:r>
        <w:t xml:space="preserve"> </w:t>
      </w:r>
      <w:r>
        <w:t xml:space="preserve">(accessed Oct 20, 2026).</w:t>
      </w:r>
    </w:p>
  </w:footnote>
  <w:footnote w:id="969">
    <w:p>
      <w:pPr>
        <w:pStyle w:val="FootnoteText"/>
      </w:pPr>
      <w:r>
        <w:rPr>
          <w:rStyle w:val="FootnoteReference"/>
        </w:rPr>
        <w:footnoteRef/>
      </w:r>
      <w:r>
        <w:t xml:space="preserve"> </w:t>
      </w:r>
      <w:r>
        <w:t xml:space="preserve">Microsoft Learn,</w:t>
      </w:r>
      <w:r>
        <w:t xml:space="preserve"> </w:t>
      </w:r>
      <w:r>
        <w:t xml:space="preserve">“Group writeback with Microsoft Entra Cloud Sync,”</w:t>
      </w:r>
      <w:r>
        <w:t xml:space="preserve"> </w:t>
      </w:r>
      <w:hyperlink r:id="rId873">
        <w:r>
          <w:rPr>
            <w:rStyle w:val="Hyperlink"/>
          </w:rPr>
          <w:t xml:space="preserve">https://learn.microsoft.com/entra/identity/hybrid/group-writeback-cloud-sync</w:t>
        </w:r>
      </w:hyperlink>
      <w:r>
        <w:t xml:space="preserve"> </w:t>
      </w:r>
      <w:r>
        <w:t xml:space="preserve">(accessed Oct 20, 2026).</w:t>
      </w:r>
    </w:p>
  </w:footnote>
  <w:footnote w:id="971">
    <w:p>
      <w:pPr>
        <w:pStyle w:val="FootnoteText"/>
      </w:pPr>
      <w:r>
        <w:rPr>
          <w:rStyle w:val="FootnoteReference"/>
        </w:rPr>
        <w:footnoteRef/>
      </w:r>
      <w:r>
        <w:t xml:space="preserve"> </w:t>
      </w:r>
      <w:r>
        <w:t xml:space="preserve">Microsoft Learn,</w:t>
      </w:r>
      <w:r>
        <w:t xml:space="preserve"> </w:t>
      </w:r>
      <w:r>
        <w:t xml:space="preserve">“Lifecycle workflows execution conditions and scheduling,”</w:t>
      </w:r>
      <w:r>
        <w:t xml:space="preserve"> </w:t>
      </w:r>
      <w:hyperlink r:id="rId972">
        <w:r>
          <w:rPr>
            <w:rStyle w:val="Hyperlink"/>
          </w:rPr>
          <w:t xml:space="preserve">https://learn.microsoft.com/entra/id-governance/lifecycle-workflow-execution-conditions</w:t>
        </w:r>
      </w:hyperlink>
      <w:r>
        <w:t xml:space="preserve"> </w:t>
      </w:r>
      <w:r>
        <w:t xml:space="preserve">(accessed Oct 20, 2026).</w:t>
      </w:r>
    </w:p>
  </w:footnote>
  <w:footnote w:id="973">
    <w:p>
      <w:pPr>
        <w:pStyle w:val="FootnoteText"/>
      </w:pPr>
      <w:r>
        <w:rPr>
          <w:rStyle w:val="FootnoteReference"/>
        </w:rPr>
        <w:footnoteRef/>
      </w:r>
      <w:r>
        <w:t xml:space="preserve"> </w:t>
      </w:r>
      <w:r>
        <w:t xml:space="preserve">Microsoft Learn,</w:t>
      </w:r>
      <w:r>
        <w:t xml:space="preserve"> </w:t>
      </w:r>
      <w:r>
        <w:t xml:space="preserve">“Lifecycle workflows execution conditions and scheduling,”</w:t>
      </w:r>
      <w:r>
        <w:t xml:space="preserve"> </w:t>
      </w:r>
      <w:hyperlink r:id="rId972">
        <w:r>
          <w:rPr>
            <w:rStyle w:val="Hyperlink"/>
          </w:rPr>
          <w:t xml:space="preserve">https://learn.microsoft.com/entra/id-governance/lifecycle-workflow-execution-conditions</w:t>
        </w:r>
      </w:hyperlink>
      <w:r>
        <w:t xml:space="preserve"> </w:t>
      </w:r>
      <w:r>
        <w:t xml:space="preserve">(accessed Oct 20, 2026).</w:t>
      </w:r>
    </w:p>
  </w:footnote>
  <w:footnote w:id="974">
    <w:p>
      <w:pPr>
        <w:pStyle w:val="FootnoteText"/>
      </w:pPr>
      <w:r>
        <w:rPr>
          <w:rStyle w:val="FootnoteReference"/>
        </w:rPr>
        <w:footnoteRef/>
      </w:r>
      <w:r>
        <w:t xml:space="preserve"> </w:t>
      </w:r>
      <w:r>
        <w:t xml:space="preserve">Microsoft Learn,</w:t>
      </w:r>
      <w:r>
        <w:t xml:space="preserve"> </w:t>
      </w:r>
      <w:r>
        <w:t xml:space="preserve">“Managing users synchronized from Active Directory Domain Services to Microsoft Entra ID with Lifecycle workflows,”</w:t>
      </w:r>
      <w:r>
        <w:t xml:space="preserve"> </w:t>
      </w:r>
      <w:hyperlink r:id="rId975">
        <w:r>
          <w:rPr>
            <w:rStyle w:val="Hyperlink"/>
          </w:rPr>
          <w:t xml:space="preserve">https://learn.microsoft.com/entra/id-governance/lifecycle-workflow-on-premises</w:t>
        </w:r>
      </w:hyperlink>
      <w:r>
        <w:t xml:space="preserve"> </w:t>
      </w:r>
      <w:r>
        <w:t xml:space="preserve">(accessed Oct 20, 2026).</w:t>
      </w:r>
    </w:p>
  </w:footnote>
  <w:footnote w:id="976">
    <w:p>
      <w:pPr>
        <w:pStyle w:val="FootnoteText"/>
      </w:pPr>
      <w:r>
        <w:rPr>
          <w:rStyle w:val="FootnoteReference"/>
        </w:rPr>
        <w:footnoteRef/>
      </w:r>
      <w:r>
        <w:t xml:space="preserve"> </w:t>
      </w:r>
      <w:r>
        <w:t xml:space="preserve">Microsoft Learn,</w:t>
      </w:r>
      <w:r>
        <w:t xml:space="preserve"> </w:t>
      </w:r>
      <w:r>
        <w:t xml:space="preserve">“ruleBasedSubjectSet resource type,”</w:t>
      </w:r>
      <w:r>
        <w:t xml:space="preserve"> </w:t>
      </w:r>
      <w:hyperlink r:id="rId977">
        <w:r>
          <w:rPr>
            <w:rStyle w:val="Hyperlink"/>
          </w:rPr>
          <w:t xml:space="preserve">https://learn.microsoft.com/graph/api/resources/identitygovernance-rulebasedsubjectset?view=graph-rest-1.0</w:t>
        </w:r>
      </w:hyperlink>
      <w:r>
        <w:t xml:space="preserve"> </w:t>
      </w:r>
      <w:r>
        <w:t xml:space="preserve">(accessed Oct 20, 2026).</w:t>
      </w:r>
    </w:p>
  </w:footnote>
  <w:footnote w:id="978">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453">
        <w:r>
          <w:rPr>
            <w:rStyle w:val="Hyperlink"/>
          </w:rPr>
          <w:t xml:space="preserve">https://learn.microsoft.com/entra/id-governance/licensing-fundamentals</w:t>
        </w:r>
      </w:hyperlink>
      <w:r>
        <w:t xml:space="preserve"> </w:t>
      </w:r>
      <w:r>
        <w:t xml:space="preserve">(accessed Oct 20, 2026).</w:t>
      </w:r>
    </w:p>
  </w:footnote>
  <w:footnote w:id="979">
    <w:p>
      <w:pPr>
        <w:pStyle w:val="FootnoteText"/>
      </w:pPr>
      <w:r>
        <w:rPr>
          <w:rStyle w:val="FootnoteReference"/>
        </w:rPr>
        <w:footnoteRef/>
      </w:r>
      <w:r>
        <w:t xml:space="preserve"> </w:t>
      </w:r>
      <w:r>
        <w:t xml:space="preserve">Microsoft Learn,</w:t>
      </w:r>
      <w:r>
        <w:t xml:space="preserve"> </w:t>
      </w:r>
      <w:r>
        <w:t xml:space="preserve">“Lifecycle Workflow built-in tasks,”</w:t>
      </w:r>
      <w:r>
        <w:t xml:space="preserve"> </w:t>
      </w:r>
      <w:hyperlink r:id="rId980">
        <w:r>
          <w:rPr>
            <w:rStyle w:val="Hyperlink"/>
          </w:rPr>
          <w:t xml:space="preserve">https://learn.microsoft.com/entra/id-governance/lifecycle-workflow-tasks</w:t>
        </w:r>
      </w:hyperlink>
      <w:r>
        <w:t xml:space="preserve"> </w:t>
      </w:r>
      <w:r>
        <w:t xml:space="preserve">(accessed Oct 20, 2026).</w:t>
      </w:r>
    </w:p>
  </w:footnote>
  <w:footnote w:id="981">
    <w:p>
      <w:pPr>
        <w:pStyle w:val="FootnoteText"/>
      </w:pPr>
      <w:r>
        <w:rPr>
          <w:rStyle w:val="FootnoteReference"/>
        </w:rPr>
        <w:footnoteRef/>
      </w:r>
      <w:r>
        <w:t xml:space="preserve"> </w:t>
      </w:r>
      <w:r>
        <w:t xml:space="preserve">Microsoft Learn,</w:t>
      </w:r>
      <w:r>
        <w:t xml:space="preserve"> </w:t>
      </w:r>
      <w:r>
        <w:t xml:space="preserve">“Lifecycle Workflows templates and categories,”</w:t>
      </w:r>
      <w:r>
        <w:t xml:space="preserve"> </w:t>
      </w:r>
      <w:hyperlink r:id="rId982">
        <w:r>
          <w:rPr>
            <w:rStyle w:val="Hyperlink"/>
          </w:rPr>
          <w:t xml:space="preserve">https://learn.microsoft.com/entra/id-governance/lifecycle-workflow-templates</w:t>
        </w:r>
      </w:hyperlink>
      <w:r>
        <w:t xml:space="preserve"> </w:t>
      </w:r>
      <w:r>
        <w:t xml:space="preserve">(accessed Oct 20, 2026).</w:t>
      </w:r>
    </w:p>
  </w:footnote>
  <w:footnote w:id="984">
    <w:p>
      <w:pPr>
        <w:pStyle w:val="FootnoteText"/>
      </w:pPr>
      <w:r>
        <w:rPr>
          <w:rStyle w:val="FootnoteReference"/>
        </w:rPr>
        <w:footnoteRef/>
      </w:r>
      <w:r>
        <w:t xml:space="preserve"> </w:t>
      </w:r>
      <w:r>
        <w:t xml:space="preserve">Microsoft Learn,</w:t>
      </w:r>
      <w:r>
        <w:t xml:space="preserve"> </w:t>
      </w:r>
      <w:r>
        <w:t xml:space="preserve">“Configure the arguments for built-in Lifecycle Workflows tasks,”</w:t>
      </w:r>
      <w:r>
        <w:t xml:space="preserve"> </w:t>
      </w:r>
      <w:hyperlink r:id="rId985">
        <w:r>
          <w:rPr>
            <w:rStyle w:val="Hyperlink"/>
          </w:rPr>
          <w:t xml:space="preserve">https://learn.microsoft.com/graph/identitygovernance-lifecycleworkflows-task-arguments</w:t>
        </w:r>
      </w:hyperlink>
      <w:r>
        <w:t xml:space="preserve"> </w:t>
      </w:r>
      <w:r>
        <w:t xml:space="preserve">(accessed Oct 20, 2026).</w:t>
      </w:r>
    </w:p>
  </w:footnote>
  <w:footnote w:id="987">
    <w:p>
      <w:pPr>
        <w:pStyle w:val="FootnoteText"/>
      </w:pPr>
      <w:r>
        <w:rPr>
          <w:rStyle w:val="FootnoteReference"/>
        </w:rPr>
        <w:footnoteRef/>
      </w:r>
      <w:r>
        <w:t xml:space="preserve"> </w:t>
      </w:r>
      <w:r>
        <w:t xml:space="preserve">Microsoft Learn,</w:t>
      </w:r>
      <w:r>
        <w:t xml:space="preserve"> </w:t>
      </w:r>
      <w:r>
        <w:t xml:space="preserve">“Lifecycle Workflows templates and categories,”</w:t>
      </w:r>
      <w:r>
        <w:t xml:space="preserve"> </w:t>
      </w:r>
      <w:hyperlink r:id="rId982">
        <w:r>
          <w:rPr>
            <w:rStyle w:val="Hyperlink"/>
          </w:rPr>
          <w:t xml:space="preserve">https://learn.microsoft.com/entra/id-governance/lifecycle-workflow-templates</w:t>
        </w:r>
      </w:hyperlink>
      <w:r>
        <w:t xml:space="preserve"> </w:t>
      </w:r>
      <w:r>
        <w:t xml:space="preserve">(accessed Oct 20, 2026).</w:t>
      </w:r>
    </w:p>
  </w:footnote>
  <w:footnote w:id="989">
    <w:p>
      <w:pPr>
        <w:pStyle w:val="FootnoteText"/>
      </w:pPr>
      <w:r>
        <w:rPr>
          <w:rStyle w:val="FootnoteReference"/>
        </w:rPr>
        <w:footnoteRef/>
      </w:r>
      <w:r>
        <w:t xml:space="preserve"> </w:t>
      </w:r>
      <w:r>
        <w:t xml:space="preserve">Microsoft Learn,</w:t>
      </w:r>
      <w:r>
        <w:t xml:space="preserve"> </w:t>
      </w:r>
      <w:r>
        <w:t xml:space="preserve">“Lifecycle Workflows templates and categories,”</w:t>
      </w:r>
      <w:r>
        <w:t xml:space="preserve"> </w:t>
      </w:r>
      <w:hyperlink r:id="rId982">
        <w:r>
          <w:rPr>
            <w:rStyle w:val="Hyperlink"/>
          </w:rPr>
          <w:t xml:space="preserve">https://learn.microsoft.com/entra/id-governance/lifecycle-workflow-templates</w:t>
        </w:r>
      </w:hyperlink>
      <w:r>
        <w:t xml:space="preserve"> </w:t>
      </w:r>
      <w:r>
        <w:t xml:space="preserve">(accessed Oct 20, 2026).</w:t>
      </w:r>
    </w:p>
  </w:footnote>
  <w:footnote w:id="990">
    <w:p>
      <w:pPr>
        <w:pStyle w:val="FootnoteText"/>
      </w:pPr>
      <w:r>
        <w:rPr>
          <w:rStyle w:val="FootnoteReference"/>
        </w:rPr>
        <w:footnoteRef/>
      </w:r>
      <w:r>
        <w:t xml:space="preserve"> </w:t>
      </w:r>
      <w:r>
        <w:t xml:space="preserve">Microsoft Learn,</w:t>
      </w:r>
      <w:r>
        <w:t xml:space="preserve"> </w:t>
      </w:r>
      <w:r>
        <w:t xml:space="preserve">“Lifecycle Workflow built-in tasks,”</w:t>
      </w:r>
      <w:r>
        <w:t xml:space="preserve"> </w:t>
      </w:r>
      <w:hyperlink r:id="rId980">
        <w:r>
          <w:rPr>
            <w:rStyle w:val="Hyperlink"/>
          </w:rPr>
          <w:t xml:space="preserve">https://learn.microsoft.com/entra/id-governance/lifecycle-workflow-tasks</w:t>
        </w:r>
      </w:hyperlink>
      <w:r>
        <w:t xml:space="preserve"> </w:t>
      </w:r>
      <w:r>
        <w:t xml:space="preserve">(accessed Oct 20, 2026).</w:t>
      </w:r>
    </w:p>
  </w:footnote>
  <w:footnote w:id="991">
    <w:p>
      <w:pPr>
        <w:pStyle w:val="FootnoteText"/>
      </w:pPr>
      <w:r>
        <w:rPr>
          <w:rStyle w:val="FootnoteReference"/>
        </w:rPr>
        <w:footnoteRef/>
      </w:r>
      <w:r>
        <w:t xml:space="preserve"> </w:t>
      </w:r>
      <w:r>
        <w:t xml:space="preserve">Microsoft Learn,</w:t>
      </w:r>
      <w:r>
        <w:t xml:space="preserve"> </w:t>
      </w:r>
      <w:r>
        <w:t xml:space="preserve">“Managing users synchronized from Active Directory Domain Services to Microsoft Entra ID with Lifecycle workflows,”</w:t>
      </w:r>
      <w:r>
        <w:t xml:space="preserve"> </w:t>
      </w:r>
      <w:hyperlink r:id="rId975">
        <w:r>
          <w:rPr>
            <w:rStyle w:val="Hyperlink"/>
          </w:rPr>
          <w:t xml:space="preserve">https://learn.microsoft.com/entra/id-governance/lifecycle-workflow-on-premises</w:t>
        </w:r>
      </w:hyperlink>
      <w:r>
        <w:t xml:space="preserve"> </w:t>
      </w:r>
      <w:r>
        <w:t xml:space="preserve">(accessed Oct 20, 2026).</w:t>
      </w:r>
    </w:p>
  </w:footnote>
  <w:footnote w:id="994">
    <w:p>
      <w:pPr>
        <w:pStyle w:val="FootnoteText"/>
      </w:pPr>
      <w:r>
        <w:rPr>
          <w:rStyle w:val="FootnoteReference"/>
        </w:rPr>
        <w:footnoteRef/>
      </w:r>
      <w:r>
        <w:t xml:space="preserve"> </w:t>
      </w:r>
      <w:r>
        <w:t xml:space="preserve">Microsoft Learn,</w:t>
      </w:r>
      <w:r>
        <w:t xml:space="preserve"> </w:t>
      </w:r>
      <w:r>
        <w:t xml:space="preserve">“Microsoft Entra licensing,”</w:t>
      </w:r>
      <w:r>
        <w:t xml:space="preserve"> </w:t>
      </w:r>
      <w:hyperlink r:id="rId515">
        <w:r>
          <w:rPr>
            <w:rStyle w:val="Hyperlink"/>
          </w:rPr>
          <w:t xml:space="preserve">https://learn.microsoft.com/entra/fundamentals/licensing</w:t>
        </w:r>
      </w:hyperlink>
      <w:r>
        <w:t xml:space="preserve"> </w:t>
      </w:r>
      <w:r>
        <w:t xml:space="preserve">(accessed Oct 20, 2026).</w:t>
      </w:r>
    </w:p>
  </w:footnote>
  <w:footnote w:id="997">
    <w:p>
      <w:pPr>
        <w:pStyle w:val="FootnoteText"/>
      </w:pPr>
      <w:r>
        <w:rPr>
          <w:rStyle w:val="FootnoteReference"/>
        </w:rPr>
        <w:footnoteRef/>
      </w:r>
      <w:r>
        <w:t xml:space="preserve"> </w:t>
      </w:r>
      <w:r>
        <w:t xml:space="preserve">Microsoft Learn,</w:t>
      </w:r>
      <w:r>
        <w:t xml:space="preserve"> </w:t>
      </w:r>
      <w:r>
        <w:t xml:space="preserve">“What is Microsoft Entra ID Governance?,”</w:t>
      </w:r>
      <w:r>
        <w:t xml:space="preserve"> </w:t>
      </w:r>
      <w:hyperlink r:id="rId998">
        <w:r>
          <w:rPr>
            <w:rStyle w:val="Hyperlink"/>
          </w:rPr>
          <w:t xml:space="preserve">https://learn.microsoft.com/entra/id-governance/identity-governance-overview</w:t>
        </w:r>
      </w:hyperlink>
      <w:r>
        <w:t xml:space="preserve"> </w:t>
      </w:r>
      <w:r>
        <w:t xml:space="preserve">(accessed Oct 20, 2026).</w:t>
      </w:r>
    </w:p>
  </w:footnote>
  <w:footnote w:id="999">
    <w:p>
      <w:pPr>
        <w:pStyle w:val="FootnoteText"/>
      </w:pPr>
      <w:r>
        <w:rPr>
          <w:rStyle w:val="FootnoteReference"/>
        </w:rPr>
        <w:footnoteRef/>
      </w:r>
      <w:r>
        <w:t xml:space="preserve"> </w:t>
      </w:r>
      <w:r>
        <w:t xml:space="preserve">Microsoft Learn,</w:t>
      </w:r>
      <w:r>
        <w:t xml:space="preserve"> </w:t>
      </w:r>
      <w:r>
        <w:t xml:space="preserve">“Microsoft Entra B2B collaboration FAQs,”</w:t>
      </w:r>
      <w:r>
        <w:t xml:space="preserve"> </w:t>
      </w:r>
      <w:hyperlink r:id="rId1000">
        <w:r>
          <w:rPr>
            <w:rStyle w:val="Hyperlink"/>
          </w:rPr>
          <w:t xml:space="preserve">https://learn.microsoft.com/entra/external-id/faq</w:t>
        </w:r>
      </w:hyperlink>
      <w:r>
        <w:t xml:space="preserve"> </w:t>
      </w:r>
      <w:r>
        <w:t xml:space="preserve">(accessed Oct 20, 2026).</w:t>
      </w:r>
    </w:p>
  </w:footnote>
  <w:footnote w:id="1001">
    <w:p>
      <w:pPr>
        <w:pStyle w:val="FootnoteText"/>
      </w:pPr>
      <w:r>
        <w:rPr>
          <w:rStyle w:val="FootnoteReference"/>
        </w:rPr>
        <w:footnoteRef/>
      </w:r>
      <w:r>
        <w:t xml:space="preserve"> </w:t>
      </w:r>
      <w:r>
        <w:t xml:space="preserve">Microsoft Learn,</w:t>
      </w:r>
      <w:r>
        <w:t xml:space="preserve"> </w:t>
      </w:r>
      <w:r>
        <w:t xml:space="preserve">“Microsoft Entra B2B collaboration FAQs,”</w:t>
      </w:r>
      <w:r>
        <w:t xml:space="preserve"> </w:t>
      </w:r>
      <w:hyperlink r:id="rId1000">
        <w:r>
          <w:rPr>
            <w:rStyle w:val="Hyperlink"/>
          </w:rPr>
          <w:t xml:space="preserve">https://learn.microsoft.com/entra/external-id/faq</w:t>
        </w:r>
      </w:hyperlink>
      <w:r>
        <w:t xml:space="preserve"> </w:t>
      </w:r>
      <w:r>
        <w:t xml:space="preserve">(accessed Oct 20, 2026).</w:t>
      </w:r>
    </w:p>
  </w:footnote>
  <w:footnote w:id="1003">
    <w:p>
      <w:pPr>
        <w:pStyle w:val="FootnoteText"/>
      </w:pPr>
      <w:r>
        <w:rPr>
          <w:rStyle w:val="FootnoteReference"/>
        </w:rPr>
        <w:footnoteRef/>
      </w:r>
      <w:r>
        <w:t xml:space="preserve"> </w:t>
      </w:r>
      <w:r>
        <w:t xml:space="preserve">Microsoft Learn,</w:t>
      </w:r>
      <w:r>
        <w:t xml:space="preserve"> </w:t>
      </w:r>
      <w:r>
        <w:t xml:space="preserve">“Overview: Cross-tenant access with Microsoft Entra External ID,”</w:t>
      </w:r>
      <w:r>
        <w:t xml:space="preserve"> </w:t>
      </w:r>
      <w:hyperlink r:id="rId738">
        <w:r>
          <w:rPr>
            <w:rStyle w:val="Hyperlink"/>
          </w:rPr>
          <w:t xml:space="preserve">https://learn.microsoft.com/entra/external-id/cross-tenant-access-overview</w:t>
        </w:r>
      </w:hyperlink>
      <w:r>
        <w:t xml:space="preserve"> </w:t>
      </w:r>
      <w:r>
        <w:t xml:space="preserve">(accessed Oct 20, 2026).</w:t>
      </w:r>
    </w:p>
  </w:footnote>
  <w:footnote w:id="1004">
    <w:p>
      <w:pPr>
        <w:pStyle w:val="FootnoteText"/>
      </w:pPr>
      <w:r>
        <w:rPr>
          <w:rStyle w:val="FootnoteReference"/>
        </w:rPr>
        <w:footnoteRef/>
      </w:r>
      <w:r>
        <w:t xml:space="preserve"> </w:t>
      </w:r>
      <w:r>
        <w:t xml:space="preserve">Microsoft Learn,</w:t>
      </w:r>
      <w:r>
        <w:t xml:space="preserve"> </w:t>
      </w:r>
      <w:r>
        <w:t xml:space="preserve">“Overview: Cross-tenant access with Microsoft Entra External ID,”</w:t>
      </w:r>
      <w:r>
        <w:t xml:space="preserve"> </w:t>
      </w:r>
      <w:hyperlink r:id="rId738">
        <w:r>
          <w:rPr>
            <w:rStyle w:val="Hyperlink"/>
          </w:rPr>
          <w:t xml:space="preserve">https://learn.microsoft.com/entra/external-id/cross-tenant-access-overview</w:t>
        </w:r>
      </w:hyperlink>
      <w:r>
        <w:t xml:space="preserve"> </w:t>
      </w:r>
      <w:r>
        <w:t xml:space="preserve">(accessed Oct 20, 2026).</w:t>
      </w:r>
    </w:p>
  </w:footnote>
  <w:footnote w:id="1005">
    <w:p>
      <w:pPr>
        <w:pStyle w:val="FootnoteText"/>
      </w:pPr>
      <w:r>
        <w:rPr>
          <w:rStyle w:val="FootnoteReference"/>
        </w:rPr>
        <w:footnoteRef/>
      </w:r>
      <w:r>
        <w:t xml:space="preserve"> </w:t>
      </w:r>
      <w:r>
        <w:t xml:space="preserve">Microsoft Learn,</w:t>
      </w:r>
      <w:r>
        <w:t xml:space="preserve"> </w:t>
      </w:r>
      <w:r>
        <w:t xml:space="preserve">“Microsoft Entra licensing,”</w:t>
      </w:r>
      <w:r>
        <w:t xml:space="preserve"> </w:t>
      </w:r>
      <w:hyperlink r:id="rId515">
        <w:r>
          <w:rPr>
            <w:rStyle w:val="Hyperlink"/>
          </w:rPr>
          <w:t xml:space="preserve">https://learn.microsoft.com/entra/fundamentals/licensing</w:t>
        </w:r>
      </w:hyperlink>
      <w:r>
        <w:t xml:space="preserve"> </w:t>
      </w:r>
      <w:r>
        <w:t xml:space="preserve">(accessed Oct 20, 2026).</w:t>
      </w:r>
    </w:p>
  </w:footnote>
  <w:footnote w:id="1007">
    <w:p>
      <w:pPr>
        <w:pStyle w:val="FootnoteText"/>
      </w:pPr>
      <w:r>
        <w:rPr>
          <w:rStyle w:val="FootnoteReference"/>
        </w:rPr>
        <w:footnoteRef/>
      </w:r>
      <w:r>
        <w:t xml:space="preserve"> </w:t>
      </w:r>
      <w:r>
        <w:t xml:space="preserve">Microsoft Learn,</w:t>
      </w:r>
      <w:r>
        <w:t xml:space="preserve"> </w:t>
      </w:r>
      <w:r>
        <w:t xml:space="preserve">“B2B direct connect overview,”</w:t>
      </w:r>
      <w:r>
        <w:t xml:space="preserve"> </w:t>
      </w:r>
      <w:hyperlink r:id="rId1008">
        <w:r>
          <w:rPr>
            <w:rStyle w:val="Hyperlink"/>
          </w:rPr>
          <w:t xml:space="preserve">https://learn.microsoft.com/entra/external-id/b2b-direct-connect-overview</w:t>
        </w:r>
      </w:hyperlink>
      <w:r>
        <w:t xml:space="preserve"> </w:t>
      </w:r>
      <w:r>
        <w:t xml:space="preserve">(accessed Oct 20, 2026).</w:t>
      </w:r>
    </w:p>
  </w:footnote>
  <w:footnote w:id="1009">
    <w:p>
      <w:pPr>
        <w:pStyle w:val="FootnoteText"/>
      </w:pPr>
      <w:r>
        <w:rPr>
          <w:rStyle w:val="FootnoteReference"/>
        </w:rPr>
        <w:footnoteRef/>
      </w:r>
      <w:r>
        <w:t xml:space="preserve"> </w:t>
      </w:r>
      <w:r>
        <w:t xml:space="preserve">Microsoft Learn,</w:t>
      </w:r>
      <w:r>
        <w:t xml:space="preserve"> </w:t>
      </w:r>
      <w:r>
        <w:t xml:space="preserve">“B2B direct connect overview,”</w:t>
      </w:r>
      <w:r>
        <w:t xml:space="preserve"> </w:t>
      </w:r>
      <w:hyperlink r:id="rId1008">
        <w:r>
          <w:rPr>
            <w:rStyle w:val="Hyperlink"/>
          </w:rPr>
          <w:t xml:space="preserve">https://learn.microsoft.com/entra/external-id/b2b-direct-connect-overview</w:t>
        </w:r>
      </w:hyperlink>
      <w:r>
        <w:t xml:space="preserve"> </w:t>
      </w:r>
      <w:r>
        <w:t xml:space="preserve">(accessed Oct 20, 2026).</w:t>
      </w:r>
    </w:p>
  </w:footnote>
  <w:footnote w:id="1010">
    <w:p>
      <w:pPr>
        <w:pStyle w:val="FootnoteText"/>
      </w:pPr>
      <w:r>
        <w:rPr>
          <w:rStyle w:val="FootnoteReference"/>
        </w:rPr>
        <w:footnoteRef/>
      </w:r>
      <w:r>
        <w:t xml:space="preserve"> </w:t>
      </w:r>
      <w:r>
        <w:t xml:space="preserve">Microsoft Learn,</w:t>
      </w:r>
      <w:r>
        <w:t xml:space="preserve"> </w:t>
      </w:r>
      <w:r>
        <w:t xml:space="preserve">“B2B direct connect overview,”</w:t>
      </w:r>
      <w:r>
        <w:t xml:space="preserve"> </w:t>
      </w:r>
      <w:hyperlink r:id="rId1008">
        <w:r>
          <w:rPr>
            <w:rStyle w:val="Hyperlink"/>
          </w:rPr>
          <w:t xml:space="preserve">https://learn.microsoft.com/entra/external-id/b2b-direct-connect-overview</w:t>
        </w:r>
      </w:hyperlink>
      <w:r>
        <w:t xml:space="preserve"> </w:t>
      </w:r>
      <w:r>
        <w:t xml:space="preserve">(accessed Oct 20, 2026).</w:t>
      </w:r>
    </w:p>
  </w:footnote>
  <w:footnote w:id="1012">
    <w:p>
      <w:pPr>
        <w:pStyle w:val="FootnoteText"/>
      </w:pPr>
      <w:r>
        <w:rPr>
          <w:rStyle w:val="FootnoteReference"/>
        </w:rPr>
        <w:footnoteRef/>
      </w:r>
      <w:r>
        <w:t xml:space="preserve"> </w:t>
      </w:r>
      <w:r>
        <w:t xml:space="preserve">Microsoft Learn,</w:t>
      </w:r>
      <w:r>
        <w:t xml:space="preserve"> </w:t>
      </w:r>
      <w:r>
        <w:t xml:space="preserve">“Identity providers for External ID in workforce tenants,”</w:t>
      </w:r>
      <w:r>
        <w:t xml:space="preserve"> </w:t>
      </w:r>
      <w:hyperlink r:id="rId1013">
        <w:r>
          <w:rPr>
            <w:rStyle w:val="Hyperlink"/>
          </w:rPr>
          <w:t xml:space="preserve">https://learn.microsoft.com/entra/external-id/identity-providers</w:t>
        </w:r>
      </w:hyperlink>
      <w:r>
        <w:t xml:space="preserve"> </w:t>
      </w:r>
      <w:r>
        <w:t xml:space="preserve">(accessed Oct 20, 2026).</w:t>
      </w:r>
    </w:p>
  </w:footnote>
  <w:footnote w:id="1014">
    <w:p>
      <w:pPr>
        <w:pStyle w:val="FootnoteText"/>
      </w:pPr>
      <w:r>
        <w:rPr>
          <w:rStyle w:val="FootnoteReference"/>
        </w:rPr>
        <w:footnoteRef/>
      </w:r>
      <w:r>
        <w:t xml:space="preserve"> </w:t>
      </w:r>
      <w:r>
        <w:t xml:space="preserve">Microsoft Learn,</w:t>
      </w:r>
      <w:r>
        <w:t xml:space="preserve"> </w:t>
      </w:r>
      <w:r>
        <w:t xml:space="preserve">“Email one-time passcode authentication for B2B guest users,”</w:t>
      </w:r>
      <w:r>
        <w:t xml:space="preserve"> </w:t>
      </w:r>
      <w:hyperlink r:id="rId1015">
        <w:r>
          <w:rPr>
            <w:rStyle w:val="Hyperlink"/>
          </w:rPr>
          <w:t xml:space="preserve">https://learn.microsoft.com/entra/external-id/one-time-passcode</w:t>
        </w:r>
      </w:hyperlink>
      <w:r>
        <w:t xml:space="preserve"> </w:t>
      </w:r>
      <w:r>
        <w:t xml:space="preserve">(accessed Oct 20, 2026).</w:t>
      </w:r>
    </w:p>
  </w:footnote>
  <w:footnote w:id="1019">
    <w:p>
      <w:pPr>
        <w:pStyle w:val="FootnoteText"/>
      </w:pPr>
      <w:r>
        <w:rPr>
          <w:rStyle w:val="FootnoteReference"/>
        </w:rPr>
        <w:footnoteRef/>
      </w:r>
      <w:r>
        <w:t xml:space="preserve"> </w:t>
      </w:r>
      <w:r>
        <w:t xml:space="preserve">Microsoft Learn,</w:t>
      </w:r>
      <w:r>
        <w:t xml:space="preserve"> </w:t>
      </w:r>
      <w:r>
        <w:t xml:space="preserve">“What are risk detections?,”</w:t>
      </w:r>
      <w:r>
        <w:t xml:space="preserve"> </w:t>
      </w:r>
      <w:hyperlink r:id="rId954">
        <w:r>
          <w:rPr>
            <w:rStyle w:val="Hyperlink"/>
          </w:rPr>
          <w:t xml:space="preserve">https://learn.microsoft.com/entra/id-protection/concept-identity-protection-risks</w:t>
        </w:r>
      </w:hyperlink>
      <w:r>
        <w:t xml:space="preserve"> </w:t>
      </w:r>
      <w:r>
        <w:t xml:space="preserve">(accessed Oct 20, 2026).</w:t>
      </w:r>
    </w:p>
  </w:footnote>
  <w:footnote w:id="1020">
    <w:p>
      <w:pPr>
        <w:pStyle w:val="FootnoteText"/>
      </w:pPr>
      <w:r>
        <w:rPr>
          <w:rStyle w:val="FootnoteReference"/>
        </w:rPr>
        <w:footnoteRef/>
      </w:r>
      <w:r>
        <w:t xml:space="preserve"> </w:t>
      </w:r>
      <w:r>
        <w:t xml:space="preserve">Microsoft Learn,</w:t>
      </w:r>
      <w:r>
        <w:t xml:space="preserve"> </w:t>
      </w:r>
      <w:r>
        <w:t xml:space="preserve">“Choose the right authentication method for your Microsoft Entra hybrid identity solution,”</w:t>
      </w:r>
      <w:r>
        <w:t xml:space="preserve"> </w:t>
      </w:r>
      <w:hyperlink r:id="rId850">
        <w:r>
          <w:rPr>
            <w:rStyle w:val="Hyperlink"/>
          </w:rPr>
          <w:t xml:space="preserve">https://learn.microsoft.com/entra/identity/hybrid/connect/choose-ad-authn</w:t>
        </w:r>
      </w:hyperlink>
      <w:r>
        <w:t xml:space="preserve"> </w:t>
      </w:r>
      <w:r>
        <w:t xml:space="preserve">(accessed Oct 20, 2026).</w:t>
      </w:r>
    </w:p>
  </w:footnote>
  <w:footnote w:id="1021">
    <w:p>
      <w:pPr>
        <w:pStyle w:val="FootnoteText"/>
      </w:pPr>
      <w:r>
        <w:rPr>
          <w:rStyle w:val="FootnoteReference"/>
        </w:rPr>
        <w:footnoteRef/>
      </w:r>
      <w:r>
        <w:t xml:space="preserve"> </w:t>
      </w:r>
      <w:r>
        <w:t xml:space="preserve">Microsoft Learn,</w:t>
      </w:r>
      <w:r>
        <w:t xml:space="preserve"> </w:t>
      </w:r>
      <w:r>
        <w:t xml:space="preserve">“Choose the right authentication method for your Microsoft Entra hybrid identity solution,”</w:t>
      </w:r>
      <w:r>
        <w:t xml:space="preserve"> </w:t>
      </w:r>
      <w:hyperlink r:id="rId850">
        <w:r>
          <w:rPr>
            <w:rStyle w:val="Hyperlink"/>
          </w:rPr>
          <w:t xml:space="preserve">https://learn.microsoft.com/entra/identity/hybrid/connect/choose-ad-authn</w:t>
        </w:r>
      </w:hyperlink>
      <w:r>
        <w:t xml:space="preserve"> </w:t>
      </w:r>
      <w:r>
        <w:t xml:space="preserve">(accessed Oct 20, 2026).</w:t>
      </w:r>
    </w:p>
  </w:footnote>
  <w:footnote w:id="1023">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1024">
        <w:r>
          <w:rPr>
            <w:rStyle w:val="Hyperlink"/>
          </w:rPr>
          <w:t xml:space="preserve">https://bidenwhitehouse.archives.gov/wp-content/uploads/2022/01/M-22-09.pdf</w:t>
        </w:r>
      </w:hyperlink>
      <w:r>
        <w:t xml:space="preserve"> </w:t>
      </w:r>
      <w:r>
        <w:t xml:space="preserve">(accessed Oct 20, 2026).</w:t>
      </w:r>
    </w:p>
  </w:footnote>
  <w:footnote w:id="1025">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1024">
        <w:r>
          <w:rPr>
            <w:rStyle w:val="Hyperlink"/>
          </w:rPr>
          <w:t xml:space="preserve">https://bidenwhitehouse.archives.gov/wp-content/uploads/2022/01/M-22-09.pdf</w:t>
        </w:r>
      </w:hyperlink>
      <w:r>
        <w:t xml:space="preserve"> </w:t>
      </w:r>
      <w:r>
        <w:t xml:space="preserve">(accessed Oct 20, 2026).</w:t>
      </w:r>
    </w:p>
  </w:footnote>
  <w:footnote w:id="1026">
    <w:p>
      <w:pPr>
        <w:pStyle w:val="FootnoteText"/>
      </w:pPr>
      <w:r>
        <w:rPr>
          <w:rStyle w:val="FootnoteReference"/>
        </w:rPr>
        <w:footnoteRef/>
      </w:r>
      <w:r>
        <w:t xml:space="preserve"> </w:t>
      </w:r>
      <w:r>
        <w:t xml:space="preserve">Microsoft Learn,</w:t>
      </w:r>
      <w:r>
        <w:t xml:space="preserve"> </w:t>
      </w:r>
      <w:r>
        <w:t xml:space="preserve">“Meet multifactor authentication requirements of memorandum 22-09,”</w:t>
      </w:r>
      <w:r>
        <w:t xml:space="preserve"> </w:t>
      </w:r>
      <w:hyperlink r:id="rId172">
        <w:r>
          <w:rPr>
            <w:rStyle w:val="Hyperlink"/>
          </w:rPr>
          <w:t xml:space="preserve">https://learn.microsoft.com/entra/standards/memo-22-09-multi-factor-authentication</w:t>
        </w:r>
      </w:hyperlink>
      <w:r>
        <w:t xml:space="preserve"> </w:t>
      </w:r>
      <w:r>
        <w:t xml:space="preserve">(accessed Oct 20, 2026).</w:t>
      </w:r>
    </w:p>
  </w:footnote>
  <w:footnote w:id="1027">
    <w:p>
      <w:pPr>
        <w:pStyle w:val="FootnoteText"/>
      </w:pPr>
      <w:r>
        <w:rPr>
          <w:rStyle w:val="FootnoteReference"/>
        </w:rPr>
        <w:footnoteRef/>
      </w:r>
      <w:r>
        <w:t xml:space="preserve"> </w:t>
      </w:r>
      <w:r>
        <w:t xml:space="preserve">Microsoft Learn,</w:t>
      </w:r>
      <w:r>
        <w:t xml:space="preserve"> </w:t>
      </w:r>
      <w:r>
        <w:t xml:space="preserve">“Enable passkeys in Authenticator,”</w:t>
      </w:r>
      <w:r>
        <w:t xml:space="preserve"> </w:t>
      </w:r>
      <w:hyperlink r:id="rId1028">
        <w:r>
          <w:rPr>
            <w:rStyle w:val="Hyperlink"/>
          </w:rPr>
          <w:t xml:space="preserve">https://learn.microsoft.com/entra/identity/authentication/how-to-enable-authenticator-passkey</w:t>
        </w:r>
      </w:hyperlink>
      <w:r>
        <w:t xml:space="preserve"> </w:t>
      </w:r>
      <w:r>
        <w:t xml:space="preserve">(accessed Oct 20, 2026).</w:t>
      </w:r>
    </w:p>
  </w:footnote>
  <w:footnote w:id="1029">
    <w:p>
      <w:pPr>
        <w:pStyle w:val="FootnoteText"/>
      </w:pPr>
      <w:r>
        <w:rPr>
          <w:rStyle w:val="FootnoteReference"/>
        </w:rPr>
        <w:footnoteRef/>
      </w:r>
      <w:r>
        <w:t xml:space="preserve"> </w:t>
      </w:r>
      <w:r>
        <w:t xml:space="preserve">Microsoft Learn,</w:t>
      </w:r>
      <w:r>
        <w:t xml:space="preserve"> </w:t>
      </w:r>
      <w:r>
        <w:t xml:space="preserve">“Conditional Access authentication strengths,”</w:t>
      </w:r>
      <w:r>
        <w:t xml:space="preserve"> </w:t>
      </w:r>
      <w:hyperlink r:id="rId943">
        <w:r>
          <w:rPr>
            <w:rStyle w:val="Hyperlink"/>
          </w:rPr>
          <w:t xml:space="preserve">https://learn.microsoft.com/entra/identity/authentication/concept-authentication-strengths</w:t>
        </w:r>
      </w:hyperlink>
      <w:r>
        <w:t xml:space="preserve"> </w:t>
      </w:r>
      <w:r>
        <w:t xml:space="preserve">(accessed Oct 20, 2026).</w:t>
      </w:r>
    </w:p>
  </w:footnote>
  <w:footnote w:id="1030">
    <w:p>
      <w:pPr>
        <w:pStyle w:val="FootnoteText"/>
      </w:pPr>
      <w:r>
        <w:rPr>
          <w:rStyle w:val="FootnoteReference"/>
        </w:rPr>
        <w:footnoteRef/>
      </w:r>
      <w:r>
        <w:t xml:space="preserve"> </w:t>
      </w:r>
      <w:r>
        <w:t xml:space="preserve">Microsoft Learn,</w:t>
      </w:r>
      <w:r>
        <w:t xml:space="preserve"> </w:t>
      </w:r>
      <w:r>
        <w:t xml:space="preserve">“How to enable passkeys (FIDO2) in Microsoft Entra ID,”</w:t>
      </w:r>
      <w:r>
        <w:t xml:space="preserve"> </w:t>
      </w:r>
      <w:hyperlink r:id="rId1031">
        <w:r>
          <w:rPr>
            <w:rStyle w:val="Hyperlink"/>
          </w:rPr>
          <w:t xml:space="preserve">https://learn.microsoft.com/entra/identity/authentication/how-to-authentication-passkeys-fido2</w:t>
        </w:r>
      </w:hyperlink>
      <w:r>
        <w:t xml:space="preserve"> </w:t>
      </w:r>
      <w:r>
        <w:t xml:space="preserve">(accessed Oct 20, 2026).</w:t>
      </w:r>
    </w:p>
  </w:footnote>
  <w:footnote w:id="1033">
    <w:p>
      <w:pPr>
        <w:pStyle w:val="FootnoteText"/>
      </w:pPr>
      <w:r>
        <w:rPr>
          <w:rStyle w:val="FootnoteReference"/>
        </w:rPr>
        <w:footnoteRef/>
      </w:r>
      <w:r>
        <w:t xml:space="preserve"> </w:t>
      </w:r>
      <w:r>
        <w:t xml:space="preserve">Microsoft Learn,</w:t>
      </w:r>
      <w:r>
        <w:t xml:space="preserve"> </w:t>
      </w:r>
      <w:r>
        <w:t xml:space="preserve">“How to enable passkeys (FIDO2) in Microsoft Entra ID,”</w:t>
      </w:r>
      <w:r>
        <w:t xml:space="preserve"> </w:t>
      </w:r>
      <w:hyperlink r:id="rId1031">
        <w:r>
          <w:rPr>
            <w:rStyle w:val="Hyperlink"/>
          </w:rPr>
          <w:t xml:space="preserve">https://learn.microsoft.com/entra/identity/authentication/how-to-authentication-passkeys-fido2</w:t>
        </w:r>
      </w:hyperlink>
      <w:r>
        <w:t xml:space="preserve"> </w:t>
      </w:r>
      <w:r>
        <w:t xml:space="preserve">(accessed Oct 20, 2026).</w:t>
      </w:r>
    </w:p>
  </w:footnote>
  <w:footnote w:id="1034">
    <w:p>
      <w:pPr>
        <w:pStyle w:val="FootnoteText"/>
      </w:pPr>
      <w:r>
        <w:rPr>
          <w:rStyle w:val="FootnoteReference"/>
        </w:rPr>
        <w:footnoteRef/>
      </w:r>
      <w:r>
        <w:t xml:space="preserve"> </w:t>
      </w:r>
      <w:r>
        <w:t xml:space="preserve">Microsoft Learn,</w:t>
      </w:r>
      <w:r>
        <w:t xml:space="preserve"> </w:t>
      </w:r>
      <w:r>
        <w:t xml:space="preserve">“How number matching works in MFA push notifications for Authenticator,”</w:t>
      </w:r>
      <w:r>
        <w:t xml:space="preserve"> </w:t>
      </w:r>
      <w:hyperlink r:id="rId1035">
        <w:r>
          <w:rPr>
            <w:rStyle w:val="Hyperlink"/>
          </w:rPr>
          <w:t xml:space="preserve">https://learn.microsoft.com/entra/identity/authentication/how-to-mfa-number-match</w:t>
        </w:r>
      </w:hyperlink>
      <w:r>
        <w:t xml:space="preserve"> </w:t>
      </w:r>
      <w:r>
        <w:t xml:space="preserve">(accessed Oct 20, 2026).</w:t>
      </w:r>
    </w:p>
  </w:footnote>
  <w:footnote w:id="1036">
    <w:p>
      <w:pPr>
        <w:pStyle w:val="FootnoteText"/>
      </w:pPr>
      <w:r>
        <w:rPr>
          <w:rStyle w:val="FootnoteReference"/>
        </w:rPr>
        <w:footnoteRef/>
      </w:r>
      <w:r>
        <w:t xml:space="preserve"> </w:t>
      </w:r>
      <w:r>
        <w:t xml:space="preserve">Microsoft Learn,</w:t>
      </w:r>
      <w:r>
        <w:t xml:space="preserve"> </w:t>
      </w:r>
      <w:r>
        <w:t xml:space="preserve">“Meet multifactor authentication requirements of memorandum 22-09,”</w:t>
      </w:r>
      <w:r>
        <w:t xml:space="preserve"> </w:t>
      </w:r>
      <w:hyperlink r:id="rId172">
        <w:r>
          <w:rPr>
            <w:rStyle w:val="Hyperlink"/>
          </w:rPr>
          <w:t xml:space="preserve">https://learn.microsoft.com/entra/standards/memo-22-09-multi-factor-authentication</w:t>
        </w:r>
      </w:hyperlink>
      <w:r>
        <w:t xml:space="preserve"> </w:t>
      </w:r>
      <w:r>
        <w:t xml:space="preserve">(accessed Oct 20, 2026).</w:t>
      </w:r>
    </w:p>
  </w:footnote>
  <w:footnote w:id="1037">
    <w:p>
      <w:pPr>
        <w:pStyle w:val="FootnoteText"/>
      </w:pPr>
      <w:r>
        <w:rPr>
          <w:rStyle w:val="FootnoteReference"/>
        </w:rPr>
        <w:footnoteRef/>
      </w:r>
      <w:r>
        <w:t xml:space="preserve"> </w:t>
      </w:r>
      <w:r>
        <w:t xml:space="preserve">Microsoft Learn,</w:t>
      </w:r>
      <w:r>
        <w:t xml:space="preserve"> </w:t>
      </w:r>
      <w:r>
        <w:t xml:space="preserve">“Configure Temporary Access Pass to register passwordless authentication methods,”</w:t>
      </w:r>
      <w:r>
        <w:t xml:space="preserve"> </w:t>
      </w:r>
      <w:hyperlink r:id="rId423">
        <w:r>
          <w:rPr>
            <w:rStyle w:val="Hyperlink"/>
          </w:rPr>
          <w:t xml:space="preserve">https://learn.microsoft.com/entra/identity/authentication/howto-authentication-temporary-access-pass</w:t>
        </w:r>
      </w:hyperlink>
      <w:r>
        <w:t xml:space="preserve"> </w:t>
      </w:r>
      <w:r>
        <w:t xml:space="preserve">(accessed Oct 20, 2026).</w:t>
      </w:r>
    </w:p>
  </w:footnote>
  <w:footnote w:id="1038">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1024">
        <w:r>
          <w:rPr>
            <w:rStyle w:val="Hyperlink"/>
          </w:rPr>
          <w:t xml:space="preserve">https://bidenwhitehouse.archives.gov/wp-content/uploads/2022/01/M-22-09.pdf</w:t>
        </w:r>
      </w:hyperlink>
      <w:r>
        <w:t xml:space="preserve"> </w:t>
      </w:r>
      <w:r>
        <w:t xml:space="preserve">(accessed Oct 20, 2026).</w:t>
      </w:r>
    </w:p>
  </w:footnote>
  <w:footnote w:id="1040">
    <w:p>
      <w:pPr>
        <w:pStyle w:val="FootnoteText"/>
      </w:pPr>
      <w:r>
        <w:rPr>
          <w:rStyle w:val="FootnoteReference"/>
        </w:rPr>
        <w:footnoteRef/>
      </w:r>
      <w:r>
        <w:t xml:space="preserve"> </w:t>
      </w:r>
      <w:r>
        <w:t xml:space="preserve">Microsoft Learn,</w:t>
      </w:r>
      <w:r>
        <w:t xml:space="preserve"> </w:t>
      </w:r>
      <w:r>
        <w:t xml:space="preserve">“Deprecation of Basic authentication in Exchange Online,”</w:t>
      </w:r>
      <w:r>
        <w:t xml:space="preserve"> </w:t>
      </w:r>
      <w:hyperlink r:id="rId1041">
        <w:r>
          <w:rPr>
            <w:rStyle w:val="Hyperlink"/>
          </w:rPr>
          <w:t xml:space="preserve">https://learn.microsoft.com/exchange/clients-and-mobile-in-exchange-online/deprecation-of-basic-authentication-exchange-online</w:t>
        </w:r>
      </w:hyperlink>
      <w:r>
        <w:t xml:space="preserve"> </w:t>
      </w:r>
      <w:r>
        <w:t xml:space="preserve">(accessed Oct 20, 2026).</w:t>
      </w:r>
    </w:p>
  </w:footnote>
  <w:footnote w:id="1042">
    <w:p>
      <w:pPr>
        <w:pStyle w:val="FootnoteText"/>
      </w:pPr>
      <w:r>
        <w:rPr>
          <w:rStyle w:val="FootnoteReference"/>
        </w:rPr>
        <w:footnoteRef/>
      </w:r>
      <w:r>
        <w:t xml:space="preserve"> </w:t>
      </w:r>
      <w:r>
        <w:t xml:space="preserve">Microsoft Learn,</w:t>
      </w:r>
      <w:r>
        <w:t xml:space="preserve"> </w:t>
      </w:r>
      <w:r>
        <w:t xml:space="preserve">“Deprecation of Basic authentication in Exchange Online,”</w:t>
      </w:r>
      <w:r>
        <w:t xml:space="preserve"> </w:t>
      </w:r>
      <w:hyperlink r:id="rId1041">
        <w:r>
          <w:rPr>
            <w:rStyle w:val="Hyperlink"/>
          </w:rPr>
          <w:t xml:space="preserve">https://learn.microsoft.com/exchange/clients-and-mobile-in-exchange-online/deprecation-of-basic-authentication-exchange-online</w:t>
        </w:r>
      </w:hyperlink>
      <w:r>
        <w:t xml:space="preserve"> </w:t>
      </w:r>
      <w:r>
        <w:t xml:space="preserve">(accessed Oct 20, 2026).</w:t>
      </w:r>
    </w:p>
  </w:footnote>
  <w:footnote w:id="1046">
    <w:p>
      <w:pPr>
        <w:pStyle w:val="FootnoteText"/>
      </w:pPr>
      <w:r>
        <w:rPr>
          <w:rStyle w:val="FootnoteReference"/>
        </w:rPr>
        <w:footnoteRef/>
      </w:r>
      <w:r>
        <w:t xml:space="preserve"> </w:t>
      </w:r>
      <w:r>
        <w:t xml:space="preserve">FedRAMP,</w:t>
      </w:r>
      <w:r>
        <w:t xml:space="preserve"> </w:t>
      </w:r>
      <w:r>
        <w:t xml:space="preserve">“Identification and Authentication”</w:t>
      </w:r>
      <w:r>
        <w:t xml:space="preserve"> </w:t>
      </w:r>
      <w:r>
        <w:t xml:space="preserve">(NIST SP 800-53 Rev. 5 controls, catalog release 5.2.0),</w:t>
      </w:r>
      <w:r>
        <w:t xml:space="preserve"> </w:t>
      </w:r>
      <w:hyperlink r:id="rId1047">
        <w:r>
          <w:rPr>
            <w:rStyle w:val="Hyperlink"/>
          </w:rPr>
          <w:t xml:space="preserve">https://fedramp.gov/2026/reference/controls/identification-and-authentication/</w:t>
        </w:r>
      </w:hyperlink>
      <w:r>
        <w:t xml:space="preserve"> </w:t>
      </w:r>
      <w:r>
        <w:t xml:space="preserve">(accessed Oct 20, 2026).</w:t>
      </w:r>
    </w:p>
  </w:footnote>
  <w:footnote w:id="1048">
    <w:p>
      <w:pPr>
        <w:pStyle w:val="FootnoteText"/>
      </w:pPr>
      <w:r>
        <w:rPr>
          <w:rStyle w:val="FootnoteReference"/>
        </w:rPr>
        <w:footnoteRef/>
      </w:r>
      <w:r>
        <w:t xml:space="preserve"> </w:t>
      </w:r>
      <w:r>
        <w:t xml:space="preserve">FedRAMP,</w:t>
      </w:r>
      <w:r>
        <w:t xml:space="preserve"> </w:t>
      </w:r>
      <w:r>
        <w:t xml:space="preserve">“Identification and Authentication”</w:t>
      </w:r>
      <w:r>
        <w:t xml:space="preserve"> </w:t>
      </w:r>
      <w:r>
        <w:t xml:space="preserve">(NIST SP 800-53 Rev. 5 controls, catalog release 5.2.0),</w:t>
      </w:r>
      <w:r>
        <w:t xml:space="preserve"> </w:t>
      </w:r>
      <w:hyperlink r:id="rId1047">
        <w:r>
          <w:rPr>
            <w:rStyle w:val="Hyperlink"/>
          </w:rPr>
          <w:t xml:space="preserve">https://fedramp.gov/2026/reference/controls/identification-and-authentication/</w:t>
        </w:r>
      </w:hyperlink>
      <w:r>
        <w:t xml:space="preserve"> </w:t>
      </w:r>
      <w:r>
        <w:t xml:space="preserve">(accessed Oct 20, 2026).</w:t>
      </w:r>
    </w:p>
  </w:footnote>
  <w:footnote w:id="1049">
    <w:p>
      <w:pPr>
        <w:pStyle w:val="FootnoteText"/>
      </w:pPr>
      <w:r>
        <w:rPr>
          <w:rStyle w:val="FootnoteReference"/>
        </w:rPr>
        <w:footnoteRef/>
      </w:r>
      <w:r>
        <w:t xml:space="preserve"> </w:t>
      </w:r>
      <w:r>
        <w:t xml:space="preserve">FedRAMP,</w:t>
      </w:r>
      <w:r>
        <w:t xml:space="preserve"> </w:t>
      </w:r>
      <w:r>
        <w:t xml:space="preserve">“Identification and Authentication”</w:t>
      </w:r>
      <w:r>
        <w:t xml:space="preserve"> </w:t>
      </w:r>
      <w:r>
        <w:t xml:space="preserve">(NIST SP 800-53 Rev. 5 controls, catalog release 5.2.0),</w:t>
      </w:r>
      <w:r>
        <w:t xml:space="preserve"> </w:t>
      </w:r>
      <w:hyperlink r:id="rId1047">
        <w:r>
          <w:rPr>
            <w:rStyle w:val="Hyperlink"/>
          </w:rPr>
          <w:t xml:space="preserve">https://fedramp.gov/2026/reference/controls/identification-and-authentication/</w:t>
        </w:r>
      </w:hyperlink>
      <w:r>
        <w:t xml:space="preserve"> </w:t>
      </w:r>
      <w:r>
        <w:t xml:space="preserve">(accessed Oct 20, 2026).</w:t>
      </w:r>
    </w:p>
  </w:footnote>
  <w:footnote w:id="1050">
    <w:p>
      <w:pPr>
        <w:pStyle w:val="FootnoteText"/>
      </w:pPr>
      <w:r>
        <w:rPr>
          <w:rStyle w:val="FootnoteReference"/>
        </w:rPr>
        <w:footnoteRef/>
      </w:r>
      <w:r>
        <w:t xml:space="preserve"> </w:t>
      </w:r>
      <w:r>
        <w:t xml:space="preserve">Microsoft Learn,</w:t>
      </w:r>
      <w:r>
        <w:t xml:space="preserve"> </w:t>
      </w:r>
      <w:r>
        <w:t xml:space="preserve">“Microsoft Entra certificate-based authentication on iOS and macOS,”</w:t>
      </w:r>
      <w:r>
        <w:t xml:space="preserve"> </w:t>
      </w:r>
      <w:hyperlink r:id="rId1051">
        <w:r>
          <w:rPr>
            <w:rStyle w:val="Hyperlink"/>
          </w:rPr>
          <w:t xml:space="preserve">https://learn.microsoft.com/entra/identity/authentication/concept-certificate-based-authentication-mobile-ios</w:t>
        </w:r>
      </w:hyperlink>
      <w:r>
        <w:t xml:space="preserve"> </w:t>
      </w:r>
      <w:r>
        <w:t xml:space="preserve">(accessed Oct 20, 2026).</w:t>
      </w:r>
    </w:p>
  </w:footnote>
  <w:footnote w:id="1052">
    <w:p>
      <w:pPr>
        <w:pStyle w:val="FootnoteText"/>
      </w:pPr>
      <w:r>
        <w:rPr>
          <w:rStyle w:val="FootnoteReference"/>
        </w:rPr>
        <w:footnoteRef/>
      </w:r>
      <w:r>
        <w:t xml:space="preserve"> </w:t>
      </w:r>
      <w:r>
        <w:t xml:space="preserve">FedRAMP,</w:t>
      </w:r>
      <w:r>
        <w:t xml:space="preserve"> </w:t>
      </w:r>
      <w:r>
        <w:t xml:space="preserve">“Identity and Access Management”</w:t>
      </w:r>
      <w:r>
        <w:t xml:space="preserve"> </w:t>
      </w:r>
      <w:r>
        <w:t xml:space="preserve">(FedRAMP 20x Key Security Indicators, Consolidated Rules for 2026),</w:t>
      </w:r>
      <w:r>
        <w:t xml:space="preserve"> </w:t>
      </w:r>
      <w:hyperlink r:id="rId1053">
        <w:r>
          <w:rPr>
            <w:rStyle w:val="Hyperlink"/>
          </w:rPr>
          <w:t xml:space="preserve">https://fedramp.gov/2026/providers/20x/key-security-indicators/identity-and-access-management/</w:t>
        </w:r>
      </w:hyperlink>
      <w:r>
        <w:t xml:space="preserve"> </w:t>
      </w:r>
      <w:r>
        <w:t xml:space="preserve">(accessed Oct 20, 2026).</w:t>
      </w:r>
    </w:p>
  </w:footnote>
  <w:footnote w:id="1055">
    <w:p>
      <w:pPr>
        <w:pStyle w:val="FootnoteText"/>
      </w:pPr>
      <w:r>
        <w:rPr>
          <w:rStyle w:val="FootnoteReference"/>
        </w:rPr>
        <w:footnoteRef/>
      </w:r>
      <w:r>
        <w:t xml:space="preserve"> </w:t>
      </w:r>
      <w:r>
        <w:t xml:space="preserve">FedRAMP,</w:t>
      </w:r>
      <w:r>
        <w:t xml:space="preserve"> </w:t>
      </w:r>
      <w:r>
        <w:t xml:space="preserve">“Access Control”</w:t>
      </w:r>
      <w:r>
        <w:t xml:space="preserve"> </w:t>
      </w:r>
      <w:r>
        <w:t xml:space="preserve">(NIST SP 800-53 Rev. 5 controls, catalog release 5.2.0),</w:t>
      </w:r>
      <w:r>
        <w:t xml:space="preserve"> </w:t>
      </w:r>
      <w:hyperlink r:id="rId1056">
        <w:r>
          <w:rPr>
            <w:rStyle w:val="Hyperlink"/>
          </w:rPr>
          <w:t xml:space="preserve">https://fedramp.gov/2026/reference/controls/access-control/</w:t>
        </w:r>
      </w:hyperlink>
      <w:r>
        <w:t xml:space="preserve"> </w:t>
      </w:r>
      <w:r>
        <w:t xml:space="preserve">(accessed Oct 20, 2026).</w:t>
      </w:r>
    </w:p>
  </w:footnote>
  <w:footnote w:id="1058">
    <w:p>
      <w:pPr>
        <w:pStyle w:val="FootnoteText"/>
      </w:pPr>
      <w:r>
        <w:rPr>
          <w:rStyle w:val="FootnoteReference"/>
        </w:rPr>
        <w:footnoteRef/>
      </w:r>
      <w:r>
        <w:t xml:space="preserve"> </w:t>
      </w:r>
      <w:r>
        <w:t xml:space="preserve">Microsoft Learn,</w:t>
      </w:r>
      <w:r>
        <w:t xml:space="preserve"> </w:t>
      </w:r>
      <w:r>
        <w:t xml:space="preserve">“Phase 2: Configure and secure privileged workstations,”</w:t>
      </w:r>
      <w:r>
        <w:t xml:space="preserve"> </w:t>
      </w:r>
      <w:hyperlink r:id="rId1059">
        <w:r>
          <w:rPr>
            <w:rStyle w:val="Hyperlink"/>
          </w:rPr>
          <w:t xml:space="preserve">https://learn.microsoft.com/security/zero-trust/adopt/implement-privileged-access-devices</w:t>
        </w:r>
      </w:hyperlink>
      <w:r>
        <w:t xml:space="preserve"> </w:t>
      </w:r>
      <w:r>
        <w:t xml:space="preserve">(accessed Oct 20, 2026).</w:t>
      </w:r>
    </w:p>
  </w:footnote>
  <w:footnote w:id="1062">
    <w:p>
      <w:pPr>
        <w:pStyle w:val="FootnoteText"/>
      </w:pPr>
      <w:r>
        <w:rPr>
          <w:rStyle w:val="FootnoteReference"/>
        </w:rPr>
        <w:footnoteRef/>
      </w:r>
      <w:r>
        <w:t xml:space="preserve"> </w:t>
      </w:r>
      <w:r>
        <w:t xml:space="preserve">Microsoft Learn,</w:t>
      </w:r>
      <w:r>
        <w:t xml:space="preserve"> </w:t>
      </w:r>
      <w:r>
        <w:t xml:space="preserve">“Microsoft Entra data retention,”</w:t>
      </w:r>
      <w:r>
        <w:t xml:space="preserve"> </w:t>
      </w:r>
      <w:hyperlink r:id="rId1063">
        <w:r>
          <w:rPr>
            <w:rStyle w:val="Hyperlink"/>
          </w:rPr>
          <w:t xml:space="preserve">https://learn.microsoft.com/entra/identity/monitoring-health/reference-reports-data-retention</w:t>
        </w:r>
      </w:hyperlink>
      <w:r>
        <w:t xml:space="preserve"> </w:t>
      </w:r>
      <w:r>
        <w:t xml:space="preserve">(accessed Oct 20, 2026).</w:t>
      </w:r>
    </w:p>
  </w:footnote>
  <w:footnote w:id="1064">
    <w:p>
      <w:pPr>
        <w:pStyle w:val="FootnoteText"/>
      </w:pPr>
      <w:r>
        <w:rPr>
          <w:rStyle w:val="FootnoteReference"/>
        </w:rPr>
        <w:footnoteRef/>
      </w:r>
      <w:r>
        <w:t xml:space="preserve"> </w:t>
      </w:r>
      <w:r>
        <w:t xml:space="preserve">Microsoft Learn,</w:t>
      </w:r>
      <w:r>
        <w:t xml:space="preserve"> </w:t>
      </w:r>
      <w:r>
        <w:t xml:space="preserve">“Microsoft Entra data retention,”</w:t>
      </w:r>
      <w:r>
        <w:t xml:space="preserve"> </w:t>
      </w:r>
      <w:hyperlink r:id="rId1063">
        <w:r>
          <w:rPr>
            <w:rStyle w:val="Hyperlink"/>
          </w:rPr>
          <w:t xml:space="preserve">https://learn.microsoft.com/entra/identity/monitoring-health/reference-reports-data-retention</w:t>
        </w:r>
      </w:hyperlink>
      <w:r>
        <w:t xml:space="preserve"> </w:t>
      </w:r>
      <w:r>
        <w:t xml:space="preserve">(accessed Oct 20, 2026).</w:t>
      </w:r>
    </w:p>
  </w:footnote>
  <w:footnote w:id="1066">
    <w:p>
      <w:pPr>
        <w:pStyle w:val="FootnoteText"/>
      </w:pPr>
      <w:r>
        <w:rPr>
          <w:rStyle w:val="FootnoteReference"/>
        </w:rPr>
        <w:footnoteRef/>
      </w:r>
      <w:r>
        <w:t xml:space="preserve"> </w:t>
      </w:r>
      <w:r>
        <w:t xml:space="preserve">Microsoft Learn,</w:t>
      </w:r>
      <w:r>
        <w:t xml:space="preserve"> </w:t>
      </w:r>
      <w:r>
        <w:t xml:space="preserve">“Integrate Microsoft Entra logs with Azure Monitor logs,”</w:t>
      </w:r>
      <w:r>
        <w:t xml:space="preserve"> </w:t>
      </w:r>
      <w:hyperlink r:id="rId1067">
        <w:r>
          <w:rPr>
            <w:rStyle w:val="Hyperlink"/>
          </w:rPr>
          <w:t xml:space="preserve">https://learn.microsoft.com/entra/identity/monitoring-health/howto-integrate-activity-logs-with-azure-monitor-logs</w:t>
        </w:r>
      </w:hyperlink>
      <w:r>
        <w:t xml:space="preserve"> </w:t>
      </w:r>
      <w:r>
        <w:t xml:space="preserve">(accessed Oct 20, 2026).</w:t>
      </w:r>
    </w:p>
  </w:footnote>
  <w:footnote w:id="1068">
    <w:p>
      <w:pPr>
        <w:pStyle w:val="FootnoteText"/>
      </w:pPr>
      <w:r>
        <w:rPr>
          <w:rStyle w:val="FootnoteReference"/>
        </w:rPr>
        <w:footnoteRef/>
      </w:r>
      <w:r>
        <w:t xml:space="preserve"> </w:t>
      </w:r>
      <w:r>
        <w:t xml:space="preserve">Microsoft Learn,</w:t>
      </w:r>
      <w:r>
        <w:t xml:space="preserve"> </w:t>
      </w:r>
      <w:r>
        <w:t xml:space="preserve">“Integrate Microsoft Entra logs with Azure Monitor logs,”</w:t>
      </w:r>
      <w:r>
        <w:t xml:space="preserve"> </w:t>
      </w:r>
      <w:hyperlink r:id="rId1067">
        <w:r>
          <w:rPr>
            <w:rStyle w:val="Hyperlink"/>
          </w:rPr>
          <w:t xml:space="preserve">https://learn.microsoft.com/entra/identity/monitoring-health/howto-integrate-activity-logs-with-azure-monitor-logs</w:t>
        </w:r>
      </w:hyperlink>
      <w:r>
        <w:t xml:space="preserve"> </w:t>
      </w:r>
      <w:r>
        <w:t xml:space="preserve">(accessed Oct 20, 2026).</w:t>
      </w:r>
    </w:p>
  </w:footnote>
  <w:footnote w:id="1070">
    <w:p>
      <w:pPr>
        <w:pStyle w:val="FootnoteText"/>
      </w:pPr>
      <w:r>
        <w:rPr>
          <w:rStyle w:val="FootnoteReference"/>
        </w:rPr>
        <w:footnoteRef/>
      </w:r>
      <w:r>
        <w:t xml:space="preserve"> </w:t>
      </w:r>
      <w:r>
        <w:t xml:space="preserve">Microsoft Learn,</w:t>
      </w:r>
      <w:r>
        <w:t xml:space="preserve"> </w:t>
      </w:r>
      <w:r>
        <w:t xml:space="preserve">“user resource type,”</w:t>
      </w:r>
      <w:r>
        <w:t xml:space="preserve"> </w:t>
      </w:r>
      <w:hyperlink r:id="rId1071">
        <w:r>
          <w:rPr>
            <w:rStyle w:val="Hyperlink"/>
          </w:rPr>
          <w:t xml:space="preserve">https://learn.microsoft.com/graph/api/resources/user?view=graph-rest-1.0</w:t>
        </w:r>
      </w:hyperlink>
      <w:r>
        <w:t xml:space="preserve"> </w:t>
      </w:r>
      <w:r>
        <w:t xml:space="preserve">(accessed Oct 20, 2026).</w:t>
      </w:r>
    </w:p>
  </w:footnote>
  <w:footnote w:id="1072">
    <w:p>
      <w:pPr>
        <w:pStyle w:val="FootnoteText"/>
      </w:pPr>
      <w:r>
        <w:rPr>
          <w:rStyle w:val="FootnoteReference"/>
        </w:rPr>
        <w:footnoteRef/>
      </w:r>
      <w:r>
        <w:t xml:space="preserve"> </w:t>
      </w:r>
      <w:r>
        <w:t xml:space="preserve">Microsoft Learn,</w:t>
      </w:r>
      <w:r>
        <w:t xml:space="preserve"> </w:t>
      </w:r>
      <w:r>
        <w:t xml:space="preserve">“Microsoft Entra audit log categories and activities,”</w:t>
      </w:r>
      <w:r>
        <w:t xml:space="preserve"> </w:t>
      </w:r>
      <w:hyperlink r:id="rId1073">
        <w:r>
          <w:rPr>
            <w:rStyle w:val="Hyperlink"/>
          </w:rPr>
          <w:t xml:space="preserve">https://learn.microsoft.com/entra/identity/monitoring-health/reference-audit-activities</w:t>
        </w:r>
      </w:hyperlink>
      <w:r>
        <w:t xml:space="preserve"> </w:t>
      </w:r>
      <w:r>
        <w:t xml:space="preserve">(accessed Oct 20, 2026).</w:t>
      </w:r>
    </w:p>
  </w:footnote>
  <w:footnote w:id="1074">
    <w:p>
      <w:pPr>
        <w:pStyle w:val="FootnoteText"/>
      </w:pPr>
      <w:r>
        <w:rPr>
          <w:rStyle w:val="FootnoteReference"/>
        </w:rPr>
        <w:footnoteRef/>
      </w:r>
      <w:r>
        <w:t xml:space="preserve"> </w:t>
      </w:r>
      <w:r>
        <w:t xml:space="preserve">Microsoft Learn,</w:t>
      </w:r>
      <w:r>
        <w:t xml:space="preserve"> </w:t>
      </w:r>
      <w:r>
        <w:t xml:space="preserve">“Security operations for privileged accounts in Microsoft Entra ID,”</w:t>
      </w:r>
      <w:r>
        <w:t xml:space="preserve"> </w:t>
      </w:r>
      <w:hyperlink r:id="rId1075">
        <w:r>
          <w:rPr>
            <w:rStyle w:val="Hyperlink"/>
          </w:rPr>
          <w:t xml:space="preserve">https://learn.microsoft.com/entra/architecture/security-operations-privileged-accounts</w:t>
        </w:r>
      </w:hyperlink>
      <w:r>
        <w:t xml:space="preserve"> </w:t>
      </w:r>
      <w:r>
        <w:t xml:space="preserve">(accessed Oct 20, 2026).</w:t>
      </w:r>
    </w:p>
  </w:footnote>
  <w:footnote w:id="1077">
    <w:p>
      <w:pPr>
        <w:pStyle w:val="FootnoteText"/>
      </w:pPr>
      <w:r>
        <w:rPr>
          <w:rStyle w:val="FootnoteReference"/>
        </w:rPr>
        <w:footnoteRef/>
      </w:r>
      <w:r>
        <w:t xml:space="preserve"> </w:t>
      </w:r>
      <w:r>
        <w:t xml:space="preserve">Microsoft Learn,</w:t>
      </w:r>
      <w:r>
        <w:t xml:space="preserve"> </w:t>
      </w:r>
      <w:r>
        <w:t xml:space="preserve">“What are Microsoft Entra workbooks?,”</w:t>
      </w:r>
      <w:r>
        <w:t xml:space="preserve"> </w:t>
      </w:r>
      <w:hyperlink r:id="rId1078">
        <w:r>
          <w:rPr>
            <w:rStyle w:val="Hyperlink"/>
          </w:rPr>
          <w:t xml:space="preserve">https://learn.microsoft.com/entra/identity/monitoring-health/overview-workbooks</w:t>
        </w:r>
      </w:hyperlink>
      <w:r>
        <w:t xml:space="preserve"> </w:t>
      </w:r>
      <w:r>
        <w:t xml:space="preserve">(accessed Oct 20, 2026).</w:t>
      </w:r>
    </w:p>
  </w:footnote>
  <w:footnote w:id="1080">
    <w:p>
      <w:pPr>
        <w:pStyle w:val="FootnoteText"/>
      </w:pPr>
      <w:r>
        <w:rPr>
          <w:rStyle w:val="FootnoteReference"/>
        </w:rPr>
        <w:footnoteRef/>
      </w:r>
      <w:r>
        <w:t xml:space="preserve"> </w:t>
      </w:r>
      <w:r>
        <w:t xml:space="preserve">Microsoft Learn,</w:t>
      </w:r>
      <w:r>
        <w:t xml:space="preserve"> </w:t>
      </w:r>
      <w:r>
        <w:t xml:space="preserve">“Compliance Manager regulations list,”</w:t>
      </w:r>
      <w:r>
        <w:t xml:space="preserve"> </w:t>
      </w:r>
      <w:hyperlink r:id="rId1081">
        <w:r>
          <w:rPr>
            <w:rStyle w:val="Hyperlink"/>
          </w:rPr>
          <w:t xml:space="preserve">https://learn.microsoft.com/purview/compliance-manager-regulations-list</w:t>
        </w:r>
      </w:hyperlink>
      <w:r>
        <w:t xml:space="preserve"> </w:t>
      </w:r>
      <w:r>
        <w:t xml:space="preserve">(accessed Oct 20, 2026).</w:t>
      </w:r>
    </w:p>
  </w:footnote>
  <w:footnote w:id="1082">
    <w:p>
      <w:pPr>
        <w:pStyle w:val="FootnoteText"/>
      </w:pPr>
      <w:r>
        <w:rPr>
          <w:rStyle w:val="FootnoteReference"/>
        </w:rPr>
        <w:footnoteRef/>
      </w:r>
      <w:r>
        <w:t xml:space="preserve"> </w:t>
      </w:r>
      <w:r>
        <w:t xml:space="preserve">FedRAMP,</w:t>
      </w:r>
      <w:r>
        <w:t xml:space="preserve"> </w:t>
      </w:r>
      <w:r>
        <w:t xml:space="preserve">“Identity and Access Management”</w:t>
      </w:r>
      <w:r>
        <w:t xml:space="preserve"> </w:t>
      </w:r>
      <w:r>
        <w:t xml:space="preserve">(FedRAMP 20x Key Security Indicators, Consolidated Rules for 2026),</w:t>
      </w:r>
      <w:r>
        <w:t xml:space="preserve"> </w:t>
      </w:r>
      <w:hyperlink r:id="rId1053">
        <w:r>
          <w:rPr>
            <w:rStyle w:val="Hyperlink"/>
          </w:rPr>
          <w:t xml:space="preserve">https://fedramp.gov/2026/providers/20x/key-security-indicators/identity-and-access-management/</w:t>
        </w:r>
      </w:hyperlink>
      <w:r>
        <w:t xml:space="preserve"> </w:t>
      </w:r>
      <w:r>
        <w:t xml:space="preserve">(accessed Oct 20, 2026).</w:t>
      </w:r>
    </w:p>
  </w:footnote>
  <w:footnote w:id="1083">
    <w:p>
      <w:pPr>
        <w:pStyle w:val="FootnoteText"/>
      </w:pPr>
      <w:r>
        <w:rPr>
          <w:rStyle w:val="FootnoteReference"/>
        </w:rPr>
        <w:footnoteRef/>
      </w:r>
      <w:r>
        <w:t xml:space="preserve"> </w:t>
      </w:r>
      <w:r>
        <w:t xml:space="preserve">FedRAMP,</w:t>
      </w:r>
      <w:r>
        <w:t xml:space="preserve"> </w:t>
      </w:r>
      <w:r>
        <w:t xml:space="preserve">“Identity and Access Management”</w:t>
      </w:r>
      <w:r>
        <w:t xml:space="preserve"> </w:t>
      </w:r>
      <w:r>
        <w:t xml:space="preserve">(FedRAMP 20x Key Security Indicators, Consolidated Rules for 2026),</w:t>
      </w:r>
      <w:r>
        <w:t xml:space="preserve"> </w:t>
      </w:r>
      <w:hyperlink r:id="rId1053">
        <w:r>
          <w:rPr>
            <w:rStyle w:val="Hyperlink"/>
          </w:rPr>
          <w:t xml:space="preserve">https://fedramp.gov/2026/providers/20x/key-security-indicators/identity-and-access-management/</w:t>
        </w:r>
      </w:hyperlink>
      <w:r>
        <w:t xml:space="preserve"> </w:t>
      </w:r>
      <w:r>
        <w:t xml:space="preserve">(accessed Oct 20, 2026).</w:t>
      </w:r>
    </w:p>
  </w:footnote>
  <w:footnote w:id="1084">
    <w:p>
      <w:pPr>
        <w:pStyle w:val="FootnoteText"/>
      </w:pPr>
      <w:r>
        <w:rPr>
          <w:rStyle w:val="FootnoteReference"/>
        </w:rPr>
        <w:footnoteRef/>
      </w:r>
      <w:r>
        <w:t xml:space="preserve"> </w:t>
      </w:r>
      <w:r>
        <w:t xml:space="preserve">FedRAMP,</w:t>
      </w:r>
      <w:r>
        <w:t xml:space="preserve"> </w:t>
      </w:r>
      <w:r>
        <w:t xml:space="preserve">“Monitoring, Logging, and Auditing”</w:t>
      </w:r>
      <w:r>
        <w:t xml:space="preserve"> </w:t>
      </w:r>
      <w:r>
        <w:t xml:space="preserve">(FedRAMP 20x Key Security Indicators),</w:t>
      </w:r>
      <w:r>
        <w:t xml:space="preserve"> </w:t>
      </w:r>
      <w:hyperlink r:id="rId1085">
        <w:r>
          <w:rPr>
            <w:rStyle w:val="Hyperlink"/>
          </w:rPr>
          <w:t xml:space="preserve">https://fedramp.gov/2026/providers/20x/key-security-indicators/monitoring-logging-and-auditing/</w:t>
        </w:r>
      </w:hyperlink>
      <w:r>
        <w:t xml:space="preserve"> </w:t>
      </w:r>
      <w:r>
        <w:t xml:space="preserve">(accessed Oct 20, 2026).</w:t>
      </w:r>
    </w:p>
  </w:footnote>
  <w:footnote w:id="1094">
    <w:p>
      <w:pPr>
        <w:pStyle w:val="FootnoteText"/>
      </w:pPr>
      <w:r>
        <w:rPr>
          <w:rStyle w:val="FootnoteReference"/>
        </w:rPr>
        <w:footnoteRef/>
      </w:r>
      <w:r>
        <w:t xml:space="preserve"> </w:t>
      </w:r>
      <w:r>
        <w:t xml:space="preserve">Microsoft Learn,</w:t>
      </w:r>
      <w:r>
        <w:t xml:space="preserve"> </w:t>
      </w:r>
      <w:r>
        <w:t xml:space="preserve">“Choose the right authentication method for your Microsoft Entra hybrid identity solution,”</w:t>
      </w:r>
      <w:r>
        <w:t xml:space="preserve"> </w:t>
      </w:r>
      <w:hyperlink r:id="rId850">
        <w:r>
          <w:rPr>
            <w:rStyle w:val="Hyperlink"/>
          </w:rPr>
          <w:t xml:space="preserve">https://learn.microsoft.com/entra/identity/hybrid/connect/choose-ad-authn</w:t>
        </w:r>
      </w:hyperlink>
      <w:r>
        <w:t xml:space="preserve"> </w:t>
      </w:r>
      <w:r>
        <w:t xml:space="preserve">(accessed Oct 20, 2026).</w:t>
      </w:r>
    </w:p>
  </w:footnote>
  <w:footnote w:id="1102">
    <w:p>
      <w:pPr>
        <w:pStyle w:val="FootnoteText"/>
      </w:pPr>
      <w:r>
        <w:rPr>
          <w:rStyle w:val="FootnoteReference"/>
        </w:rPr>
        <w:footnoteRef/>
      </w:r>
      <w:r>
        <w:t xml:space="preserve"> </w:t>
      </w:r>
      <w:r>
        <w:t xml:space="preserve">Microsoft Learn,</w:t>
      </w:r>
      <w:r>
        <w:t xml:space="preserve"> </w:t>
      </w:r>
      <w:r>
        <w:t xml:space="preserve">“Migrate to cloud authentication using Staged Rollout,”</w:t>
      </w:r>
      <w:r>
        <w:t xml:space="preserve"> </w:t>
      </w:r>
      <w:hyperlink r:id="rId1103">
        <w:r>
          <w:rPr>
            <w:rStyle w:val="Hyperlink"/>
          </w:rPr>
          <w:t xml:space="preserve">https://learn.microsoft.com/entra/identity/hybrid/connect/how-to-connect-staged-rollout</w:t>
        </w:r>
      </w:hyperlink>
      <w:r>
        <w:t xml:space="preserve"> </w:t>
      </w:r>
      <w:r>
        <w:t xml:space="preserve">(accessed Oct 20, 2026).</w:t>
      </w:r>
    </w:p>
  </w:footnote>
  <w:footnote w:id="1104">
    <w:p>
      <w:pPr>
        <w:pStyle w:val="FootnoteText"/>
      </w:pPr>
      <w:r>
        <w:rPr>
          <w:rStyle w:val="FootnoteReference"/>
        </w:rPr>
        <w:footnoteRef/>
      </w:r>
      <w:r>
        <w:t xml:space="preserve"> </w:t>
      </w:r>
      <w:r>
        <w:t xml:space="preserve">Microsoft Learn,</w:t>
      </w:r>
      <w:r>
        <w:t xml:space="preserve"> </w:t>
      </w:r>
      <w:r>
        <w:t xml:space="preserve">“Migrate from federation to cloud authentication,”</w:t>
      </w:r>
      <w:r>
        <w:t xml:space="preserve"> </w:t>
      </w:r>
      <w:hyperlink r:id="rId1105">
        <w:r>
          <w:rPr>
            <w:rStyle w:val="Hyperlink"/>
          </w:rPr>
          <w:t xml:space="preserve">https://learn.microsoft.com/entra/identity/hybrid/connect/migrate-from-federation-to-cloud-authentication</w:t>
        </w:r>
      </w:hyperlink>
      <w:r>
        <w:t xml:space="preserve"> </w:t>
      </w:r>
      <w:r>
        <w:t xml:space="preserve">(accessed Oct 20, 2026).</w:t>
      </w:r>
    </w:p>
  </w:footnote>
  <w:footnote w:id="1106">
    <w:p>
      <w:pPr>
        <w:pStyle w:val="FootnoteText"/>
      </w:pPr>
      <w:r>
        <w:rPr>
          <w:rStyle w:val="FootnoteReference"/>
        </w:rPr>
        <w:footnoteRef/>
      </w:r>
      <w:r>
        <w:t xml:space="preserve"> </w:t>
      </w:r>
      <w:r>
        <w:t xml:space="preserve">Microsoft Learn,</w:t>
      </w:r>
      <w:r>
        <w:t xml:space="preserve"> </w:t>
      </w:r>
      <w:r>
        <w:t xml:space="preserve">“Migrate from federation to cloud authentication,”</w:t>
      </w:r>
      <w:r>
        <w:t xml:space="preserve"> </w:t>
      </w:r>
      <w:hyperlink r:id="rId1105">
        <w:r>
          <w:rPr>
            <w:rStyle w:val="Hyperlink"/>
          </w:rPr>
          <w:t xml:space="preserve">https://learn.microsoft.com/entra/identity/hybrid/connect/migrate-from-federation-to-cloud-authentication</w:t>
        </w:r>
      </w:hyperlink>
      <w:r>
        <w:t xml:space="preserve"> </w:t>
      </w:r>
      <w:r>
        <w:t xml:space="preserve">(accessed Oct 20, 2026).</w:t>
      </w:r>
    </w:p>
  </w:footnote>
  <w:footnote w:id="1112">
    <w:p>
      <w:pPr>
        <w:pStyle w:val="FootnoteText"/>
      </w:pPr>
      <w:r>
        <w:rPr>
          <w:rStyle w:val="FootnoteReference"/>
        </w:rPr>
        <w:footnoteRef/>
      </w:r>
      <w:r>
        <w:t xml:space="preserve"> </w:t>
      </w:r>
      <w:r>
        <w:t xml:space="preserve">Gitea,</w:t>
      </w:r>
      <w:r>
        <w:t xml:space="preserve"> </w:t>
      </w:r>
      <w:r>
        <w:t xml:space="preserve">“API Usage,”</w:t>
      </w:r>
      <w:r>
        <w:t xml:space="preserve"> </w:t>
      </w:r>
      <w:hyperlink r:id="rId753">
        <w:r>
          <w:rPr>
            <w:rStyle w:val="Hyperlink"/>
          </w:rPr>
          <w:t xml:space="preserve">https://docs.gitea.com/development/api-usage</w:t>
        </w:r>
      </w:hyperlink>
      <w:r>
        <w:t xml:space="preserve"> </w:t>
      </w:r>
      <w:r>
        <w:t xml:space="preserve">(accessed Oct 20, 2026).</w:t>
      </w:r>
    </w:p>
  </w:footnote>
  <w:footnote w:id="1113">
    <w:p>
      <w:pPr>
        <w:pStyle w:val="FootnoteText"/>
      </w:pPr>
      <w:r>
        <w:rPr>
          <w:rStyle w:val="FootnoteReference"/>
        </w:rPr>
        <w:footnoteRef/>
      </w:r>
      <w:r>
        <w:t xml:space="preserve"> </w:t>
      </w:r>
      <w:r>
        <w:t xml:space="preserve">Gitea, API specification (</w:t>
      </w:r>
      <w:r>
        <w:rPr>
          <w:rStyle w:val="VerbatimChar"/>
        </w:rPr>
        <w:t xml:space="preserve">CreateIssueOption</w:t>
      </w:r>
      <w:r>
        <w:t xml:space="preserve">),</w:t>
      </w:r>
      <w:r>
        <w:t xml:space="preserve"> </w:t>
      </w:r>
      <w:hyperlink r:id="rId755">
        <w:r>
          <w:rPr>
            <w:rStyle w:val="Hyperlink"/>
          </w:rPr>
          <w:t xml:space="preserve">https://gitea.com/swagger.v1.json</w:t>
        </w:r>
      </w:hyperlink>
      <w:r>
        <w:t xml:space="preserve"> </w:t>
      </w:r>
      <w:r>
        <w:t xml:space="preserve">(accessed Oct 20, 2026).</w:t>
      </w:r>
    </w:p>
  </w:footnote>
  <w:footnote w:id="1116">
    <w:p>
      <w:pPr>
        <w:pStyle w:val="FootnoteText"/>
      </w:pPr>
      <w:r>
        <w:rPr>
          <w:rStyle w:val="FootnoteReference"/>
        </w:rPr>
        <w:footnoteRef/>
      </w:r>
      <w:r>
        <w:t xml:space="preserve"> </w:t>
      </w:r>
      <w:r>
        <w:t xml:space="preserve">Microsoft Learn,</w:t>
      </w:r>
      <w:r>
        <w:t xml:space="preserve"> </w:t>
      </w:r>
      <w:r>
        <w:t xml:space="preserve">“Understanding errors during Microsoft Entra synchronization,”</w:t>
      </w:r>
      <w:r>
        <w:t xml:space="preserve"> </w:t>
      </w:r>
      <w:hyperlink r:id="rId1117">
        <w:r>
          <w:rPr>
            <w:rStyle w:val="Hyperlink"/>
          </w:rPr>
          <w:t xml:space="preserve">https://learn.microsoft.com/entra/identity/hybrid/connect/tshoot-connect-sync-errors</w:t>
        </w:r>
      </w:hyperlink>
      <w:r>
        <w:t xml:space="preserve"> </w:t>
      </w:r>
      <w:r>
        <w:t xml:space="preserve">(accessed Oct 20, 2026).</w:t>
      </w:r>
    </w:p>
  </w:footnote>
  <w:footnote w:id="1118">
    <w:p>
      <w:pPr>
        <w:pStyle w:val="FootnoteText"/>
      </w:pPr>
      <w:r>
        <w:rPr>
          <w:rStyle w:val="FootnoteReference"/>
        </w:rPr>
        <w:footnoteRef/>
      </w:r>
      <w:r>
        <w:t xml:space="preserve"> </w:t>
      </w:r>
      <w:r>
        <w:t xml:space="preserve">Microsoft Learn,</w:t>
      </w:r>
      <w:r>
        <w:t xml:space="preserve"> </w:t>
      </w:r>
      <w:r>
        <w:t xml:space="preserve">“Configure Microsoft Entra Connect for an existing tenant,”</w:t>
      </w:r>
      <w:r>
        <w:t xml:space="preserve"> </w:t>
      </w:r>
      <w:hyperlink r:id="rId792">
        <w:r>
          <w:rPr>
            <w:rStyle w:val="Hyperlink"/>
          </w:rPr>
          <w:t xml:space="preserve">https://learn.microsoft.com/entra/identity/hybrid/connect/how-to-connect-install-existing-tenant</w:t>
        </w:r>
      </w:hyperlink>
      <w:r>
        <w:t xml:space="preserve"> </w:t>
      </w:r>
      <w:r>
        <w:t xml:space="preserve">(accessed Oct 20, 2026).</w:t>
      </w:r>
    </w:p>
  </w:footnote>
  <w:footnote w:id="1119">
    <w:p>
      <w:pPr>
        <w:pStyle w:val="FootnoteText"/>
      </w:pPr>
      <w:r>
        <w:rPr>
          <w:rStyle w:val="FootnoteReference"/>
        </w:rPr>
        <w:footnoteRef/>
      </w:r>
      <w:r>
        <w:t xml:space="preserve"> </w:t>
      </w:r>
      <w:r>
        <w:t xml:space="preserve">Microsoft Learn,</w:t>
      </w:r>
      <w:r>
        <w:t xml:space="preserve"> </w:t>
      </w:r>
      <w:r>
        <w:t xml:space="preserve">“Understanding errors during Microsoft Entra synchronization,”</w:t>
      </w:r>
      <w:r>
        <w:t xml:space="preserve"> </w:t>
      </w:r>
      <w:hyperlink r:id="rId1117">
        <w:r>
          <w:rPr>
            <w:rStyle w:val="Hyperlink"/>
          </w:rPr>
          <w:t xml:space="preserve">https://learn.microsoft.com/entra/identity/hybrid/connect/tshoot-connect-sync-errors</w:t>
        </w:r>
      </w:hyperlink>
      <w:r>
        <w:t xml:space="preserve"> </w:t>
      </w:r>
      <w:r>
        <w:t xml:space="preserve">(accessed Oct 20, 2026).</w:t>
      </w:r>
    </w:p>
  </w:footnote>
  <w:footnote w:id="1120">
    <w:p>
      <w:pPr>
        <w:pStyle w:val="FootnoteText"/>
      </w:pPr>
      <w:r>
        <w:rPr>
          <w:rStyle w:val="FootnoteReference"/>
        </w:rPr>
        <w:footnoteRef/>
      </w:r>
      <w:r>
        <w:t xml:space="preserve"> </w:t>
      </w:r>
      <w:r>
        <w:t xml:space="preserve">Microsoft Learn,</w:t>
      </w:r>
      <w:r>
        <w:t xml:space="preserve"> </w:t>
      </w:r>
      <w:r>
        <w:t xml:space="preserve">“Configure Microsoft Entra Connect for an existing tenant,”</w:t>
      </w:r>
      <w:r>
        <w:t xml:space="preserve"> </w:t>
      </w:r>
      <w:hyperlink r:id="rId792">
        <w:r>
          <w:rPr>
            <w:rStyle w:val="Hyperlink"/>
          </w:rPr>
          <w:t xml:space="preserve">https://learn.microsoft.com/entra/identity/hybrid/connect/how-to-connect-install-existing-tenant</w:t>
        </w:r>
      </w:hyperlink>
      <w:r>
        <w:t xml:space="preserve"> </w:t>
      </w:r>
      <w:r>
        <w:t xml:space="preserve">(accessed Oct 20, 2026).</w:t>
      </w:r>
    </w:p>
  </w:footnote>
  <w:footnote w:id="1121">
    <w:p>
      <w:pPr>
        <w:pStyle w:val="FootnoteText"/>
      </w:pPr>
      <w:r>
        <w:rPr>
          <w:rStyle w:val="FootnoteReference"/>
        </w:rPr>
        <w:footnoteRef/>
      </w:r>
      <w:r>
        <w:t xml:space="preserve"> </w:t>
      </w:r>
      <w:r>
        <w:t xml:space="preserve">Microsoft Learn,</w:t>
      </w:r>
      <w:r>
        <w:t xml:space="preserve"> </w:t>
      </w:r>
      <w:r>
        <w:t xml:space="preserve">“Tutorial: Enable Microsoft Entra self-service password reset writeback to an on-premises environment,”</w:t>
      </w:r>
      <w:r>
        <w:t xml:space="preserve"> </w:t>
      </w:r>
      <w:hyperlink r:id="rId1122">
        <w:r>
          <w:rPr>
            <w:rStyle w:val="Hyperlink"/>
          </w:rPr>
          <w:t xml:space="preserve">https://learn.microsoft.com/entra/identity/authentication/tutorial-enable-sspr-writeback</w:t>
        </w:r>
      </w:hyperlink>
      <w:r>
        <w:t xml:space="preserve"> </w:t>
      </w:r>
      <w:r>
        <w:t xml:space="preserve">(accessed Oct 20, 2026).</w:t>
      </w:r>
    </w:p>
  </w:footnote>
  <w:footnote w:id="1123">
    <w:p>
      <w:pPr>
        <w:pStyle w:val="FootnoteText"/>
      </w:pPr>
      <w:r>
        <w:rPr>
          <w:rStyle w:val="FootnoteReference"/>
        </w:rPr>
        <w:footnoteRef/>
      </w:r>
      <w:r>
        <w:t xml:space="preserve"> </w:t>
      </w:r>
      <w:r>
        <w:t xml:space="preserve">Microsoft Learn,</w:t>
      </w:r>
      <w:r>
        <w:t xml:space="preserve"> </w:t>
      </w:r>
      <w:r>
        <w:t xml:space="preserve">“Microsoft Entra Connect: Configure AD DS Connector Account Permissions,”</w:t>
      </w:r>
      <w:r>
        <w:t xml:space="preserve"> </w:t>
      </w:r>
      <w:hyperlink r:id="rId1124">
        <w:r>
          <w:rPr>
            <w:rStyle w:val="Hyperlink"/>
          </w:rPr>
          <w:t xml:space="preserve">https://learn.microsoft.com/entra/identity/hybrid/connect/how-to-connect-configure-ad-ds-connector-account</w:t>
        </w:r>
      </w:hyperlink>
      <w:r>
        <w:t xml:space="preserve"> </w:t>
      </w:r>
      <w:r>
        <w:t xml:space="preserve">(accessed Oct 20, 2026).</w:t>
      </w:r>
    </w:p>
  </w:footnote>
  <w:footnote w:id="1130">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18">
        <w:r>
          <w:rPr>
            <w:rStyle w:val="Hyperlink"/>
          </w:rPr>
          <w:t xml:space="preserve">https://www.whitehouse.gov/wp-content/uploads/2022/01/M-22-09.pdf</w:t>
        </w:r>
      </w:hyperlink>
      <w:r>
        <w:t xml:space="preserve"> </w:t>
      </w:r>
      <w:r>
        <w:t xml:space="preserve">(accessed Oct 20, 2026).</w:t>
      </w:r>
    </w:p>
  </w:footnote>
  <w:footnote w:id="1131">
    <w:p>
      <w:pPr>
        <w:pStyle w:val="FootnoteText"/>
      </w:pPr>
      <w:r>
        <w:rPr>
          <w:rStyle w:val="FootnoteReference"/>
        </w:rPr>
        <w:footnoteRef/>
      </w:r>
      <w:r>
        <w:t xml:space="preserve"> </w:t>
      </w:r>
      <w:r>
        <w:t xml:space="preserve">Office of Management and Budget, M-21-31,</w:t>
      </w:r>
      <w:r>
        <w:t xml:space="preserve"> </w:t>
      </w:r>
      <w:r>
        <w:rPr>
          <w:i/>
          <w:iCs/>
        </w:rPr>
        <w:t xml:space="preserve">Improving the Federal Government’s Investigative and Remediation Capabilities Related to Cybersecurity Incidents</w:t>
      </w:r>
      <w:r>
        <w:t xml:space="preserve">, August 27, 2021,</w:t>
      </w:r>
      <w:r>
        <w:t xml:space="preserve"> </w:t>
      </w:r>
      <w:hyperlink r:id="rId1132">
        <w:r>
          <w:rPr>
            <w:rStyle w:val="Hyperlink"/>
          </w:rPr>
          <w:t xml:space="preserve">https://www.whitehouse.gov/wp-content/uploads/2021/08/M-21-31-Improving-the-Federal-Governments-Investigative-and-Remediation-Capabilities-Related-to-Cybersecurity-Incidents.pdf</w:t>
        </w:r>
      </w:hyperlink>
      <w:r>
        <w:t xml:space="preserve"> </w:t>
      </w:r>
      <w:r>
        <w:t xml:space="preserve">(accessed Oct 20, 2026).</w:t>
      </w:r>
    </w:p>
  </w:footnote>
  <w:footnote w:id="1133">
    <w:p>
      <w:pPr>
        <w:pStyle w:val="FootnoteText"/>
      </w:pPr>
      <w:r>
        <w:rPr>
          <w:rStyle w:val="FootnoteReference"/>
        </w:rPr>
        <w:footnoteRef/>
      </w:r>
      <w:r>
        <w:t xml:space="preserve"> </w:t>
      </w:r>
      <w:r>
        <w:t xml:space="preserve">Cybersecurity and Infrastructure Security Agency,</w:t>
      </w:r>
      <w:r>
        <w:t xml:space="preserve"> </w:t>
      </w:r>
      <w:r>
        <w:t xml:space="preserve">“BOD 25-01: Implementation Guidance for Implementing Secure Practices for Cloud Services,”</w:t>
      </w:r>
      <w:r>
        <w:t xml:space="preserve"> </w:t>
      </w:r>
      <w:hyperlink r:id="rId1134">
        <w:r>
          <w:rPr>
            <w:rStyle w:val="Hyperlink"/>
          </w:rPr>
          <w:t xml:space="preserve">https://www.cisa.gov/news-events/directives/bod-25-01-implementation-guidance-implementing-secure-practices-cloud-services</w:t>
        </w:r>
      </w:hyperlink>
      <w:r>
        <w:t xml:space="preserve"> </w:t>
      </w:r>
      <w:r>
        <w:t xml:space="preserve">(accessed Oct 20, 2026).</w:t>
      </w:r>
    </w:p>
  </w:footnote>
  <w:footnote w:id="1135">
    <w:p>
      <w:pPr>
        <w:pStyle w:val="FootnoteText"/>
      </w:pPr>
      <w:r>
        <w:rPr>
          <w:rStyle w:val="FootnoteReference"/>
        </w:rPr>
        <w:footnoteRef/>
      </w:r>
      <w:r>
        <w:t xml:space="preserve"> </w:t>
      </w:r>
      <w:r>
        <w:t xml:space="preserve">FedRAMP,</w:t>
      </w:r>
      <w:r>
        <w:t xml:space="preserve"> </w:t>
      </w:r>
      <w:r>
        <w:t xml:space="preserve">“FedRAMP 20x,”</w:t>
      </w:r>
      <w:r>
        <w:t xml:space="preserve"> </w:t>
      </w:r>
      <w:hyperlink r:id="rId124">
        <w:r>
          <w:rPr>
            <w:rStyle w:val="Hyperlink"/>
          </w:rPr>
          <w:t xml:space="preserve">https://www.fedramp.gov/20x/</w:t>
        </w:r>
      </w:hyperlink>
      <w:r>
        <w:t xml:space="preserve"> </w:t>
      </w:r>
      <w:r>
        <w:t xml:space="preserve">(accessed Oct 20, 2026).</w:t>
      </w:r>
    </w:p>
  </w:footnote>
  <w:footnote w:id="1136">
    <w:p>
      <w:pPr>
        <w:pStyle w:val="FootnoteText"/>
      </w:pPr>
      <w:r>
        <w:rPr>
          <w:rStyle w:val="FootnoteReference"/>
        </w:rPr>
        <w:footnoteRef/>
      </w:r>
      <w:r>
        <w:t xml:space="preserve"> </w:t>
      </w:r>
      <w:r>
        <w:t xml:space="preserve">Microsoft Learn,</w:t>
      </w:r>
      <w:r>
        <w:t xml:space="preserve"> </w:t>
      </w:r>
      <w:r>
        <w:t xml:space="preserve">“Cloud feature availability for US Government customers,”</w:t>
      </w:r>
      <w:r>
        <w:t xml:space="preserve"> </w:t>
      </w:r>
      <w:hyperlink r:id="rId1137">
        <w:r>
          <w:rPr>
            <w:rStyle w:val="Hyperlink"/>
          </w:rPr>
          <w:t xml:space="preserve">https://learn.microsoft.com/azure/security/fundamentals/feature-availability#microsoft-365-integration</w:t>
        </w:r>
      </w:hyperlink>
      <w:r>
        <w:t xml:space="preserve"> </w:t>
      </w:r>
      <w:r>
        <w:t xml:space="preserve">(accessed Oct 20, 2026).</w:t>
      </w:r>
    </w:p>
  </w:footnote>
  <w:footnote w:id="1143">
    <w:p>
      <w:pPr>
        <w:pStyle w:val="FootnoteText"/>
      </w:pPr>
      <w:r>
        <w:rPr>
          <w:rStyle w:val="FootnoteReference"/>
        </w:rPr>
        <w:footnoteRef/>
      </w:r>
      <w:r>
        <w:t xml:space="preserve"> </w:t>
      </w:r>
      <w:r>
        <w:t xml:space="preserve">Microsoft Learn,</w:t>
      </w:r>
      <w:r>
        <w:t xml:space="preserve"> </w:t>
      </w:r>
      <w:r>
        <w:t xml:space="preserve">“You can’t use Kerberos unconstrained delegation in certain versions of Windows,”</w:t>
      </w:r>
      <w:r>
        <w:t xml:space="preserve"> </w:t>
      </w:r>
      <w:hyperlink r:id="rId1144">
        <w:r>
          <w:rPr>
            <w:rStyle w:val="Hyperlink"/>
          </w:rPr>
          <w:t xml:space="preserve">https://learn.microsoft.com/troubleshoot/sql/database-engine/connect/windows-prevents-unconstrained-delegation</w:t>
        </w:r>
      </w:hyperlink>
      <w:r>
        <w:t xml:space="preserve"> </w:t>
      </w:r>
      <w:r>
        <w:t xml:space="preserve">(accessed Oct 20, 2026).</w:t>
      </w:r>
    </w:p>
  </w:footnote>
  <w:footnote w:id="1145">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hyperlink r:id="rId1146">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1149">
    <w:p>
      <w:pPr>
        <w:pStyle w:val="FootnoteText"/>
      </w:pPr>
      <w:r>
        <w:rPr>
          <w:rStyle w:val="FootnoteReference"/>
        </w:rPr>
        <w:footnoteRef/>
      </w:r>
      <w:r>
        <w:t xml:space="preserve"> </w:t>
      </w:r>
      <w:r>
        <w:t xml:space="preserve">Microsoft Learn,</w:t>
      </w:r>
      <w:r>
        <w:t xml:space="preserve"> </w:t>
      </w:r>
      <w:r>
        <w:t xml:space="preserve">“Microsoft Entra Connect Sync: Understand and customize synchronization,”</w:t>
      </w:r>
      <w:r>
        <w:t xml:space="preserve"> </w:t>
      </w:r>
      <w:hyperlink r:id="rId444">
        <w:r>
          <w:rPr>
            <w:rStyle w:val="Hyperlink"/>
          </w:rPr>
          <w:t xml:space="preserve">https://learn.microsoft.com/entra/identity/hybrid/connect/how-to-connect-sync-whatis</w:t>
        </w:r>
      </w:hyperlink>
      <w:r>
        <w:t xml:space="preserve"> </w:t>
      </w:r>
      <w:r>
        <w:t xml:space="preserve">(accessed Oct 20, 2026).</w:t>
      </w:r>
    </w:p>
  </w:footnote>
  <w:footnote w:id="1150">
    <w:p>
      <w:pPr>
        <w:pStyle w:val="FootnoteText"/>
      </w:pPr>
      <w:r>
        <w:rPr>
          <w:rStyle w:val="FootnoteReference"/>
        </w:rPr>
        <w:footnoteRef/>
      </w:r>
      <w:r>
        <w:t xml:space="preserve"> </w:t>
      </w:r>
      <w:r>
        <w:t xml:space="preserve">Microsoft Learn,</w:t>
      </w:r>
      <w:r>
        <w:t xml:space="preserve"> </w:t>
      </w:r>
      <w:r>
        <w:t xml:space="preserve">“Migrate from Microsoft Entra Connect to Cloud Sync: Decision Guide,”</w:t>
      </w:r>
      <w:r>
        <w:t xml:space="preserve"> </w:t>
      </w:r>
      <w:hyperlink r:id="rId305">
        <w:r>
          <w:rPr>
            <w:rStyle w:val="Hyperlink"/>
          </w:rPr>
          <w:t xml:space="preserve">https://learn.microsoft.com/entra/identity/hybrid/cloud-sync/connect-to-cloud-sync-decision-guide</w:t>
        </w:r>
      </w:hyperlink>
      <w:r>
        <w:t xml:space="preserve"> </w:t>
      </w:r>
      <w:r>
        <w:t xml:space="preserve">(accessed Oct 20, 2026).</w:t>
      </w:r>
    </w:p>
  </w:footnote>
  <w:footnote w:id="1151">
    <w:p>
      <w:pPr>
        <w:pStyle w:val="FootnoteText"/>
      </w:pPr>
      <w:r>
        <w:rPr>
          <w:rStyle w:val="FootnoteReference"/>
        </w:rPr>
        <w:footnoteRef/>
      </w:r>
      <w:r>
        <w:t xml:space="preserve"> </w:t>
      </w:r>
      <w:r>
        <w:t xml:space="preserve">Microsoft Learn,</w:t>
      </w:r>
      <w:r>
        <w:t xml:space="preserve"> </w:t>
      </w:r>
      <w:r>
        <w:t xml:space="preserve">“Configure infrastructure to support SCEP with Intune,”</w:t>
      </w:r>
      <w:r>
        <w:t xml:space="preserve"> </w:t>
      </w:r>
      <w:hyperlink r:id="rId1152">
        <w:r>
          <w:rPr>
            <w:rStyle w:val="Hyperlink"/>
          </w:rPr>
          <w:t xml:space="preserve">https://learn.microsoft.com/intune/fundamentals/certificates/scep-infrastructure</w:t>
        </w:r>
      </w:hyperlink>
      <w:r>
        <w:t xml:space="preserve"> </w:t>
      </w:r>
      <w:r>
        <w:t xml:space="preserve">(accessed Oct 20, 2026).</w:t>
      </w:r>
    </w:p>
  </w:footnote>
  <w:footnote w:id="1153">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hyperlink r:id="rId276">
        <w:r>
          <w:rPr>
            <w:rStyle w:val="Hyperlink"/>
          </w:rPr>
          <w:t xml:space="preserve">https://learn.microsoft.com/intune/cloud-pki/</w:t>
        </w:r>
      </w:hyperlink>
      <w:r>
        <w:t xml:space="preserve"> </w:t>
      </w:r>
      <w:r>
        <w:t xml:space="preserve">(accessed Oct 20, 2026).</w:t>
      </w:r>
    </w:p>
  </w:footnote>
  <w:footnote w:id="1154">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hyperlink r:id="rId1155">
        <w:r>
          <w:rPr>
            <w:rStyle w:val="Hyperlink"/>
          </w:rPr>
          <w:t xml:space="preserve">https://learn.microsoft.com/sql/sql-server/azure-arc/overview</w:t>
        </w:r>
      </w:hyperlink>
      <w:r>
        <w:t xml:space="preserve"> </w:t>
      </w:r>
      <w:r>
        <w:t xml:space="preserve">(accessed Oct 20, 2026).</w:t>
      </w:r>
    </w:p>
  </w:footnote>
  <w:footnote w:id="1156">
    <w:p>
      <w:pPr>
        <w:pStyle w:val="FootnoteText"/>
      </w:pPr>
      <w:r>
        <w:rPr>
          <w:rStyle w:val="FootnoteReference"/>
        </w:rPr>
        <w:footnoteRef/>
      </w:r>
      <w:r>
        <w:t xml:space="preserve"> </w:t>
      </w:r>
      <w:r>
        <w:t xml:space="preserve">Microsoft Learn,</w:t>
      </w:r>
      <w:r>
        <w:t xml:space="preserve"> </w:t>
      </w:r>
      <w:r>
        <w:t xml:space="preserve">“Tutorial: Enable Microsoft Entra authentication for SQL Server on Windows without Azure Arc,”</w:t>
      </w:r>
      <w:r>
        <w:t xml:space="preserve"> </w:t>
      </w:r>
      <w:hyperlink r:id="rId1157">
        <w:r>
          <w:rPr>
            <w:rStyle w:val="Hyperlink"/>
          </w:rPr>
          <w:t xml:space="preserve">https://learn.microsoft.com/sql/relational-databases/security/authentication-access/microsoft-entra-authentication-sql-server-enable-without-arc</w:t>
        </w:r>
      </w:hyperlink>
      <w:r>
        <w:t xml:space="preserve"> </w:t>
      </w:r>
      <w:r>
        <w:t xml:space="preserve">(accessed Oct 20, 2026).</w:t>
      </w:r>
    </w:p>
  </w:footnote>
  <w:footnote w:id="1158">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1159">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1161">
    <w:p>
      <w:pPr>
        <w:pStyle w:val="FootnoteText"/>
      </w:pPr>
      <w:r>
        <w:rPr>
          <w:rStyle w:val="FootnoteReference"/>
        </w:rPr>
        <w:footnoteRef/>
      </w:r>
      <w:r>
        <w:t xml:space="preserve"> </w:t>
      </w:r>
      <w:r>
        <w:t xml:space="preserve">National Institute of Standards and Technology, SP 800-63-4,</w:t>
      </w:r>
      <w:r>
        <w:t xml:space="preserve"> </w:t>
      </w:r>
      <w:r>
        <w:rPr>
          <w:i/>
          <w:iCs/>
        </w:rPr>
        <w:t xml:space="preserve">Digital Identity Guidelines</w:t>
      </w:r>
      <w:r>
        <w:t xml:space="preserve">, July 2025,</w:t>
      </w:r>
      <w:r>
        <w:t xml:space="preserve"> </w:t>
      </w:r>
      <w:hyperlink r:id="rId1162">
        <w:r>
          <w:rPr>
            <w:rStyle w:val="Hyperlink"/>
          </w:rPr>
          <w:t xml:space="preserve">https://csrc.nist.gov/pubs/sp/800/63/4/final</w:t>
        </w:r>
      </w:hyperlink>
      <w:r>
        <w:t xml:space="preserve"> </w:t>
      </w:r>
      <w:r>
        <w:t xml:space="preserve">(accessed Oct 20, 2026).</w:t>
      </w:r>
    </w:p>
  </w:footnote>
  <w:footnote w:id="1164">
    <w:p>
      <w:pPr>
        <w:pStyle w:val="FootnoteText"/>
      </w:pPr>
      <w:r>
        <w:rPr>
          <w:rStyle w:val="FootnoteReference"/>
        </w:rPr>
        <w:footnoteRef/>
      </w:r>
      <w:r>
        <w:t xml:space="preserve"> </w:t>
      </w:r>
      <w:r>
        <w:t xml:space="preserve">Microsoft Learn,</w:t>
      </w:r>
      <w:r>
        <w:t xml:space="preserve"> </w:t>
      </w:r>
      <w:r>
        <w:t xml:space="preserve">“Troubleshoot SQL Server Kerberos and authentication failures with gMSAs,”</w:t>
      </w:r>
      <w:r>
        <w:t xml:space="preserve"> </w:t>
      </w:r>
      <w:hyperlink r:id="rId1165">
        <w:r>
          <w:rPr>
            <w:rStyle w:val="Hyperlink"/>
          </w:rPr>
          <w:t xml:space="preserve">https://learn.microsoft.com/troubleshoot/sql/database-engine/startup-shutdown/gmsa-kerberos-authentication-failures</w:t>
        </w:r>
      </w:hyperlink>
      <w:r>
        <w:t xml:space="preserve"> </w:t>
      </w:r>
      <w:r>
        <w:t xml:space="preserve">(accessed Oct 20, 2026).</w:t>
      </w:r>
    </w:p>
  </w:footnote>
  <w:footnote w:id="1168">
    <w:p>
      <w:pPr>
        <w:pStyle w:val="FootnoteText"/>
      </w:pPr>
      <w:r>
        <w:rPr>
          <w:rStyle w:val="FootnoteReference"/>
        </w:rPr>
        <w:footnoteRef/>
      </w:r>
      <w:r>
        <w:t xml:space="preserve"> </w:t>
      </w:r>
      <w:r>
        <w:t xml:space="preserve">Microsoft Learn,</w:t>
      </w:r>
      <w:r>
        <w:t xml:space="preserve"> </w:t>
      </w:r>
      <w:r>
        <w:t xml:space="preserve">“Adaptive scopes,”</w:t>
      </w:r>
      <w:r>
        <w:t xml:space="preserve"> </w:t>
      </w:r>
      <w:hyperlink r:id="rId1169">
        <w:r>
          <w:rPr>
            <w:rStyle w:val="Hyperlink"/>
          </w:rPr>
          <w:t xml:space="preserve">https://learn.microsoft.com/purview/purview-adaptive-scopes</w:t>
        </w:r>
      </w:hyperlink>
      <w:r>
        <w:t xml:space="preserve"> </w:t>
      </w:r>
      <w:r>
        <w:t xml:space="preserve">(accessed Oct 20, 2026).</w:t>
      </w:r>
    </w:p>
  </w:footnote>
  <w:footnote w:id="1170">
    <w:p>
      <w:pPr>
        <w:pStyle w:val="FootnoteText"/>
      </w:pPr>
      <w:r>
        <w:rPr>
          <w:rStyle w:val="FootnoteReference"/>
        </w:rPr>
        <w:footnoteRef/>
      </w:r>
      <w:r>
        <w:t xml:space="preserve"> </w:t>
      </w:r>
      <w:r>
        <w:t xml:space="preserve">Microsoft Learn,</w:t>
      </w:r>
      <w:r>
        <w:t xml:space="preserve"> </w:t>
      </w:r>
      <w:r>
        <w:t xml:space="preserve">“Connect to and manage Azure Arc-enabled SQL Server in Microsoft Purview,”</w:t>
      </w:r>
      <w:r>
        <w:t xml:space="preserve"> </w:t>
      </w:r>
      <w:hyperlink r:id="rId1171">
        <w:r>
          <w:rPr>
            <w:rStyle w:val="Hyperlink"/>
          </w:rPr>
          <w:t xml:space="preserve">https://learn.microsoft.com/purview/register-scan-azure-arc-enabled-sql-server</w:t>
        </w:r>
      </w:hyperlink>
      <w:r>
        <w:t xml:space="preserve"> </w:t>
      </w:r>
      <w:r>
        <w:t xml:space="preserve">(accessed Oct 20, 2026).</w:t>
      </w:r>
    </w:p>
  </w:footnote>
  <w:footnote w:id="1172">
    <w:p>
      <w:pPr>
        <w:pStyle w:val="FootnoteText"/>
      </w:pPr>
      <w:r>
        <w:rPr>
          <w:rStyle w:val="FootnoteReference"/>
        </w:rPr>
        <w:footnoteRef/>
      </w:r>
      <w:r>
        <w:t xml:space="preserve"> </w:t>
      </w:r>
      <w:r>
        <w:t xml:space="preserve">Microsoft Learn,</w:t>
      </w:r>
      <w:r>
        <w:t xml:space="preserve"> </w:t>
      </w:r>
      <w:r>
        <w:t xml:space="preserve">“Fabric domains,”</w:t>
      </w:r>
      <w:r>
        <w:t xml:space="preserve"> </w:t>
      </w:r>
      <w:hyperlink r:id="rId1173">
        <w:r>
          <w:rPr>
            <w:rStyle w:val="Hyperlink"/>
          </w:rPr>
          <w:t xml:space="preserve">https://learn.microsoft.com/fabric/governance/domains</w:t>
        </w:r>
      </w:hyperlink>
      <w:r>
        <w:t xml:space="preserve"> </w:t>
      </w:r>
      <w:r>
        <w:t xml:space="preserve">(accessed Oct 20, 2026).</w:t>
      </w:r>
    </w:p>
  </w:footnote>
  <w:footnote w:id="1174">
    <w:p>
      <w:pPr>
        <w:pStyle w:val="FootnoteText"/>
      </w:pPr>
      <w:r>
        <w:rPr>
          <w:rStyle w:val="FootnoteReference"/>
        </w:rPr>
        <w:footnoteRef/>
      </w:r>
      <w:r>
        <w:t xml:space="preserve"> </w:t>
      </w:r>
      <w:r>
        <w:t xml:space="preserve">Microsoft Learn,</w:t>
      </w:r>
      <w:r>
        <w:t xml:space="preserve"> </w:t>
      </w:r>
      <w:r>
        <w:t xml:space="preserve">“Mirroring SQL Server,”</w:t>
      </w:r>
      <w:r>
        <w:t xml:space="preserve"> </w:t>
      </w:r>
      <w:hyperlink r:id="rId1175">
        <w:r>
          <w:rPr>
            <w:rStyle w:val="Hyperlink"/>
          </w:rPr>
          <w:t xml:space="preserve">https://learn.microsoft.com/fabric/mirroring/sql-server</w:t>
        </w:r>
      </w:hyperlink>
      <w:r>
        <w:t xml:space="preserve"> </w:t>
      </w:r>
      <w:r>
        <w:t xml:space="preserve">(accessed Oct 20, 2026).</w:t>
      </w:r>
    </w:p>
  </w:footnote>
  <w:footnote w:id="1176">
    <w:p>
      <w:pPr>
        <w:pStyle w:val="FootnoteText"/>
      </w:pPr>
      <w:r>
        <w:rPr>
          <w:rStyle w:val="FootnoteReference"/>
        </w:rPr>
        <w:footnoteRef/>
      </w:r>
      <w:r>
        <w:t xml:space="preserve"> </w:t>
      </w:r>
      <w:r>
        <w:t xml:space="preserve">Microsoft Learn,</w:t>
      </w:r>
      <w:r>
        <w:t xml:space="preserve"> </w:t>
      </w:r>
      <w:r>
        <w:t xml:space="preserve">“Microsoft Fabric for US Government GCC High customers,”</w:t>
      </w:r>
      <w:r>
        <w:t xml:space="preserve"> </w:t>
      </w:r>
      <w:hyperlink r:id="rId1177">
        <w:r>
          <w:rPr>
            <w:rStyle w:val="Hyperlink"/>
          </w:rPr>
          <w:t xml:space="preserve">https://learn.microsoft.com/fabric/enterprise/us-government-community-cloud-high</w:t>
        </w:r>
      </w:hyperlink>
      <w:r>
        <w:t xml:space="preserve"> </w:t>
      </w:r>
      <w:r>
        <w:t xml:space="preserve">(accessed Oct 20, 2026).</w:t>
      </w:r>
    </w:p>
  </w:footnote>
  <w:footnote w:id="1178">
    <w:p>
      <w:pPr>
        <w:pStyle w:val="FootnoteText"/>
      </w:pPr>
      <w:r>
        <w:rPr>
          <w:rStyle w:val="FootnoteReference"/>
        </w:rPr>
        <w:footnoteRef/>
      </w:r>
      <w:r>
        <w:t xml:space="preserve"> </w:t>
      </w:r>
      <w:r>
        <w:t xml:space="preserve">Microsoft Learn,</w:t>
      </w:r>
      <w:r>
        <w:t xml:space="preserve"> </w:t>
      </w:r>
      <w:r>
        <w:t xml:space="preserve">“Power BI for US government customers,”</w:t>
      </w:r>
      <w:r>
        <w:t xml:space="preserve"> </w:t>
      </w:r>
      <w:hyperlink r:id="rId1179">
        <w:r>
          <w:rPr>
            <w:rStyle w:val="Hyperlink"/>
          </w:rPr>
          <w:t xml:space="preserve">https://learn.microsoft.com/fabric/enterprise/powerbi/service-government-us-overview</w:t>
        </w:r>
      </w:hyperlink>
      <w:r>
        <w:t xml:space="preserve"> </w:t>
      </w:r>
      <w:r>
        <w:t xml:space="preserve">(accessed Oct 20, 2026).</w:t>
      </w:r>
    </w:p>
  </w:footnote>
  <w:footnote w:id="1185">
    <w:p>
      <w:pPr>
        <w:pStyle w:val="FootnoteText"/>
      </w:pPr>
      <w:r>
        <w:rPr>
          <w:rStyle w:val="FootnoteReference"/>
        </w:rPr>
        <w:footnoteRef/>
      </w:r>
      <w:r>
        <w:t xml:space="preserve"> </w:t>
      </w:r>
      <w:r>
        <w:t xml:space="preserve">FedRAMP,</w:t>
      </w:r>
      <w:r>
        <w:t xml:space="preserve"> </w:t>
      </w:r>
      <w:r>
        <w:t xml:space="preserve">“FedRAMP 20x,”</w:t>
      </w:r>
      <w:r>
        <w:t xml:space="preserve"> </w:t>
      </w:r>
      <w:hyperlink r:id="rId124">
        <w:r>
          <w:rPr>
            <w:rStyle w:val="Hyperlink"/>
          </w:rPr>
          <w:t xml:space="preserve">https://www.fedramp.gov/20x/</w:t>
        </w:r>
      </w:hyperlink>
      <w:r>
        <w:t xml:space="preserve"> </w:t>
      </w:r>
      <w:r>
        <w:t xml:space="preserve">(accessed Oct 20, 2026).</w:t>
      </w:r>
    </w:p>
  </w:footnote>
  <w:footnote w:id="1186">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December 2018,</w:t>
      </w:r>
      <w:r>
        <w:t xml:space="preserve"> </w:t>
      </w:r>
      <w:hyperlink r:id="rId1187">
        <w:r>
          <w:rPr>
            <w:rStyle w:val="Hyperlink"/>
          </w:rPr>
          <w:t xml:space="preserve">https://csrc.nist.gov/pubs/sp/800/37/r2/final</w:t>
        </w:r>
      </w:hyperlink>
      <w:r>
        <w:t xml:space="preserve"> </w:t>
      </w:r>
      <w:r>
        <w:t xml:space="preserve">(accessed Oct 20, 2026).</w:t>
      </w:r>
    </w:p>
  </w:footnote>
  <w:footnote w:id="1194">
    <w:p>
      <w:pPr>
        <w:pStyle w:val="FootnoteText"/>
      </w:pPr>
      <w:r>
        <w:rPr>
          <w:rStyle w:val="FootnoteReference"/>
        </w:rPr>
        <w:footnoteRef/>
      </w:r>
      <w:r>
        <w:t xml:space="preserve"> </w:t>
      </w:r>
      <w:r>
        <w:t xml:space="preserve">Microsoft Learn,</w:t>
      </w:r>
      <w:r>
        <w:t xml:space="preserve"> </w:t>
      </w:r>
      <w:r>
        <w:t xml:space="preserve">“What is Microsoft Entra certificate-based authentication?,”</w:t>
      </w:r>
      <w:r>
        <w:t xml:space="preserve"> </w:t>
      </w:r>
      <w:hyperlink r:id="rId174">
        <w:r>
          <w:rPr>
            <w:rStyle w:val="Hyperlink"/>
          </w:rPr>
          <w:t xml:space="preserve">https://learn.microsoft.com/entra/identity/authentication/concept-certificate-based-authentication</w:t>
        </w:r>
      </w:hyperlink>
      <w:r>
        <w:t xml:space="preserve"> </w:t>
      </w:r>
      <w:r>
        <w:t xml:space="preserve">(accessed Oct 20, 2026).</w:t>
      </w:r>
    </w:p>
  </w:footnote>
  <w:footnote w:id="1196">
    <w:p>
      <w:pPr>
        <w:pStyle w:val="FootnoteText"/>
      </w:pPr>
      <w:r>
        <w:rPr>
          <w:rStyle w:val="FootnoteReference"/>
        </w:rPr>
        <w:footnoteRef/>
      </w:r>
      <w:r>
        <w:t xml:space="preserve"> </w:t>
      </w:r>
      <w:r>
        <w:t xml:space="preserve">Microsoft Learn,</w:t>
      </w:r>
      <w:r>
        <w:t xml:space="preserve"> </w:t>
      </w:r>
      <w:r>
        <w:t xml:space="preserve">“Configure Microsoft Entra for increased security (Preview),”</w:t>
      </w:r>
      <w:r>
        <w:t xml:space="preserve"> </w:t>
      </w:r>
      <w:hyperlink r:id="rId230">
        <w:r>
          <w:rPr>
            <w:rStyle w:val="Hyperlink"/>
          </w:rPr>
          <w:t xml:space="preserve">https://learn.microsoft.com/entra/fundamentals/configure-security</w:t>
        </w:r>
      </w:hyperlink>
      <w:r>
        <w:t xml:space="preserve"> </w:t>
      </w:r>
      <w:r>
        <w:t xml:space="preserve">(accessed Oct 20, 2026).</w:t>
      </w:r>
    </w:p>
  </w:footnote>
  <w:footnote w:id="1197">
    <w:p>
      <w:pPr>
        <w:pStyle w:val="FootnoteText"/>
      </w:pPr>
      <w:r>
        <w:rPr>
          <w:rStyle w:val="FootnoteReference"/>
        </w:rPr>
        <w:footnoteRef/>
      </w:r>
      <w:r>
        <w:t xml:space="preserve"> </w:t>
      </w:r>
      <w:r>
        <w:t xml:space="preserve">Microsoft Learn,</w:t>
      </w:r>
      <w:r>
        <w:t xml:space="preserve"> </w:t>
      </w:r>
      <w:r>
        <w:t xml:space="preserve">“Configure Microsoft Entra for increased security (Preview),”</w:t>
      </w:r>
      <w:r>
        <w:t xml:space="preserve"> </w:t>
      </w:r>
      <w:hyperlink r:id="rId230">
        <w:r>
          <w:rPr>
            <w:rStyle w:val="Hyperlink"/>
          </w:rPr>
          <w:t xml:space="preserve">https://learn.microsoft.com/entra/fundamentals/configure-security</w:t>
        </w:r>
      </w:hyperlink>
      <w:r>
        <w:t xml:space="preserve"> </w:t>
      </w:r>
      <w:r>
        <w:t xml:space="preserve">(accessed Oct 20, 2026).</w:t>
      </w:r>
    </w:p>
  </w:footnote>
  <w:footnote w:id="1199">
    <w:p>
      <w:pPr>
        <w:pStyle w:val="FootnoteText"/>
      </w:pPr>
      <w:r>
        <w:rPr>
          <w:rStyle w:val="FootnoteReference"/>
        </w:rPr>
        <w:footnoteRef/>
      </w:r>
      <w:r>
        <w:t xml:space="preserve"> </w:t>
      </w:r>
      <w:r>
        <w:t xml:space="preserve">Microsoft Learn,</w:t>
      </w:r>
      <w:r>
        <w:t xml:space="preserve"> </w:t>
      </w:r>
      <w:r>
        <w:t xml:space="preserve">“Known limitations for Global Secure Access,”</w:t>
      </w:r>
      <w:r>
        <w:t xml:space="preserve"> </w:t>
      </w:r>
      <w:r>
        <w:t xml:space="preserve">section</w:t>
      </w:r>
      <w:r>
        <w:t xml:space="preserve"> </w:t>
      </w:r>
      <w:r>
        <w:t xml:space="preserve">“Global Secure Access In Government Cloud limitations,”</w:t>
      </w:r>
      <w:r>
        <w:t xml:space="preserve"> </w:t>
      </w:r>
      <w:hyperlink r:id="rId1200">
        <w:r>
          <w:rPr>
            <w:rStyle w:val="Hyperlink"/>
          </w:rPr>
          <w:t xml:space="preserve">https://learn.microsoft.com/entra/global-secure-access/reference-current-known-limitations</w:t>
        </w:r>
      </w:hyperlink>
      <w:r>
        <w:t xml:space="preserve"> </w:t>
      </w:r>
      <w:r>
        <w:t xml:space="preserve">(accessed Oct 20, 2026).</w:t>
      </w:r>
    </w:p>
  </w:footnote>
  <w:footnote w:id="1201">
    <w:p>
      <w:pPr>
        <w:pStyle w:val="FootnoteText"/>
      </w:pPr>
      <w:r>
        <w:rPr>
          <w:rStyle w:val="FootnoteReference"/>
        </w:rPr>
        <w:footnoteRef/>
      </w:r>
      <w:r>
        <w:t xml:space="preserve"> </w:t>
      </w:r>
      <w:r>
        <w:t xml:space="preserve">Microsoft Learn,</w:t>
      </w:r>
      <w:r>
        <w:t xml:space="preserve"> </w:t>
      </w:r>
      <w:r>
        <w:t xml:space="preserve">“Configure Microsoft Entra for increased security (Preview),”</w:t>
      </w:r>
      <w:r>
        <w:t xml:space="preserve"> </w:t>
      </w:r>
      <w:hyperlink r:id="rId230">
        <w:r>
          <w:rPr>
            <w:rStyle w:val="Hyperlink"/>
          </w:rPr>
          <w:t xml:space="preserve">https://learn.microsoft.com/entra/fundamentals/configure-security</w:t>
        </w:r>
      </w:hyperlink>
      <w:r>
        <w:t xml:space="preserve"> </w:t>
      </w:r>
      <w:r>
        <w:t xml:space="preserve">(accessed Oct 20, 2026).</w:t>
      </w:r>
    </w:p>
  </w:footnote>
  <w:footnote w:id="1202">
    <w:p>
      <w:pPr>
        <w:pStyle w:val="FootnoteText"/>
      </w:pPr>
      <w:r>
        <w:rPr>
          <w:rStyle w:val="FootnoteReference"/>
        </w:rPr>
        <w:footnoteRef/>
      </w:r>
      <w:r>
        <w:t xml:space="preserve"> </w:t>
      </w:r>
      <w:r>
        <w:t xml:space="preserve">Microsoft Learn,</w:t>
      </w:r>
      <w:r>
        <w:t xml:space="preserve"> </w:t>
      </w:r>
      <w:r>
        <w:t xml:space="preserve">“Known limitations for Global Secure Access,”</w:t>
      </w:r>
      <w:r>
        <w:t xml:space="preserve"> </w:t>
      </w:r>
      <w:r>
        <w:t xml:space="preserve">section</w:t>
      </w:r>
      <w:r>
        <w:t xml:space="preserve"> </w:t>
      </w:r>
      <w:r>
        <w:t xml:space="preserve">“Global Secure Access In Government Cloud limitations,”</w:t>
      </w:r>
      <w:r>
        <w:t xml:space="preserve"> </w:t>
      </w:r>
      <w:hyperlink r:id="rId1200">
        <w:r>
          <w:rPr>
            <w:rStyle w:val="Hyperlink"/>
          </w:rPr>
          <w:t xml:space="preserve">https://learn.microsoft.com/entra/global-secure-access/reference-current-known-limitations</w:t>
        </w:r>
      </w:hyperlink>
      <w:r>
        <w:t xml:space="preserve"> </w:t>
      </w:r>
      <w:r>
        <w:t xml:space="preserve">(accessed Oct 20, 2026).</w:t>
      </w:r>
    </w:p>
  </w:footnote>
  <w:footnote w:id="1203">
    <w:p>
      <w:pPr>
        <w:pStyle w:val="FootnoteText"/>
      </w:pPr>
      <w:r>
        <w:rPr>
          <w:rStyle w:val="FootnoteReference"/>
        </w:rPr>
        <w:footnoteRef/>
      </w:r>
      <w:r>
        <w:t xml:space="preserve"> </w:t>
      </w:r>
      <w:r>
        <w:t xml:space="preserve">Microsoft Learn,</w:t>
      </w:r>
      <w:r>
        <w:t xml:space="preserve"> </w:t>
      </w:r>
      <w:r>
        <w:t xml:space="preserve">“Dynamics 365 US Government,”</w:t>
      </w:r>
      <w:r>
        <w:t xml:space="preserve"> </w:t>
      </w:r>
      <w:hyperlink r:id="rId1204">
        <w:r>
          <w:rPr>
            <w:rStyle w:val="Hyperlink"/>
          </w:rPr>
          <w:t xml:space="preserve">https://learn.microsoft.com/power-platform/admin/microsoft-dynamics-365-government</w:t>
        </w:r>
      </w:hyperlink>
      <w:r>
        <w:t xml:space="preserve"> </w:t>
      </w:r>
      <w:r>
        <w:t xml:space="preserve">(accessed Oct 20, 2026). The page contrasts GCC High and DoD, which use Microsoft Entra Government, with GCC, which uses the public Microsoft Entra ID service.</w:t>
      </w:r>
    </w:p>
  </w:footnote>
  <w:footnote w:id="1206">
    <w:p>
      <w:pPr>
        <w:pStyle w:val="FootnoteText"/>
      </w:pPr>
      <w:r>
        <w:rPr>
          <w:rStyle w:val="FootnoteReference"/>
        </w:rPr>
        <w:footnoteRef/>
      </w:r>
      <w:r>
        <w:t xml:space="preserve"> </w:t>
      </w:r>
      <w:r>
        <w:t xml:space="preserve">Microsoft Learn,</w:t>
      </w:r>
      <w:r>
        <w:t xml:space="preserve"> </w:t>
      </w:r>
      <w:r>
        <w:t xml:space="preserve">“Configure Microsoft Entra for increased security (Preview),”</w:t>
      </w:r>
      <w:r>
        <w:t xml:space="preserve"> </w:t>
      </w:r>
      <w:hyperlink r:id="rId230">
        <w:r>
          <w:rPr>
            <w:rStyle w:val="Hyperlink"/>
          </w:rPr>
          <w:t xml:space="preserve">https://learn.microsoft.com/entra/fundamentals/configure-security</w:t>
        </w:r>
      </w:hyperlink>
      <w:r>
        <w:t xml:space="preserve"> </w:t>
      </w:r>
      <w:r>
        <w:t xml:space="preserve">(accessed Oct 20, 2026).</w:t>
      </w:r>
    </w:p>
  </w:footnote>
  <w:footnote w:id="1211">
    <w:p>
      <w:pPr>
        <w:pStyle w:val="FootnoteText"/>
      </w:pPr>
      <w:r>
        <w:rPr>
          <w:rStyle w:val="FootnoteReference"/>
        </w:rPr>
        <w:footnoteRef/>
      </w:r>
      <w:r>
        <w:t xml:space="preserve"> </w:t>
      </w:r>
      <w:r>
        <w:t xml:space="preserve">Microsoft Learn,</w:t>
      </w:r>
      <w:r>
        <w:t xml:space="preserve"> </w:t>
      </w:r>
      <w:r>
        <w:t xml:space="preserve">“Configure Microsoft Entra for increased security (Preview),”</w:t>
      </w:r>
      <w:r>
        <w:t xml:space="preserve"> </w:t>
      </w:r>
      <w:hyperlink r:id="rId230">
        <w:r>
          <w:rPr>
            <w:rStyle w:val="Hyperlink"/>
          </w:rPr>
          <w:t xml:space="preserve">https://learn.microsoft.com/entra/fundamentals/configure-security</w:t>
        </w:r>
      </w:hyperlink>
      <w:r>
        <w:t xml:space="preserve"> </w:t>
      </w:r>
      <w:r>
        <w:t xml:space="preserve">(accessed Oct 20, 2026).</w:t>
      </w:r>
    </w:p>
  </w:footnote>
  <w:footnote w:id="1212">
    <w:p>
      <w:pPr>
        <w:pStyle w:val="FootnoteText"/>
      </w:pPr>
      <w:r>
        <w:rPr>
          <w:rStyle w:val="FootnoteReference"/>
        </w:rPr>
        <w:footnoteRef/>
      </w:r>
      <w:r>
        <w:t xml:space="preserve"> </w:t>
      </w:r>
      <w:r>
        <w:t xml:space="preserve">Cybersecurity and Infrastructure Security Agency,</w:t>
      </w:r>
      <w:r>
        <w:t xml:space="preserve"> </w:t>
      </w:r>
      <w:r>
        <w:t xml:space="preserve">“BOD 25-01: Implementing Secure Practices for Cloud Services Required Configurations,”</w:t>
      </w:r>
      <w:r>
        <w:t xml:space="preserve"> </w:t>
      </w:r>
      <w:hyperlink r:id="rId1213">
        <w:r>
          <w:rPr>
            <w:rStyle w:val="Hyperlink"/>
          </w:rPr>
          <w:t xml:space="preserve">https://www.cisa.gov/resources-tools/services/bod-25-01-implementing-secure-practices-cloud-services-required-configurations</w:t>
        </w:r>
      </w:hyperlink>
      <w:r>
        <w:t xml:space="preserve"> </w:t>
      </w:r>
      <w:r>
        <w:t xml:space="preserve">(accessed Oct 20, 2026).</w:t>
      </w:r>
    </w:p>
  </w:footnote>
  <w:footnote w:id="1214">
    <w:p>
      <w:pPr>
        <w:pStyle w:val="FootnoteText"/>
      </w:pPr>
      <w:r>
        <w:rPr>
          <w:rStyle w:val="FootnoteReference"/>
        </w:rPr>
        <w:footnoteRef/>
      </w:r>
      <w:r>
        <w:t xml:space="preserve"> </w:t>
      </w:r>
      <w:r>
        <w:t xml:space="preserve">Microsoft Learn,</w:t>
      </w:r>
      <w:r>
        <w:t xml:space="preserve"> </w:t>
      </w:r>
      <w:r>
        <w:t xml:space="preserve">“Implement password hash synchronization with Microsoft Entra Connect Sync,”</w:t>
      </w:r>
      <w:r>
        <w:t xml:space="preserve"> </w:t>
      </w:r>
      <w:hyperlink r:id="rId146">
        <w:r>
          <w:rPr>
            <w:rStyle w:val="Hyperlink"/>
          </w:rPr>
          <w:t xml:space="preserve">https://learn.microsoft.com/entra/identity/hybrid/connect/how-to-connect-password-hash-synchronization</w:t>
        </w:r>
      </w:hyperlink>
      <w:r>
        <w:t xml:space="preserve"> </w:t>
      </w:r>
      <w:r>
        <w:t xml:space="preserve">(accessed Oct 20, 2026).</w:t>
      </w:r>
    </w:p>
  </w:footnote>
  <w:footnote w:id="1215">
    <w:p>
      <w:pPr>
        <w:pStyle w:val="FootnoteText"/>
      </w:pPr>
      <w:r>
        <w:rPr>
          <w:rStyle w:val="FootnoteReference"/>
        </w:rPr>
        <w:footnoteRef/>
      </w:r>
      <w:r>
        <w:t xml:space="preserve"> </w:t>
      </w:r>
      <w:r>
        <w:t xml:space="preserve">Microsoft Learn,</w:t>
      </w:r>
      <w:r>
        <w:t xml:space="preserve"> </w:t>
      </w:r>
      <w:r>
        <w:t xml:space="preserve">“Configure Microsoft Entra for Zero Trust: Protect identities and secrets,”</w:t>
      </w:r>
      <w:r>
        <w:t xml:space="preserve"> </w:t>
      </w:r>
      <w:hyperlink r:id="rId1216">
        <w:r>
          <w:rPr>
            <w:rStyle w:val="Hyperlink"/>
          </w:rPr>
          <w:t xml:space="preserve">https://learn.microsoft.com/entra/fundamentals/zero-trust-protect-identities</w:t>
        </w:r>
      </w:hyperlink>
      <w:r>
        <w:t xml:space="preserve"> </w:t>
      </w:r>
      <w:r>
        <w:t xml:space="preserve">(accessed Oct 20, 2026).</w:t>
      </w:r>
    </w:p>
  </w:footnote>
  <w:footnote w:id="1217">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1024">
        <w:r>
          <w:rPr>
            <w:rStyle w:val="Hyperlink"/>
          </w:rPr>
          <w:t xml:space="preserve">https://bidenwhitehouse.archives.gov/wp-content/uploads/2022/01/M-22-09.pdf</w:t>
        </w:r>
      </w:hyperlink>
      <w:r>
        <w:t xml:space="preserve"> </w:t>
      </w:r>
      <w:r>
        <w:t xml:space="preserve">(accessed Oct 20, 2026).</w:t>
      </w:r>
    </w:p>
  </w:footnote>
  <w:footnote w:id="1218">
    <w:p>
      <w:pPr>
        <w:pStyle w:val="FootnoteText"/>
      </w:pPr>
      <w:r>
        <w:rPr>
          <w:rStyle w:val="FootnoteReference"/>
        </w:rPr>
        <w:footnoteRef/>
      </w:r>
      <w:r>
        <w:t xml:space="preserve"> </w:t>
      </w:r>
      <w:r>
        <w:t xml:space="preserve">Cybersecurity and Infrastructure Security Agency,</w:t>
      </w:r>
      <w:r>
        <w:t xml:space="preserve"> </w:t>
      </w:r>
      <w:r>
        <w:t xml:space="preserve">“BOD 25-01: Implementing Secure Practices for Cloud Services Required Configurations,”</w:t>
      </w:r>
      <w:r>
        <w:t xml:space="preserve"> </w:t>
      </w:r>
      <w:hyperlink r:id="rId1213">
        <w:r>
          <w:rPr>
            <w:rStyle w:val="Hyperlink"/>
          </w:rPr>
          <w:t xml:space="preserve">https://www.cisa.gov/resources-tools/services/bod-25-01-implementing-secure-practices-cloud-services-required-configurations</w:t>
        </w:r>
      </w:hyperlink>
      <w:r>
        <w:t xml:space="preserve"> </w:t>
      </w:r>
      <w:r>
        <w:t xml:space="preserve">(accessed Oct 20, 2026).</w:t>
      </w:r>
    </w:p>
  </w:footnote>
  <w:footnote w:id="1219">
    <w:p>
      <w:pPr>
        <w:pStyle w:val="FootnoteText"/>
      </w:pPr>
      <w:r>
        <w:rPr>
          <w:rStyle w:val="FootnoteReference"/>
        </w:rPr>
        <w:footnoteRef/>
      </w:r>
      <w:r>
        <w:t xml:space="preserve"> </w:t>
      </w:r>
      <w:r>
        <w:t xml:space="preserve">Microsoft Learn,</w:t>
      </w:r>
      <w:r>
        <w:t xml:space="preserve"> </w:t>
      </w:r>
      <w:r>
        <w:t xml:space="preserve">“Meet multifactor authentication requirements of memorandum 22-09,”</w:t>
      </w:r>
      <w:r>
        <w:t xml:space="preserve"> </w:t>
      </w:r>
      <w:hyperlink r:id="rId172">
        <w:r>
          <w:rPr>
            <w:rStyle w:val="Hyperlink"/>
          </w:rPr>
          <w:t xml:space="preserve">https://learn.microsoft.com/entra/standards/memo-22-09-multi-factor-authentication</w:t>
        </w:r>
      </w:hyperlink>
      <w:r>
        <w:t xml:space="preserve"> </w:t>
      </w:r>
      <w:r>
        <w:t xml:space="preserve">(accessed Oct 20, 2026).</w:t>
      </w:r>
    </w:p>
  </w:footnote>
  <w:footnote w:id="1222">
    <w:p>
      <w:pPr>
        <w:pStyle w:val="FootnoteText"/>
      </w:pPr>
      <w:r>
        <w:rPr>
          <w:rStyle w:val="FootnoteReference"/>
        </w:rPr>
        <w:footnoteRef/>
      </w:r>
      <w:r>
        <w:t xml:space="preserve"> </w:t>
      </w:r>
      <w:r>
        <w:t xml:space="preserve">Cybersecurity and Infrastructure Security Agency, BOD 25-01,</w:t>
      </w:r>
      <w:r>
        <w:t xml:space="preserve"> </w:t>
      </w:r>
      <w:r>
        <w:rPr>
          <w:i/>
          <w:iCs/>
        </w:rPr>
        <w:t xml:space="preserve">Implementing Secure Practices for Cloud Services</w:t>
      </w:r>
      <w:r>
        <w:t xml:space="preserve">, December 17, 2024,</w:t>
      </w:r>
      <w:r>
        <w:t xml:space="preserve"> </w:t>
      </w:r>
      <w:hyperlink r:id="rId417">
        <w:r>
          <w:rPr>
            <w:rStyle w:val="Hyperlink"/>
          </w:rPr>
          <w:t xml:space="preserve">https://www.cisa.gov/news-events/directives/bod-25-01-implementing-secure-practices-cloud-services</w:t>
        </w:r>
      </w:hyperlink>
      <w:r>
        <w:t xml:space="preserve"> </w:t>
      </w:r>
      <w:r>
        <w:t xml:space="preserve">(accessed Oct 20, 2026).</w:t>
      </w:r>
    </w:p>
  </w:footnote>
  <w:footnote w:id="1223">
    <w:p>
      <w:pPr>
        <w:pStyle w:val="FootnoteText"/>
      </w:pPr>
      <w:r>
        <w:rPr>
          <w:rStyle w:val="FootnoteReference"/>
        </w:rPr>
        <w:footnoteRef/>
      </w:r>
      <w:r>
        <w:t xml:space="preserve"> </w:t>
      </w:r>
      <w:r>
        <w:t xml:space="preserve">Cybersecurity and Infrastructure Security Agency, BOD 25-01,</w:t>
      </w:r>
      <w:r>
        <w:t xml:space="preserve"> </w:t>
      </w:r>
      <w:r>
        <w:rPr>
          <w:i/>
          <w:iCs/>
        </w:rPr>
        <w:t xml:space="preserve">Implementing Secure Practices for Cloud Services</w:t>
      </w:r>
      <w:r>
        <w:t xml:space="preserve">, December 17, 2024,</w:t>
      </w:r>
      <w:r>
        <w:t xml:space="preserve"> </w:t>
      </w:r>
      <w:hyperlink r:id="rId417">
        <w:r>
          <w:rPr>
            <w:rStyle w:val="Hyperlink"/>
          </w:rPr>
          <w:t xml:space="preserve">https://www.cisa.gov/news-events/directives/bod-25-01-implementing-secure-practices-cloud-services</w:t>
        </w:r>
      </w:hyperlink>
      <w:r>
        <w:t xml:space="preserve"> </w:t>
      </w:r>
      <w:r>
        <w:t xml:space="preserve">(accessed Oct 20, 2026).</w:t>
      </w:r>
    </w:p>
  </w:footnote>
  <w:footnote w:id="1224">
    <w:p>
      <w:pPr>
        <w:pStyle w:val="FootnoteText"/>
      </w:pPr>
      <w:r>
        <w:rPr>
          <w:rStyle w:val="FootnoteReference"/>
        </w:rPr>
        <w:footnoteRef/>
      </w:r>
      <w:r>
        <w:t xml:space="preserve"> </w:t>
      </w:r>
      <w:r>
        <w:t xml:space="preserve">Cybersecurity and Infrastructure Security Agency,</w:t>
      </w:r>
      <w:r>
        <w:t xml:space="preserve"> </w:t>
      </w:r>
      <w:r>
        <w:t xml:space="preserve">“BOD 25-01: Implementing Secure Practices for Cloud Services Required Configurations,”</w:t>
      </w:r>
      <w:r>
        <w:t xml:space="preserve"> </w:t>
      </w:r>
      <w:hyperlink r:id="rId1213">
        <w:r>
          <w:rPr>
            <w:rStyle w:val="Hyperlink"/>
          </w:rPr>
          <w:t xml:space="preserve">https://www.cisa.gov/resources-tools/services/bod-25-01-implementing-secure-practices-cloud-services-required-configurations</w:t>
        </w:r>
      </w:hyperlink>
      <w:r>
        <w:t xml:space="preserve"> </w:t>
      </w:r>
      <w:r>
        <w:t xml:space="preserve">(accessed Oct 20, 2026).</w:t>
      </w:r>
    </w:p>
  </w:footnote>
  <w:footnote w:id="1225">
    <w:p>
      <w:pPr>
        <w:pStyle w:val="FootnoteText"/>
      </w:pPr>
      <w:r>
        <w:rPr>
          <w:rStyle w:val="FootnoteReference"/>
        </w:rPr>
        <w:footnoteRef/>
      </w:r>
      <w:r>
        <w:t xml:space="preserve"> </w:t>
      </w:r>
      <w:r>
        <w:t xml:space="preserve">Cybersecurity and Infrastructure Security Agency, BOD 25-01,</w:t>
      </w:r>
      <w:r>
        <w:t xml:space="preserve"> </w:t>
      </w:r>
      <w:r>
        <w:rPr>
          <w:i/>
          <w:iCs/>
        </w:rPr>
        <w:t xml:space="preserve">Implementing Secure Practices for Cloud Services</w:t>
      </w:r>
      <w:r>
        <w:t xml:space="preserve">, December 17, 2024,</w:t>
      </w:r>
      <w:r>
        <w:t xml:space="preserve"> </w:t>
      </w:r>
      <w:hyperlink r:id="rId417">
        <w:r>
          <w:rPr>
            <w:rStyle w:val="Hyperlink"/>
          </w:rPr>
          <w:t xml:space="preserve">https://www.cisa.gov/news-events/directives/bod-25-01-implementing-secure-practices-cloud-services</w:t>
        </w:r>
      </w:hyperlink>
      <w:r>
        <w:t xml:space="preserve"> </w:t>
      </w:r>
      <w:r>
        <w:t xml:space="preserve">(accessed Oct 20, 2026).</w:t>
      </w:r>
    </w:p>
  </w:footnote>
  <w:footnote w:id="1227">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1024">
        <w:r>
          <w:rPr>
            <w:rStyle w:val="Hyperlink"/>
          </w:rPr>
          <w:t xml:space="preserve">https://bidenwhitehouse.archives.gov/wp-content/uploads/2022/01/M-22-09.pdf</w:t>
        </w:r>
      </w:hyperlink>
      <w:r>
        <w:t xml:space="preserve"> </w:t>
      </w:r>
      <w:r>
        <w:t xml:space="preserve">(accessed Oct 20, 2026).</w:t>
      </w:r>
    </w:p>
  </w:footnote>
  <w:footnote w:id="1228">
    <w:p>
      <w:pPr>
        <w:pStyle w:val="FootnoteText"/>
      </w:pPr>
      <w:r>
        <w:rPr>
          <w:rStyle w:val="FootnoteReference"/>
        </w:rPr>
        <w:footnoteRef/>
      </w:r>
      <w:r>
        <w:t xml:space="preserve"> </w:t>
      </w:r>
      <w:r>
        <w:t xml:space="preserve">Microsoft Learn,</w:t>
      </w:r>
      <w:r>
        <w:t xml:space="preserve"> </w:t>
      </w:r>
      <w:r>
        <w:t xml:space="preserve">“Meet multifactor authentication requirements of memorandum 22-09,”</w:t>
      </w:r>
      <w:r>
        <w:t xml:space="preserve"> </w:t>
      </w:r>
      <w:hyperlink r:id="rId172">
        <w:r>
          <w:rPr>
            <w:rStyle w:val="Hyperlink"/>
          </w:rPr>
          <w:t xml:space="preserve">https://learn.microsoft.com/entra/standards/memo-22-09-multi-factor-authentication</w:t>
        </w:r>
      </w:hyperlink>
      <w:r>
        <w:t xml:space="preserve"> </w:t>
      </w:r>
      <w:r>
        <w:t xml:space="preserve">(accessed Oct 20, 2026).</w:t>
      </w:r>
    </w:p>
  </w:footnote>
  <w:footnote w:id="1232">
    <w:p>
      <w:pPr>
        <w:pStyle w:val="FootnoteText"/>
      </w:pPr>
      <w:r>
        <w:rPr>
          <w:rStyle w:val="FootnoteReference"/>
        </w:rPr>
        <w:footnoteRef/>
      </w:r>
      <w:r>
        <w:t xml:space="preserve"> </w:t>
      </w:r>
      <w:r>
        <w:t xml:space="preserve">Microsoft Learn,</w:t>
      </w:r>
      <w:r>
        <w:t xml:space="preserve"> </w:t>
      </w:r>
      <w:r>
        <w:t xml:space="preserve">“Microsoft Entra Connect Sync: Scheduler,”</w:t>
      </w:r>
      <w:r>
        <w:t xml:space="preserve"> </w:t>
      </w:r>
      <w:hyperlink r:id="rId246">
        <w:r>
          <w:rPr>
            <w:rStyle w:val="Hyperlink"/>
          </w:rPr>
          <w:t xml:space="preserve">https://learn.microsoft.com/entra/identity/hybrid/connect/how-to-connect-sync-feature-scheduler</w:t>
        </w:r>
      </w:hyperlink>
      <w:r>
        <w:t xml:space="preserve"> </w:t>
      </w:r>
      <w:r>
        <w:t xml:space="preserve">(accessed Oct 20, 2026).</w:t>
      </w:r>
    </w:p>
  </w:footnote>
  <w:footnote w:id="1235">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Release 5.2.0, August 27, 2025),</w:t>
      </w:r>
      <w:r>
        <w:t xml:space="preserve"> </w:t>
      </w:r>
      <w:hyperlink r:id="rId392">
        <w:r>
          <w:rPr>
            <w:rStyle w:val="Hyperlink"/>
          </w:rPr>
          <w:t xml:space="preserve">https://csrc.nist.gov/pubs/sp/800/53/r5/upd1/final</w:t>
        </w:r>
      </w:hyperlink>
      <w:r>
        <w:t xml:space="preserve"> </w:t>
      </w:r>
      <w:r>
        <w:t xml:space="preserve">(accessed Oct 20, 2026).</w:t>
      </w:r>
    </w:p>
  </w:footnote>
  <w:footnote w:id="1236">
    <w:p>
      <w:pPr>
        <w:pStyle w:val="FootnoteText"/>
      </w:pPr>
      <w:r>
        <w:rPr>
          <w:rStyle w:val="FootnoteReference"/>
        </w:rPr>
        <w:footnoteRef/>
      </w:r>
      <w:r>
        <w:t xml:space="preserve"> </w:t>
      </w:r>
      <w:r>
        <w:t xml:space="preserve">National Institute of Standards and Technology,</w:t>
      </w:r>
      <w:r>
        <w:t xml:space="preserve"> </w:t>
      </w:r>
      <w:r>
        <w:rPr>
          <w:i/>
          <w:iCs/>
        </w:rPr>
        <w:t xml:space="preserve">NIST SP 800-53 Rev. 5 catalog</w:t>
      </w:r>
      <w:r>
        <w:t xml:space="preserve"> </w:t>
      </w:r>
      <w:r>
        <w:t xml:space="preserve">(OSCAL JSON, Release 5.2.0), usnistgov/oscal-content,</w:t>
      </w:r>
      <w:r>
        <w:t xml:space="preserve"> </w:t>
      </w:r>
      <w:hyperlink r:id="rId1237">
        <w:r>
          <w:rPr>
            <w:rStyle w:val="Hyperlink"/>
          </w:rPr>
          <w:t xml:space="preserve">https://raw.githubusercontent.com/usnistgov/oscal-content/main/nist.gov/SP800-53/rev5/json/NIST_SP-800-53_rev5_catalog.json</w:t>
        </w:r>
      </w:hyperlink>
      <w:r>
        <w:t xml:space="preserve"> </w:t>
      </w:r>
      <w:r>
        <w:t xml:space="preserve">(accessed Oct 20, 2026).</w:t>
      </w:r>
    </w:p>
  </w:footnote>
  <w:footnote w:id="1243">
    <w:p>
      <w:pPr>
        <w:pStyle w:val="FootnoteText"/>
      </w:pPr>
      <w:r>
        <w:rPr>
          <w:rStyle w:val="FootnoteReference"/>
        </w:rPr>
        <w:footnoteRef/>
      </w:r>
      <w:r>
        <w:t xml:space="preserve"> </w:t>
      </w:r>
      <w:r>
        <w:t xml:space="preserve">PKI Solutions,</w:t>
      </w:r>
      <w:r>
        <w:t xml:space="preserve"> </w:t>
      </w:r>
      <w:r>
        <w:t xml:space="preserve">“PowerShell PKI (PSPKI) Module,”</w:t>
      </w:r>
      <w:r>
        <w:t xml:space="preserve"> </w:t>
      </w:r>
      <w:hyperlink r:id="rId613">
        <w:r>
          <w:rPr>
            <w:rStyle w:val="Hyperlink"/>
          </w:rPr>
          <w:t xml:space="preserve">https://www.pkisolutions.com/tools/pspki/</w:t>
        </w:r>
      </w:hyperlink>
      <w:r>
        <w:t xml:space="preserve"> </w:t>
      </w:r>
      <w:r>
        <w:t xml:space="preserve">(accessed Oct 20, 2026).</w:t>
      </w:r>
    </w:p>
  </w:footnote>
  <w:footnote w:id="1244">
    <w:p>
      <w:pPr>
        <w:pStyle w:val="FootnoteText"/>
      </w:pPr>
      <w:r>
        <w:rPr>
          <w:rStyle w:val="FootnoteReference"/>
        </w:rPr>
        <w:footnoteRef/>
      </w:r>
      <w:r>
        <w:t xml:space="preserve"> </w:t>
      </w:r>
      <w:r>
        <w:t xml:space="preserve">PowerShell Gallery,</w:t>
      </w:r>
      <w:r>
        <w:t xml:space="preserve"> </w:t>
      </w:r>
      <w:r>
        <w:t xml:space="preserve">“PSPKI 4.4.1,”</w:t>
      </w:r>
      <w:r>
        <w:t xml:space="preserve"> </w:t>
      </w:r>
      <w:r>
        <w:t xml:space="preserve">function list,</w:t>
      </w:r>
      <w:r>
        <w:t xml:space="preserve"> </w:t>
      </w:r>
      <w:hyperlink r:id="rId615">
        <w:r>
          <w:rPr>
            <w:rStyle w:val="Hyperlink"/>
          </w:rPr>
          <w:t xml:space="preserve">https://www.powershellgallery.com/packages/PSPKI</w:t>
        </w:r>
      </w:hyperlink>
      <w:r>
        <w:t xml:space="preserve"> </w:t>
      </w:r>
      <w:r>
        <w:t xml:space="preserve">(accessed Oct 20, 2026).</w:t>
      </w:r>
    </w:p>
  </w:footnote>
  <w:footnote w:id="1245">
    <w:p>
      <w:pPr>
        <w:pStyle w:val="FootnoteText"/>
      </w:pPr>
      <w:r>
        <w:rPr>
          <w:rStyle w:val="FootnoteReference"/>
        </w:rPr>
        <w:footnoteRef/>
      </w:r>
      <w:r>
        <w:t xml:space="preserve"> </w:t>
      </w:r>
      <w:r>
        <w:t xml:space="preserve">Microsoft Learn,</w:t>
      </w:r>
      <w:r>
        <w:t xml:space="preserve"> </w:t>
      </w:r>
      <w:r>
        <w:t xml:space="preserve">“ActiveDirectory Module,”</w:t>
      </w:r>
      <w:r>
        <w:t xml:space="preserve"> </w:t>
      </w:r>
      <w:r>
        <w:t xml:space="preserve">cmdlet index,</w:t>
      </w:r>
      <w:r>
        <w:t xml:space="preserve"> </w:t>
      </w:r>
      <w:hyperlink r:id="rId642">
        <w:r>
          <w:rPr>
            <w:rStyle w:val="Hyperlink"/>
          </w:rPr>
          <w:t xml:space="preserve">https://learn.microsoft.com/powershell/module/activedirectory/?view=windowsserver2025-ps</w:t>
        </w:r>
      </w:hyperlink>
      <w:r>
        <w:t xml:space="preserve"> </w:t>
      </w:r>
      <w:r>
        <w:t xml:space="preserve">(accessed Oct 20, 2026).</w:t>
      </w:r>
    </w:p>
  </w:footnote>
  <w:footnote w:id="1246">
    <w:p>
      <w:pPr>
        <w:pStyle w:val="FootnoteText"/>
      </w:pPr>
      <w:r>
        <w:rPr>
          <w:rStyle w:val="FootnoteReference"/>
        </w:rPr>
        <w:footnoteRef/>
      </w:r>
      <w:r>
        <w:t xml:space="preserve"> </w:t>
      </w:r>
      <w:r>
        <w:t xml:space="preserve">Gitea, API specification (OpenAPI 2.0),</w:t>
      </w:r>
      <w:r>
        <w:t xml:space="preserve"> </w:t>
      </w:r>
      <w:hyperlink r:id="rId755">
        <w:r>
          <w:rPr>
            <w:rStyle w:val="Hyperlink"/>
          </w:rPr>
          <w:t xml:space="preserve">https://gitea.com/swagger.v1.json</w:t>
        </w:r>
      </w:hyperlink>
      <w:r>
        <w:t xml:space="preserve"> </w:t>
      </w:r>
      <w:r>
        <w:t xml:space="preserve">(accessed Oct 20, 2026). Confirm field names against</w:t>
      </w:r>
      <w:r>
        <w:t xml:space="preserve"> </w:t>
      </w:r>
      <w:r>
        <w:rPr>
          <w:rStyle w:val="VerbatimChar"/>
        </w:rPr>
        <w:t xml:space="preserve">/api/swagger</w:t>
      </w:r>
      <w:r>
        <w:t xml:space="preserve"> </w:t>
      </w:r>
      <w:r>
        <w:t xml:space="preserve">on your own instance; they vary by Gitea version.</w:t>
      </w:r>
    </w:p>
  </w:footnote>
  <w:footnote w:id="1253">
    <w:p>
      <w:pPr>
        <w:pStyle w:val="FootnoteText"/>
      </w:pPr>
      <w:r>
        <w:rPr>
          <w:rStyle w:val="FootnoteReference"/>
        </w:rPr>
        <w:footnoteRef/>
      </w:r>
      <w:r>
        <w:t xml:space="preserve"> </w:t>
      </w:r>
      <w:r>
        <w:t xml:space="preserve">Microsoft Learn,</w:t>
      </w:r>
      <w:r>
        <w:t xml:space="preserve"> </w:t>
      </w:r>
      <w:r>
        <w:t xml:space="preserve">“Get-GPPermission,”</w:t>
      </w:r>
      <w:r>
        <w:t xml:space="preserve"> </w:t>
      </w:r>
      <w:hyperlink r:id="rId661">
        <w:r>
          <w:rPr>
            <w:rStyle w:val="Hyperlink"/>
          </w:rPr>
          <w:t xml:space="preserve">https://learn.microsoft.com/powershell/module/grouppolicy/get-gppermission?view=windowsserver2025-ps</w:t>
        </w:r>
      </w:hyperlink>
      <w:r>
        <w:t xml:space="preserve"> </w:t>
      </w:r>
      <w:r>
        <w:t xml:space="preserve">(accessed Oct 20, 2026).</w:t>
      </w:r>
    </w:p>
  </w:footnote>
  <w:footnote w:id="1255">
    <w:p>
      <w:pPr>
        <w:pStyle w:val="FootnoteText"/>
      </w:pPr>
      <w:r>
        <w:rPr>
          <w:rStyle w:val="FootnoteReference"/>
        </w:rPr>
        <w:footnoteRef/>
      </w:r>
      <w:r>
        <w:t xml:space="preserve"> </w:t>
      </w:r>
      <w:r>
        <w:t xml:space="preserve">Microsoft Learn,</w:t>
      </w:r>
      <w:r>
        <w:t xml:space="preserve"> </w:t>
      </w:r>
      <w:r>
        <w:t xml:space="preserve">“Get-DnsServerDnsSecZoneSetting,”</w:t>
      </w:r>
      <w:r>
        <w:t xml:space="preserve"> </w:t>
      </w:r>
      <w:hyperlink r:id="rId668">
        <w:r>
          <w:rPr>
            <w:rStyle w:val="Hyperlink"/>
          </w:rPr>
          <w:t xml:space="preserve">https://learn.microsoft.com/powershell/module/dnsserver/get-dnsserverdnsseczonesetting?view=windowsserver2025-ps</w:t>
        </w:r>
      </w:hyperlink>
      <w:r>
        <w:t xml:space="preserve"> </w:t>
      </w:r>
      <w:r>
        <w:t xml:space="preserve">(accessed Oct 20, 2026).</w:t>
      </w:r>
    </w:p>
  </w:footnote>
  <w:footnote w:id="1256">
    <w:p>
      <w:pPr>
        <w:pStyle w:val="FootnoteText"/>
      </w:pPr>
      <w:r>
        <w:rPr>
          <w:rStyle w:val="FootnoteReference"/>
        </w:rPr>
        <w:footnoteRef/>
      </w:r>
      <w:r>
        <w:t xml:space="preserve"> </w:t>
      </w:r>
      <w:r>
        <w:t xml:space="preserve">Microsoft Learn,</w:t>
      </w:r>
      <w:r>
        <w:t xml:space="preserve"> </w:t>
      </w:r>
      <w:r>
        <w:t xml:space="preserve">“Configure DNS aging and scavenging,”</w:t>
      </w:r>
      <w:r>
        <w:t xml:space="preserve"> </w:t>
      </w:r>
      <w:hyperlink r:id="rId670">
        <w:r>
          <w:rPr>
            <w:rStyle w:val="Hyperlink"/>
          </w:rPr>
          <w:t xml:space="preserve">https://learn.microsoft.com/windows-server/networking/dns/configure-aging-scavenging</w:t>
        </w:r>
      </w:hyperlink>
      <w:r>
        <w:t xml:space="preserve"> </w:t>
      </w:r>
      <w:r>
        <w:t xml:space="preserve">(accessed Oct 20, 2026).</w:t>
      </w:r>
    </w:p>
  </w:footnote>
  <w:footnote w:id="1257">
    <w:p>
      <w:pPr>
        <w:pStyle w:val="FootnoteText"/>
      </w:pPr>
      <w:r>
        <w:rPr>
          <w:rStyle w:val="FootnoteReference"/>
        </w:rPr>
        <w:footnoteRef/>
      </w:r>
      <w:r>
        <w:t xml:space="preserve"> </w:t>
      </w:r>
      <w:r>
        <w:t xml:space="preserve">Microsoft Learn,</w:t>
      </w:r>
      <w:r>
        <w:t xml:space="preserve"> </w:t>
      </w:r>
      <w:r>
        <w:t xml:space="preserve">“Configure DNS aging and scavenging,”</w:t>
      </w:r>
      <w:r>
        <w:t xml:space="preserve"> </w:t>
      </w:r>
      <w:hyperlink r:id="rId670">
        <w:r>
          <w:rPr>
            <w:rStyle w:val="Hyperlink"/>
          </w:rPr>
          <w:t xml:space="preserve">https://learn.microsoft.com/windows-server/networking/dns/configure-aging-scavenging</w:t>
        </w:r>
      </w:hyperlink>
      <w:r>
        <w:t xml:space="preserve"> </w:t>
      </w:r>
      <w:r>
        <w:t xml:space="preserve">(accessed Oct 20, 2026).</w:t>
      </w:r>
    </w:p>
  </w:footnote>
  <w:footnote w:id="1259">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522">
        <w:r>
          <w:rPr>
            <w:rStyle w:val="Hyperlink"/>
          </w:rPr>
          <w:t xml:space="preserve">https://learn.microsoft.com/defender-for-identity/security-posture-assessments/certificates</w:t>
        </w:r>
      </w:hyperlink>
      <w:r>
        <w:t xml:space="preserve"> </w:t>
      </w:r>
      <w:r>
        <w:t xml:space="preserve">(accessed Oct 20, 2026).</w:t>
      </w:r>
    </w:p>
  </w:footnote>
  <w:footnote w:id="1260">
    <w:p>
      <w:pPr>
        <w:pStyle w:val="FootnoteText"/>
      </w:pPr>
      <w:r>
        <w:rPr>
          <w:rStyle w:val="FootnoteReference"/>
        </w:rPr>
        <w:footnoteRef/>
      </w:r>
      <w:r>
        <w:t xml:space="preserve"> </w:t>
      </w:r>
      <w:r>
        <w:t xml:space="preserve">Microsoft Learn,</w:t>
      </w:r>
      <w:r>
        <w:t xml:space="preserve"> </w:t>
      </w:r>
      <w:r>
        <w:t xml:space="preserve">“X509CertificateTemplateSubjectNameFlag enumeration (certenroll.h),”</w:t>
      </w:r>
      <w:r>
        <w:t xml:space="preserve"> </w:t>
      </w:r>
      <w:hyperlink r:id="rId686">
        <w:r>
          <w:rPr>
            <w:rStyle w:val="Hyperlink"/>
          </w:rPr>
          <w:t xml:space="preserve">https://learn.microsoft.com/windows/win32/api/certenroll/ne-certenroll-x509certificatetemplatesubjectnameflag</w:t>
        </w:r>
      </w:hyperlink>
      <w:r>
        <w:t xml:space="preserve"> </w:t>
      </w:r>
      <w:r>
        <w:t xml:space="preserve">(accessed Oct 20, 2026).</w:t>
      </w:r>
    </w:p>
  </w:footnote>
  <w:footnote w:id="1261">
    <w:p>
      <w:pPr>
        <w:pStyle w:val="FootnoteText"/>
      </w:pPr>
      <w:r>
        <w:rPr>
          <w:rStyle w:val="FootnoteReference"/>
        </w:rPr>
        <w:footnoteRef/>
      </w:r>
      <w:r>
        <w:t xml:space="preserve"> </w:t>
      </w:r>
      <w:r>
        <w:t xml:space="preserve">Microsoft Learn,</w:t>
      </w:r>
      <w:r>
        <w:t xml:space="preserve"> </w:t>
      </w:r>
      <w:r>
        <w:t xml:space="preserve">“X509CertificateTemplateEnrollmentFlag enumeration (certenroll.h),”</w:t>
      </w:r>
      <w:r>
        <w:t xml:space="preserve"> </w:t>
      </w:r>
      <w:hyperlink r:id="rId688">
        <w:r>
          <w:rPr>
            <w:rStyle w:val="Hyperlink"/>
          </w:rPr>
          <w:t xml:space="preserve">https://learn.microsoft.com/windows/win32/api/certenroll/ne-certenroll-x509certificatetemplateenrollmentflag</w:t>
        </w:r>
      </w:hyperlink>
      <w:r>
        <w:t xml:space="preserve"> </w:t>
      </w:r>
      <w:r>
        <w:t xml:space="preserve">(accessed Oct 20, 2026).</w:t>
      </w:r>
    </w:p>
  </w:footnote>
  <w:footnote w:id="1262">
    <w:p>
      <w:pPr>
        <w:pStyle w:val="FootnoteText"/>
      </w:pPr>
      <w:r>
        <w:rPr>
          <w:rStyle w:val="FootnoteReference"/>
        </w:rPr>
        <w:footnoteRef/>
      </w:r>
      <w:r>
        <w:t xml:space="preserve"> </w:t>
      </w:r>
      <w:r>
        <w:t xml:space="preserve">Microsoft Learn,</w:t>
      </w:r>
      <w:r>
        <w:t xml:space="preserve"> </w:t>
      </w:r>
      <w:r>
        <w:t xml:space="preserve">“Certificate-Enrollment extended right,”</w:t>
      </w:r>
      <w:r>
        <w:t xml:space="preserve"> </w:t>
      </w:r>
      <w:hyperlink r:id="rId1263">
        <w:r>
          <w:rPr>
            <w:rStyle w:val="Hyperlink"/>
          </w:rPr>
          <w:t xml:space="preserve">https://learn.microsoft.com/windows/win32/adschema/r-certificate-enrollment</w:t>
        </w:r>
      </w:hyperlink>
      <w:r>
        <w:t xml:space="preserve"> </w:t>
      </w:r>
      <w:r>
        <w:t xml:space="preserve">(accessed Oct 20, 2026).</w:t>
      </w:r>
    </w:p>
  </w:footnote>
  <w:footnote w:id="1264">
    <w:p>
      <w:pPr>
        <w:pStyle w:val="FootnoteText"/>
      </w:pPr>
      <w:r>
        <w:rPr>
          <w:rStyle w:val="FootnoteReference"/>
        </w:rPr>
        <w:footnoteRef/>
      </w:r>
      <w:r>
        <w:t xml:space="preserve"> </w:t>
      </w:r>
      <w:r>
        <w:t xml:space="preserve">Microsoft Learn,</w:t>
      </w:r>
      <w:r>
        <w:t xml:space="preserve"> </w:t>
      </w:r>
      <w:r>
        <w:t xml:space="preserve">“Guidelines for enabling smart card logon with third-party certification authorities,”</w:t>
      </w:r>
      <w:r>
        <w:t xml:space="preserve"> </w:t>
      </w:r>
      <w:hyperlink r:id="rId690">
        <w:r>
          <w:rPr>
            <w:rStyle w:val="Hyperlink"/>
          </w:rPr>
          <w:t xml:space="preserve">https://learn.microsoft.com/troubleshoot/windows-server/certificates-and-public-key-infrastructure-pki/enabling-smart-card-logon-third-party-certification-authorities</w:t>
        </w:r>
      </w:hyperlink>
      <w:r>
        <w:t xml:space="preserve"> </w:t>
      </w:r>
      <w:r>
        <w:t xml:space="preserve">(accessed Oct 20, 2026).</w:t>
      </w:r>
    </w:p>
  </w:footnote>
  <w:footnote w:id="1265">
    <w:p>
      <w:pPr>
        <w:pStyle w:val="FootnoteText"/>
      </w:pPr>
      <w:r>
        <w:rPr>
          <w:rStyle w:val="FootnoteReference"/>
        </w:rPr>
        <w:footnoteRef/>
      </w:r>
      <w:r>
        <w:t xml:space="preserve"> </w:t>
      </w:r>
      <w:r>
        <w:t xml:space="preserve">Internet Engineering Task Force, RFC 4556,</w:t>
      </w:r>
      <w:r>
        <w:t xml:space="preserve"> </w:t>
      </w:r>
      <w:r>
        <w:rPr>
          <w:i/>
          <w:iCs/>
        </w:rPr>
        <w:t xml:space="preserve">Public Key Cryptography for Initial Authentication in Kerberos (PKINIT)</w:t>
      </w:r>
      <w:r>
        <w:t xml:space="preserve">, June 2006,</w:t>
      </w:r>
      <w:r>
        <w:t xml:space="preserve"> </w:t>
      </w:r>
      <w:hyperlink r:id="rId692">
        <w:r>
          <w:rPr>
            <w:rStyle w:val="Hyperlink"/>
          </w:rPr>
          <w:t xml:space="preserve">https://www.rfc-editor.org/rfc/rfc4556</w:t>
        </w:r>
      </w:hyperlink>
      <w:r>
        <w:t xml:space="preserve"> </w:t>
      </w:r>
      <w:r>
        <w:t xml:space="preserve">(accessed Oct 20, 2026).</w:t>
      </w:r>
    </w:p>
  </w:footnote>
  <w:footnote w:id="1266">
    <w:p>
      <w:pPr>
        <w:pStyle w:val="FootnoteText"/>
      </w:pPr>
      <w:r>
        <w:rPr>
          <w:rStyle w:val="FootnoteReference"/>
        </w:rPr>
        <w:footnoteRef/>
      </w:r>
      <w:r>
        <w:t xml:space="preserve"> </w:t>
      </w:r>
      <w:r>
        <w:t xml:space="preserve">Internet Engineering Task Force, RFC 5280,</w:t>
      </w:r>
      <w:r>
        <w:t xml:space="preserve"> </w:t>
      </w:r>
      <w:r>
        <w:rPr>
          <w:i/>
          <w:iCs/>
        </w:rPr>
        <w:t xml:space="preserve">Internet X.509 Public Key Infrastructure Certificate and Certificate Revocation List (CRL) Profile</w:t>
      </w:r>
      <w:r>
        <w:t xml:space="preserve">, section 4.2.1.12, May 2008,</w:t>
      </w:r>
      <w:r>
        <w:t xml:space="preserve"> </w:t>
      </w:r>
      <w:hyperlink r:id="rId694">
        <w:r>
          <w:rPr>
            <w:rStyle w:val="Hyperlink"/>
          </w:rPr>
          <w:t xml:space="preserve">https://www.rfc-editor.org/rfc/rfc5280</w:t>
        </w:r>
      </w:hyperlink>
      <w:r>
        <w:t xml:space="preserve"> </w:t>
      </w:r>
      <w:r>
        <w:t xml:space="preserve">(accessed Oct 20, 2026).</w:t>
      </w:r>
    </w:p>
  </w:footnote>
  <w:footnote w:id="1267">
    <w:p>
      <w:pPr>
        <w:pStyle w:val="FootnoteText"/>
      </w:pPr>
      <w:r>
        <w:rPr>
          <w:rStyle w:val="FootnoteReference"/>
        </w:rPr>
        <w:footnoteRef/>
      </w:r>
      <w:r>
        <w:t xml:space="preserve"> </w:t>
      </w:r>
      <w:r>
        <w:t xml:space="preserve">Microsoft Learn,</w:t>
      </w:r>
      <w:r>
        <w:t xml:space="preserve"> </w:t>
      </w:r>
      <w:r>
        <w:t xml:space="preserve">“Monitor AD CS publication health with Enterprise PKI,”</w:t>
      </w:r>
      <w:r>
        <w:t xml:space="preserve"> </w:t>
      </w:r>
      <w:r>
        <w:t xml:space="preserve">section</w:t>
      </w:r>
      <w:r>
        <w:t xml:space="preserve"> </w:t>
      </w:r>
      <w:r>
        <w:t xml:space="preserve">“Understand Public Key Services data,”</w:t>
      </w:r>
      <w:r>
        <w:t xml:space="preserve"> </w:t>
      </w:r>
      <w:hyperlink r:id="rId674">
        <w:r>
          <w:rPr>
            <w:rStyle w:val="Hyperlink"/>
          </w:rPr>
          <w:t xml:space="preserve">https://learn.microsoft.com/windows-server/identity/ad-cs/monitor-ad-cs-health-enterprise-pki</w:t>
        </w:r>
      </w:hyperlink>
      <w:r>
        <w:t xml:space="preserve"> </w:t>
      </w:r>
      <w:r>
        <w:t xml:space="preserve">(accessed Oct 20, 2026).</w:t>
      </w:r>
    </w:p>
  </w:footnote>
  <w:footnote w:id="1268">
    <w:p>
      <w:pPr>
        <w:pStyle w:val="FootnoteText"/>
      </w:pPr>
      <w:r>
        <w:rPr>
          <w:rStyle w:val="FootnoteReference"/>
        </w:rPr>
        <w:footnoteRef/>
      </w:r>
      <w:r>
        <w:t xml:space="preserve"> </w:t>
      </w:r>
      <w:r>
        <w:t xml:space="preserve">Microsoft Learn,</w:t>
      </w:r>
      <w:r>
        <w:t xml:space="preserve"> </w:t>
      </w:r>
      <w:r>
        <w:t xml:space="preserve">“certutil,”</w:t>
      </w:r>
      <w:r>
        <w:t xml:space="preserve"> </w:t>
      </w:r>
      <w:hyperlink r:id="rId676">
        <w:r>
          <w:rPr>
            <w:rStyle w:val="Hyperlink"/>
          </w:rPr>
          <w:t xml:space="preserve">https://learn.microsoft.com/windows-server/administration/windows-commands/certutil</w:t>
        </w:r>
      </w:hyperlink>
      <w:r>
        <w:t xml:space="preserve"> </w:t>
      </w:r>
      <w:r>
        <w:t xml:space="preserve">(accessed Oct 20, 2026).</w:t>
      </w:r>
    </w:p>
  </w:footnote>
  <w:footnote w:id="1269">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522">
        <w:r>
          <w:rPr>
            <w:rStyle w:val="Hyperlink"/>
          </w:rPr>
          <w:t xml:space="preserve">https://learn.microsoft.com/defender-for-identity/security-posture-assessments/certificates</w:t>
        </w:r>
      </w:hyperlink>
      <w:r>
        <w:t xml:space="preserve"> </w:t>
      </w:r>
      <w:r>
        <w:t xml:space="preserve">(accessed Oct 20, 2026).</w:t>
      </w:r>
    </w:p>
  </w:footnote>
  <w:footnote w:id="1270">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522">
        <w:r>
          <w:rPr>
            <w:rStyle w:val="Hyperlink"/>
          </w:rPr>
          <w:t xml:space="preserve">https://learn.microsoft.com/defender-for-identity/security-posture-assessments/certificates</w:t>
        </w:r>
      </w:hyperlink>
      <w:r>
        <w:t xml:space="preserve"> </w:t>
      </w:r>
      <w:r>
        <w:t xml:space="preserve">(accessed Oct 20, 2026).</w:t>
      </w:r>
    </w:p>
  </w:footnote>
  <w:footnote w:id="1272">
    <w:p>
      <w:pPr>
        <w:pStyle w:val="FootnoteText"/>
      </w:pPr>
      <w:r>
        <w:rPr>
          <w:rStyle w:val="FootnoteReference"/>
        </w:rPr>
        <w:footnoteRef/>
      </w:r>
      <w:r>
        <w:t xml:space="preserve"> </w:t>
      </w:r>
      <w:r>
        <w:t xml:space="preserve">Microsoft Learn,</w:t>
      </w:r>
      <w:r>
        <w:t xml:space="preserve"> </w:t>
      </w:r>
      <w:r>
        <w:t xml:space="preserve">“Kerberos Constrained Delegation Overview,”</w:t>
      </w:r>
      <w:r>
        <w:t xml:space="preserve"> </w:t>
      </w:r>
      <w:hyperlink r:id="rId704">
        <w:r>
          <w:rPr>
            <w:rStyle w:val="Hyperlink"/>
          </w:rPr>
          <w:t xml:space="preserve">https://learn.microsoft.com/windows-server/security/kerberos/kerberos-constrained-delegation-overview</w:t>
        </w:r>
      </w:hyperlink>
      <w:r>
        <w:t xml:space="preserve">, and</w:t>
      </w:r>
      <w:r>
        <w:t xml:space="preserve"> </w:t>
      </w:r>
      <w:r>
        <w:t xml:space="preserve">“Making the second hop in PowerShell Remoting,”</w:t>
      </w:r>
      <w:r>
        <w:t xml:space="preserve"> </w:t>
      </w:r>
      <w:hyperlink r:id="rId611">
        <w:r>
          <w:rPr>
            <w:rStyle w:val="Hyperlink"/>
          </w:rPr>
          <w:t xml:space="preserve">https://learn.microsoft.com/powershell/scripting/security/remoting/ps-remoting-second-hop</w:t>
        </w:r>
      </w:hyperlink>
      <w:r>
        <w:t xml:space="preserve"> </w:t>
      </w:r>
      <w:r>
        <w:t xml:space="preserve">(accessed Oct 20, 2026).</w:t>
      </w:r>
    </w:p>
  </w:footnote>
  <w:footnote w:id="1274">
    <w:p>
      <w:pPr>
        <w:pStyle w:val="FootnoteText"/>
      </w:pPr>
      <w:r>
        <w:rPr>
          <w:rStyle w:val="FootnoteReference"/>
        </w:rPr>
        <w:footnoteRef/>
      </w:r>
      <w:r>
        <w:t xml:space="preserve"> </w:t>
      </w:r>
      <w:r>
        <w:t xml:space="preserve">Microsoft Learn,</w:t>
      </w:r>
      <w:r>
        <w:t xml:space="preserve"> </w:t>
      </w:r>
      <w:r>
        <w:t xml:space="preserve">“Privileged access security levels,”</w:t>
      </w:r>
      <w:r>
        <w:t xml:space="preserve"> </w:t>
      </w:r>
      <w:hyperlink r:id="rId711">
        <w:r>
          <w:rPr>
            <w:rStyle w:val="Hyperlink"/>
          </w:rPr>
          <w:t xml:space="preserve">https://learn.microsoft.com/security/privileged-access-workstations/privileged-access-security-levels</w:t>
        </w:r>
      </w:hyperlink>
      <w:r>
        <w:t xml:space="preserve"> </w:t>
      </w:r>
      <w:r>
        <w:t xml:space="preserve">(accessed Oct 20, 2026).</w:t>
      </w:r>
    </w:p>
  </w:footnote>
  <w:footnote w:id="1275">
    <w:p>
      <w:pPr>
        <w:pStyle w:val="FootnoteText"/>
      </w:pPr>
      <w:r>
        <w:rPr>
          <w:rStyle w:val="FootnoteReference"/>
        </w:rPr>
        <w:footnoteRef/>
      </w:r>
      <w:r>
        <w:t xml:space="preserve"> </w:t>
      </w:r>
      <w:r>
        <w:t xml:space="preserve">Microsoft Learn,</w:t>
      </w:r>
      <w:r>
        <w:t xml:space="preserve"> </w:t>
      </w:r>
      <w:r>
        <w:t xml:space="preserve">“Reducing the Active Directory Attack Surface,”</w:t>
      </w:r>
      <w:r>
        <w:t xml:space="preserve"> </w:t>
      </w:r>
      <w:hyperlink r:id="rId555">
        <w:r>
          <w:rPr>
            <w:rStyle w:val="Hyperlink"/>
          </w:rPr>
          <w:t xml:space="preserve">https://learn.microsoft.com/windows-server/identity/ad-ds/plan/security-best-practices/reducing-the-active-directory-attack-surface</w:t>
        </w:r>
      </w:hyperlink>
      <w:r>
        <w:t xml:space="preserve"> </w:t>
      </w:r>
      <w:r>
        <w:t xml:space="preserve">(accessed Oct 20, 2026).</w:t>
      </w:r>
    </w:p>
  </w:footnote>
  <w:footnote w:id="1276">
    <w:p>
      <w:pPr>
        <w:pStyle w:val="FootnoteText"/>
      </w:pPr>
      <w:r>
        <w:rPr>
          <w:rStyle w:val="FootnoteReference"/>
        </w:rPr>
        <w:footnoteRef/>
      </w:r>
      <w:r>
        <w:t xml:space="preserve"> </w:t>
      </w:r>
      <w:r>
        <w:t xml:space="preserve">Microsoft Learn,</w:t>
      </w:r>
      <w:r>
        <w:t xml:space="preserve"> </w:t>
      </w:r>
      <w:r>
        <w:t xml:space="preserve">“Windows Server 2008 and newer domain controller returns only 5000 values in an LDAP response,”</w:t>
      </w:r>
      <w:r>
        <w:t xml:space="preserve"> </w:t>
      </w:r>
      <w:hyperlink r:id="rId721">
        <w:r>
          <w:rPr>
            <w:rStyle w:val="Hyperlink"/>
          </w:rPr>
          <w:t xml:space="preserve">https://learn.microsoft.com/troubleshoot/windows-server/active-directory/domain-controller-returns-500-values-ldap-response</w:t>
        </w:r>
      </w:hyperlink>
      <w:r>
        <w:t xml:space="preserve"> </w:t>
      </w:r>
      <w:r>
        <w:t xml:space="preserve">(accessed Oct 20, 2026).</w:t>
      </w:r>
    </w:p>
  </w:footnote>
  <w:footnote w:id="1277">
    <w:p>
      <w:pPr>
        <w:pStyle w:val="FootnoteText"/>
      </w:pPr>
      <w:r>
        <w:rPr>
          <w:rStyle w:val="FootnoteReference"/>
        </w:rPr>
        <w:footnoteRef/>
      </w:r>
      <w:r>
        <w:t xml:space="preserve"> </w:t>
      </w:r>
      <w:r>
        <w:t xml:space="preserve">Microsoft Learn,</w:t>
      </w:r>
      <w:r>
        <w:t xml:space="preserve"> </w:t>
      </w:r>
      <w:r>
        <w:t xml:space="preserve">“ms-DS-Group-Managed-Service-Account class,”</w:t>
      </w:r>
      <w:r>
        <w:t xml:space="preserve"> </w:t>
      </w:r>
      <w:hyperlink r:id="rId1278">
        <w:r>
          <w:rPr>
            <w:rStyle w:val="Hyperlink"/>
          </w:rPr>
          <w:t xml:space="preserve">https://learn.microsoft.com/windows/win32/adschema/c-msds-groupmanagedserviceaccount</w:t>
        </w:r>
      </w:hyperlink>
      <w:r>
        <w:t xml:space="preserve"> </w:t>
      </w:r>
      <w:r>
        <w:t xml:space="preserve">(accessed Oct 20, 2026).</w:t>
      </w:r>
    </w:p>
  </w:footnote>
  <w:footnote w:id="1279">
    <w:p>
      <w:pPr>
        <w:pStyle w:val="FootnoteText"/>
      </w:pPr>
      <w:r>
        <w:rPr>
          <w:rStyle w:val="FootnoteReference"/>
        </w:rPr>
        <w:footnoteRef/>
      </w:r>
      <w:r>
        <w:t xml:space="preserve"> </w:t>
      </w:r>
      <w:r>
        <w:t xml:space="preserve">Microsoft Learn,</w:t>
      </w:r>
      <w:r>
        <w:t xml:space="preserve"> </w:t>
      </w:r>
      <w:r>
        <w:t xml:space="preserve">“Delegated Managed Service Accounts overview,”</w:t>
      </w:r>
      <w:r>
        <w:t xml:space="preserve"> </w:t>
      </w:r>
      <w:hyperlink r:id="rId716">
        <w:r>
          <w:rPr>
            <w:rStyle w:val="Hyperlink"/>
          </w:rPr>
          <w:t xml:space="preserve">https://learn.microsoft.com/windows-server/identity/ad-ds/manage/delegated-managed-service-accounts/delegated-managed-service-accounts-overview</w:t>
        </w:r>
      </w:hyperlink>
      <w:r>
        <w:t xml:space="preserve"> </w:t>
      </w:r>
      <w:r>
        <w:t xml:space="preserve">(accessed Oct 20, 2026).</w:t>
      </w:r>
    </w:p>
  </w:footnote>
  <w:footnote w:id="1281">
    <w:p>
      <w:pPr>
        <w:pStyle w:val="FootnoteText"/>
      </w:pPr>
      <w:r>
        <w:rPr>
          <w:rStyle w:val="FootnoteReference"/>
        </w:rPr>
        <w:footnoteRef/>
      </w:r>
      <w:r>
        <w:t xml:space="preserve"> </w:t>
      </w:r>
      <w:r>
        <w:t xml:space="preserve">Microsoft, [MS-ADTS]</w:t>
      </w:r>
      <w:r>
        <w:t xml:space="preserve"> </w:t>
      </w:r>
      <w:r>
        <w:rPr>
          <w:i/>
          <w:iCs/>
        </w:rPr>
        <w:t xml:space="preserve">Active Directory Technical Specification</w:t>
      </w:r>
      <w:r>
        <w:t xml:space="preserve">,</w:t>
      </w:r>
      <w:r>
        <w:t xml:space="preserve"> </w:t>
      </w:r>
      <w:r>
        <w:t xml:space="preserve">“trustAttributes,”</w:t>
      </w:r>
      <w:r>
        <w:t xml:space="preserve"> </w:t>
      </w:r>
      <w:hyperlink r:id="rId731">
        <w:r>
          <w:rPr>
            <w:rStyle w:val="Hyperlink"/>
          </w:rPr>
          <w:t xml:space="preserve">https://learn.microsoft.com/openspecs/windows_protocols/ms-adts/e9a2d23c-c31e-4a6f-88a0-6646fdb51a3c</w:t>
        </w:r>
      </w:hyperlink>
      <w:r>
        <w:t xml:space="preserve"> </w:t>
      </w:r>
      <w:r>
        <w:t xml:space="preserve">(accessed Oct 20, 2026).</w:t>
      </w:r>
    </w:p>
  </w:footnote>
  <w:footnote w:id="1282">
    <w:p>
      <w:pPr>
        <w:pStyle w:val="FootnoteText"/>
      </w:pPr>
      <w:r>
        <w:rPr>
          <w:rStyle w:val="FootnoteReference"/>
        </w:rPr>
        <w:footnoteRef/>
      </w:r>
      <w:r>
        <w:t xml:space="preserve"> </w:t>
      </w:r>
      <w:r>
        <w:t xml:space="preserve">Microsoft Learn,</w:t>
      </w:r>
      <w:r>
        <w:t xml:space="preserve"> </w:t>
      </w:r>
      <w:r>
        <w:t xml:space="preserve">“netdom trust,”</w:t>
      </w:r>
      <w:r>
        <w:t xml:space="preserve"> </w:t>
      </w:r>
      <w:hyperlink r:id="rId620">
        <w:r>
          <w:rPr>
            <w:rStyle w:val="Hyperlink"/>
          </w:rPr>
          <w:t xml:space="preserve">https://learn.microsoft.com/windows-server/administration/windows-commands/netdom-trust</w:t>
        </w:r>
      </w:hyperlink>
      <w:r>
        <w:t xml:space="preserve"> </w:t>
      </w:r>
      <w:r>
        <w:t xml:space="preserve">(accessed Oct 20, 2026).</w:t>
      </w:r>
    </w:p>
  </w:footnote>
  <w:footnote w:id="1286">
    <w:p>
      <w:pPr>
        <w:pStyle w:val="FootnoteText"/>
      </w:pPr>
      <w:r>
        <w:rPr>
          <w:rStyle w:val="FootnoteReference"/>
        </w:rPr>
        <w:footnoteRef/>
      </w:r>
      <w:r>
        <w:t xml:space="preserve"> </w:t>
      </w:r>
      <w:r>
        <w:t xml:space="preserve">Gitea, API specification (OpenAPI 2.0),</w:t>
      </w:r>
      <w:r>
        <w:t xml:space="preserve"> </w:t>
      </w:r>
      <w:hyperlink r:id="rId755">
        <w:r>
          <w:rPr>
            <w:rStyle w:val="Hyperlink"/>
          </w:rPr>
          <w:t xml:space="preserve">https://gitea.com/swagger.v1.json</w:t>
        </w:r>
      </w:hyperlink>
      <w:r>
        <w:t xml:space="preserve"> </w:t>
      </w:r>
      <w:r>
        <w:t xml:space="preserve">(accessed Oct 20, 2026). Confirm field names against</w:t>
      </w:r>
      <w:r>
        <w:t xml:space="preserve"> </w:t>
      </w:r>
      <w:r>
        <w:rPr>
          <w:rStyle w:val="VerbatimChar"/>
        </w:rPr>
        <w:t xml:space="preserve">/api/swagger</w:t>
      </w:r>
      <w:r>
        <w:t xml:space="preserve"> </w:t>
      </w:r>
      <w:r>
        <w:t xml:space="preserve">on your own instance; they vary by Gitea version.</w:t>
      </w:r>
    </w:p>
  </w:footnote>
  <w:footnote w:id="1287">
    <w:p>
      <w:pPr>
        <w:pStyle w:val="FootnoteText"/>
      </w:pPr>
      <w:r>
        <w:rPr>
          <w:rStyle w:val="FootnoteReference"/>
        </w:rPr>
        <w:footnoteRef/>
      </w:r>
      <w:r>
        <w:t xml:space="preserve"> </w:t>
      </w:r>
      <w:r>
        <w:t xml:space="preserve">Gitea,</w:t>
      </w:r>
      <w:r>
        <w:t xml:space="preserve"> </w:t>
      </w:r>
      <w:r>
        <w:t xml:space="preserve">“API Usage,”</w:t>
      </w:r>
      <w:r>
        <w:t xml:space="preserve"> </w:t>
      </w:r>
      <w:hyperlink r:id="rId753">
        <w:r>
          <w:rPr>
            <w:rStyle w:val="Hyperlink"/>
          </w:rPr>
          <w:t xml:space="preserve">https://docs.gitea.com/development/api-usage</w:t>
        </w:r>
      </w:hyperlink>
      <w:r>
        <w:t xml:space="preserve"> </w:t>
      </w:r>
      <w:r>
        <w:t xml:space="preserve">(accessed Oct 20, 2026).</w:t>
      </w:r>
    </w:p>
  </w:footnote>
  <w:footnote w:id="1289">
    <w:p>
      <w:pPr>
        <w:pStyle w:val="FootnoteText"/>
      </w:pPr>
      <w:r>
        <w:rPr>
          <w:rStyle w:val="FootnoteReference"/>
        </w:rPr>
        <w:footnoteRef/>
      </w:r>
      <w:r>
        <w:t xml:space="preserve"> </w:t>
      </w:r>
      <w:r>
        <w:t xml:space="preserve">Gitea, API specification (OpenAPI 2.0),</w:t>
      </w:r>
      <w:r>
        <w:t xml:space="preserve"> </w:t>
      </w:r>
      <w:hyperlink r:id="rId755">
        <w:r>
          <w:rPr>
            <w:rStyle w:val="Hyperlink"/>
          </w:rPr>
          <w:t xml:space="preserve">https://gitea.com/swagger.v1.json</w:t>
        </w:r>
      </w:hyperlink>
      <w:r>
        <w:t xml:space="preserve"> </w:t>
      </w:r>
      <w:r>
        <w:t xml:space="preserve">(accessed Oct 20, 2026). Confirm field names against</w:t>
      </w:r>
      <w:r>
        <w:t xml:space="preserve"> </w:t>
      </w:r>
      <w:r>
        <w:rPr>
          <w:rStyle w:val="VerbatimChar"/>
        </w:rPr>
        <w:t xml:space="preserve">/api/swagger</w:t>
      </w:r>
      <w:r>
        <w:t xml:space="preserve"> </w:t>
      </w:r>
      <w:r>
        <w:t xml:space="preserve">on your own instance; they vary by Gitea version.</w:t>
      </w:r>
    </w:p>
  </w:footnote>
  <w:footnote w:id="1290">
    <w:p>
      <w:pPr>
        <w:pStyle w:val="FootnoteText"/>
      </w:pPr>
      <w:r>
        <w:rPr>
          <w:rStyle w:val="FootnoteReference"/>
        </w:rPr>
        <w:footnoteRef/>
      </w:r>
      <w:r>
        <w:t xml:space="preserve"> </w:t>
      </w:r>
      <w:r>
        <w:t xml:space="preserve">Microsoft Learn,</w:t>
      </w:r>
      <w:r>
        <w:t xml:space="preserve"> </w:t>
      </w:r>
      <w:r>
        <w:t xml:space="preserve">“Run assessments with Managed Service Accounts,”</w:t>
      </w:r>
      <w:r>
        <w:t xml:space="preserve"> </w:t>
      </w:r>
      <w:r>
        <w:t xml:space="preserve">Microsoft Engage Center,</w:t>
      </w:r>
      <w:r>
        <w:t xml:space="preserve"> </w:t>
      </w:r>
      <w:hyperlink r:id="rId749">
        <w:r>
          <w:rPr>
            <w:rStyle w:val="Hyperlink"/>
          </w:rPr>
          <w:t xml:space="preserve">https://learn.microsoft.com/services-hub/microsoft-engage-center/health/kb/kb-running-assessments-with-msas</w:t>
        </w:r>
      </w:hyperlink>
      <w:r>
        <w:t xml:space="preserve"> </w:t>
      </w:r>
      <w:r>
        <w:t xml:space="preserve">(accessed Oct 20, 2026).</w:t>
      </w:r>
    </w:p>
  </w:footnote>
  <w:footnote w:id="1291">
    <w:p>
      <w:pPr>
        <w:pStyle w:val="FootnoteText"/>
      </w:pPr>
      <w:r>
        <w:rPr>
          <w:rStyle w:val="FootnoteReference"/>
        </w:rPr>
        <w:footnoteRef/>
      </w:r>
      <w:r>
        <w:t xml:space="preserve"> </w:t>
      </w:r>
      <w:r>
        <w:t xml:space="preserve">Microsoft Learn,</w:t>
      </w:r>
      <w:r>
        <w:t xml:space="preserve"> </w:t>
      </w:r>
      <w:r>
        <w:t xml:space="preserve">“New-ScheduledTaskPrincipal,”</w:t>
      </w:r>
      <w:r>
        <w:t xml:space="preserve"> </w:t>
      </w:r>
      <w:r>
        <w:t xml:space="preserve">parameter</w:t>
      </w:r>
      <w:r>
        <w:t xml:space="preserve"> </w:t>
      </w:r>
      <w:r>
        <w:rPr>
          <w:rStyle w:val="VerbatimChar"/>
        </w:rPr>
        <w:t xml:space="preserve">-LogonType</w:t>
      </w:r>
      <w:r>
        <w:t xml:space="preserve">,</w:t>
      </w:r>
      <w:r>
        <w:t xml:space="preserve"> </w:t>
      </w:r>
      <w:hyperlink r:id="rId1292">
        <w:r>
          <w:rPr>
            <w:rStyle w:val="Hyperlink"/>
          </w:rPr>
          <w:t xml:space="preserve">https://learn.microsoft.com/powershell/module/scheduledtasks/new-scheduledtaskprincipal?view=windowsserver2025-ps</w:t>
        </w:r>
      </w:hyperlink>
      <w:r>
        <w:t xml:space="preserve">, and</w:t>
      </w:r>
      <w:r>
        <w:t xml:space="preserve"> </w:t>
      </w:r>
      <w:r>
        <w:t xml:space="preserve">“Manage group Managed Service Accounts,”</w:t>
      </w:r>
      <w:r>
        <w:t xml:space="preserve"> </w:t>
      </w:r>
      <w:hyperlink r:id="rId718">
        <w:r>
          <w:rPr>
            <w:rStyle w:val="Hyperlink"/>
          </w:rPr>
          <w:t xml:space="preserve">https://learn.microsoft.com/windows-server/identity/ad-ds/manage/group-managed-service-accounts/group-managed-service-accounts/manage-group-managed-service-accounts</w:t>
        </w:r>
      </w:hyperlink>
      <w:r>
        <w:t xml:space="preserve"> </w:t>
      </w:r>
      <w:r>
        <w:t xml:space="preserve">(accessed Oct 20, 2026).</w:t>
      </w:r>
    </w:p>
  </w:footnote>
  <w:footnote w:id="1296">
    <w:p>
      <w:pPr>
        <w:pStyle w:val="FootnoteText"/>
      </w:pPr>
      <w:r>
        <w:rPr>
          <w:rStyle w:val="FootnoteReference"/>
        </w:rPr>
        <w:footnoteRef/>
      </w:r>
      <w:r>
        <w:t xml:space="preserve"> </w:t>
      </w:r>
      <w:r>
        <w:t xml:space="preserve">Microsoft Learn,</w:t>
      </w:r>
      <w:r>
        <w:t xml:space="preserve"> </w:t>
      </w:r>
      <w:r>
        <w:t xml:space="preserve">“Set-ADForestMode,”</w:t>
      </w:r>
      <w:r>
        <w:t xml:space="preserve"> </w:t>
      </w:r>
      <w:r>
        <w:t xml:space="preserve">parameter</w:t>
      </w:r>
      <w:r>
        <w:t xml:space="preserve"> </w:t>
      </w:r>
      <w:r>
        <w:rPr>
          <w:rStyle w:val="VerbatimChar"/>
        </w:rPr>
        <w:t xml:space="preserve">-ForestMode</w:t>
      </w:r>
      <w:r>
        <w:t xml:space="preserve">,</w:t>
      </w:r>
      <w:r>
        <w:t xml:space="preserve"> </w:t>
      </w:r>
      <w:hyperlink r:id="rId631">
        <w:r>
          <w:rPr>
            <w:rStyle w:val="Hyperlink"/>
          </w:rPr>
          <w:t xml:space="preserve">https://learn.microsoft.com/powershell/module/activedirectory/set-adforestmode?view=windowsserver2025-ps</w:t>
        </w:r>
      </w:hyperlink>
      <w:r>
        <w:t xml:space="preserve"> </w:t>
      </w:r>
      <w:r>
        <w:t xml:space="preserve">(accessed Oct 20, 2026).</w:t>
      </w:r>
    </w:p>
  </w:footnote>
  <w:footnote w:id="1297">
    <w:p>
      <w:pPr>
        <w:pStyle w:val="FootnoteText"/>
      </w:pPr>
      <w:r>
        <w:rPr>
          <w:rStyle w:val="FootnoteReference"/>
        </w:rPr>
        <w:footnoteRef/>
      </w:r>
      <w:r>
        <w:t xml:space="preserve"> </w:t>
      </w:r>
      <w:r>
        <w:t xml:space="preserve">Microsoft Learn,</w:t>
      </w:r>
      <w:r>
        <w:t xml:space="preserve"> </w:t>
      </w:r>
      <w:r>
        <w:t xml:space="preserve">“Set-ADDomainMode,”</w:t>
      </w:r>
      <w:r>
        <w:t xml:space="preserve"> </w:t>
      </w:r>
      <w:r>
        <w:t xml:space="preserve">parameter</w:t>
      </w:r>
      <w:r>
        <w:t xml:space="preserve"> </w:t>
      </w:r>
      <w:r>
        <w:rPr>
          <w:rStyle w:val="VerbatimChar"/>
        </w:rPr>
        <w:t xml:space="preserve">-DomainMode</w:t>
      </w:r>
      <w:r>
        <w:t xml:space="preserve">,</w:t>
      </w:r>
      <w:r>
        <w:t xml:space="preserve"> </w:t>
      </w:r>
      <w:hyperlink r:id="rId1298">
        <w:r>
          <w:rPr>
            <w:rStyle w:val="Hyperlink"/>
          </w:rPr>
          <w:t xml:space="preserve">https://learn.microsoft.com/powershell/module/activedirectory/set-addomainmode?view=windowsserver2025-ps</w:t>
        </w:r>
      </w:hyperlink>
      <w:r>
        <w:t xml:space="preserve"> </w:t>
      </w:r>
      <w:r>
        <w:t xml:space="preserve">(accessed Oct 20, 2026).</w:t>
      </w:r>
    </w:p>
  </w:footnote>
  <w:footnote w:id="1309">
    <w:p>
      <w:pPr>
        <w:pStyle w:val="FootnoteText"/>
      </w:pPr>
      <w:r>
        <w:rPr>
          <w:rStyle w:val="FootnoteReference"/>
        </w:rPr>
        <w:footnoteRef/>
      </w:r>
      <w:r>
        <w:t xml:space="preserve"> </w:t>
      </w:r>
      <w:r>
        <w:t xml:space="preserve">Microsoft Learn,</w:t>
      </w:r>
      <w:r>
        <w:t xml:space="preserve"> </w:t>
      </w:r>
      <w:r>
        <w:t xml:space="preserve">“Microsoft Entra Connect Sync: Attributes synchronized to Microsoft Entra ID,”</w:t>
      </w:r>
      <w:r>
        <w:t xml:space="preserve"> </w:t>
      </w:r>
      <w:hyperlink r:id="rId1310">
        <w:r>
          <w:rPr>
            <w:rStyle w:val="Hyperlink"/>
          </w:rPr>
          <w:t xml:space="preserve">https://learn.microsoft.com/entra/identity/hybrid/connect/reference-connect-sync-attributes-synchronized</w:t>
        </w:r>
      </w:hyperlink>
      <w:r>
        <w:t xml:space="preserve"> </w:t>
      </w:r>
      <w:r>
        <w:t xml:space="preserve">(accessed Oct 20, 2026).</w:t>
      </w:r>
    </w:p>
  </w:footnote>
  <w:footnote w:id="1311">
    <w:p>
      <w:pPr>
        <w:pStyle w:val="FootnoteText"/>
      </w:pPr>
      <w:r>
        <w:rPr>
          <w:rStyle w:val="FootnoteReference"/>
        </w:rPr>
        <w:footnoteRef/>
      </w:r>
      <w:r>
        <w:t xml:space="preserve"> </w:t>
      </w:r>
      <w:r>
        <w:t xml:space="preserve">Microsoft Learn,</w:t>
      </w:r>
      <w:r>
        <w:t xml:space="preserve"> </w:t>
      </w:r>
      <w:r>
        <w:t xml:space="preserve">“user resource type,”</w:t>
      </w:r>
      <w:r>
        <w:t xml:space="preserve"> </w:t>
      </w:r>
      <w:hyperlink r:id="rId1071">
        <w:r>
          <w:rPr>
            <w:rStyle w:val="Hyperlink"/>
          </w:rPr>
          <w:t xml:space="preserve">https://learn.microsoft.com/graph/api/resources/user?view=graph-rest-1.0</w:t>
        </w:r>
      </w:hyperlink>
      <w:r>
        <w:t xml:space="preserve"> </w:t>
      </w:r>
      <w:r>
        <w:t xml:space="preserve">(accessed Oct 20, 2026).</w:t>
      </w:r>
    </w:p>
  </w:footnote>
  <w:footnote w:id="1312">
    <w:p>
      <w:pPr>
        <w:pStyle w:val="FootnoteText"/>
      </w:pPr>
      <w:r>
        <w:rPr>
          <w:rStyle w:val="FootnoteReference"/>
        </w:rPr>
        <w:footnoteRef/>
      </w:r>
      <w:r>
        <w:t xml:space="preserve"> </w:t>
      </w:r>
      <w:r>
        <w:t xml:space="preserve">Microsoft Learn,</w:t>
      </w:r>
      <w:r>
        <w:t xml:space="preserve"> </w:t>
      </w:r>
      <w:r>
        <w:t xml:space="preserve">“Microsoft Entra Connect Sync: Attributes synchronized to Microsoft Entra ID,”</w:t>
      </w:r>
      <w:r>
        <w:t xml:space="preserve"> </w:t>
      </w:r>
      <w:hyperlink r:id="rId1310">
        <w:r>
          <w:rPr>
            <w:rStyle w:val="Hyperlink"/>
          </w:rPr>
          <w:t xml:space="preserve">https://learn.microsoft.com/entra/identity/hybrid/connect/reference-connect-sync-attributes-synchronized</w:t>
        </w:r>
      </w:hyperlink>
      <w:r>
        <w:t xml:space="preserve"> </w:t>
      </w:r>
      <w:r>
        <w:t xml:space="preserve">(accessed Oct 20, 2026).</w:t>
      </w:r>
    </w:p>
  </w:footnote>
  <w:footnote w:id="1313">
    <w:p>
      <w:pPr>
        <w:pStyle w:val="FootnoteText"/>
      </w:pPr>
      <w:r>
        <w:rPr>
          <w:rStyle w:val="FootnoteReference"/>
        </w:rPr>
        <w:footnoteRef/>
      </w:r>
      <w:r>
        <w:t xml:space="preserve"> </w:t>
      </w:r>
      <w:r>
        <w:t xml:space="preserve">Microsoft Learn,</w:t>
      </w:r>
      <w:r>
        <w:t xml:space="preserve"> </w:t>
      </w:r>
      <w:r>
        <w:t xml:space="preserve">“user resource type,”</w:t>
      </w:r>
      <w:r>
        <w:t xml:space="preserve"> </w:t>
      </w:r>
      <w:hyperlink r:id="rId1071">
        <w:r>
          <w:rPr>
            <w:rStyle w:val="Hyperlink"/>
          </w:rPr>
          <w:t xml:space="preserve">https://learn.microsoft.com/graph/api/resources/user?view=graph-rest-1.0</w:t>
        </w:r>
      </w:hyperlink>
      <w:r>
        <w:t xml:space="preserve"> </w:t>
      </w:r>
      <w:r>
        <w:t xml:space="preserve">(accessed Oct 20, 2026).</w:t>
      </w:r>
    </w:p>
  </w:footnote>
  <w:footnote w:id="1314">
    <w:p>
      <w:pPr>
        <w:pStyle w:val="FootnoteText"/>
      </w:pPr>
      <w:r>
        <w:rPr>
          <w:rStyle w:val="FootnoteReference"/>
        </w:rPr>
        <w:footnoteRef/>
      </w:r>
      <w:r>
        <w:t xml:space="preserve"> </w:t>
      </w:r>
      <w:r>
        <w:t xml:space="preserve">Microsoft Learn,</w:t>
      </w:r>
      <w:r>
        <w:t xml:space="preserve"> </w:t>
      </w:r>
      <w:r>
        <w:t xml:space="preserve">“Microsoft Entra Connect Sync: Attributes synchronized to Microsoft Entra ID,”</w:t>
      </w:r>
      <w:r>
        <w:t xml:space="preserve"> </w:t>
      </w:r>
      <w:hyperlink r:id="rId1310">
        <w:r>
          <w:rPr>
            <w:rStyle w:val="Hyperlink"/>
          </w:rPr>
          <w:t xml:space="preserve">https://learn.microsoft.com/entra/identity/hybrid/connect/reference-connect-sync-attributes-synchronized</w:t>
        </w:r>
      </w:hyperlink>
      <w:r>
        <w:t xml:space="preserve"> </w:t>
      </w:r>
      <w:r>
        <w:t xml:space="preserve">(accessed Oct 20, 2026).</w:t>
      </w:r>
    </w:p>
  </w:footnote>
  <w:footnote w:id="1315">
    <w:p>
      <w:pPr>
        <w:pStyle w:val="FootnoteText"/>
      </w:pPr>
      <w:r>
        <w:rPr>
          <w:rStyle w:val="FootnoteReference"/>
        </w:rPr>
        <w:footnoteRef/>
      </w:r>
      <w:r>
        <w:t xml:space="preserve"> </w:t>
      </w:r>
      <w:r>
        <w:t xml:space="preserve">Microsoft Learn,</w:t>
      </w:r>
      <w:r>
        <w:t xml:space="preserve"> </w:t>
      </w:r>
      <w:r>
        <w:t xml:space="preserve">“Managing users synchronized from Active Directory Domain Services to Microsoft Entra ID with Lifecycle workflows,”</w:t>
      </w:r>
      <w:r>
        <w:t xml:space="preserve"> </w:t>
      </w:r>
      <w:hyperlink r:id="rId975">
        <w:r>
          <w:rPr>
            <w:rStyle w:val="Hyperlink"/>
          </w:rPr>
          <w:t xml:space="preserve">https://learn.microsoft.com/entra/id-governance/lifecycle-workflow-on-premises</w:t>
        </w:r>
      </w:hyperlink>
      <w:r>
        <w:t xml:space="preserve"> </w:t>
      </w:r>
      <w:r>
        <w:t xml:space="preserve">(accessed Oct 20, 2026).</w:t>
      </w:r>
    </w:p>
  </w:footnote>
  <w:footnote w:id="1319">
    <w:p>
      <w:pPr>
        <w:pStyle w:val="FootnoteText"/>
      </w:pPr>
      <w:r>
        <w:rPr>
          <w:rStyle w:val="FootnoteReference"/>
        </w:rPr>
        <w:footnoteRef/>
      </w:r>
      <w:r>
        <w:t xml:space="preserve"> </w:t>
      </w:r>
      <w:r>
        <w:t xml:space="preserve">Microsoft Learn,</w:t>
      </w:r>
      <w:r>
        <w:t xml:space="preserve"> </w:t>
      </w:r>
      <w:r>
        <w:t xml:space="preserve">“Conditional Access authentication strengths,”</w:t>
      </w:r>
      <w:r>
        <w:t xml:space="preserve"> </w:t>
      </w:r>
      <w:hyperlink r:id="rId943">
        <w:r>
          <w:rPr>
            <w:rStyle w:val="Hyperlink"/>
          </w:rPr>
          <w:t xml:space="preserve">https://learn.microsoft.com/entra/identity/authentication/concept-authentication-strengths</w:t>
        </w:r>
      </w:hyperlink>
      <w:r>
        <w:t xml:space="preserve"> </w:t>
      </w:r>
      <w:r>
        <w:t xml:space="preserve">(accessed Oct 20, 2026).</w:t>
      </w:r>
    </w:p>
  </w:footnote>
  <w:footnote w:id="1320">
    <w:p>
      <w:pPr>
        <w:pStyle w:val="FootnoteText"/>
      </w:pPr>
      <w:r>
        <w:rPr>
          <w:rStyle w:val="FootnoteReference"/>
        </w:rPr>
        <w:footnoteRef/>
      </w:r>
      <w:r>
        <w:t xml:space="preserve"> </w:t>
      </w:r>
      <w:r>
        <w:t xml:space="preserve">Microsoft Learn,</w:t>
      </w:r>
      <w:r>
        <w:t xml:space="preserve"> </w:t>
      </w:r>
      <w:r>
        <w:t xml:space="preserve">“Microsoft Graph national cloud deployments,”</w:t>
      </w:r>
      <w:r>
        <w:t xml:space="preserve"> </w:t>
      </w:r>
      <w:hyperlink r:id="rId783">
        <w:r>
          <w:rPr>
            <w:rStyle w:val="Hyperlink"/>
          </w:rPr>
          <w:t xml:space="preserve">https://learn.microsoft.com/graph/deployments</w:t>
        </w:r>
      </w:hyperlink>
      <w:r>
        <w:t xml:space="preserve"> </w:t>
      </w:r>
      <w:r>
        <w:t xml:space="preserve">(accessed Oct 20, 2026).</w:t>
      </w:r>
    </w:p>
  </w:footnote>
  <w:footnote w:id="1326">
    <w:p>
      <w:pPr>
        <w:pStyle w:val="FootnoteText"/>
      </w:pPr>
      <w:r>
        <w:rPr>
          <w:rStyle w:val="FootnoteReference"/>
        </w:rPr>
        <w:footnoteRef/>
      </w:r>
      <w:r>
        <w:t xml:space="preserve"> </w:t>
      </w:r>
      <w:r>
        <w:t xml:space="preserve">Microsoft Learn,</w:t>
      </w:r>
      <w:r>
        <w:t xml:space="preserve"> </w:t>
      </w:r>
      <w:r>
        <w:t xml:space="preserve">“conditionalAccessGrantControls resource type,”</w:t>
      </w:r>
      <w:r>
        <w:t xml:space="preserve"> </w:t>
      </w:r>
      <w:hyperlink r:id="rId1327">
        <w:r>
          <w:rPr>
            <w:rStyle w:val="Hyperlink"/>
          </w:rPr>
          <w:t xml:space="preserve">https://learn.microsoft.com/graph/api/resources/conditionalaccessgrantcontrols?view=graph-rest-1.0</w:t>
        </w:r>
      </w:hyperlink>
      <w:r>
        <w:t xml:space="preserve"> </w:t>
      </w:r>
      <w:r>
        <w:t xml:space="preserve">(accessed Oct 20, 2026).</w:t>
      </w:r>
    </w:p>
  </w:footnote>
  <w:footnote w:id="1328">
    <w:p>
      <w:pPr>
        <w:pStyle w:val="FootnoteText"/>
      </w:pPr>
      <w:r>
        <w:rPr>
          <w:rStyle w:val="FootnoteReference"/>
        </w:rPr>
        <w:footnoteRef/>
      </w:r>
      <w:r>
        <w:t xml:space="preserve"> </w:t>
      </w:r>
      <w:r>
        <w:t xml:space="preserve">Microsoft Learn,</w:t>
      </w:r>
      <w:r>
        <w:t xml:space="preserve"> </w:t>
      </w:r>
      <w:r>
        <w:t xml:space="preserve">“Configure and enable risk policies,”</w:t>
      </w:r>
      <w:r>
        <w:t xml:space="preserve"> </w:t>
      </w:r>
      <w:hyperlink r:id="rId951">
        <w:r>
          <w:rPr>
            <w:rStyle w:val="Hyperlink"/>
          </w:rPr>
          <w:t xml:space="preserve">https://learn.microsoft.com/entra/id-protection/howto-identity-protection-configure-risk-policies</w:t>
        </w:r>
      </w:hyperlink>
      <w:r>
        <w:t xml:space="preserve"> </w:t>
      </w:r>
      <w:r>
        <w:t xml:space="preserve">(accessed Oct 20, 2026).</w:t>
      </w:r>
    </w:p>
  </w:footnote>
  <w:footnote w:id="1330">
    <w:p>
      <w:pPr>
        <w:pStyle w:val="FootnoteText"/>
      </w:pPr>
      <w:r>
        <w:rPr>
          <w:rStyle w:val="FootnoteReference"/>
        </w:rPr>
        <w:footnoteRef/>
      </w:r>
      <w:r>
        <w:t xml:space="preserve"> </w:t>
      </w:r>
      <w:r>
        <w:t xml:space="preserve">Microsoft Learn,</w:t>
      </w:r>
      <w:r>
        <w:t xml:space="preserve"> </w:t>
      </w:r>
      <w:r>
        <w:t xml:space="preserve">“Microsoft Entra Conditional Access for workload identities,”</w:t>
      </w:r>
      <w:r>
        <w:t xml:space="preserve"> </w:t>
      </w:r>
      <w:hyperlink r:id="rId900">
        <w:r>
          <w:rPr>
            <w:rStyle w:val="Hyperlink"/>
          </w:rPr>
          <w:t xml:space="preserve">https://learn.microsoft.com/entra/identity/conditional-access/workload-identity</w:t>
        </w:r>
      </w:hyperlink>
      <w:r>
        <w:t xml:space="preserve"> </w:t>
      </w:r>
      <w:r>
        <w:t xml:space="preserve">(accessed Oct 20, 2026).</w:t>
      </w:r>
    </w:p>
  </w:footnote>
  <w:footnote w:id="1333">
    <w:p>
      <w:pPr>
        <w:pStyle w:val="FootnoteText"/>
      </w:pPr>
      <w:r>
        <w:rPr>
          <w:rStyle w:val="FootnoteReference"/>
        </w:rPr>
        <w:footnoteRef/>
      </w:r>
      <w:r>
        <w:t xml:space="preserve"> </w:t>
      </w:r>
      <w:r>
        <w:t xml:space="preserve">Microsoft Learn,</w:t>
      </w:r>
      <w:r>
        <w:t xml:space="preserve"> </w:t>
      </w:r>
      <w:r>
        <w:t xml:space="preserve">“Archive for Microsoft Entra releases and announcements”</w:t>
      </w:r>
      <w:r>
        <w:t xml:space="preserve"> </w:t>
      </w:r>
      <w:r>
        <w:t xml:space="preserve">(January 2025: MSOnline and AzureAD PowerShell retirement),</w:t>
      </w:r>
      <w:r>
        <w:t xml:space="preserve"> </w:t>
      </w:r>
      <w:hyperlink r:id="rId228">
        <w:r>
          <w:rPr>
            <w:rStyle w:val="Hyperlink"/>
          </w:rPr>
          <w:t xml:space="preserve">https://learn.microsoft.com/entra/fundamentals/whats-new-archive</w:t>
        </w:r>
      </w:hyperlink>
      <w:r>
        <w:t xml:space="preserve"> </w:t>
      </w:r>
      <w:r>
        <w:t xml:space="preserve">(accessed Oct 20, 2026).</w:t>
      </w:r>
    </w:p>
  </w:footnote>
  <w:footnote w:id="1334">
    <w:p>
      <w:pPr>
        <w:pStyle w:val="FootnoteText"/>
      </w:pPr>
      <w:r>
        <w:rPr>
          <w:rStyle w:val="FootnoteReference"/>
        </w:rPr>
        <w:footnoteRef/>
      </w:r>
      <w:r>
        <w:t xml:space="preserve"> </w:t>
      </w:r>
      <w:r>
        <w:t xml:space="preserve">Microsoft Learn,</w:t>
      </w:r>
      <w:r>
        <w:t xml:space="preserve"> </w:t>
      </w:r>
      <w:r>
        <w:t xml:space="preserve">“Upgrade from Azure AD PowerShell to Microsoft Graph PowerShell,”</w:t>
      </w:r>
      <w:r>
        <w:t xml:space="preserve"> </w:t>
      </w:r>
      <w:hyperlink r:id="rId1335">
        <w:r>
          <w:rPr>
            <w:rStyle w:val="Hyperlink"/>
          </w:rPr>
          <w:t xml:space="preserve">https://learn.microsoft.com/powershell/microsoftgraph/migration-steps?view=graph-powershell-1.0</w:t>
        </w:r>
      </w:hyperlink>
      <w:r>
        <w:t xml:space="preserve"> </w:t>
      </w:r>
      <w:r>
        <w:t xml:space="preserve">(accessed Oct 20, 2026).</w:t>
      </w:r>
    </w:p>
  </w:footnote>
  <w:footnote w:id="1336">
    <w:p>
      <w:pPr>
        <w:pStyle w:val="FootnoteText"/>
      </w:pPr>
      <w:r>
        <w:rPr>
          <w:rStyle w:val="FootnoteReference"/>
        </w:rPr>
        <w:footnoteRef/>
      </w:r>
      <w:r>
        <w:t xml:space="preserve"> </w:t>
      </w:r>
      <w:r>
        <w:t xml:space="preserve">Microsoft Learn,</w:t>
      </w:r>
      <w:r>
        <w:t xml:space="preserve"> </w:t>
      </w:r>
      <w:r>
        <w:t xml:space="preserve">“Find Azure AD PowerShell and MSOnline cmdlets in Microsoft Graph PowerShell,”</w:t>
      </w:r>
      <w:r>
        <w:t xml:space="preserve"> </w:t>
      </w:r>
      <w:hyperlink r:id="rId1337">
        <w:r>
          <w:rPr>
            <w:rStyle w:val="Hyperlink"/>
          </w:rPr>
          <w:t xml:space="preserve">https://learn.microsoft.com/powershell/microsoftgraph/azuread-msoline-cmdlet-map?view=graph-powershell-1.0</w:t>
        </w:r>
      </w:hyperlink>
      <w:r>
        <w:t xml:space="preserve"> </w:t>
      </w:r>
      <w:r>
        <w:t xml:space="preserve">(accessed Oct 20, 2026).</w:t>
      </w:r>
    </w:p>
  </w:footnote>
  <w:footnote w:id="1338">
    <w:p>
      <w:pPr>
        <w:pStyle w:val="FootnoteText"/>
      </w:pPr>
      <w:r>
        <w:rPr>
          <w:rStyle w:val="FootnoteReference"/>
        </w:rPr>
        <w:footnoteRef/>
      </w:r>
      <w:r>
        <w:t xml:space="preserve"> </w:t>
      </w:r>
      <w:r>
        <w:t xml:space="preserve">Microsoft Learn,</w:t>
      </w:r>
      <w:r>
        <w:t xml:space="preserve"> </w:t>
      </w:r>
      <w:r>
        <w:t xml:space="preserve">“Find Azure AD PowerShell and MSOnline cmdlets in Microsoft Graph PowerShell,”</w:t>
      </w:r>
      <w:r>
        <w:t xml:space="preserve"> </w:t>
      </w:r>
      <w:hyperlink r:id="rId1337">
        <w:r>
          <w:rPr>
            <w:rStyle w:val="Hyperlink"/>
          </w:rPr>
          <w:t xml:space="preserve">https://learn.microsoft.com/powershell/microsoftgraph/azuread-msoline-cmdlet-map?view=graph-powershell-1.0</w:t>
        </w:r>
      </w:hyperlink>
      <w:r>
        <w:t xml:space="preserve"> </w:t>
      </w:r>
      <w:r>
        <w:t xml:space="preserve">(accessed Oct 20, 2026).</w:t>
      </w:r>
    </w:p>
  </w:footnote>
  <w:footnote w:id="1339">
    <w:p>
      <w:pPr>
        <w:pStyle w:val="FootnoteText"/>
      </w:pPr>
      <w:r>
        <w:rPr>
          <w:rStyle w:val="FootnoteReference"/>
        </w:rPr>
        <w:footnoteRef/>
      </w:r>
      <w:r>
        <w:t xml:space="preserve"> </w:t>
      </w:r>
      <w:r>
        <w:t xml:space="preserve">Microsoft Learn,</w:t>
      </w:r>
      <w:r>
        <w:t xml:space="preserve"> </w:t>
      </w:r>
      <w:r>
        <w:t xml:space="preserve">“Migrate from federation to cloud authentication,”</w:t>
      </w:r>
      <w:r>
        <w:t xml:space="preserve"> </w:t>
      </w:r>
      <w:hyperlink r:id="rId1105">
        <w:r>
          <w:rPr>
            <w:rStyle w:val="Hyperlink"/>
          </w:rPr>
          <w:t xml:space="preserve">https://learn.microsoft.com/entra/identity/hybrid/connect/migrate-from-federation-to-cloud-authentication</w:t>
        </w:r>
      </w:hyperlink>
      <w:r>
        <w:t xml:space="preserve"> </w:t>
      </w:r>
      <w:r>
        <w:t xml:space="preserve">(accessed Oct 20, 2026).</w:t>
      </w:r>
    </w:p>
  </w:footnote>
  <w:footnote w:id="1340">
    <w:p>
      <w:pPr>
        <w:pStyle w:val="FootnoteText"/>
      </w:pPr>
      <w:r>
        <w:rPr>
          <w:rStyle w:val="FootnoteReference"/>
        </w:rPr>
        <w:footnoteRef/>
      </w:r>
      <w:r>
        <w:t xml:space="preserve"> </w:t>
      </w:r>
      <w:r>
        <w:t xml:space="preserve">Microsoft Learn,</w:t>
      </w:r>
      <w:r>
        <w:t xml:space="preserve"> </w:t>
      </w:r>
      <w:r>
        <w:t xml:space="preserve">“unifiedRoleAssignmentSchedule resource type,”</w:t>
      </w:r>
      <w:r>
        <w:t xml:space="preserve"> </w:t>
      </w:r>
      <w:hyperlink r:id="rId1341">
        <w:r>
          <w:rPr>
            <w:rStyle w:val="Hyperlink"/>
          </w:rPr>
          <w:t xml:space="preserve">https://learn.microsoft.com/graph/api/resources/unifiedroleassignmentschedule?view=graph-rest-1.0</w:t>
        </w:r>
      </w:hyperlink>
      <w:r>
        <w:t xml:space="preserve"> </w:t>
      </w:r>
      <w:r>
        <w:t xml:space="preserve">(accessed Oct 20, 2026).</w:t>
      </w:r>
    </w:p>
  </w:footnote>
  <w:footnote w:id="1342">
    <w:p>
      <w:pPr>
        <w:pStyle w:val="FootnoteText"/>
      </w:pPr>
      <w:r>
        <w:rPr>
          <w:rStyle w:val="FootnoteReference"/>
        </w:rPr>
        <w:footnoteRef/>
      </w:r>
      <w:r>
        <w:t xml:space="preserve"> </w:t>
      </w:r>
      <w:r>
        <w:t xml:space="preserve">Microsoft Learn,</w:t>
      </w:r>
      <w:r>
        <w:t xml:space="preserve"> </w:t>
      </w:r>
      <w:r>
        <w:t xml:space="preserve">“Get-MgRoleManagementDirectoryRoleEligibilitySchedule,”</w:t>
      </w:r>
      <w:r>
        <w:t xml:space="preserve"> </w:t>
      </w:r>
      <w:hyperlink r:id="rId1343">
        <w:r>
          <w:rPr>
            <w:rStyle w:val="Hyperlink"/>
          </w:rPr>
          <w:t xml:space="preserve">https://learn.microsoft.com/powershell/module/microsoft.graph.identity.governance/get-mgrolemanagementdirectoryroleeligibilityschedule?view=graph-powershell-1.0</w:t>
        </w:r>
      </w:hyperlink>
      <w:r>
        <w:t xml:space="preserve"> </w:t>
      </w:r>
      <w:r>
        <w:t xml:space="preserve">(accessed Oct 20, 2026).</w:t>
      </w:r>
    </w:p>
  </w:footnote>
  <w:footnote w:id="1346">
    <w:p>
      <w:pPr>
        <w:pStyle w:val="FootnoteText"/>
      </w:pPr>
      <w:r>
        <w:rPr>
          <w:rStyle w:val="FootnoteReference"/>
        </w:rPr>
        <w:footnoteRef/>
      </w:r>
      <w:r>
        <w:t xml:space="preserve"> </w:t>
      </w:r>
      <w:r>
        <w:t xml:space="preserve">Microsoft Learn,</w:t>
      </w:r>
      <w:r>
        <w:t xml:space="preserve"> </w:t>
      </w:r>
      <w:r>
        <w:t xml:space="preserve">“Reducing the Active Directory Attack Surface,”</w:t>
      </w:r>
      <w:r>
        <w:t xml:space="preserve"> </w:t>
      </w:r>
      <w:hyperlink r:id="rId555">
        <w:r>
          <w:rPr>
            <w:rStyle w:val="Hyperlink"/>
          </w:rPr>
          <w:t xml:space="preserve">https://learn.microsoft.com/windows-server/identity/ad-ds/plan/security-best-practices/reducing-the-active-directory-attack-surface</w:t>
        </w:r>
      </w:hyperlink>
      <w:r>
        <w:t xml:space="preserve"> </w:t>
      </w:r>
      <w:r>
        <w:t xml:space="preserve">(accessed Oct 20, 2026).</w:t>
      </w:r>
    </w:p>
  </w:footnote>
  <w:footnote w:id="1350">
    <w:p>
      <w:pPr>
        <w:pStyle w:val="FootnoteText"/>
      </w:pPr>
      <w:r>
        <w:rPr>
          <w:rStyle w:val="FootnoteReference"/>
        </w:rPr>
        <w:footnoteRef/>
      </w:r>
      <w:r>
        <w:t xml:space="preserve"> </w:t>
      </w:r>
      <w:r>
        <w:t xml:space="preserve">Microsoft Learn,</w:t>
      </w:r>
      <w:r>
        <w:t xml:space="preserve"> </w:t>
      </w:r>
      <w:r>
        <w:t xml:space="preserve">“Microsoft Entra audit log categories and activities,”</w:t>
      </w:r>
      <w:r>
        <w:t xml:space="preserve"> </w:t>
      </w:r>
      <w:hyperlink r:id="rId1073">
        <w:r>
          <w:rPr>
            <w:rStyle w:val="Hyperlink"/>
          </w:rPr>
          <w:t xml:space="preserve">https://learn.microsoft.com/entra/identity/monitoring-health/reference-audit-activities</w:t>
        </w:r>
      </w:hyperlink>
      <w:r>
        <w:t xml:space="preserve"> </w:t>
      </w:r>
      <w:r>
        <w:t xml:space="preserve">(accessed Oct 20, 2026).</w:t>
      </w:r>
    </w:p>
  </w:footnote>
  <w:footnote w:id="1354">
    <w:p>
      <w:pPr>
        <w:pStyle w:val="FootnoteText"/>
      </w:pPr>
      <w:r>
        <w:rPr>
          <w:rStyle w:val="FootnoteReference"/>
        </w:rPr>
        <w:footnoteRef/>
      </w:r>
      <w:r>
        <w:t xml:space="preserve"> </w:t>
      </w:r>
      <w:r>
        <w:t xml:space="preserve">Gitea,</w:t>
      </w:r>
      <w:r>
        <w:t xml:space="preserve"> </w:t>
      </w:r>
      <w:r>
        <w:t xml:space="preserve">“API Usage,”</w:t>
      </w:r>
      <w:r>
        <w:t xml:space="preserve"> </w:t>
      </w:r>
      <w:hyperlink r:id="rId753">
        <w:r>
          <w:rPr>
            <w:rStyle w:val="Hyperlink"/>
          </w:rPr>
          <w:t xml:space="preserve">https://docs.gitea.com/development/api-usage</w:t>
        </w:r>
      </w:hyperlink>
      <w:r>
        <w:t xml:space="preserve"> </w:t>
      </w:r>
      <w:r>
        <w:t xml:space="preserve">(accessed Oct 20, 2026).</w:t>
      </w:r>
    </w:p>
  </w:footnote>
  <w:footnote w:id="1355">
    <w:p>
      <w:pPr>
        <w:pStyle w:val="FootnoteText"/>
      </w:pPr>
      <w:r>
        <w:rPr>
          <w:rStyle w:val="FootnoteReference"/>
        </w:rPr>
        <w:footnoteRef/>
      </w:r>
      <w:r>
        <w:t xml:space="preserve"> </w:t>
      </w:r>
      <w:r>
        <w:t xml:space="preserve">Gitea, API specification (</w:t>
      </w:r>
      <w:r>
        <w:rPr>
          <w:rStyle w:val="VerbatimChar"/>
        </w:rPr>
        <w:t xml:space="preserve">CreateIssueOption</w:t>
      </w:r>
      <w:r>
        <w:t xml:space="preserve">),</w:t>
      </w:r>
      <w:r>
        <w:t xml:space="preserve"> </w:t>
      </w:r>
      <w:hyperlink r:id="rId755">
        <w:r>
          <w:rPr>
            <w:rStyle w:val="Hyperlink"/>
          </w:rPr>
          <w:t xml:space="preserve">https://gitea.com/swagger.v1.json</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1"/>
  </w:num>
  <w:num w:numId="1041">
    <w:abstractNumId w:val="991"/>
  </w:num>
  <w:num w:numId="1042">
    <w:abstractNumId w:val="991"/>
  </w:num>
  <w:num w:numId="1043">
    <w:abstractNumId w:val="991"/>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1"/>
  </w:num>
  <w:num w:numId="1087">
    <w:abstractNumId w:val="991"/>
  </w:num>
  <w:num w:numId="1088">
    <w:abstractNumId w:val="991"/>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 w:type="paragraph" w:styleId="TOC1">
    <w:name w:val="toc 1"/>
    <w:basedOn w:val="Normal"/>
    <w:next w:val="Normal"/>
    <w:uiPriority w:val="39"/>
    <w:unhideWhenUsed/>
    <w:pPr>
      <w:spacing w:before="120" w:after="0"/>
      <w:ind w:left="0"/>
    </w:pPr>
    <w:rPr>
      <w:b/>
    </w:rPr>
  </w:style>
  <w:style w:type="paragraph" w:styleId="TOC2">
    <w:name w:val="toc 2"/>
    <w:basedOn w:val="Normal"/>
    <w:next w:val="Normal"/>
    <w:uiPriority w:val="39"/>
    <w:unhideWhenUsed/>
    <w:pPr>
      <w:spacing w:before="0" w:after="0"/>
      <w:ind w:left="240"/>
    </w:pPr>
  </w:style>
  <w:style w:type="paragraph" w:styleId="TOC3">
    <w:name w:val="toc 3"/>
    <w:basedOn w:val="Normal"/>
    <w:next w:val="Normal"/>
    <w:uiPriority w:val="39"/>
    <w:unhideWhenUsed/>
    <w:pPr>
      <w:spacing w:before="0" w:after="0"/>
      <w:ind w:left="480"/>
    </w:p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 Target="media/rId24.png" /><Relationship Type="http://schemas.openxmlformats.org/officeDocument/2006/relationships/image" Id="rId58" Target="media/rId58.png" /><Relationship Type="http://schemas.openxmlformats.org/officeDocument/2006/relationships/image" Id="rId79" Target="media/rId79.png" /><Relationship Type="http://schemas.openxmlformats.org/officeDocument/2006/relationships/image" Id="rId118" Target="media/rId118.png" /><Relationship Type="http://schemas.openxmlformats.org/officeDocument/2006/relationships/image" Id="rId176" Target="media/rId176.png" /><Relationship Type="http://schemas.openxmlformats.org/officeDocument/2006/relationships/image" Id="rId136" Target="media/rId136.png" /><Relationship Type="http://schemas.openxmlformats.org/officeDocument/2006/relationships/image" Id="rId262" Target="media/rId262.png" /><Relationship Type="http://schemas.openxmlformats.org/officeDocument/2006/relationships/image" Id="rId253" Target="media/rId253.png" /><Relationship Type="http://schemas.openxmlformats.org/officeDocument/2006/relationships/image" Id="rId381" Target="media/rId381.png" /><Relationship Type="http://schemas.openxmlformats.org/officeDocument/2006/relationships/image" Id="rId345" Target="media/rId345.png" /><Relationship Type="http://schemas.openxmlformats.org/officeDocument/2006/relationships/image" Id="rId406" Target="media/rId406.png" /><Relationship Type="http://schemas.openxmlformats.org/officeDocument/2006/relationships/image" Id="rId436" Target="media/rId436.png" /><Relationship Type="http://schemas.openxmlformats.org/officeDocument/2006/relationships/image" Id="rId586" Target="media/rId586.png" /><Relationship Type="http://schemas.openxmlformats.org/officeDocument/2006/relationships/image" Id="rId542" Target="media/rId542.png" /><Relationship Type="http://schemas.openxmlformats.org/officeDocument/2006/relationships/image" Id="rId741" Target="media/rId741.png" /><Relationship Type="http://schemas.openxmlformats.org/officeDocument/2006/relationships/image" Id="rId652" Target="media/rId652.png" /><Relationship Type="http://schemas.openxmlformats.org/officeDocument/2006/relationships/image" Id="rId595" Target="media/rId595.png" /><Relationship Type="http://schemas.openxmlformats.org/officeDocument/2006/relationships/image" Id="rId785" Target="media/rId785.png" /><Relationship Type="http://schemas.openxmlformats.org/officeDocument/2006/relationships/image" Id="rId843" Target="media/rId843.png" /><Relationship Type="http://schemas.openxmlformats.org/officeDocument/2006/relationships/image" Id="rId961" Target="media/rId961.png" /><Relationship Type="http://schemas.openxmlformats.org/officeDocument/2006/relationships/image" Id="rId1088" Target="media/rId1088.png" /><Relationship Type="http://schemas.openxmlformats.org/officeDocument/2006/relationships/image" Id="rId1181" Target="media/rId1181.png" /><Relationship Type="http://schemas.openxmlformats.org/officeDocument/2006/relationships/image" Id="rId1138" Target="media/rId1138.png" /><Relationship Type="http://schemas.openxmlformats.org/officeDocument/2006/relationships/hyperlink" Id="rId1024" Target="https://bidenwhitehouse.archives.gov/wp-content/uploads/2022/01/M-22-09.pdf" TargetMode="External" /><Relationship Type="http://schemas.openxmlformats.org/officeDocument/2006/relationships/hyperlink" Id="rId20" Target="https://csrc.nist.gov/pubs/sp/800/207/final" TargetMode="External" /><Relationship Type="http://schemas.openxmlformats.org/officeDocument/2006/relationships/hyperlink" Id="rId1187" Target="https://csrc.nist.gov/pubs/sp/800/37/r2/final" TargetMode="External" /><Relationship Type="http://schemas.openxmlformats.org/officeDocument/2006/relationships/hyperlink" Id="rId392" Target="https://csrc.nist.gov/pubs/sp/800/53/r5/upd1/final" TargetMode="External" /><Relationship Type="http://schemas.openxmlformats.org/officeDocument/2006/relationships/hyperlink" Id="rId1162" Target="https://csrc.nist.gov/pubs/sp/800/63/4/final" TargetMode="External" /><Relationship Type="http://schemas.openxmlformats.org/officeDocument/2006/relationships/hyperlink" Id="rId753" Target="https://docs.gitea.com/development/api-usage" TargetMode="External" /><Relationship Type="http://schemas.openxmlformats.org/officeDocument/2006/relationships/hyperlink" Id="rId680" Target="https://docs.specterops.io/ghostpack-docs/Certify.wik-mdx/overview" TargetMode="External" /><Relationship Type="http://schemas.openxmlformats.org/officeDocument/2006/relationships/hyperlink" Id="rId1053" Target="https://fedramp.gov/2026/providers/20x/key-security-indicators/identity-and-access-management/" TargetMode="External" /><Relationship Type="http://schemas.openxmlformats.org/officeDocument/2006/relationships/hyperlink" Id="rId1085" Target="https://fedramp.gov/2026/providers/20x/key-security-indicators/monitoring-logging-and-auditing/" TargetMode="External" /><Relationship Type="http://schemas.openxmlformats.org/officeDocument/2006/relationships/hyperlink" Id="rId1056" Target="https://fedramp.gov/2026/reference/controls/access-control/" TargetMode="External" /><Relationship Type="http://schemas.openxmlformats.org/officeDocument/2006/relationships/hyperlink" Id="rId1047" Target="https://fedramp.gov/2026/reference/controls/identification-and-authentication/" TargetMode="External" /><Relationship Type="http://schemas.openxmlformats.org/officeDocument/2006/relationships/hyperlink" Id="rId755" Target="https://gitea.com/swagger.v1.json" TargetMode="External" /><Relationship Type="http://schemas.openxmlformats.org/officeDocument/2006/relationships/hyperlink" Id="rId532" Target="https://github.com/SpecterOps/BloodHound" TargetMode="External" /><Relationship Type="http://schemas.openxmlformats.org/officeDocument/2006/relationships/hyperlink" Id="rId9" Target="https://github.com/WhalerMike/modernization-workbook/tree/main/archive/b02-identity" TargetMode="External" /><Relationship Type="http://schemas.openxmlformats.org/officeDocument/2006/relationships/hyperlink" Id="rId11" Target="https://github.com/WhalerMike/modernization-workbook/tree/main/presentations/b02-identity" TargetMode="External" /><Relationship Type="http://schemas.openxmlformats.org/officeDocument/2006/relationships/hyperlink" Id="rId528" Target="https://github.com/adrecon/ADRecon" TargetMode="External" /><Relationship Type="http://schemas.openxmlformats.org/officeDocument/2006/relationships/hyperlink" Id="rId501" Target="https://github.com/cisagov/ScubaGear" TargetMode="External" /><Relationship Type="http://schemas.openxmlformats.org/officeDocument/2006/relationships/hyperlink" Id="rId482" Target="https://learn.microsoft.com/azure/azure-arc/servers/modernize-server-management" TargetMode="External" /><Relationship Type="http://schemas.openxmlformats.org/officeDocument/2006/relationships/hyperlink" Id="rId483" Target="https://learn.microsoft.com/azure/azure-arc/servers/windows-server-management-overview" TargetMode="External" /><Relationship Type="http://schemas.openxmlformats.org/officeDocument/2006/relationships/hyperlink" Id="rId505" Target="https://learn.microsoft.com/azure/migrate/resources-faq" TargetMode="External" /><Relationship Type="http://schemas.openxmlformats.org/officeDocument/2006/relationships/hyperlink" Id="rId1137" Target="https://learn.microsoft.com/azure/security/fundamentals/feature-availability#microsoft-365-integration" TargetMode="External" /><Relationship Type="http://schemas.openxmlformats.org/officeDocument/2006/relationships/hyperlink" Id="rId491" Target="https://learn.microsoft.com/azure/sentinel/billing-reduce-costs" TargetMode="External" /><Relationship Type="http://schemas.openxmlformats.org/officeDocument/2006/relationships/hyperlink" Id="rId489" Target="https://learn.microsoft.com/azure/sentinel/overview#microsoft-sentinel-in-the-azure-portal-retirement-timeline" TargetMode="External" /><Relationship Type="http://schemas.openxmlformats.org/officeDocument/2006/relationships/hyperlink" Id="rId332" Target="https://learn.microsoft.com/azure/storage/files/files-manage-namespaces" TargetMode="External" /><Relationship Type="http://schemas.openxmlformats.org/officeDocument/2006/relationships/hyperlink" Id="rId330" Target="https://learn.microsoft.com/azure/storage/files/storage-files-identity-auth-hybrid-identities-enable" TargetMode="External" /><Relationship Type="http://schemas.openxmlformats.org/officeDocument/2006/relationships/hyperlink" Id="rId585" Target="https://learn.microsoft.com/defender-for-identity/alerts-xdr" TargetMode="External" /><Relationship Type="http://schemas.openxmlformats.org/officeDocument/2006/relationships/hyperlink" Id="rId468" Target="https://learn.microsoft.com/defender-for-identity/deploy/prerequisites-sensor-version-2" TargetMode="External" /><Relationship Type="http://schemas.openxmlformats.org/officeDocument/2006/relationships/hyperlink" Id="rId463" Target="https://learn.microsoft.com/defender-for-identity/microsoft-365-security-center-mdi" TargetMode="External" /><Relationship Type="http://schemas.openxmlformats.org/officeDocument/2006/relationships/hyperlink" Id="rId461" Target="https://learn.microsoft.com/defender-for-identity/security-assessment" TargetMode="External" /><Relationship Type="http://schemas.openxmlformats.org/officeDocument/2006/relationships/hyperlink" Id="rId562" Target="https://learn.microsoft.com/defender-for-identity/security-posture-assessments/accounts" TargetMode="External" /><Relationship Type="http://schemas.openxmlformats.org/officeDocument/2006/relationships/hyperlink" Id="rId522" Target="https://learn.microsoft.com/defender-for-identity/security-posture-assessments/certificates" TargetMode="External" /><Relationship Type="http://schemas.openxmlformats.org/officeDocument/2006/relationships/hyperlink" Id="rId618" Target="https://learn.microsoft.com/defender-for-identity/unsafe-permissions-dns-admins-group" TargetMode="External" /><Relationship Type="http://schemas.openxmlformats.org/officeDocument/2006/relationships/hyperlink" Id="rId467" Target="https://learn.microsoft.com/defender-for-identity/us-govt-gcc-high" TargetMode="External" /><Relationship Type="http://schemas.openxmlformats.org/officeDocument/2006/relationships/hyperlink" Id="rId493" Target="https://learn.microsoft.com/defender-xdr/microsoft-secure-score-improvement-actions" TargetMode="External" /><Relationship Type="http://schemas.openxmlformats.org/officeDocument/2006/relationships/hyperlink" Id="rId45" Target="https://learn.microsoft.com/en-us/entra/architecture/protect-m365-from-on-premises-attacks" TargetMode="External" /><Relationship Type="http://schemas.openxmlformats.org/officeDocument/2006/relationships/hyperlink" Id="rId32" Target="https://learn.microsoft.com/en-us/entra/architecture/road-to-the-cloud-posture" TargetMode="External" /><Relationship Type="http://schemas.openxmlformats.org/officeDocument/2006/relationships/hyperlink" Id="rId37" Target="https://learn.microsoft.com/en-us/entra/fundamentals/new-name" TargetMode="External" /><Relationship Type="http://schemas.openxmlformats.org/officeDocument/2006/relationships/hyperlink" Id="rId41" Target="https://learn.microsoft.com/en-us/entra/fundamentals/whats-new" TargetMode="External" /><Relationship Type="http://schemas.openxmlformats.org/officeDocument/2006/relationships/hyperlink" Id="rId63" Target="https://learn.microsoft.com/en-us/entra/fundamentals/zero-trust-protect-identities" TargetMode="External" /><Relationship Type="http://schemas.openxmlformats.org/officeDocument/2006/relationships/hyperlink" Id="rId117" Target="https://learn.microsoft.com/en-us/entra/identity/conditional-access/concept-continuous-access-evaluation" TargetMode="External" /><Relationship Type="http://schemas.openxmlformats.org/officeDocument/2006/relationships/hyperlink" Id="rId51" Target="https://learn.microsoft.com/en-us/entra/identity/hybrid/concept-source-of-authority-overview" TargetMode="External" /><Relationship Type="http://schemas.openxmlformats.org/officeDocument/2006/relationships/hyperlink" Id="rId39" Target="https://learn.microsoft.com/en-us/entra/identity/hybrid/connect/how-to-connect-sync-whatis" TargetMode="External" /><Relationship Type="http://schemas.openxmlformats.org/officeDocument/2006/relationships/hyperlink" Id="rId43" Target="https://learn.microsoft.com/en-us/entra/identity/hybrid/connect/migrate-from-federation-to-cloud-authentication" TargetMode="External" /><Relationship Type="http://schemas.openxmlformats.org/officeDocument/2006/relationships/hyperlink" Id="rId89" Target="https://learn.microsoft.com/en-us/entra/identity/role-based-access-control/admin-units-members-dynamic" TargetMode="External" /><Relationship Type="http://schemas.openxmlformats.org/officeDocument/2006/relationships/hyperlink" Id="rId85" Target="https://learn.microsoft.com/en-us/entra/identity/role-based-access-control/administrative-units" TargetMode="External" /><Relationship Type="http://schemas.openxmlformats.org/officeDocument/2006/relationships/hyperlink" Id="rId100" Target="https://learn.microsoft.com/en-us/entra/identity/role-based-access-control/manage-roles-portal" TargetMode="External" /><Relationship Type="http://schemas.openxmlformats.org/officeDocument/2006/relationships/hyperlink" Id="rId105" Target="https://learn.microsoft.com/en-us/entra/identity/role-based-access-control/permissions-reference" TargetMode="External" /><Relationship Type="http://schemas.openxmlformats.org/officeDocument/2006/relationships/hyperlink" Id="rId87" Target="https://learn.microsoft.com/en-us/entra/identity/users/directory-service-limits-restrictions" TargetMode="External" /><Relationship Type="http://schemas.openxmlformats.org/officeDocument/2006/relationships/hyperlink" Id="rId94" Target="https://learn.microsoft.com/en-us/graph/api/resources/onpremisesextensionattributes?view=graph-rest-1.0" TargetMode="External" /><Relationship Type="http://schemas.openxmlformats.org/officeDocument/2006/relationships/hyperlink" Id="rId54" Target="https://learn.microsoft.com/en-us/microsoftteams/skype-for-business-online-retirement" TargetMode="External" /><Relationship Type="http://schemas.openxmlformats.org/officeDocument/2006/relationships/hyperlink" Id="rId56" Target="https://learn.microsoft.com/en-us/troubleshoot/exchange/administration/exchange-2019-2016-end-of-support" TargetMode="External" /><Relationship Type="http://schemas.openxmlformats.org/officeDocument/2006/relationships/hyperlink" Id="rId113" Target="https://learn.microsoft.com/en-us/troubleshoot/windows-client/group-policy/fail-to-apply-group-policy-at-startup" TargetMode="External" /><Relationship Type="http://schemas.openxmlformats.org/officeDocument/2006/relationships/hyperlink" Id="rId77" Target="https://learn.microsoft.com/en-us/windows-server/identity/ad-ds/manage/group-policy/group-policy-processing" TargetMode="External" /><Relationship Type="http://schemas.openxmlformats.org/officeDocument/2006/relationships/hyperlink" Id="rId47" Target="https://learn.microsoft.com/en-us/windows/whats-new/deprecated-features" TargetMode="External" /><Relationship Type="http://schemas.openxmlformats.org/officeDocument/2006/relationships/hyperlink" Id="rId30" Target="https://learn.microsoft.com/en-us/windows/win32/ad/users-in-active-directory-domain-services" TargetMode="External" /><Relationship Type="http://schemas.openxmlformats.org/officeDocument/2006/relationships/hyperlink" Id="rId110" Target="https://learn.microsoft.com/en-us/windows/win32/adschema/a-maxrenewage" TargetMode="External" /><Relationship Type="http://schemas.openxmlformats.org/officeDocument/2006/relationships/hyperlink" Id="rId108" Target="https://learn.microsoft.com/en-us/windows/win32/adschema/a-maxticketage" TargetMode="External" /><Relationship Type="http://schemas.openxmlformats.org/officeDocument/2006/relationships/hyperlink" Id="rId75" Target="https://learn.microsoft.com/en-us/windows/win32/secauthn/kerberos-policy" TargetMode="External" /><Relationship Type="http://schemas.openxmlformats.org/officeDocument/2006/relationships/hyperlink" Id="rId181" Target="https://learn.microsoft.com/entra/architecture/auth-kcd" TargetMode="External" /><Relationship Type="http://schemas.openxmlformats.org/officeDocument/2006/relationships/hyperlink" Id="rId285" Target="https://learn.microsoft.com/entra/architecture/auth-radius" TargetMode="External" /><Relationship Type="http://schemas.openxmlformats.org/officeDocument/2006/relationships/hyperlink" Id="rId1075" Target="https://learn.microsoft.com/entra/architecture/security-operations-privileged-accounts" TargetMode="External" /><Relationship Type="http://schemas.openxmlformats.org/officeDocument/2006/relationships/hyperlink" Id="rId1008" Target="https://learn.microsoft.com/entra/external-id/b2b-direct-connect-overview" TargetMode="External" /><Relationship Type="http://schemas.openxmlformats.org/officeDocument/2006/relationships/hyperlink" Id="rId738" Target="https://learn.microsoft.com/entra/external-id/cross-tenant-access-overview" TargetMode="External" /><Relationship Type="http://schemas.openxmlformats.org/officeDocument/2006/relationships/hyperlink" Id="rId1000" Target="https://learn.microsoft.com/entra/external-id/faq" TargetMode="External" /><Relationship Type="http://schemas.openxmlformats.org/officeDocument/2006/relationships/hyperlink" Id="rId1013" Target="https://learn.microsoft.com/entra/external-id/identity-providers" TargetMode="External" /><Relationship Type="http://schemas.openxmlformats.org/officeDocument/2006/relationships/hyperlink" Id="rId1015" Target="https://learn.microsoft.com/entra/external-id/one-time-passcode" TargetMode="External" /><Relationship Type="http://schemas.openxmlformats.org/officeDocument/2006/relationships/hyperlink" Id="rId230" Target="https://learn.microsoft.com/entra/fundamentals/configure-security" TargetMode="External" /><Relationship Type="http://schemas.openxmlformats.org/officeDocument/2006/relationships/hyperlink" Id="rId877" Target="https://learn.microsoft.com/entra/fundamentals/how-to-manage-groups" TargetMode="External" /><Relationship Type="http://schemas.openxmlformats.org/officeDocument/2006/relationships/hyperlink" Id="rId515" Target="https://learn.microsoft.com/entra/fundamentals/licensing" TargetMode="External" /><Relationship Type="http://schemas.openxmlformats.org/officeDocument/2006/relationships/hyperlink" Id="rId228" Target="https://learn.microsoft.com/entra/fundamentals/whats-new-archive" TargetMode="External" /><Relationship Type="http://schemas.openxmlformats.org/officeDocument/2006/relationships/hyperlink" Id="rId1216" Target="https://learn.microsoft.com/entra/fundamentals/zero-trust-protect-identities" TargetMode="External" /><Relationship Type="http://schemas.openxmlformats.org/officeDocument/2006/relationships/hyperlink" Id="rId1200" Target="https://learn.microsoft.com/entra/global-secure-access/reference-current-known-limitations" TargetMode="External" /><Relationship Type="http://schemas.openxmlformats.org/officeDocument/2006/relationships/hyperlink" Id="rId998" Target="https://learn.microsoft.com/entra/id-governance/identity-governance-overview" TargetMode="External" /><Relationship Type="http://schemas.openxmlformats.org/officeDocument/2006/relationships/hyperlink" Id="rId453" Target="https://learn.microsoft.com/entra/id-governance/licensing-fundamentals" TargetMode="External" /><Relationship Type="http://schemas.openxmlformats.org/officeDocument/2006/relationships/hyperlink" Id="rId972" Target="https://learn.microsoft.com/entra/id-governance/lifecycle-workflow-execution-conditions" TargetMode="External" /><Relationship Type="http://schemas.openxmlformats.org/officeDocument/2006/relationships/hyperlink" Id="rId975" Target="https://learn.microsoft.com/entra/id-governance/lifecycle-workflow-on-premises" TargetMode="External" /><Relationship Type="http://schemas.openxmlformats.org/officeDocument/2006/relationships/hyperlink" Id="rId980" Target="https://learn.microsoft.com/entra/id-governance/lifecycle-workflow-tasks" TargetMode="External" /><Relationship Type="http://schemas.openxmlformats.org/officeDocument/2006/relationships/hyperlink" Id="rId982" Target="https://learn.microsoft.com/entra/id-governance/lifecycle-workflow-templates" TargetMode="External" /><Relationship Type="http://schemas.openxmlformats.org/officeDocument/2006/relationships/hyperlink" Id="rId918" Target="https://learn.microsoft.com/entra/id-governance/privileged-identity-management/concept-pim-for-groups" TargetMode="External" /><Relationship Type="http://schemas.openxmlformats.org/officeDocument/2006/relationships/hyperlink" Id="rId922" Target="https://learn.microsoft.com/entra/id-governance/privileged-identity-management/groups-assign-member-owner" TargetMode="External" /><Relationship Type="http://schemas.openxmlformats.org/officeDocument/2006/relationships/hyperlink" Id="rId380" Target="https://learn.microsoft.com/entra/id-governance/privileged-identity-management/pim-how-to-add-role-to-user" TargetMode="External" /><Relationship Type="http://schemas.openxmlformats.org/officeDocument/2006/relationships/hyperlink" Id="rId911" Target="https://learn.microsoft.com/entra/id-governance/privileged-identity-management/pim-how-to-change-default-settings" TargetMode="External" /><Relationship Type="http://schemas.openxmlformats.org/officeDocument/2006/relationships/hyperlink" Id="rId821" Target="https://learn.microsoft.com/entra/id-protection/concept-identity-protection-policies" TargetMode="External" /><Relationship Type="http://schemas.openxmlformats.org/officeDocument/2006/relationships/hyperlink" Id="rId954" Target="https://learn.microsoft.com/entra/id-protection/concept-identity-protection-risks" TargetMode="External" /><Relationship Type="http://schemas.openxmlformats.org/officeDocument/2006/relationships/hyperlink" Id="rId951" Target="https://learn.microsoft.com/entra/id-protection/howto-identity-protection-configure-risk-policies" TargetMode="External" /><Relationship Type="http://schemas.openxmlformats.org/officeDocument/2006/relationships/hyperlink" Id="rId458" Target="https://learn.microsoft.com/entra/id-protection/overview-identity-protection" TargetMode="External" /><Relationship Type="http://schemas.openxmlformats.org/officeDocument/2006/relationships/hyperlink" Id="rId210" Target="https://learn.microsoft.com/entra/identity-platform/access-tokens" TargetMode="External" /><Relationship Type="http://schemas.openxmlformats.org/officeDocument/2006/relationships/hyperlink" Id="rId212" Target="https://learn.microsoft.com/entra/identity/app-provisioning/how-provisioning-works" TargetMode="External" /><Relationship Type="http://schemas.openxmlformats.org/officeDocument/2006/relationships/hyperlink" Id="rId162" Target="https://learn.microsoft.com/entra/identity/app-provisioning/scim-support-in-entra-id" TargetMode="External" /><Relationship Type="http://schemas.openxmlformats.org/officeDocument/2006/relationships/hyperlink" Id="rId301" Target="https://learn.microsoft.com/entra/identity/app-proxy/how-to-configure-sso-with-kcd" TargetMode="External" /><Relationship Type="http://schemas.openxmlformats.org/officeDocument/2006/relationships/hyperlink" Id="rId943" Target="https://learn.microsoft.com/entra/identity/authentication/concept-authentication-strengths" TargetMode="External" /><Relationship Type="http://schemas.openxmlformats.org/officeDocument/2006/relationships/hyperlink" Id="rId174" Target="https://learn.microsoft.com/entra/identity/authentication/concept-certificate-based-authentication" TargetMode="External" /><Relationship Type="http://schemas.openxmlformats.org/officeDocument/2006/relationships/hyperlink" Id="rId1051" Target="https://learn.microsoft.com/entra/identity/authentication/concept-certificate-based-authentication-mobile-ios" TargetMode="External" /><Relationship Type="http://schemas.openxmlformats.org/officeDocument/2006/relationships/hyperlink" Id="rId455" Target="https://learn.microsoft.com/entra/identity/authentication/feature-availability" TargetMode="External" /><Relationship Type="http://schemas.openxmlformats.org/officeDocument/2006/relationships/hyperlink" Id="rId1031" Target="https://learn.microsoft.com/entra/identity/authentication/how-to-authentication-passkeys-fido2" TargetMode="External" /><Relationship Type="http://schemas.openxmlformats.org/officeDocument/2006/relationships/hyperlink" Id="rId280" Target="https://learn.microsoft.com/entra/identity/authentication/how-to-certificate-based-authentication" TargetMode="External" /><Relationship Type="http://schemas.openxmlformats.org/officeDocument/2006/relationships/hyperlink" Id="rId278" Target="https://learn.microsoft.com/entra/identity/authentication/how-to-configure-certificate-authorities" TargetMode="External" /><Relationship Type="http://schemas.openxmlformats.org/officeDocument/2006/relationships/hyperlink" Id="rId1028" Target="https://learn.microsoft.com/entra/identity/authentication/how-to-enable-authenticator-passkey" TargetMode="External" /><Relationship Type="http://schemas.openxmlformats.org/officeDocument/2006/relationships/hyperlink" Id="rId1035" Target="https://learn.microsoft.com/entra/identity/authentication/how-to-mfa-number-match" TargetMode="External" /><Relationship Type="http://schemas.openxmlformats.org/officeDocument/2006/relationships/hyperlink" Id="rId423" Target="https://learn.microsoft.com/entra/identity/authentication/howto-authentication-temporary-access-pass" TargetMode="External" /><Relationship Type="http://schemas.openxmlformats.org/officeDocument/2006/relationships/hyperlink" Id="rId869" Target="https://learn.microsoft.com/entra/identity/authentication/howto-authentication-use-email-signin" TargetMode="External" /><Relationship Type="http://schemas.openxmlformats.org/officeDocument/2006/relationships/hyperlink" Id="rId287" Target="https://learn.microsoft.com/entra/identity/authentication/howto-mfa-nps-extension" TargetMode="External" /><Relationship Type="http://schemas.openxmlformats.org/officeDocument/2006/relationships/hyperlink" Id="rId335" Target="https://learn.microsoft.com/entra/identity/authentication/kerberos" TargetMode="External" /><Relationship Type="http://schemas.openxmlformats.org/officeDocument/2006/relationships/hyperlink" Id="rId1122" Target="https://learn.microsoft.com/entra/identity/authentication/tutorial-enable-sspr-writeback" TargetMode="External" /><Relationship Type="http://schemas.openxmlformats.org/officeDocument/2006/relationships/hyperlink" Id="rId185" Target="https://learn.microsoft.com/entra/identity/conditional-access/concept-conditional-access-conditions" TargetMode="External" /><Relationship Type="http://schemas.openxmlformats.org/officeDocument/2006/relationships/hyperlink" Id="rId879" Target="https://learn.microsoft.com/entra/identity/conditional-access/concept-conditional-access-users-groups" TargetMode="External" /><Relationship Type="http://schemas.openxmlformats.org/officeDocument/2006/relationships/hyperlink" Id="rId170" Target="https://learn.microsoft.com/entra/identity/conditional-access/concept-token-protection" TargetMode="External" /><Relationship Type="http://schemas.openxmlformats.org/officeDocument/2006/relationships/hyperlink" Id="rId141" Target="https://learn.microsoft.com/entra/identity/conditional-access/overview" TargetMode="External" /><Relationship Type="http://schemas.openxmlformats.org/officeDocument/2006/relationships/hyperlink" Id="rId900" Target="https://learn.microsoft.com/entra/identity/conditional-access/workload-identity" TargetMode="External" /><Relationship Type="http://schemas.openxmlformats.org/officeDocument/2006/relationships/hyperlink" Id="rId733" Target="https://learn.microsoft.com/entra/identity/domain-services/administration-concepts" TargetMode="External" /><Relationship Type="http://schemas.openxmlformats.org/officeDocument/2006/relationships/hyperlink" Id="rId727" Target="https://learn.microsoft.com/entra/identity/domain-services/concepts-forest-trust" TargetMode="External" /><Relationship Type="http://schemas.openxmlformats.org/officeDocument/2006/relationships/hyperlink" Id="rId297" Target="https://learn.microsoft.com/entra/identity/domain-services/overview" TargetMode="External" /><Relationship Type="http://schemas.openxmlformats.org/officeDocument/2006/relationships/hyperlink" Id="rId299" Target="https://learn.microsoft.com/entra/identity/domain-services/tutorial-create-instance" TargetMode="External" /><Relationship Type="http://schemas.openxmlformats.org/officeDocument/2006/relationships/hyperlink" Id="rId307" Target="https://learn.microsoft.com/entra/identity/hybrid/cloud-sync/cloud-sync-migration-faq" TargetMode="External" /><Relationship Type="http://schemas.openxmlformats.org/officeDocument/2006/relationships/hyperlink" Id="rId305" Target="https://learn.microsoft.com/entra/identity/hybrid/cloud-sync/connect-to-cloud-sync-decision-guide" TargetMode="External" /><Relationship Type="http://schemas.openxmlformats.org/officeDocument/2006/relationships/hyperlink" Id="rId421" Target="https://learn.microsoft.com/entra/identity/hybrid/cloud-sync/how-to-prerequisites" TargetMode="External" /><Relationship Type="http://schemas.openxmlformats.org/officeDocument/2006/relationships/hyperlink" Id="rId841" Target="https://learn.microsoft.com/entra/identity/hybrid/common-scenarios" TargetMode="External" /><Relationship Type="http://schemas.openxmlformats.org/officeDocument/2006/relationships/hyperlink" Id="rId309" Target="https://learn.microsoft.com/entra/identity/hybrid/concept-source-of-authority-overview" TargetMode="External" /><Relationship Type="http://schemas.openxmlformats.org/officeDocument/2006/relationships/hyperlink" Id="rId850" Target="https://learn.microsoft.com/entra/identity/hybrid/connect/choose-ad-authn" TargetMode="External" /><Relationship Type="http://schemas.openxmlformats.org/officeDocument/2006/relationships/hyperlink" Id="rId1124" Target="https://learn.microsoft.com/entra/identity/hybrid/connect/how-to-connect-configure-ad-ds-connector-account" TargetMode="External" /><Relationship Type="http://schemas.openxmlformats.org/officeDocument/2006/relationships/hyperlink" Id="rId836" Target="https://learn.microsoft.com/entra/identity/hybrid/connect/how-to-connect-group-writeback-disable" TargetMode="External" /><Relationship Type="http://schemas.openxmlformats.org/officeDocument/2006/relationships/hyperlink" Id="rId792" Target="https://learn.microsoft.com/entra/identity/hybrid/connect/how-to-connect-install-existing-tenant" TargetMode="External" /><Relationship Type="http://schemas.openxmlformats.org/officeDocument/2006/relationships/hyperlink" Id="rId446" Target="https://learn.microsoft.com/entra/identity/hybrid/connect/how-to-connect-install-prerequisites" TargetMode="External" /><Relationship Type="http://schemas.openxmlformats.org/officeDocument/2006/relationships/hyperlink" Id="rId146" Target="https://learn.microsoft.com/entra/identity/hybrid/connect/how-to-connect-password-hash-synchronization" TargetMode="External" /><Relationship Type="http://schemas.openxmlformats.org/officeDocument/2006/relationships/hyperlink" Id="rId856" Target="https://learn.microsoft.com/entra/identity/hybrid/connect/how-to-connect-pta-quick-start" TargetMode="External" /><Relationship Type="http://schemas.openxmlformats.org/officeDocument/2006/relationships/hyperlink" Id="rId1103" Target="https://learn.microsoft.com/entra/identity/hybrid/connect/how-to-connect-staged-rollout" TargetMode="External" /><Relationship Type="http://schemas.openxmlformats.org/officeDocument/2006/relationships/hyperlink" Id="rId246" Target="https://learn.microsoft.com/entra/identity/hybrid/connect/how-to-connect-sync-feature-scheduler" TargetMode="External" /><Relationship Type="http://schemas.openxmlformats.org/officeDocument/2006/relationships/hyperlink" Id="rId444" Target="https://learn.microsoft.com/entra/identity/hybrid/connect/how-to-connect-sync-whatis" TargetMode="External" /><Relationship Type="http://schemas.openxmlformats.org/officeDocument/2006/relationships/hyperlink" Id="rId1105" Target="https://learn.microsoft.com/entra/identity/hybrid/connect/migrate-from-federation-to-cloud-authentication" TargetMode="External" /><Relationship Type="http://schemas.openxmlformats.org/officeDocument/2006/relationships/hyperlink" Id="rId866" Target="https://learn.microsoft.com/entra/identity/hybrid/connect/plan-connect-user-signin" TargetMode="External" /><Relationship Type="http://schemas.openxmlformats.org/officeDocument/2006/relationships/hyperlink" Id="rId790" Target="https://learn.microsoft.com/entra/identity/hybrid/connect/plan-connect-userprincipalname" TargetMode="External" /><Relationship Type="http://schemas.openxmlformats.org/officeDocument/2006/relationships/hyperlink" Id="rId451" Target="https://learn.microsoft.com/entra/identity/hybrid/connect/reference-connect-health-faq" TargetMode="External" /><Relationship Type="http://schemas.openxmlformats.org/officeDocument/2006/relationships/hyperlink" Id="rId1310" Target="https://learn.microsoft.com/entra/identity/hybrid/connect/reference-connect-sync-attributes-synchronized" TargetMode="External" /><Relationship Type="http://schemas.openxmlformats.org/officeDocument/2006/relationships/hyperlink" Id="rId1117" Target="https://learn.microsoft.com/entra/identity/hybrid/connect/tshoot-connect-sync-errors" TargetMode="External" /><Relationship Type="http://schemas.openxmlformats.org/officeDocument/2006/relationships/hyperlink" Id="rId448" Target="https://learn.microsoft.com/entra/identity/hybrid/connect/whatis-azure-ad-connect" TargetMode="External" /><Relationship Type="http://schemas.openxmlformats.org/officeDocument/2006/relationships/hyperlink" Id="rId303" Target="https://learn.microsoft.com/entra/identity/hybrid/connect/whatis-azure-ad-connect-v2" TargetMode="External" /><Relationship Type="http://schemas.openxmlformats.org/officeDocument/2006/relationships/hyperlink" Id="rId873" Target="https://learn.microsoft.com/entra/identity/hybrid/group-writeback-cloud-sync" TargetMode="External" /><Relationship Type="http://schemas.openxmlformats.org/officeDocument/2006/relationships/hyperlink" Id="rId311" Target="https://learn.microsoft.com/entra/identity/hybrid/how-to-user-source-of-authority-configure" TargetMode="External" /><Relationship Type="http://schemas.openxmlformats.org/officeDocument/2006/relationships/hyperlink" Id="rId809" Target="https://learn.microsoft.com/entra/identity/managed-identities-azure-resources/overview" TargetMode="External" /><Relationship Type="http://schemas.openxmlformats.org/officeDocument/2006/relationships/hyperlink" Id="rId512" Target="https://learn.microsoft.com/entra/identity/monitoring-health/concept-microsoft-entra-health" TargetMode="External" /><Relationship Type="http://schemas.openxmlformats.org/officeDocument/2006/relationships/hyperlink" Id="rId1067" Target="https://learn.microsoft.com/entra/identity/monitoring-health/howto-integrate-activity-logs-with-azure-monitor-logs" TargetMode="External" /><Relationship Type="http://schemas.openxmlformats.org/officeDocument/2006/relationships/hyperlink" Id="rId1078" Target="https://learn.microsoft.com/entra/identity/monitoring-health/overview-workbooks" TargetMode="External" /><Relationship Type="http://schemas.openxmlformats.org/officeDocument/2006/relationships/hyperlink" Id="rId1073" Target="https://learn.microsoft.com/entra/identity/monitoring-health/reference-audit-activities" TargetMode="External" /><Relationship Type="http://schemas.openxmlformats.org/officeDocument/2006/relationships/hyperlink" Id="rId1063" Target="https://learn.microsoft.com/entra/identity/monitoring-health/reference-reports-data-retention" TargetMode="External" /><Relationship Type="http://schemas.openxmlformats.org/officeDocument/2006/relationships/hyperlink" Id="rId258" Target="https://learn.microsoft.com/entra/identity/multi-tenant-organizations/cross-tenant-synchronization-overview" TargetMode="External" /><Relationship Type="http://schemas.openxmlformats.org/officeDocument/2006/relationships/hyperlink" Id="rId355" Target="https://learn.microsoft.com/entra/identity/role-based-access-control/admin-units-assign-roles" TargetMode="External" /><Relationship Type="http://schemas.openxmlformats.org/officeDocument/2006/relationships/hyperlink" Id="rId360" Target="https://learn.microsoft.com/entra/identity/role-based-access-control/admin-units-faq-troubleshoot" TargetMode="External" /><Relationship Type="http://schemas.openxmlformats.org/officeDocument/2006/relationships/hyperlink" Id="rId358" Target="https://learn.microsoft.com/entra/identity/role-based-access-control/admin-units-members-dynamic" TargetMode="External" /><Relationship Type="http://schemas.openxmlformats.org/officeDocument/2006/relationships/hyperlink" Id="rId364" Target="https://learn.microsoft.com/entra/identity/role-based-access-control/admin-units-restricted-management" TargetMode="External" /><Relationship Type="http://schemas.openxmlformats.org/officeDocument/2006/relationships/hyperlink" Id="rId350" Target="https://learn.microsoft.com/entra/identity/role-based-access-control/administrative-units" TargetMode="External" /><Relationship Type="http://schemas.openxmlformats.org/officeDocument/2006/relationships/hyperlink" Id="rId432" Target="https://learn.microsoft.com/entra/identity/role-based-access-control/delegate-by-task" TargetMode="External" /><Relationship Type="http://schemas.openxmlformats.org/officeDocument/2006/relationships/hyperlink" Id="rId378" Target="https://learn.microsoft.com/entra/identity/role-based-access-control/groups-concept" TargetMode="External" /><Relationship Type="http://schemas.openxmlformats.org/officeDocument/2006/relationships/hyperlink" Id="rId428" Target="https://learn.microsoft.com/entra/identity/role-based-access-control/permissions-reference" TargetMode="External" /><Relationship Type="http://schemas.openxmlformats.org/officeDocument/2006/relationships/hyperlink" Id="rId907" Target="https://learn.microsoft.com/entra/identity/role-based-access-control/privileged-roles-permissions" TargetMode="External" /><Relationship Type="http://schemas.openxmlformats.org/officeDocument/2006/relationships/hyperlink" Id="rId806" Target="https://learn.microsoft.com/entra/identity/role-based-access-control/protected-actions-overview" TargetMode="External" /><Relationship Type="http://schemas.openxmlformats.org/officeDocument/2006/relationships/hyperlink" Id="rId925" Target="https://learn.microsoft.com/entra/identity/role-based-access-control/security-emergency-access" TargetMode="External" /><Relationship Type="http://schemas.openxmlformats.org/officeDocument/2006/relationships/hyperlink" Id="rId815" Target="https://learn.microsoft.com/entra/identity/users/groups-dynamic-membership" TargetMode="External" /><Relationship Type="http://schemas.openxmlformats.org/officeDocument/2006/relationships/hyperlink" Id="rId826" Target="https://learn.microsoft.com/entra/identity/users/groups-dynamic-membership#rule-syntax-for-a-single-expression" TargetMode="External" /><Relationship Type="http://schemas.openxmlformats.org/officeDocument/2006/relationships/hyperlink" Id="rId831" Target="https://learn.microsoft.com/entra/identity/users/groups-dynamic-rule-member-of" TargetMode="External" /><Relationship Type="http://schemas.openxmlformats.org/officeDocument/2006/relationships/hyperlink" Id="rId886" Target="https://learn.microsoft.com/entra/identity/users/groups-lifecycle" TargetMode="External" /><Relationship Type="http://schemas.openxmlformats.org/officeDocument/2006/relationships/hyperlink" Id="rId164" Target="https://learn.microsoft.com/entra/msal/dotnet/advanced/proof-of-possession-tokens" TargetMode="External" /><Relationship Type="http://schemas.openxmlformats.org/officeDocument/2006/relationships/hyperlink" Id="rId221" Target="https://learn.microsoft.com/entra/msal/overview" TargetMode="External" /><Relationship Type="http://schemas.openxmlformats.org/officeDocument/2006/relationships/hyperlink" Id="rId172" Target="https://learn.microsoft.com/entra/standards/memo-22-09-multi-factor-authentication" TargetMode="External" /><Relationship Type="http://schemas.openxmlformats.org/officeDocument/2006/relationships/hyperlink" Id="rId896" Target="https://learn.microsoft.com/entra/workload-id/workload-identity-federation-considerations" TargetMode="External" /><Relationship Type="http://schemas.openxmlformats.org/officeDocument/2006/relationships/hyperlink" Id="rId894" Target="https://learn.microsoft.com/entra/workload-id/workload-identity-federation-create-trust" TargetMode="External" /><Relationship Type="http://schemas.openxmlformats.org/officeDocument/2006/relationships/hyperlink" Id="rId1041" Target="https://learn.microsoft.com/exchange/clients-and-mobile-in-exchange-online/deprecation-of-basic-authentication-exchange-online" TargetMode="External" /><Relationship Type="http://schemas.openxmlformats.org/officeDocument/2006/relationships/hyperlink" Id="rId1179" Target="https://learn.microsoft.com/fabric/enterprise/powerbi/service-government-us-overview" TargetMode="External" /><Relationship Type="http://schemas.openxmlformats.org/officeDocument/2006/relationships/hyperlink" Id="rId1177" Target="https://learn.microsoft.com/fabric/enterprise/us-government-community-cloud-high" TargetMode="External" /><Relationship Type="http://schemas.openxmlformats.org/officeDocument/2006/relationships/hyperlink" Id="rId1173" Target="https://learn.microsoft.com/fabric/governance/domains" TargetMode="External" /><Relationship Type="http://schemas.openxmlformats.org/officeDocument/2006/relationships/hyperlink" Id="rId1175" Target="https://learn.microsoft.com/fabric/mirroring/sql-server" TargetMode="External" /><Relationship Type="http://schemas.openxmlformats.org/officeDocument/2006/relationships/hyperlink" Id="rId1327" Target="https://learn.microsoft.com/graph/api/resources/conditionalaccessgrantcontrols?view=graph-rest-1.0" TargetMode="External" /><Relationship Type="http://schemas.openxmlformats.org/officeDocument/2006/relationships/hyperlink" Id="rId977" Target="https://learn.microsoft.com/graph/api/resources/identitygovernance-rulebasedsubjectset?view=graph-rest-1.0" TargetMode="External" /><Relationship Type="http://schemas.openxmlformats.org/officeDocument/2006/relationships/hyperlink" Id="rId1341" Target="https://learn.microsoft.com/graph/api/resources/unifiedroleassignmentschedule?view=graph-rest-1.0" TargetMode="External" /><Relationship Type="http://schemas.openxmlformats.org/officeDocument/2006/relationships/hyperlink" Id="rId1071" Target="https://learn.microsoft.com/graph/api/resources/user?view=graph-rest-1.0" TargetMode="External" /><Relationship Type="http://schemas.openxmlformats.org/officeDocument/2006/relationships/hyperlink" Id="rId783" Target="https://learn.microsoft.com/graph/deployments" TargetMode="External" /><Relationship Type="http://schemas.openxmlformats.org/officeDocument/2006/relationships/hyperlink" Id="rId985" Target="https://learn.microsoft.com/graph/identitygovernance-lifecycleworkflows-task-arguments" TargetMode="External" /><Relationship Type="http://schemas.openxmlformats.org/officeDocument/2006/relationships/hyperlink" Id="rId470" Target="https://learn.microsoft.com/graph/overview" TargetMode="External" /><Relationship Type="http://schemas.openxmlformats.org/officeDocument/2006/relationships/hyperlink" Id="rId239" Target="https://learn.microsoft.com/graph/templates/bicep/limitations" TargetMode="External" /><Relationship Type="http://schemas.openxmlformats.org/officeDocument/2006/relationships/hyperlink" Id="rId237" Target="https://learn.microsoft.com/graph/templates/bicep/overview-bicep-templates-for-graph" TargetMode="External" /><Relationship Type="http://schemas.openxmlformats.org/officeDocument/2006/relationships/hyperlink" Id="rId276" Target="https://learn.microsoft.com/intune/cloud-pki/" TargetMode="External" /><Relationship Type="http://schemas.openxmlformats.org/officeDocument/2006/relationships/hyperlink" Id="rId315" Target="https://learn.microsoft.com/intune/configmgr/comanage/workloads" TargetMode="External" /><Relationship Type="http://schemas.openxmlformats.org/officeDocument/2006/relationships/hyperlink" Id="rId317" Target="https://learn.microsoft.com/intune/device-configuration/import-group-policy-analytics" TargetMode="External" /><Relationship Type="http://schemas.openxmlformats.org/officeDocument/2006/relationships/hyperlink" Id="rId475" Target="https://learn.microsoft.com/intune/device-configuration/migrate-group-policy" TargetMode="External" /><Relationship Type="http://schemas.openxmlformats.org/officeDocument/2006/relationships/hyperlink" Id="rId274" Target="https://learn.microsoft.com/intune/fundamentals/certificates/overview" TargetMode="External" /><Relationship Type="http://schemas.openxmlformats.org/officeDocument/2006/relationships/hyperlink" Id="rId1152" Target="https://learn.microsoft.com/intune/fundamentals/certificates/scep-infrastructure" TargetMode="External" /><Relationship Type="http://schemas.openxmlformats.org/officeDocument/2006/relationships/hyperlink" Id="rId472" Target="https://learn.microsoft.com/intune/fundamentals/licensing" TargetMode="External" /><Relationship Type="http://schemas.openxmlformats.org/officeDocument/2006/relationships/hyperlink" Id="rId143" Target="https://learn.microsoft.com/intune/solutions/cloud-native-endpoints/on-premises-resources" TargetMode="External" /><Relationship Type="http://schemas.openxmlformats.org/officeDocument/2006/relationships/hyperlink" Id="rId940" Target="https://learn.microsoft.com/microsoft-365/copilot/gov-overview" TargetMode="External" /><Relationship Type="http://schemas.openxmlformats.org/officeDocument/2006/relationships/hyperlink" Id="rId517" Target="https://learn.microsoft.com/microsoft-365/fasttrack/eligibility" TargetMode="External" /><Relationship Type="http://schemas.openxmlformats.org/officeDocument/2006/relationships/hyperlink" Id="rId518" Target="https://learn.microsoft.com/microsoft-365/fasttrack/microsoft-entra-id" TargetMode="External" /><Relationship Type="http://schemas.openxmlformats.org/officeDocument/2006/relationships/hyperlink" Id="rId731" Target="https://learn.microsoft.com/openspecs/windows_protocols/ms-adts/e9a2d23c-c31e-4a6f-88a0-6646fdb51a3c" TargetMode="External" /><Relationship Type="http://schemas.openxmlformats.org/officeDocument/2006/relationships/hyperlink" Id="rId1204" Target="https://learn.microsoft.com/power-platform/admin/microsoft-dynamics-365-government" TargetMode="External" /><Relationship Type="http://schemas.openxmlformats.org/officeDocument/2006/relationships/hyperlink" Id="rId232" Target="https://learn.microsoft.com/powershell/entra-powershell/overview" TargetMode="External" /><Relationship Type="http://schemas.openxmlformats.org/officeDocument/2006/relationships/hyperlink" Id="rId1337" Target="https://learn.microsoft.com/powershell/microsoftgraph/azuread-msoline-cmdlet-map?view=graph-powershell-1.0" TargetMode="External" /><Relationship Type="http://schemas.openxmlformats.org/officeDocument/2006/relationships/hyperlink" Id="rId219" Target="https://learn.microsoft.com/powershell/microsoftgraph/migration-steps" TargetMode="External" /><Relationship Type="http://schemas.openxmlformats.org/officeDocument/2006/relationships/hyperlink" Id="rId1335" Target="https://learn.microsoft.com/powershell/microsoftgraph/migration-steps?view=graph-powershell-1.0" TargetMode="External" /><Relationship Type="http://schemas.openxmlformats.org/officeDocument/2006/relationships/hyperlink" Id="rId642" Target="https://learn.microsoft.com/powershell/module/activedirectory/?view=windowsserver2025-ps" TargetMode="External" /><Relationship Type="http://schemas.openxmlformats.org/officeDocument/2006/relationships/hyperlink" Id="rId729" Target="https://learn.microsoft.com/powershell/module/activedirectory/get-adtrust?view=windowsserver2025-ps" TargetMode="External" /><Relationship Type="http://schemas.openxmlformats.org/officeDocument/2006/relationships/hyperlink" Id="rId1298" Target="https://learn.microsoft.com/powershell/module/activedirectory/set-addomainmode?view=windowsserver2025-ps" TargetMode="External" /><Relationship Type="http://schemas.openxmlformats.org/officeDocument/2006/relationships/hyperlink" Id="rId631" Target="https://learn.microsoft.com/powershell/module/activedirectory/set-adforestmode?view=windowsserver2025-ps" TargetMode="External" /><Relationship Type="http://schemas.openxmlformats.org/officeDocument/2006/relationships/hyperlink" Id="rId668" Target="https://learn.microsoft.com/powershell/module/dnsserver/get-dnsserverdnsseczonesetting?view=windowsserver2025-ps" TargetMode="External" /><Relationship Type="http://schemas.openxmlformats.org/officeDocument/2006/relationships/hyperlink" Id="rId657" Target="https://learn.microsoft.com/powershell/module/grouppolicy/?view=windowsserver2025-ps" TargetMode="External" /><Relationship Type="http://schemas.openxmlformats.org/officeDocument/2006/relationships/hyperlink" Id="rId646" Target="https://learn.microsoft.com/powershell/module/grouppolicy/get-gpinheritance?view=windowsserver2025-ps" TargetMode="External" /><Relationship Type="http://schemas.openxmlformats.org/officeDocument/2006/relationships/hyperlink" Id="rId659" Target="https://learn.microsoft.com/powershell/module/grouppolicy/get-gporeport?view=windowsserver2025-ps" TargetMode="External" /><Relationship Type="http://schemas.openxmlformats.org/officeDocument/2006/relationships/hyperlink" Id="rId661" Target="https://learn.microsoft.com/powershell/module/grouppolicy/get-gppermission?view=windowsserver2025-ps" TargetMode="External" /><Relationship Type="http://schemas.openxmlformats.org/officeDocument/2006/relationships/hyperlink" Id="rId396" Target="https://learn.microsoft.com/powershell/module/microsoft.graph.identity.directorymanagement/update-mgdirectoryadministrativeunit?view=graph-powershell-1.0" TargetMode="External" /><Relationship Type="http://schemas.openxmlformats.org/officeDocument/2006/relationships/hyperlink" Id="rId1343" Target="https://learn.microsoft.com/powershell/module/microsoft.graph.identity.governance/get-mgrolemanagementdirectoryroleeligibilityschedule?view=graph-powershell-1.0" TargetMode="External" /><Relationship Type="http://schemas.openxmlformats.org/officeDocument/2006/relationships/hyperlink" Id="rId1292" Target="https://learn.microsoft.com/powershell/module/scheduledtasks/new-scheduledtaskprincipal?view=windowsserver2025-ps" TargetMode="External" /><Relationship Type="http://schemas.openxmlformats.org/officeDocument/2006/relationships/hyperlink" Id="rId611" Target="https://learn.microsoft.com/powershell/scripting/security/remoting/ps-remoting-second-hop" TargetMode="External" /><Relationship Type="http://schemas.openxmlformats.org/officeDocument/2006/relationships/hyperlink" Id="rId766" Target="https://learn.microsoft.com/powershell/scripting/security/remoting/winrm-security" TargetMode="External" /><Relationship Type="http://schemas.openxmlformats.org/officeDocument/2006/relationships/hyperlink" Id="rId486" Target="https://learn.microsoft.com/purview/audit-solutions-overview" TargetMode="External" /><Relationship Type="http://schemas.openxmlformats.org/officeDocument/2006/relationships/hyperlink" Id="rId1081" Target="https://learn.microsoft.com/purview/compliance-manager-regulations-list" TargetMode="External" /><Relationship Type="http://schemas.openxmlformats.org/officeDocument/2006/relationships/hyperlink" Id="rId1169" Target="https://learn.microsoft.com/purview/purview-adaptive-scopes" TargetMode="External" /><Relationship Type="http://schemas.openxmlformats.org/officeDocument/2006/relationships/hyperlink" Id="rId371" Target="https://learn.microsoft.com/purview/purview-admin-units" TargetMode="External" /><Relationship Type="http://schemas.openxmlformats.org/officeDocument/2006/relationships/hyperlink" Id="rId1171" Target="https://learn.microsoft.com/purview/register-scan-azure-arc-enabled-sql-server" TargetMode="External" /><Relationship Type="http://schemas.openxmlformats.org/officeDocument/2006/relationships/hyperlink" Id="rId711" Target="https://learn.microsoft.com/security/privileged-access-workstations/privileged-access-security-levels" TargetMode="External" /><Relationship Type="http://schemas.openxmlformats.org/officeDocument/2006/relationships/hyperlink" Id="rId1059" Target="https://learn.microsoft.com/security/zero-trust/adopt/implement-privileged-access-devices" TargetMode="External" /><Relationship Type="http://schemas.openxmlformats.org/officeDocument/2006/relationships/hyperlink" Id="rId496" Target="https://learn.microsoft.com/security/zero-trust/assessment/get-started" TargetMode="External" /><Relationship Type="http://schemas.openxmlformats.org/officeDocument/2006/relationships/hyperlink" Id="rId495" Target="https://learn.microsoft.com/security/zero-trust/assessment/overview" TargetMode="External" /><Relationship Type="http://schemas.openxmlformats.org/officeDocument/2006/relationships/hyperlink" Id="rId749" Target="https://learn.microsoft.com/services-hub/microsoft-engage-center/health/kb/kb-running-assessments-with-msas" TargetMode="External" /><Relationship Type="http://schemas.openxmlformats.org/officeDocument/2006/relationships/hyperlink" Id="rId217" Target="https://learn.microsoft.com/services-hub/microsoft-engage-center/health/remediation-steps-ad/configure-the-active-directory-web-services-adws-to-start-automatically-on-all-servers" TargetMode="External" /><Relationship Type="http://schemas.openxmlformats.org/officeDocument/2006/relationships/hyperlink" Id="rId1146" Target="https://learn.microsoft.com/sql/database-engine/configure-windows/register-a-service-principal-name-for-kerberos-connections" TargetMode="External" /><Relationship Type="http://schemas.openxmlformats.org/officeDocument/2006/relationships/hyperlink" Id="rId1159" Target="https://learn.microsoft.com/sql/relational-databases/security/authentication-access/azure-ad-authentication-sql-server-overview" TargetMode="External" /><Relationship Type="http://schemas.openxmlformats.org/officeDocument/2006/relationships/hyperlink" Id="rId1157" Target="https://learn.microsoft.com/sql/relational-databases/security/authentication-access/microsoft-entra-authentication-sql-server-enable-without-arc" TargetMode="External" /><Relationship Type="http://schemas.openxmlformats.org/officeDocument/2006/relationships/hyperlink" Id="rId1155" Target="https://learn.microsoft.com/sql/sql-server/azure-arc/overview" TargetMode="External" /><Relationship Type="http://schemas.openxmlformats.org/officeDocument/2006/relationships/hyperlink" Id="rId828" Target="https://learn.microsoft.com/troubleshoot/entra/entra-id/dir-dmns-obj/troubleshoot-dynamic-groups" TargetMode="External" /><Relationship Type="http://schemas.openxmlformats.org/officeDocument/2006/relationships/hyperlink" Id="rId547" Target="https://learn.microsoft.com/troubleshoot/entra/entra-id/user-prov-sync/password-writeback-access-rights-permissions" TargetMode="External" /><Relationship Type="http://schemas.openxmlformats.org/officeDocument/2006/relationships/hyperlink" Id="rId774" Target="https://learn.microsoft.com/troubleshoot/entra/entra-id/user-prov-sync/size-limit-exceeded" TargetMode="External" /><Relationship Type="http://schemas.openxmlformats.org/officeDocument/2006/relationships/hyperlink" Id="rId700" Target="https://learn.microsoft.com/troubleshoot/mem/configmgr/discovery/lastlogontimestamp-not-accurate" TargetMode="External" /><Relationship Type="http://schemas.openxmlformats.org/officeDocument/2006/relationships/hyperlink" Id="rId1144" Target="https://learn.microsoft.com/troubleshoot/sql/database-engine/connect/windows-prevents-unconstrained-delegation" TargetMode="External" /><Relationship Type="http://schemas.openxmlformats.org/officeDocument/2006/relationships/hyperlink" Id="rId1165" Target="https://learn.microsoft.com/troubleshoot/sql/database-engine/startup-shutdown/gmsa-kerberos-authentication-failures" TargetMode="External" /><Relationship Type="http://schemas.openxmlformats.org/officeDocument/2006/relationships/hyperlink" Id="rId721" Target="https://learn.microsoft.com/troubleshoot/windows-server/active-directory/domain-controller-returns-500-values-ldap-response" TargetMode="External" /><Relationship Type="http://schemas.openxmlformats.org/officeDocument/2006/relationships/hyperlink" Id="rId573" Target="https://learn.microsoft.com/troubleshoot/windows-server/active-directory/non-administrators-view-deleted-object-container" TargetMode="External" /><Relationship Type="http://schemas.openxmlformats.org/officeDocument/2006/relationships/hyperlink" Id="rId762" Target="https://learn.microsoft.com/troubleshoot/windows-server/active-directory/specify-server-port-active-directory-powershell-cmdlet" TargetMode="External" /><Relationship Type="http://schemas.openxmlformats.org/officeDocument/2006/relationships/hyperlink" Id="rId509" Target="https://learn.microsoft.com/troubleshoot/windows-server/active-directory/support-policy-and-known-issues-for-admt" TargetMode="External" /><Relationship Type="http://schemas.openxmlformats.org/officeDocument/2006/relationships/hyperlink" Id="rId690" Target="https://learn.microsoft.com/troubleshoot/windows-server/certificates-and-public-key-infrastructure-pki/enabling-smart-card-logon-third-party-certification-authorities" TargetMode="External" /><Relationship Type="http://schemas.openxmlformats.org/officeDocument/2006/relationships/hyperlink" Id="rId764" Target="https://learn.microsoft.com/troubleshoot/windows-server/networking/service-overview-and-network-port-requirements" TargetMode="External" /><Relationship Type="http://schemas.openxmlformats.org/officeDocument/2006/relationships/hyperlink" Id="rId244" Target="https://learn.microsoft.com/troubleshoot/windows-server/windows-security/kerberos-protocol-registry-kdc-configuration-keys" TargetMode="External" /><Relationship Type="http://schemas.openxmlformats.org/officeDocument/2006/relationships/hyperlink" Id="rId558" Target="https://learn.microsoft.com/troubleshoot/windows-server/windows-security/mark-attribute-as-confidential" TargetMode="External" /><Relationship Type="http://schemas.openxmlformats.org/officeDocument/2006/relationships/hyperlink" Id="rId608" Target="https://learn.microsoft.com/windows-hardware/manufacture/desktop/features-on-demand-non-language-fod" TargetMode="External" /><Relationship Type="http://schemas.openxmlformats.org/officeDocument/2006/relationships/hyperlink" Id="rId606" Target="https://learn.microsoft.com/windows-server/administration/install-remote-server-administration-tools" TargetMode="External" /><Relationship Type="http://schemas.openxmlformats.org/officeDocument/2006/relationships/hyperlink" Id="rId676" Target="https://learn.microsoft.com/windows-server/administration/windows-commands/certutil" TargetMode="External" /><Relationship Type="http://schemas.openxmlformats.org/officeDocument/2006/relationships/hyperlink" Id="rId621" Target="https://learn.microsoft.com/windows-server/administration/windows-commands/netdom-query" TargetMode="External" /><Relationship Type="http://schemas.openxmlformats.org/officeDocument/2006/relationships/hyperlink" Id="rId620" Target="https://learn.microsoft.com/windows-server/administration/windows-commands/netdom-trust" TargetMode="External" /><Relationship Type="http://schemas.openxmlformats.org/officeDocument/2006/relationships/hyperlink" Id="rId195" Target="https://learn.microsoft.com/windows-server/get-started/removed-deprecated-features-windows-server" TargetMode="External" /><Relationship Type="http://schemas.openxmlformats.org/officeDocument/2006/relationships/hyperlink" Id="rId633" Target="https://learn.microsoft.com/windows-server/get-started/whats-new-windows-server-2025" TargetMode="External" /><Relationship Type="http://schemas.openxmlformats.org/officeDocument/2006/relationships/hyperlink" Id="rId674" Target="https://learn.microsoft.com/windows-server/identity/ad-cs/monitor-ad-cs-health-enterprise-pki" TargetMode="External" /><Relationship Type="http://schemas.openxmlformats.org/officeDocument/2006/relationships/hyperlink" Id="rId635" Target="https://learn.microsoft.com/windows-server/identity/ad-ds/active-directory-functional-levels" TargetMode="External" /><Relationship Type="http://schemas.openxmlformats.org/officeDocument/2006/relationships/hyperlink" Id="rId577" Target="https://learn.microsoft.com/windows-server/identity/ad-ds/get-started/adac/advanced-ad-ds-management-using-active-directory-administrative-center--level-200-" TargetMode="External" /><Relationship Type="http://schemas.openxmlformats.org/officeDocument/2006/relationships/hyperlink" Id="rId579" Target="https://learn.microsoft.com/windows-server/identity/ad-ds/get-started/adac/fine-grained-password-policies" TargetMode="External" /><Relationship Type="http://schemas.openxmlformats.org/officeDocument/2006/relationships/hyperlink" Id="rId203" Target="https://learn.microsoft.com/windows-server/identity/ad-ds/ldap-channel-binding" TargetMode="External" /><Relationship Type="http://schemas.openxmlformats.org/officeDocument/2006/relationships/hyperlink" Id="rId201" Target="https://learn.microsoft.com/windows-server/identity/ad-ds/ldap-signing" TargetMode="External" /><Relationship Type="http://schemas.openxmlformats.org/officeDocument/2006/relationships/hyperlink" Id="rId269" Target="https://learn.microsoft.com/windows-server/identity/ad-ds/manage/dc-locator" TargetMode="External" /><Relationship Type="http://schemas.openxmlformats.org/officeDocument/2006/relationships/hyperlink" Id="rId716" Target="https://learn.microsoft.com/windows-server/identity/ad-ds/manage/delegated-managed-service-accounts/delegated-managed-service-accounts-overview" TargetMode="External" /><Relationship Type="http://schemas.openxmlformats.org/officeDocument/2006/relationships/hyperlink" Id="rId718" Target="https://learn.microsoft.com/windows-server/identity/ad-ds/manage/group-managed-service-accounts/group-managed-service-accounts/manage-group-managed-service-accounts" TargetMode="External" /><Relationship Type="http://schemas.openxmlformats.org/officeDocument/2006/relationships/hyperlink" Id="rId650" Target="https://learn.microsoft.com/windows-server/identity/ad-ds/manage/group-policy/group-policy-processing" TargetMode="External" /><Relationship Type="http://schemas.openxmlformats.org/officeDocument/2006/relationships/hyperlink" Id="rId648" Target="https://learn.microsoft.com/windows-server/identity/ad-ds/manage/group-policy/group-policy-scope" TargetMode="External" /><Relationship Type="http://schemas.openxmlformats.org/officeDocument/2006/relationships/hyperlink" Id="rId628" Target="https://learn.microsoft.com/windows-server/identity/ad-ds/manage/manage-fsmo-roles" TargetMode="External" /><Relationship Type="http://schemas.openxmlformats.org/officeDocument/2006/relationships/hyperlink" Id="rId625" Target="https://learn.microsoft.com/windows-server/identity/ad-ds/manage/understand-fsmo-roles" TargetMode="External" /><Relationship Type="http://schemas.openxmlformats.org/officeDocument/2006/relationships/hyperlink" Id="rId550" Target="https://learn.microsoft.com/windows-server/identity/ad-ds/manage/understand-security-groups" TargetMode="External" /><Relationship Type="http://schemas.openxmlformats.org/officeDocument/2006/relationships/hyperlink" Id="rId723" Target="https://learn.microsoft.com/windows-server/identity/ad-ds/plan/active-directory-domain-services-maximum-limits" TargetMode="External" /><Relationship Type="http://schemas.openxmlformats.org/officeDocument/2006/relationships/hyperlink" Id="rId637" Target="https://learn.microsoft.com/windows-server/identity/ad-ds/plan/identifying-your-functional-level-upgrade" TargetMode="External" /><Relationship Type="http://schemas.openxmlformats.org/officeDocument/2006/relationships/hyperlink" Id="rId639" Target="https://learn.microsoft.com/windows-server/identity/ad-ds/plan/raise-domain-forest-functional-levels" TargetMode="External" /><Relationship Type="http://schemas.openxmlformats.org/officeDocument/2006/relationships/hyperlink" Id="rId553" Target="https://learn.microsoft.com/windows-server/identity/ad-ds/plan/security-best-practices/appendix-c--protected-accounts-and-groups-in-active-directory" TargetMode="External" /><Relationship Type="http://schemas.openxmlformats.org/officeDocument/2006/relationships/hyperlink" Id="rId555" Target="https://learn.microsoft.com/windows-server/identity/ad-ds/plan/security-best-practices/reducing-the-active-directory-attack-surface" TargetMode="External" /><Relationship Type="http://schemas.openxmlformats.org/officeDocument/2006/relationships/hyperlink" Id="rId566" Target="https://learn.microsoft.com/windows-server/identity/laps/laps-overview" TargetMode="External" /><Relationship Type="http://schemas.openxmlformats.org/officeDocument/2006/relationships/hyperlink" Id="rId564" Target="https://learn.microsoft.com/windows-server/identity/laps/laps-technical-reference" TargetMode="External" /><Relationship Type="http://schemas.openxmlformats.org/officeDocument/2006/relationships/hyperlink" Id="rId295" Target="https://learn.microsoft.com/windows-server/identity/manage-ldap-signing-group-policy" TargetMode="External" /><Relationship Type="http://schemas.openxmlformats.org/officeDocument/2006/relationships/hyperlink" Id="rId670" Target="https://learn.microsoft.com/windows-server/networking/dns/configure-aging-scavenging" TargetMode="External" /><Relationship Type="http://schemas.openxmlformats.org/officeDocument/2006/relationships/hyperlink" Id="rId321" Target="https://learn.microsoft.com/windows-server/networking/windows-time-service/how-the-windows-time-service-works" TargetMode="External" /><Relationship Type="http://schemas.openxmlformats.org/officeDocument/2006/relationships/hyperlink" Id="rId704" Target="https://learn.microsoft.com/windows-server/security/kerberos/kerberos-constrained-delegation-overview" TargetMode="External" /><Relationship Type="http://schemas.openxmlformats.org/officeDocument/2006/relationships/hyperlink" Id="rId328" Target="https://learn.microsoft.com/windows-server/storage/dfs-namespaces/choose-a-namespace-type" TargetMode="External" /><Relationship Type="http://schemas.openxmlformats.org/officeDocument/2006/relationships/hyperlink" Id="rId324" Target="https://learn.microsoft.com/windows/client-management/mdm/policy-csp-admx-w32time" TargetMode="External" /><Relationship Type="http://schemas.openxmlformats.org/officeDocument/2006/relationships/hyperlink" Id="rId193" Target="https://learn.microsoft.com/windows/release-health/windows-message-center" TargetMode="External" /><Relationship Type="http://schemas.openxmlformats.org/officeDocument/2006/relationships/hyperlink" Id="rId603" Target="https://learn.microsoft.com/windows/release-health/windows-server-release-info" TargetMode="External" /><Relationship Type="http://schemas.openxmlformats.org/officeDocument/2006/relationships/hyperlink" Id="rId604" Target="https://learn.microsoft.com/windows/release-health/windows11-release-information" TargetMode="External" /><Relationship Type="http://schemas.openxmlformats.org/officeDocument/2006/relationships/hyperlink" Id="rId282" Target="https://learn.microsoft.com/windows/security/identity-protection/hello-for-business/deploy/" TargetMode="External" /><Relationship Type="http://schemas.openxmlformats.org/officeDocument/2006/relationships/hyperlink" Id="rId479" Target="https://learn.microsoft.com/windows/security/operating-system-security/device-management/windows-security-configuration-framework/security-compliance-toolkit-10" TargetMode="External" /><Relationship Type="http://schemas.openxmlformats.org/officeDocument/2006/relationships/hyperlink" Id="rId190" Target="https://learn.microsoft.com/windows/whats-new/deprecated-features" TargetMode="External" /><Relationship Type="http://schemas.openxmlformats.org/officeDocument/2006/relationships/hyperlink" Id="rId575" Target="https://learn.microsoft.com/windows/win32/ad/restoring-deleted-objects" TargetMode="External" /><Relationship Type="http://schemas.openxmlformats.org/officeDocument/2006/relationships/hyperlink" Id="rId699" Target="https://learn.microsoft.com/windows/win32/adschema/a-lastlogontimestamp" TargetMode="External" /><Relationship Type="http://schemas.openxmlformats.org/officeDocument/2006/relationships/hyperlink" Id="rId560" Target="https://learn.microsoft.com/windows/win32/adschema/a-searchflags" TargetMode="External" /><Relationship Type="http://schemas.openxmlformats.org/officeDocument/2006/relationships/hyperlink" Id="rId1278" Target="https://learn.microsoft.com/windows/win32/adschema/c-msds-groupmanagedserviceaccount" TargetMode="External" /><Relationship Type="http://schemas.openxmlformats.org/officeDocument/2006/relationships/hyperlink" Id="rId1263" Target="https://learn.microsoft.com/windows/win32/adschema/r-certificate-enrollment" TargetMode="External" /><Relationship Type="http://schemas.openxmlformats.org/officeDocument/2006/relationships/hyperlink" Id="rId569" Target="https://learn.microsoft.com/windows/win32/adschema/r-ds-replication-get-changes-all" TargetMode="External" /><Relationship Type="http://schemas.openxmlformats.org/officeDocument/2006/relationships/hyperlink" Id="rId688" Target="https://learn.microsoft.com/windows/win32/api/certenroll/ne-certenroll-x509certificatetemplateenrollmentflag" TargetMode="External" /><Relationship Type="http://schemas.openxmlformats.org/officeDocument/2006/relationships/hyperlink" Id="rId686" Target="https://learn.microsoft.com/windows/win32/api/certenroll/ne-certenroll-x509certificatetemplatesubjectnameflag" TargetMode="External" /><Relationship Type="http://schemas.openxmlformats.org/officeDocument/2006/relationships/hyperlink" Id="rId772" Target="https://learn.microsoft.com/windows/win32/winrm/installation-and-configuration-for-windows-remote-management" TargetMode="External" /><Relationship Type="http://schemas.openxmlformats.org/officeDocument/2006/relationships/hyperlink" Id="rId405" Target="https://nvlpubs.nist.gov/nistpubs/SpecialPublications/NIST.SP.800-37r2.pdf" TargetMode="External" /><Relationship Type="http://schemas.openxmlformats.org/officeDocument/2006/relationships/hyperlink" Id="rId156" Target="https://openid.net/specs/openid-connect-core-1_0.html" TargetMode="External" /><Relationship Type="http://schemas.openxmlformats.org/officeDocument/2006/relationships/hyperlink" Id="rId241" Target="https://pages.nist.gov/OSCAL/learn/concepts/layer/" TargetMode="External" /><Relationship Type="http://schemas.openxmlformats.org/officeDocument/2006/relationships/hyperlink" Id="rId1237" Target="https://raw.githubusercontent.com/usnistgov/oscal-content/main/nist.gov/SP800-53/rev5/json/NIST_SP-800-53_rev5_catalog.json" TargetMode="External" /><Relationship Type="http://schemas.openxmlformats.org/officeDocument/2006/relationships/hyperlink" Id="rId197" Target="https://techcommunity.microsoft.com/blog/windows-itpro-blog/advancing-windows-security-disabling-ntlm-by-default/4489526" TargetMode="External" /><Relationship Type="http://schemas.openxmlformats.org/officeDocument/2006/relationships/hyperlink" Id="rId34" Target="https://www.cisa.gov/news-events/alerts/2024/09/25/asds-acsc-cisa-and-us-and-international-partners-release-guidance-detecting-and-mitigating-active" TargetMode="External" /><Relationship Type="http://schemas.openxmlformats.org/officeDocument/2006/relationships/hyperlink" Id="rId1134" Target="https://www.cisa.gov/news-events/directives/bod-25-01-implementation-guidance-implementing-secure-practices-cloud-services" TargetMode="External" /><Relationship Type="http://schemas.openxmlformats.org/officeDocument/2006/relationships/hyperlink" Id="rId417" Target="https://www.cisa.gov/news-events/directives/bod-25-01-implementing-secure-practices-cloud-services" TargetMode="External" /><Relationship Type="http://schemas.openxmlformats.org/officeDocument/2006/relationships/hyperlink" Id="rId1213" Target="https://www.cisa.gov/resources-tools/services/bod-25-01-implementing-secure-practices-cloud-services-required-configurations" TargetMode="External" /><Relationship Type="http://schemas.openxmlformats.org/officeDocument/2006/relationships/hyperlink" Id="rId22" Target="https://www.cisa.gov/sites/default/files/2023-04/CISA_Zero_Trust_Maturity_Model_Version_2_508c.pdf" TargetMode="External" /><Relationship Type="http://schemas.openxmlformats.org/officeDocument/2006/relationships/hyperlink" Id="rId124" Target="https://www.fedramp.gov/20x/" TargetMode="External" /><Relationship Type="http://schemas.openxmlformats.org/officeDocument/2006/relationships/hyperlink" Id="rId271" Target="https://www.fedramp.gov/marketplace/products.json" TargetMode="External" /><Relationship Type="http://schemas.openxmlformats.org/officeDocument/2006/relationships/hyperlink" Id="rId128" Target="https://www.govinfo.gov/content/pkg/PLAW-115publ435/html/PLAW-115publ435.htm" TargetMode="External" /><Relationship Type="http://schemas.openxmlformats.org/officeDocument/2006/relationships/hyperlink" Id="rId530" Target="https://www.pingcastle.com/" TargetMode="External" /><Relationship Type="http://schemas.openxmlformats.org/officeDocument/2006/relationships/hyperlink" Id="rId613" Target="https://www.pkisolutions.com/tools/pspki/" TargetMode="External" /><Relationship Type="http://schemas.openxmlformats.org/officeDocument/2006/relationships/hyperlink" Id="rId615" Target="https://www.powershellgallery.com/packages/PSPKI" TargetMode="External" /><Relationship Type="http://schemas.openxmlformats.org/officeDocument/2006/relationships/hyperlink" Id="rId149" Target="https://www.rfc-editor.org/rfc/rfc4120" TargetMode="External" /><Relationship Type="http://schemas.openxmlformats.org/officeDocument/2006/relationships/hyperlink" Id="rId151" Target="https://www.rfc-editor.org/rfc/rfc4178" TargetMode="External" /><Relationship Type="http://schemas.openxmlformats.org/officeDocument/2006/relationships/hyperlink" Id="rId692" Target="https://www.rfc-editor.org/rfc/rfc4556" TargetMode="External" /><Relationship Type="http://schemas.openxmlformats.org/officeDocument/2006/relationships/hyperlink" Id="rId694" Target="https://www.rfc-editor.org/rfc/rfc5280" TargetMode="External" /><Relationship Type="http://schemas.openxmlformats.org/officeDocument/2006/relationships/hyperlink" Id="rId154" Target="https://www.rfc-editor.org/rfc/rfc6749" TargetMode="External" /><Relationship Type="http://schemas.openxmlformats.org/officeDocument/2006/relationships/hyperlink" Id="rId158" Target="https://www.rfc-editor.org/rfc/rfc7643" TargetMode="External" /><Relationship Type="http://schemas.openxmlformats.org/officeDocument/2006/relationships/hyperlink" Id="rId160" Target="https://www.rfc-editor.org/rfc/rfc7644" TargetMode="External" /><Relationship Type="http://schemas.openxmlformats.org/officeDocument/2006/relationships/hyperlink" Id="rId166" Target="https://www.rfc-editor.org/rfc/rfc8705" TargetMode="External" /><Relationship Type="http://schemas.openxmlformats.org/officeDocument/2006/relationships/hyperlink" Id="rId168" Target="https://www.rfc-editor.org/rfc/rfc9449" TargetMode="External" /><Relationship Type="http://schemas.openxmlformats.org/officeDocument/2006/relationships/hyperlink" Id="rId534" Target="https://www.semperis.com/purple-knight/" TargetMode="External" /><Relationship Type="http://schemas.openxmlformats.org/officeDocument/2006/relationships/hyperlink" Id="rId403" Target="https://www.whitehouse.gov/wp-content/uploads/2019/05/M-19-17.pdf" TargetMode="External" /><Relationship Type="http://schemas.openxmlformats.org/officeDocument/2006/relationships/hyperlink" Id="rId1132" Target="https://www.whitehouse.gov/wp-content/uploads/2021/08/M-21-31-Improving-the-Federal-Governments-Investigative-and-Remediation-Capabilities-Related-to-Cybersecurity-Incidents.pdf" TargetMode="External" /><Relationship Type="http://schemas.openxmlformats.org/officeDocument/2006/relationships/hyperlink" Id="rId18" Target="https://www.whitehouse.gov/wp-content/uploads/2022/01/M-22-09.pdf" TargetMode="External" /></Relationships>
</file>

<file path=word/_rels/footnotes.xml.rels><?xml version="1.0" encoding="UTF-8"?><Relationships xmlns="http://schemas.openxmlformats.org/package/2006/relationships"><Relationship Type="http://schemas.openxmlformats.org/officeDocument/2006/relationships/hyperlink" Id="rId1024" Target="https://bidenwhitehouse.archives.gov/wp-content/uploads/2022/01/M-22-09.pdf" TargetMode="External" /><Relationship Type="http://schemas.openxmlformats.org/officeDocument/2006/relationships/hyperlink" Id="rId20" Target="https://csrc.nist.gov/pubs/sp/800/207/final" TargetMode="External" /><Relationship Type="http://schemas.openxmlformats.org/officeDocument/2006/relationships/hyperlink" Id="rId1187" Target="https://csrc.nist.gov/pubs/sp/800/37/r2/final" TargetMode="External" /><Relationship Type="http://schemas.openxmlformats.org/officeDocument/2006/relationships/hyperlink" Id="rId392" Target="https://csrc.nist.gov/pubs/sp/800/53/r5/upd1/final" TargetMode="External" /><Relationship Type="http://schemas.openxmlformats.org/officeDocument/2006/relationships/hyperlink" Id="rId1162" Target="https://csrc.nist.gov/pubs/sp/800/63/4/final" TargetMode="External" /><Relationship Type="http://schemas.openxmlformats.org/officeDocument/2006/relationships/hyperlink" Id="rId753" Target="https://docs.gitea.com/development/api-usage" TargetMode="External" /><Relationship Type="http://schemas.openxmlformats.org/officeDocument/2006/relationships/hyperlink" Id="rId680" Target="https://docs.specterops.io/ghostpack-docs/Certify.wik-mdx/overview" TargetMode="External" /><Relationship Type="http://schemas.openxmlformats.org/officeDocument/2006/relationships/hyperlink" Id="rId1053" Target="https://fedramp.gov/2026/providers/20x/key-security-indicators/identity-and-access-management/" TargetMode="External" /><Relationship Type="http://schemas.openxmlformats.org/officeDocument/2006/relationships/hyperlink" Id="rId1085" Target="https://fedramp.gov/2026/providers/20x/key-security-indicators/monitoring-logging-and-auditing/" TargetMode="External" /><Relationship Type="http://schemas.openxmlformats.org/officeDocument/2006/relationships/hyperlink" Id="rId1056" Target="https://fedramp.gov/2026/reference/controls/access-control/" TargetMode="External" /><Relationship Type="http://schemas.openxmlformats.org/officeDocument/2006/relationships/hyperlink" Id="rId1047" Target="https://fedramp.gov/2026/reference/controls/identification-and-authentication/" TargetMode="External" /><Relationship Type="http://schemas.openxmlformats.org/officeDocument/2006/relationships/hyperlink" Id="rId755" Target="https://gitea.com/swagger.v1.json" TargetMode="External" /><Relationship Type="http://schemas.openxmlformats.org/officeDocument/2006/relationships/hyperlink" Id="rId532" Target="https://github.com/SpecterOps/BloodHound" TargetMode="External" /><Relationship Type="http://schemas.openxmlformats.org/officeDocument/2006/relationships/hyperlink" Id="rId9" Target="https://github.com/WhalerMike/modernization-workbook/tree/main/archive/b02-identity" TargetMode="External" /><Relationship Type="http://schemas.openxmlformats.org/officeDocument/2006/relationships/hyperlink" Id="rId11" Target="https://github.com/WhalerMike/modernization-workbook/tree/main/presentations/b02-identity" TargetMode="External" /><Relationship Type="http://schemas.openxmlformats.org/officeDocument/2006/relationships/hyperlink" Id="rId528" Target="https://github.com/adrecon/ADRecon" TargetMode="External" /><Relationship Type="http://schemas.openxmlformats.org/officeDocument/2006/relationships/hyperlink" Id="rId501" Target="https://github.com/cisagov/ScubaGear" TargetMode="External" /><Relationship Type="http://schemas.openxmlformats.org/officeDocument/2006/relationships/hyperlink" Id="rId482" Target="https://learn.microsoft.com/azure/azure-arc/servers/modernize-server-management" TargetMode="External" /><Relationship Type="http://schemas.openxmlformats.org/officeDocument/2006/relationships/hyperlink" Id="rId483" Target="https://learn.microsoft.com/azure/azure-arc/servers/windows-server-management-overview" TargetMode="External" /><Relationship Type="http://schemas.openxmlformats.org/officeDocument/2006/relationships/hyperlink" Id="rId505" Target="https://learn.microsoft.com/azure/migrate/resources-faq" TargetMode="External" /><Relationship Type="http://schemas.openxmlformats.org/officeDocument/2006/relationships/hyperlink" Id="rId1137" Target="https://learn.microsoft.com/azure/security/fundamentals/feature-availability#microsoft-365-integration" TargetMode="External" /><Relationship Type="http://schemas.openxmlformats.org/officeDocument/2006/relationships/hyperlink" Id="rId491" Target="https://learn.microsoft.com/azure/sentinel/billing-reduce-costs" TargetMode="External" /><Relationship Type="http://schemas.openxmlformats.org/officeDocument/2006/relationships/hyperlink" Id="rId489" Target="https://learn.microsoft.com/azure/sentinel/overview#microsoft-sentinel-in-the-azure-portal-retirement-timeline" TargetMode="External" /><Relationship Type="http://schemas.openxmlformats.org/officeDocument/2006/relationships/hyperlink" Id="rId332" Target="https://learn.microsoft.com/azure/storage/files/files-manage-namespaces" TargetMode="External" /><Relationship Type="http://schemas.openxmlformats.org/officeDocument/2006/relationships/hyperlink" Id="rId330" Target="https://learn.microsoft.com/azure/storage/files/storage-files-identity-auth-hybrid-identities-enable" TargetMode="External" /><Relationship Type="http://schemas.openxmlformats.org/officeDocument/2006/relationships/hyperlink" Id="rId585" Target="https://learn.microsoft.com/defender-for-identity/alerts-xdr" TargetMode="External" /><Relationship Type="http://schemas.openxmlformats.org/officeDocument/2006/relationships/hyperlink" Id="rId468" Target="https://learn.microsoft.com/defender-for-identity/deploy/prerequisites-sensor-version-2" TargetMode="External" /><Relationship Type="http://schemas.openxmlformats.org/officeDocument/2006/relationships/hyperlink" Id="rId463" Target="https://learn.microsoft.com/defender-for-identity/microsoft-365-security-center-mdi" TargetMode="External" /><Relationship Type="http://schemas.openxmlformats.org/officeDocument/2006/relationships/hyperlink" Id="rId461" Target="https://learn.microsoft.com/defender-for-identity/security-assessment" TargetMode="External" /><Relationship Type="http://schemas.openxmlformats.org/officeDocument/2006/relationships/hyperlink" Id="rId562" Target="https://learn.microsoft.com/defender-for-identity/security-posture-assessments/accounts" TargetMode="External" /><Relationship Type="http://schemas.openxmlformats.org/officeDocument/2006/relationships/hyperlink" Id="rId522" Target="https://learn.microsoft.com/defender-for-identity/security-posture-assessments/certificates" TargetMode="External" /><Relationship Type="http://schemas.openxmlformats.org/officeDocument/2006/relationships/hyperlink" Id="rId618" Target="https://learn.microsoft.com/defender-for-identity/unsafe-permissions-dns-admins-group" TargetMode="External" /><Relationship Type="http://schemas.openxmlformats.org/officeDocument/2006/relationships/hyperlink" Id="rId467" Target="https://learn.microsoft.com/defender-for-identity/us-govt-gcc-high" TargetMode="External" /><Relationship Type="http://schemas.openxmlformats.org/officeDocument/2006/relationships/hyperlink" Id="rId493" Target="https://learn.microsoft.com/defender-xdr/microsoft-secure-score-improvement-actions" TargetMode="External" /><Relationship Type="http://schemas.openxmlformats.org/officeDocument/2006/relationships/hyperlink" Id="rId45" Target="https://learn.microsoft.com/en-us/entra/architecture/protect-m365-from-on-premises-attacks" TargetMode="External" /><Relationship Type="http://schemas.openxmlformats.org/officeDocument/2006/relationships/hyperlink" Id="rId32" Target="https://learn.microsoft.com/en-us/entra/architecture/road-to-the-cloud-posture" TargetMode="External" /><Relationship Type="http://schemas.openxmlformats.org/officeDocument/2006/relationships/hyperlink" Id="rId37" Target="https://learn.microsoft.com/en-us/entra/fundamentals/new-name" TargetMode="External" /><Relationship Type="http://schemas.openxmlformats.org/officeDocument/2006/relationships/hyperlink" Id="rId41" Target="https://learn.microsoft.com/en-us/entra/fundamentals/whats-new" TargetMode="External" /><Relationship Type="http://schemas.openxmlformats.org/officeDocument/2006/relationships/hyperlink" Id="rId63" Target="https://learn.microsoft.com/en-us/entra/fundamentals/zero-trust-protect-identities" TargetMode="External" /><Relationship Type="http://schemas.openxmlformats.org/officeDocument/2006/relationships/hyperlink" Id="rId117" Target="https://learn.microsoft.com/en-us/entra/identity/conditional-access/concept-continuous-access-evaluation" TargetMode="External" /><Relationship Type="http://schemas.openxmlformats.org/officeDocument/2006/relationships/hyperlink" Id="rId51" Target="https://learn.microsoft.com/en-us/entra/identity/hybrid/concept-source-of-authority-overview" TargetMode="External" /><Relationship Type="http://schemas.openxmlformats.org/officeDocument/2006/relationships/hyperlink" Id="rId39" Target="https://learn.microsoft.com/en-us/entra/identity/hybrid/connect/how-to-connect-sync-whatis" TargetMode="External" /><Relationship Type="http://schemas.openxmlformats.org/officeDocument/2006/relationships/hyperlink" Id="rId43" Target="https://learn.microsoft.com/en-us/entra/identity/hybrid/connect/migrate-from-federation-to-cloud-authentication" TargetMode="External" /><Relationship Type="http://schemas.openxmlformats.org/officeDocument/2006/relationships/hyperlink" Id="rId89" Target="https://learn.microsoft.com/en-us/entra/identity/role-based-access-control/admin-units-members-dynamic" TargetMode="External" /><Relationship Type="http://schemas.openxmlformats.org/officeDocument/2006/relationships/hyperlink" Id="rId85" Target="https://learn.microsoft.com/en-us/entra/identity/role-based-access-control/administrative-units" TargetMode="External" /><Relationship Type="http://schemas.openxmlformats.org/officeDocument/2006/relationships/hyperlink" Id="rId100" Target="https://learn.microsoft.com/en-us/entra/identity/role-based-access-control/manage-roles-portal" TargetMode="External" /><Relationship Type="http://schemas.openxmlformats.org/officeDocument/2006/relationships/hyperlink" Id="rId105" Target="https://learn.microsoft.com/en-us/entra/identity/role-based-access-control/permissions-reference" TargetMode="External" /><Relationship Type="http://schemas.openxmlformats.org/officeDocument/2006/relationships/hyperlink" Id="rId87" Target="https://learn.microsoft.com/en-us/entra/identity/users/directory-service-limits-restrictions" TargetMode="External" /><Relationship Type="http://schemas.openxmlformats.org/officeDocument/2006/relationships/hyperlink" Id="rId94" Target="https://learn.microsoft.com/en-us/graph/api/resources/onpremisesextensionattributes?view=graph-rest-1.0" TargetMode="External" /><Relationship Type="http://schemas.openxmlformats.org/officeDocument/2006/relationships/hyperlink" Id="rId54" Target="https://learn.microsoft.com/en-us/microsoftteams/skype-for-business-online-retirement" TargetMode="External" /><Relationship Type="http://schemas.openxmlformats.org/officeDocument/2006/relationships/hyperlink" Id="rId56" Target="https://learn.microsoft.com/en-us/troubleshoot/exchange/administration/exchange-2019-2016-end-of-support" TargetMode="External" /><Relationship Type="http://schemas.openxmlformats.org/officeDocument/2006/relationships/hyperlink" Id="rId113" Target="https://learn.microsoft.com/en-us/troubleshoot/windows-client/group-policy/fail-to-apply-group-policy-at-startup" TargetMode="External" /><Relationship Type="http://schemas.openxmlformats.org/officeDocument/2006/relationships/hyperlink" Id="rId77" Target="https://learn.microsoft.com/en-us/windows-server/identity/ad-ds/manage/group-policy/group-policy-processing" TargetMode="External" /><Relationship Type="http://schemas.openxmlformats.org/officeDocument/2006/relationships/hyperlink" Id="rId47" Target="https://learn.microsoft.com/en-us/windows/whats-new/deprecated-features" TargetMode="External" /><Relationship Type="http://schemas.openxmlformats.org/officeDocument/2006/relationships/hyperlink" Id="rId30" Target="https://learn.microsoft.com/en-us/windows/win32/ad/users-in-active-directory-domain-services" TargetMode="External" /><Relationship Type="http://schemas.openxmlformats.org/officeDocument/2006/relationships/hyperlink" Id="rId110" Target="https://learn.microsoft.com/en-us/windows/win32/adschema/a-maxrenewage" TargetMode="External" /><Relationship Type="http://schemas.openxmlformats.org/officeDocument/2006/relationships/hyperlink" Id="rId108" Target="https://learn.microsoft.com/en-us/windows/win32/adschema/a-maxticketage" TargetMode="External" /><Relationship Type="http://schemas.openxmlformats.org/officeDocument/2006/relationships/hyperlink" Id="rId75" Target="https://learn.microsoft.com/en-us/windows/win32/secauthn/kerberos-policy" TargetMode="External" /><Relationship Type="http://schemas.openxmlformats.org/officeDocument/2006/relationships/hyperlink" Id="rId181" Target="https://learn.microsoft.com/entra/architecture/auth-kcd" TargetMode="External" /><Relationship Type="http://schemas.openxmlformats.org/officeDocument/2006/relationships/hyperlink" Id="rId285" Target="https://learn.microsoft.com/entra/architecture/auth-radius" TargetMode="External" /><Relationship Type="http://schemas.openxmlformats.org/officeDocument/2006/relationships/hyperlink" Id="rId1075" Target="https://learn.microsoft.com/entra/architecture/security-operations-privileged-accounts" TargetMode="External" /><Relationship Type="http://schemas.openxmlformats.org/officeDocument/2006/relationships/hyperlink" Id="rId1008" Target="https://learn.microsoft.com/entra/external-id/b2b-direct-connect-overview" TargetMode="External" /><Relationship Type="http://schemas.openxmlformats.org/officeDocument/2006/relationships/hyperlink" Id="rId738" Target="https://learn.microsoft.com/entra/external-id/cross-tenant-access-overview" TargetMode="External" /><Relationship Type="http://schemas.openxmlformats.org/officeDocument/2006/relationships/hyperlink" Id="rId1000" Target="https://learn.microsoft.com/entra/external-id/faq" TargetMode="External" /><Relationship Type="http://schemas.openxmlformats.org/officeDocument/2006/relationships/hyperlink" Id="rId1013" Target="https://learn.microsoft.com/entra/external-id/identity-providers" TargetMode="External" /><Relationship Type="http://schemas.openxmlformats.org/officeDocument/2006/relationships/hyperlink" Id="rId1015" Target="https://learn.microsoft.com/entra/external-id/one-time-passcode" TargetMode="External" /><Relationship Type="http://schemas.openxmlformats.org/officeDocument/2006/relationships/hyperlink" Id="rId230" Target="https://learn.microsoft.com/entra/fundamentals/configure-security" TargetMode="External" /><Relationship Type="http://schemas.openxmlformats.org/officeDocument/2006/relationships/hyperlink" Id="rId877" Target="https://learn.microsoft.com/entra/fundamentals/how-to-manage-groups" TargetMode="External" /><Relationship Type="http://schemas.openxmlformats.org/officeDocument/2006/relationships/hyperlink" Id="rId515" Target="https://learn.microsoft.com/entra/fundamentals/licensing" TargetMode="External" /><Relationship Type="http://schemas.openxmlformats.org/officeDocument/2006/relationships/hyperlink" Id="rId228" Target="https://learn.microsoft.com/entra/fundamentals/whats-new-archive" TargetMode="External" /><Relationship Type="http://schemas.openxmlformats.org/officeDocument/2006/relationships/hyperlink" Id="rId1216" Target="https://learn.microsoft.com/entra/fundamentals/zero-trust-protect-identities" TargetMode="External" /><Relationship Type="http://schemas.openxmlformats.org/officeDocument/2006/relationships/hyperlink" Id="rId1200" Target="https://learn.microsoft.com/entra/global-secure-access/reference-current-known-limitations" TargetMode="External" /><Relationship Type="http://schemas.openxmlformats.org/officeDocument/2006/relationships/hyperlink" Id="rId998" Target="https://learn.microsoft.com/entra/id-governance/identity-governance-overview" TargetMode="External" /><Relationship Type="http://schemas.openxmlformats.org/officeDocument/2006/relationships/hyperlink" Id="rId453" Target="https://learn.microsoft.com/entra/id-governance/licensing-fundamentals" TargetMode="External" /><Relationship Type="http://schemas.openxmlformats.org/officeDocument/2006/relationships/hyperlink" Id="rId972" Target="https://learn.microsoft.com/entra/id-governance/lifecycle-workflow-execution-conditions" TargetMode="External" /><Relationship Type="http://schemas.openxmlformats.org/officeDocument/2006/relationships/hyperlink" Id="rId975" Target="https://learn.microsoft.com/entra/id-governance/lifecycle-workflow-on-premises" TargetMode="External" /><Relationship Type="http://schemas.openxmlformats.org/officeDocument/2006/relationships/hyperlink" Id="rId980" Target="https://learn.microsoft.com/entra/id-governance/lifecycle-workflow-tasks" TargetMode="External" /><Relationship Type="http://schemas.openxmlformats.org/officeDocument/2006/relationships/hyperlink" Id="rId982" Target="https://learn.microsoft.com/entra/id-governance/lifecycle-workflow-templates" TargetMode="External" /><Relationship Type="http://schemas.openxmlformats.org/officeDocument/2006/relationships/hyperlink" Id="rId918" Target="https://learn.microsoft.com/entra/id-governance/privileged-identity-management/concept-pim-for-groups" TargetMode="External" /><Relationship Type="http://schemas.openxmlformats.org/officeDocument/2006/relationships/hyperlink" Id="rId922" Target="https://learn.microsoft.com/entra/id-governance/privileged-identity-management/groups-assign-member-owner" TargetMode="External" /><Relationship Type="http://schemas.openxmlformats.org/officeDocument/2006/relationships/hyperlink" Id="rId380" Target="https://learn.microsoft.com/entra/id-governance/privileged-identity-management/pim-how-to-add-role-to-user" TargetMode="External" /><Relationship Type="http://schemas.openxmlformats.org/officeDocument/2006/relationships/hyperlink" Id="rId911" Target="https://learn.microsoft.com/entra/id-governance/privileged-identity-management/pim-how-to-change-default-settings" TargetMode="External" /><Relationship Type="http://schemas.openxmlformats.org/officeDocument/2006/relationships/hyperlink" Id="rId821" Target="https://learn.microsoft.com/entra/id-protection/concept-identity-protection-policies" TargetMode="External" /><Relationship Type="http://schemas.openxmlformats.org/officeDocument/2006/relationships/hyperlink" Id="rId954" Target="https://learn.microsoft.com/entra/id-protection/concept-identity-protection-risks" TargetMode="External" /><Relationship Type="http://schemas.openxmlformats.org/officeDocument/2006/relationships/hyperlink" Id="rId951" Target="https://learn.microsoft.com/entra/id-protection/howto-identity-protection-configure-risk-policies" TargetMode="External" /><Relationship Type="http://schemas.openxmlformats.org/officeDocument/2006/relationships/hyperlink" Id="rId458" Target="https://learn.microsoft.com/entra/id-protection/overview-identity-protection" TargetMode="External" /><Relationship Type="http://schemas.openxmlformats.org/officeDocument/2006/relationships/hyperlink" Id="rId210" Target="https://learn.microsoft.com/entra/identity-platform/access-tokens" TargetMode="External" /><Relationship Type="http://schemas.openxmlformats.org/officeDocument/2006/relationships/hyperlink" Id="rId212" Target="https://learn.microsoft.com/entra/identity/app-provisioning/how-provisioning-works" TargetMode="External" /><Relationship Type="http://schemas.openxmlformats.org/officeDocument/2006/relationships/hyperlink" Id="rId162" Target="https://learn.microsoft.com/entra/identity/app-provisioning/scim-support-in-entra-id" TargetMode="External" /><Relationship Type="http://schemas.openxmlformats.org/officeDocument/2006/relationships/hyperlink" Id="rId301" Target="https://learn.microsoft.com/entra/identity/app-proxy/how-to-configure-sso-with-kcd" TargetMode="External" /><Relationship Type="http://schemas.openxmlformats.org/officeDocument/2006/relationships/hyperlink" Id="rId943" Target="https://learn.microsoft.com/entra/identity/authentication/concept-authentication-strengths" TargetMode="External" /><Relationship Type="http://schemas.openxmlformats.org/officeDocument/2006/relationships/hyperlink" Id="rId174" Target="https://learn.microsoft.com/entra/identity/authentication/concept-certificate-based-authentication" TargetMode="External" /><Relationship Type="http://schemas.openxmlformats.org/officeDocument/2006/relationships/hyperlink" Id="rId1051" Target="https://learn.microsoft.com/entra/identity/authentication/concept-certificate-based-authentication-mobile-ios" TargetMode="External" /><Relationship Type="http://schemas.openxmlformats.org/officeDocument/2006/relationships/hyperlink" Id="rId455" Target="https://learn.microsoft.com/entra/identity/authentication/feature-availability" TargetMode="External" /><Relationship Type="http://schemas.openxmlformats.org/officeDocument/2006/relationships/hyperlink" Id="rId1031" Target="https://learn.microsoft.com/entra/identity/authentication/how-to-authentication-passkeys-fido2" TargetMode="External" /><Relationship Type="http://schemas.openxmlformats.org/officeDocument/2006/relationships/hyperlink" Id="rId280" Target="https://learn.microsoft.com/entra/identity/authentication/how-to-certificate-based-authentication" TargetMode="External" /><Relationship Type="http://schemas.openxmlformats.org/officeDocument/2006/relationships/hyperlink" Id="rId278" Target="https://learn.microsoft.com/entra/identity/authentication/how-to-configure-certificate-authorities" TargetMode="External" /><Relationship Type="http://schemas.openxmlformats.org/officeDocument/2006/relationships/hyperlink" Id="rId1028" Target="https://learn.microsoft.com/entra/identity/authentication/how-to-enable-authenticator-passkey" TargetMode="External" /><Relationship Type="http://schemas.openxmlformats.org/officeDocument/2006/relationships/hyperlink" Id="rId1035" Target="https://learn.microsoft.com/entra/identity/authentication/how-to-mfa-number-match" TargetMode="External" /><Relationship Type="http://schemas.openxmlformats.org/officeDocument/2006/relationships/hyperlink" Id="rId423" Target="https://learn.microsoft.com/entra/identity/authentication/howto-authentication-temporary-access-pass" TargetMode="External" /><Relationship Type="http://schemas.openxmlformats.org/officeDocument/2006/relationships/hyperlink" Id="rId869" Target="https://learn.microsoft.com/entra/identity/authentication/howto-authentication-use-email-signin" TargetMode="External" /><Relationship Type="http://schemas.openxmlformats.org/officeDocument/2006/relationships/hyperlink" Id="rId287" Target="https://learn.microsoft.com/entra/identity/authentication/howto-mfa-nps-extension" TargetMode="External" /><Relationship Type="http://schemas.openxmlformats.org/officeDocument/2006/relationships/hyperlink" Id="rId335" Target="https://learn.microsoft.com/entra/identity/authentication/kerberos" TargetMode="External" /><Relationship Type="http://schemas.openxmlformats.org/officeDocument/2006/relationships/hyperlink" Id="rId1122" Target="https://learn.microsoft.com/entra/identity/authentication/tutorial-enable-sspr-writeback" TargetMode="External" /><Relationship Type="http://schemas.openxmlformats.org/officeDocument/2006/relationships/hyperlink" Id="rId185" Target="https://learn.microsoft.com/entra/identity/conditional-access/concept-conditional-access-conditions" TargetMode="External" /><Relationship Type="http://schemas.openxmlformats.org/officeDocument/2006/relationships/hyperlink" Id="rId879" Target="https://learn.microsoft.com/entra/identity/conditional-access/concept-conditional-access-users-groups" TargetMode="External" /><Relationship Type="http://schemas.openxmlformats.org/officeDocument/2006/relationships/hyperlink" Id="rId170" Target="https://learn.microsoft.com/entra/identity/conditional-access/concept-token-protection" TargetMode="External" /><Relationship Type="http://schemas.openxmlformats.org/officeDocument/2006/relationships/hyperlink" Id="rId141" Target="https://learn.microsoft.com/entra/identity/conditional-access/overview" TargetMode="External" /><Relationship Type="http://schemas.openxmlformats.org/officeDocument/2006/relationships/hyperlink" Id="rId900" Target="https://learn.microsoft.com/entra/identity/conditional-access/workload-identity" TargetMode="External" /><Relationship Type="http://schemas.openxmlformats.org/officeDocument/2006/relationships/hyperlink" Id="rId733" Target="https://learn.microsoft.com/entra/identity/domain-services/administration-concepts" TargetMode="External" /><Relationship Type="http://schemas.openxmlformats.org/officeDocument/2006/relationships/hyperlink" Id="rId727" Target="https://learn.microsoft.com/entra/identity/domain-services/concepts-forest-trust" TargetMode="External" /><Relationship Type="http://schemas.openxmlformats.org/officeDocument/2006/relationships/hyperlink" Id="rId297" Target="https://learn.microsoft.com/entra/identity/domain-services/overview" TargetMode="External" /><Relationship Type="http://schemas.openxmlformats.org/officeDocument/2006/relationships/hyperlink" Id="rId299" Target="https://learn.microsoft.com/entra/identity/domain-services/tutorial-create-instance" TargetMode="External" /><Relationship Type="http://schemas.openxmlformats.org/officeDocument/2006/relationships/hyperlink" Id="rId307" Target="https://learn.microsoft.com/entra/identity/hybrid/cloud-sync/cloud-sync-migration-faq" TargetMode="External" /><Relationship Type="http://schemas.openxmlformats.org/officeDocument/2006/relationships/hyperlink" Id="rId305" Target="https://learn.microsoft.com/entra/identity/hybrid/cloud-sync/connect-to-cloud-sync-decision-guide" TargetMode="External" /><Relationship Type="http://schemas.openxmlformats.org/officeDocument/2006/relationships/hyperlink" Id="rId421" Target="https://learn.microsoft.com/entra/identity/hybrid/cloud-sync/how-to-prerequisites" TargetMode="External" /><Relationship Type="http://schemas.openxmlformats.org/officeDocument/2006/relationships/hyperlink" Id="rId841" Target="https://learn.microsoft.com/entra/identity/hybrid/common-scenarios" TargetMode="External" /><Relationship Type="http://schemas.openxmlformats.org/officeDocument/2006/relationships/hyperlink" Id="rId309" Target="https://learn.microsoft.com/entra/identity/hybrid/concept-source-of-authority-overview" TargetMode="External" /><Relationship Type="http://schemas.openxmlformats.org/officeDocument/2006/relationships/hyperlink" Id="rId850" Target="https://learn.microsoft.com/entra/identity/hybrid/connect/choose-ad-authn" TargetMode="External" /><Relationship Type="http://schemas.openxmlformats.org/officeDocument/2006/relationships/hyperlink" Id="rId1124" Target="https://learn.microsoft.com/entra/identity/hybrid/connect/how-to-connect-configure-ad-ds-connector-account" TargetMode="External" /><Relationship Type="http://schemas.openxmlformats.org/officeDocument/2006/relationships/hyperlink" Id="rId836" Target="https://learn.microsoft.com/entra/identity/hybrid/connect/how-to-connect-group-writeback-disable" TargetMode="External" /><Relationship Type="http://schemas.openxmlformats.org/officeDocument/2006/relationships/hyperlink" Id="rId792" Target="https://learn.microsoft.com/entra/identity/hybrid/connect/how-to-connect-install-existing-tenant" TargetMode="External" /><Relationship Type="http://schemas.openxmlformats.org/officeDocument/2006/relationships/hyperlink" Id="rId446" Target="https://learn.microsoft.com/entra/identity/hybrid/connect/how-to-connect-install-prerequisites" TargetMode="External" /><Relationship Type="http://schemas.openxmlformats.org/officeDocument/2006/relationships/hyperlink" Id="rId146" Target="https://learn.microsoft.com/entra/identity/hybrid/connect/how-to-connect-password-hash-synchronization" TargetMode="External" /><Relationship Type="http://schemas.openxmlformats.org/officeDocument/2006/relationships/hyperlink" Id="rId856" Target="https://learn.microsoft.com/entra/identity/hybrid/connect/how-to-connect-pta-quick-start" TargetMode="External" /><Relationship Type="http://schemas.openxmlformats.org/officeDocument/2006/relationships/hyperlink" Id="rId1103" Target="https://learn.microsoft.com/entra/identity/hybrid/connect/how-to-connect-staged-rollout" TargetMode="External" /><Relationship Type="http://schemas.openxmlformats.org/officeDocument/2006/relationships/hyperlink" Id="rId246" Target="https://learn.microsoft.com/entra/identity/hybrid/connect/how-to-connect-sync-feature-scheduler" TargetMode="External" /><Relationship Type="http://schemas.openxmlformats.org/officeDocument/2006/relationships/hyperlink" Id="rId444" Target="https://learn.microsoft.com/entra/identity/hybrid/connect/how-to-connect-sync-whatis" TargetMode="External" /><Relationship Type="http://schemas.openxmlformats.org/officeDocument/2006/relationships/hyperlink" Id="rId1105" Target="https://learn.microsoft.com/entra/identity/hybrid/connect/migrate-from-federation-to-cloud-authentication" TargetMode="External" /><Relationship Type="http://schemas.openxmlformats.org/officeDocument/2006/relationships/hyperlink" Id="rId866" Target="https://learn.microsoft.com/entra/identity/hybrid/connect/plan-connect-user-signin" TargetMode="External" /><Relationship Type="http://schemas.openxmlformats.org/officeDocument/2006/relationships/hyperlink" Id="rId790" Target="https://learn.microsoft.com/entra/identity/hybrid/connect/plan-connect-userprincipalname" TargetMode="External" /><Relationship Type="http://schemas.openxmlformats.org/officeDocument/2006/relationships/hyperlink" Id="rId451" Target="https://learn.microsoft.com/entra/identity/hybrid/connect/reference-connect-health-faq" TargetMode="External" /><Relationship Type="http://schemas.openxmlformats.org/officeDocument/2006/relationships/hyperlink" Id="rId1310" Target="https://learn.microsoft.com/entra/identity/hybrid/connect/reference-connect-sync-attributes-synchronized" TargetMode="External" /><Relationship Type="http://schemas.openxmlformats.org/officeDocument/2006/relationships/hyperlink" Id="rId1117" Target="https://learn.microsoft.com/entra/identity/hybrid/connect/tshoot-connect-sync-errors" TargetMode="External" /><Relationship Type="http://schemas.openxmlformats.org/officeDocument/2006/relationships/hyperlink" Id="rId448" Target="https://learn.microsoft.com/entra/identity/hybrid/connect/whatis-azure-ad-connect" TargetMode="External" /><Relationship Type="http://schemas.openxmlformats.org/officeDocument/2006/relationships/hyperlink" Id="rId303" Target="https://learn.microsoft.com/entra/identity/hybrid/connect/whatis-azure-ad-connect-v2" TargetMode="External" /><Relationship Type="http://schemas.openxmlformats.org/officeDocument/2006/relationships/hyperlink" Id="rId873" Target="https://learn.microsoft.com/entra/identity/hybrid/group-writeback-cloud-sync" TargetMode="External" /><Relationship Type="http://schemas.openxmlformats.org/officeDocument/2006/relationships/hyperlink" Id="rId311" Target="https://learn.microsoft.com/entra/identity/hybrid/how-to-user-source-of-authority-configure" TargetMode="External" /><Relationship Type="http://schemas.openxmlformats.org/officeDocument/2006/relationships/hyperlink" Id="rId809" Target="https://learn.microsoft.com/entra/identity/managed-identities-azure-resources/overview" TargetMode="External" /><Relationship Type="http://schemas.openxmlformats.org/officeDocument/2006/relationships/hyperlink" Id="rId512" Target="https://learn.microsoft.com/entra/identity/monitoring-health/concept-microsoft-entra-health" TargetMode="External" /><Relationship Type="http://schemas.openxmlformats.org/officeDocument/2006/relationships/hyperlink" Id="rId1067" Target="https://learn.microsoft.com/entra/identity/monitoring-health/howto-integrate-activity-logs-with-azure-monitor-logs" TargetMode="External" /><Relationship Type="http://schemas.openxmlformats.org/officeDocument/2006/relationships/hyperlink" Id="rId1078" Target="https://learn.microsoft.com/entra/identity/monitoring-health/overview-workbooks" TargetMode="External" /><Relationship Type="http://schemas.openxmlformats.org/officeDocument/2006/relationships/hyperlink" Id="rId1073" Target="https://learn.microsoft.com/entra/identity/monitoring-health/reference-audit-activities" TargetMode="External" /><Relationship Type="http://schemas.openxmlformats.org/officeDocument/2006/relationships/hyperlink" Id="rId1063" Target="https://learn.microsoft.com/entra/identity/monitoring-health/reference-reports-data-retention" TargetMode="External" /><Relationship Type="http://schemas.openxmlformats.org/officeDocument/2006/relationships/hyperlink" Id="rId258" Target="https://learn.microsoft.com/entra/identity/multi-tenant-organizations/cross-tenant-synchronization-overview" TargetMode="External" /><Relationship Type="http://schemas.openxmlformats.org/officeDocument/2006/relationships/hyperlink" Id="rId355" Target="https://learn.microsoft.com/entra/identity/role-based-access-control/admin-units-assign-roles" TargetMode="External" /><Relationship Type="http://schemas.openxmlformats.org/officeDocument/2006/relationships/hyperlink" Id="rId360" Target="https://learn.microsoft.com/entra/identity/role-based-access-control/admin-units-faq-troubleshoot" TargetMode="External" /><Relationship Type="http://schemas.openxmlformats.org/officeDocument/2006/relationships/hyperlink" Id="rId358" Target="https://learn.microsoft.com/entra/identity/role-based-access-control/admin-units-members-dynamic" TargetMode="External" /><Relationship Type="http://schemas.openxmlformats.org/officeDocument/2006/relationships/hyperlink" Id="rId364" Target="https://learn.microsoft.com/entra/identity/role-based-access-control/admin-units-restricted-management" TargetMode="External" /><Relationship Type="http://schemas.openxmlformats.org/officeDocument/2006/relationships/hyperlink" Id="rId350" Target="https://learn.microsoft.com/entra/identity/role-based-access-control/administrative-units" TargetMode="External" /><Relationship Type="http://schemas.openxmlformats.org/officeDocument/2006/relationships/hyperlink" Id="rId432" Target="https://learn.microsoft.com/entra/identity/role-based-access-control/delegate-by-task" TargetMode="External" /><Relationship Type="http://schemas.openxmlformats.org/officeDocument/2006/relationships/hyperlink" Id="rId378" Target="https://learn.microsoft.com/entra/identity/role-based-access-control/groups-concept" TargetMode="External" /><Relationship Type="http://schemas.openxmlformats.org/officeDocument/2006/relationships/hyperlink" Id="rId428" Target="https://learn.microsoft.com/entra/identity/role-based-access-control/permissions-reference" TargetMode="External" /><Relationship Type="http://schemas.openxmlformats.org/officeDocument/2006/relationships/hyperlink" Id="rId907" Target="https://learn.microsoft.com/entra/identity/role-based-access-control/privileged-roles-permissions" TargetMode="External" /><Relationship Type="http://schemas.openxmlformats.org/officeDocument/2006/relationships/hyperlink" Id="rId806" Target="https://learn.microsoft.com/entra/identity/role-based-access-control/protected-actions-overview" TargetMode="External" /><Relationship Type="http://schemas.openxmlformats.org/officeDocument/2006/relationships/hyperlink" Id="rId925" Target="https://learn.microsoft.com/entra/identity/role-based-access-control/security-emergency-access" TargetMode="External" /><Relationship Type="http://schemas.openxmlformats.org/officeDocument/2006/relationships/hyperlink" Id="rId815" Target="https://learn.microsoft.com/entra/identity/users/groups-dynamic-membership" TargetMode="External" /><Relationship Type="http://schemas.openxmlformats.org/officeDocument/2006/relationships/hyperlink" Id="rId826" Target="https://learn.microsoft.com/entra/identity/users/groups-dynamic-membership#rule-syntax-for-a-single-expression" TargetMode="External" /><Relationship Type="http://schemas.openxmlformats.org/officeDocument/2006/relationships/hyperlink" Id="rId831" Target="https://learn.microsoft.com/entra/identity/users/groups-dynamic-rule-member-of" TargetMode="External" /><Relationship Type="http://schemas.openxmlformats.org/officeDocument/2006/relationships/hyperlink" Id="rId886" Target="https://learn.microsoft.com/entra/identity/users/groups-lifecycle" TargetMode="External" /><Relationship Type="http://schemas.openxmlformats.org/officeDocument/2006/relationships/hyperlink" Id="rId164" Target="https://learn.microsoft.com/entra/msal/dotnet/advanced/proof-of-possession-tokens" TargetMode="External" /><Relationship Type="http://schemas.openxmlformats.org/officeDocument/2006/relationships/hyperlink" Id="rId221" Target="https://learn.microsoft.com/entra/msal/overview" TargetMode="External" /><Relationship Type="http://schemas.openxmlformats.org/officeDocument/2006/relationships/hyperlink" Id="rId172" Target="https://learn.microsoft.com/entra/standards/memo-22-09-multi-factor-authentication" TargetMode="External" /><Relationship Type="http://schemas.openxmlformats.org/officeDocument/2006/relationships/hyperlink" Id="rId896" Target="https://learn.microsoft.com/entra/workload-id/workload-identity-federation-considerations" TargetMode="External" /><Relationship Type="http://schemas.openxmlformats.org/officeDocument/2006/relationships/hyperlink" Id="rId894" Target="https://learn.microsoft.com/entra/workload-id/workload-identity-federation-create-trust" TargetMode="External" /><Relationship Type="http://schemas.openxmlformats.org/officeDocument/2006/relationships/hyperlink" Id="rId1041" Target="https://learn.microsoft.com/exchange/clients-and-mobile-in-exchange-online/deprecation-of-basic-authentication-exchange-online" TargetMode="External" /><Relationship Type="http://schemas.openxmlformats.org/officeDocument/2006/relationships/hyperlink" Id="rId1179" Target="https://learn.microsoft.com/fabric/enterprise/powerbi/service-government-us-overview" TargetMode="External" /><Relationship Type="http://schemas.openxmlformats.org/officeDocument/2006/relationships/hyperlink" Id="rId1177" Target="https://learn.microsoft.com/fabric/enterprise/us-government-community-cloud-high" TargetMode="External" /><Relationship Type="http://schemas.openxmlformats.org/officeDocument/2006/relationships/hyperlink" Id="rId1173" Target="https://learn.microsoft.com/fabric/governance/domains" TargetMode="External" /><Relationship Type="http://schemas.openxmlformats.org/officeDocument/2006/relationships/hyperlink" Id="rId1175" Target="https://learn.microsoft.com/fabric/mirroring/sql-server" TargetMode="External" /><Relationship Type="http://schemas.openxmlformats.org/officeDocument/2006/relationships/hyperlink" Id="rId1327" Target="https://learn.microsoft.com/graph/api/resources/conditionalaccessgrantcontrols?view=graph-rest-1.0" TargetMode="External" /><Relationship Type="http://schemas.openxmlformats.org/officeDocument/2006/relationships/hyperlink" Id="rId977" Target="https://learn.microsoft.com/graph/api/resources/identitygovernance-rulebasedsubjectset?view=graph-rest-1.0" TargetMode="External" /><Relationship Type="http://schemas.openxmlformats.org/officeDocument/2006/relationships/hyperlink" Id="rId1341" Target="https://learn.microsoft.com/graph/api/resources/unifiedroleassignmentschedule?view=graph-rest-1.0" TargetMode="External" /><Relationship Type="http://schemas.openxmlformats.org/officeDocument/2006/relationships/hyperlink" Id="rId1071" Target="https://learn.microsoft.com/graph/api/resources/user?view=graph-rest-1.0" TargetMode="External" /><Relationship Type="http://schemas.openxmlformats.org/officeDocument/2006/relationships/hyperlink" Id="rId783" Target="https://learn.microsoft.com/graph/deployments" TargetMode="External" /><Relationship Type="http://schemas.openxmlformats.org/officeDocument/2006/relationships/hyperlink" Id="rId985" Target="https://learn.microsoft.com/graph/identitygovernance-lifecycleworkflows-task-arguments" TargetMode="External" /><Relationship Type="http://schemas.openxmlformats.org/officeDocument/2006/relationships/hyperlink" Id="rId470" Target="https://learn.microsoft.com/graph/overview" TargetMode="External" /><Relationship Type="http://schemas.openxmlformats.org/officeDocument/2006/relationships/hyperlink" Id="rId239" Target="https://learn.microsoft.com/graph/templates/bicep/limitations" TargetMode="External" /><Relationship Type="http://schemas.openxmlformats.org/officeDocument/2006/relationships/hyperlink" Id="rId237" Target="https://learn.microsoft.com/graph/templates/bicep/overview-bicep-templates-for-graph" TargetMode="External" /><Relationship Type="http://schemas.openxmlformats.org/officeDocument/2006/relationships/hyperlink" Id="rId276" Target="https://learn.microsoft.com/intune/cloud-pki/" TargetMode="External" /><Relationship Type="http://schemas.openxmlformats.org/officeDocument/2006/relationships/hyperlink" Id="rId315" Target="https://learn.microsoft.com/intune/configmgr/comanage/workloads" TargetMode="External" /><Relationship Type="http://schemas.openxmlformats.org/officeDocument/2006/relationships/hyperlink" Id="rId317" Target="https://learn.microsoft.com/intune/device-configuration/import-group-policy-analytics" TargetMode="External" /><Relationship Type="http://schemas.openxmlformats.org/officeDocument/2006/relationships/hyperlink" Id="rId475" Target="https://learn.microsoft.com/intune/device-configuration/migrate-group-policy" TargetMode="External" /><Relationship Type="http://schemas.openxmlformats.org/officeDocument/2006/relationships/hyperlink" Id="rId274" Target="https://learn.microsoft.com/intune/fundamentals/certificates/overview" TargetMode="External" /><Relationship Type="http://schemas.openxmlformats.org/officeDocument/2006/relationships/hyperlink" Id="rId1152" Target="https://learn.microsoft.com/intune/fundamentals/certificates/scep-infrastructure" TargetMode="External" /><Relationship Type="http://schemas.openxmlformats.org/officeDocument/2006/relationships/hyperlink" Id="rId472" Target="https://learn.microsoft.com/intune/fundamentals/licensing" TargetMode="External" /><Relationship Type="http://schemas.openxmlformats.org/officeDocument/2006/relationships/hyperlink" Id="rId143" Target="https://learn.microsoft.com/intune/solutions/cloud-native-endpoints/on-premises-resources" TargetMode="External" /><Relationship Type="http://schemas.openxmlformats.org/officeDocument/2006/relationships/hyperlink" Id="rId940" Target="https://learn.microsoft.com/microsoft-365/copilot/gov-overview" TargetMode="External" /><Relationship Type="http://schemas.openxmlformats.org/officeDocument/2006/relationships/hyperlink" Id="rId517" Target="https://learn.microsoft.com/microsoft-365/fasttrack/eligibility" TargetMode="External" /><Relationship Type="http://schemas.openxmlformats.org/officeDocument/2006/relationships/hyperlink" Id="rId518" Target="https://learn.microsoft.com/microsoft-365/fasttrack/microsoft-entra-id" TargetMode="External" /><Relationship Type="http://schemas.openxmlformats.org/officeDocument/2006/relationships/hyperlink" Id="rId731" Target="https://learn.microsoft.com/openspecs/windows_protocols/ms-adts/e9a2d23c-c31e-4a6f-88a0-6646fdb51a3c" TargetMode="External" /><Relationship Type="http://schemas.openxmlformats.org/officeDocument/2006/relationships/hyperlink" Id="rId1204" Target="https://learn.microsoft.com/power-platform/admin/microsoft-dynamics-365-government" TargetMode="External" /><Relationship Type="http://schemas.openxmlformats.org/officeDocument/2006/relationships/hyperlink" Id="rId232" Target="https://learn.microsoft.com/powershell/entra-powershell/overview" TargetMode="External" /><Relationship Type="http://schemas.openxmlformats.org/officeDocument/2006/relationships/hyperlink" Id="rId1337" Target="https://learn.microsoft.com/powershell/microsoftgraph/azuread-msoline-cmdlet-map?view=graph-powershell-1.0" TargetMode="External" /><Relationship Type="http://schemas.openxmlformats.org/officeDocument/2006/relationships/hyperlink" Id="rId219" Target="https://learn.microsoft.com/powershell/microsoftgraph/migration-steps" TargetMode="External" /><Relationship Type="http://schemas.openxmlformats.org/officeDocument/2006/relationships/hyperlink" Id="rId1335" Target="https://learn.microsoft.com/powershell/microsoftgraph/migration-steps?view=graph-powershell-1.0" TargetMode="External" /><Relationship Type="http://schemas.openxmlformats.org/officeDocument/2006/relationships/hyperlink" Id="rId642" Target="https://learn.microsoft.com/powershell/module/activedirectory/?view=windowsserver2025-ps" TargetMode="External" /><Relationship Type="http://schemas.openxmlformats.org/officeDocument/2006/relationships/hyperlink" Id="rId729" Target="https://learn.microsoft.com/powershell/module/activedirectory/get-adtrust?view=windowsserver2025-ps" TargetMode="External" /><Relationship Type="http://schemas.openxmlformats.org/officeDocument/2006/relationships/hyperlink" Id="rId1298" Target="https://learn.microsoft.com/powershell/module/activedirectory/set-addomainmode?view=windowsserver2025-ps" TargetMode="External" /><Relationship Type="http://schemas.openxmlformats.org/officeDocument/2006/relationships/hyperlink" Id="rId631" Target="https://learn.microsoft.com/powershell/module/activedirectory/set-adforestmode?view=windowsserver2025-ps" TargetMode="External" /><Relationship Type="http://schemas.openxmlformats.org/officeDocument/2006/relationships/hyperlink" Id="rId668" Target="https://learn.microsoft.com/powershell/module/dnsserver/get-dnsserverdnsseczonesetting?view=windowsserver2025-ps" TargetMode="External" /><Relationship Type="http://schemas.openxmlformats.org/officeDocument/2006/relationships/hyperlink" Id="rId657" Target="https://learn.microsoft.com/powershell/module/grouppolicy/?view=windowsserver2025-ps" TargetMode="External" /><Relationship Type="http://schemas.openxmlformats.org/officeDocument/2006/relationships/hyperlink" Id="rId646" Target="https://learn.microsoft.com/powershell/module/grouppolicy/get-gpinheritance?view=windowsserver2025-ps" TargetMode="External" /><Relationship Type="http://schemas.openxmlformats.org/officeDocument/2006/relationships/hyperlink" Id="rId659" Target="https://learn.microsoft.com/powershell/module/grouppolicy/get-gporeport?view=windowsserver2025-ps" TargetMode="External" /><Relationship Type="http://schemas.openxmlformats.org/officeDocument/2006/relationships/hyperlink" Id="rId661" Target="https://learn.microsoft.com/powershell/module/grouppolicy/get-gppermission?view=windowsserver2025-ps" TargetMode="External" /><Relationship Type="http://schemas.openxmlformats.org/officeDocument/2006/relationships/hyperlink" Id="rId396" Target="https://learn.microsoft.com/powershell/module/microsoft.graph.identity.directorymanagement/update-mgdirectoryadministrativeunit?view=graph-powershell-1.0" TargetMode="External" /><Relationship Type="http://schemas.openxmlformats.org/officeDocument/2006/relationships/hyperlink" Id="rId1343" Target="https://learn.microsoft.com/powershell/module/microsoft.graph.identity.governance/get-mgrolemanagementdirectoryroleeligibilityschedule?view=graph-powershell-1.0" TargetMode="External" /><Relationship Type="http://schemas.openxmlformats.org/officeDocument/2006/relationships/hyperlink" Id="rId1292" Target="https://learn.microsoft.com/powershell/module/scheduledtasks/new-scheduledtaskprincipal?view=windowsserver2025-ps" TargetMode="External" /><Relationship Type="http://schemas.openxmlformats.org/officeDocument/2006/relationships/hyperlink" Id="rId611" Target="https://learn.microsoft.com/powershell/scripting/security/remoting/ps-remoting-second-hop" TargetMode="External" /><Relationship Type="http://schemas.openxmlformats.org/officeDocument/2006/relationships/hyperlink" Id="rId766" Target="https://learn.microsoft.com/powershell/scripting/security/remoting/winrm-security" TargetMode="External" /><Relationship Type="http://schemas.openxmlformats.org/officeDocument/2006/relationships/hyperlink" Id="rId486" Target="https://learn.microsoft.com/purview/audit-solutions-overview" TargetMode="External" /><Relationship Type="http://schemas.openxmlformats.org/officeDocument/2006/relationships/hyperlink" Id="rId1081" Target="https://learn.microsoft.com/purview/compliance-manager-regulations-list" TargetMode="External" /><Relationship Type="http://schemas.openxmlformats.org/officeDocument/2006/relationships/hyperlink" Id="rId1169" Target="https://learn.microsoft.com/purview/purview-adaptive-scopes" TargetMode="External" /><Relationship Type="http://schemas.openxmlformats.org/officeDocument/2006/relationships/hyperlink" Id="rId371" Target="https://learn.microsoft.com/purview/purview-admin-units" TargetMode="External" /><Relationship Type="http://schemas.openxmlformats.org/officeDocument/2006/relationships/hyperlink" Id="rId1171" Target="https://learn.microsoft.com/purview/register-scan-azure-arc-enabled-sql-server" TargetMode="External" /><Relationship Type="http://schemas.openxmlformats.org/officeDocument/2006/relationships/hyperlink" Id="rId711" Target="https://learn.microsoft.com/security/privileged-access-workstations/privileged-access-security-levels" TargetMode="External" /><Relationship Type="http://schemas.openxmlformats.org/officeDocument/2006/relationships/hyperlink" Id="rId1059" Target="https://learn.microsoft.com/security/zero-trust/adopt/implement-privileged-access-devices" TargetMode="External" /><Relationship Type="http://schemas.openxmlformats.org/officeDocument/2006/relationships/hyperlink" Id="rId496" Target="https://learn.microsoft.com/security/zero-trust/assessment/get-started" TargetMode="External" /><Relationship Type="http://schemas.openxmlformats.org/officeDocument/2006/relationships/hyperlink" Id="rId495" Target="https://learn.microsoft.com/security/zero-trust/assessment/overview" TargetMode="External" /><Relationship Type="http://schemas.openxmlformats.org/officeDocument/2006/relationships/hyperlink" Id="rId749" Target="https://learn.microsoft.com/services-hub/microsoft-engage-center/health/kb/kb-running-assessments-with-msas" TargetMode="External" /><Relationship Type="http://schemas.openxmlformats.org/officeDocument/2006/relationships/hyperlink" Id="rId217" Target="https://learn.microsoft.com/services-hub/microsoft-engage-center/health/remediation-steps-ad/configure-the-active-directory-web-services-adws-to-start-automatically-on-all-servers" TargetMode="External" /><Relationship Type="http://schemas.openxmlformats.org/officeDocument/2006/relationships/hyperlink" Id="rId1146" Target="https://learn.microsoft.com/sql/database-engine/configure-windows/register-a-service-principal-name-for-kerberos-connections" TargetMode="External" /><Relationship Type="http://schemas.openxmlformats.org/officeDocument/2006/relationships/hyperlink" Id="rId1159" Target="https://learn.microsoft.com/sql/relational-databases/security/authentication-access/azure-ad-authentication-sql-server-overview" TargetMode="External" /><Relationship Type="http://schemas.openxmlformats.org/officeDocument/2006/relationships/hyperlink" Id="rId1157" Target="https://learn.microsoft.com/sql/relational-databases/security/authentication-access/microsoft-entra-authentication-sql-server-enable-without-arc" TargetMode="External" /><Relationship Type="http://schemas.openxmlformats.org/officeDocument/2006/relationships/hyperlink" Id="rId1155" Target="https://learn.microsoft.com/sql/sql-server/azure-arc/overview" TargetMode="External" /><Relationship Type="http://schemas.openxmlformats.org/officeDocument/2006/relationships/hyperlink" Id="rId828" Target="https://learn.microsoft.com/troubleshoot/entra/entra-id/dir-dmns-obj/troubleshoot-dynamic-groups" TargetMode="External" /><Relationship Type="http://schemas.openxmlformats.org/officeDocument/2006/relationships/hyperlink" Id="rId547" Target="https://learn.microsoft.com/troubleshoot/entra/entra-id/user-prov-sync/password-writeback-access-rights-permissions" TargetMode="External" /><Relationship Type="http://schemas.openxmlformats.org/officeDocument/2006/relationships/hyperlink" Id="rId774" Target="https://learn.microsoft.com/troubleshoot/entra/entra-id/user-prov-sync/size-limit-exceeded" TargetMode="External" /><Relationship Type="http://schemas.openxmlformats.org/officeDocument/2006/relationships/hyperlink" Id="rId700" Target="https://learn.microsoft.com/troubleshoot/mem/configmgr/discovery/lastlogontimestamp-not-accurate" TargetMode="External" /><Relationship Type="http://schemas.openxmlformats.org/officeDocument/2006/relationships/hyperlink" Id="rId1144" Target="https://learn.microsoft.com/troubleshoot/sql/database-engine/connect/windows-prevents-unconstrained-delegation" TargetMode="External" /><Relationship Type="http://schemas.openxmlformats.org/officeDocument/2006/relationships/hyperlink" Id="rId1165" Target="https://learn.microsoft.com/troubleshoot/sql/database-engine/startup-shutdown/gmsa-kerberos-authentication-failures" TargetMode="External" /><Relationship Type="http://schemas.openxmlformats.org/officeDocument/2006/relationships/hyperlink" Id="rId721" Target="https://learn.microsoft.com/troubleshoot/windows-server/active-directory/domain-controller-returns-500-values-ldap-response" TargetMode="External" /><Relationship Type="http://schemas.openxmlformats.org/officeDocument/2006/relationships/hyperlink" Id="rId573" Target="https://learn.microsoft.com/troubleshoot/windows-server/active-directory/non-administrators-view-deleted-object-container" TargetMode="External" /><Relationship Type="http://schemas.openxmlformats.org/officeDocument/2006/relationships/hyperlink" Id="rId762" Target="https://learn.microsoft.com/troubleshoot/windows-server/active-directory/specify-server-port-active-directory-powershell-cmdlet" TargetMode="External" /><Relationship Type="http://schemas.openxmlformats.org/officeDocument/2006/relationships/hyperlink" Id="rId509" Target="https://learn.microsoft.com/troubleshoot/windows-server/active-directory/support-policy-and-known-issues-for-admt" TargetMode="External" /><Relationship Type="http://schemas.openxmlformats.org/officeDocument/2006/relationships/hyperlink" Id="rId690" Target="https://learn.microsoft.com/troubleshoot/windows-server/certificates-and-public-key-infrastructure-pki/enabling-smart-card-logon-third-party-certification-authorities" TargetMode="External" /><Relationship Type="http://schemas.openxmlformats.org/officeDocument/2006/relationships/hyperlink" Id="rId764" Target="https://learn.microsoft.com/troubleshoot/windows-server/networking/service-overview-and-network-port-requirements" TargetMode="External" /><Relationship Type="http://schemas.openxmlformats.org/officeDocument/2006/relationships/hyperlink" Id="rId244" Target="https://learn.microsoft.com/troubleshoot/windows-server/windows-security/kerberos-protocol-registry-kdc-configuration-keys" TargetMode="External" /><Relationship Type="http://schemas.openxmlformats.org/officeDocument/2006/relationships/hyperlink" Id="rId558" Target="https://learn.microsoft.com/troubleshoot/windows-server/windows-security/mark-attribute-as-confidential" TargetMode="External" /><Relationship Type="http://schemas.openxmlformats.org/officeDocument/2006/relationships/hyperlink" Id="rId608" Target="https://learn.microsoft.com/windows-hardware/manufacture/desktop/features-on-demand-non-language-fod" TargetMode="External" /><Relationship Type="http://schemas.openxmlformats.org/officeDocument/2006/relationships/hyperlink" Id="rId606" Target="https://learn.microsoft.com/windows-server/administration/install-remote-server-administration-tools" TargetMode="External" /><Relationship Type="http://schemas.openxmlformats.org/officeDocument/2006/relationships/hyperlink" Id="rId676" Target="https://learn.microsoft.com/windows-server/administration/windows-commands/certutil" TargetMode="External" /><Relationship Type="http://schemas.openxmlformats.org/officeDocument/2006/relationships/hyperlink" Id="rId621" Target="https://learn.microsoft.com/windows-server/administration/windows-commands/netdom-query" TargetMode="External" /><Relationship Type="http://schemas.openxmlformats.org/officeDocument/2006/relationships/hyperlink" Id="rId620" Target="https://learn.microsoft.com/windows-server/administration/windows-commands/netdom-trust" TargetMode="External" /><Relationship Type="http://schemas.openxmlformats.org/officeDocument/2006/relationships/hyperlink" Id="rId195" Target="https://learn.microsoft.com/windows-server/get-started/removed-deprecated-features-windows-server" TargetMode="External" /><Relationship Type="http://schemas.openxmlformats.org/officeDocument/2006/relationships/hyperlink" Id="rId633" Target="https://learn.microsoft.com/windows-server/get-started/whats-new-windows-server-2025" TargetMode="External" /><Relationship Type="http://schemas.openxmlformats.org/officeDocument/2006/relationships/hyperlink" Id="rId674" Target="https://learn.microsoft.com/windows-server/identity/ad-cs/monitor-ad-cs-health-enterprise-pki" TargetMode="External" /><Relationship Type="http://schemas.openxmlformats.org/officeDocument/2006/relationships/hyperlink" Id="rId635" Target="https://learn.microsoft.com/windows-server/identity/ad-ds/active-directory-functional-levels" TargetMode="External" /><Relationship Type="http://schemas.openxmlformats.org/officeDocument/2006/relationships/hyperlink" Id="rId577" Target="https://learn.microsoft.com/windows-server/identity/ad-ds/get-started/adac/advanced-ad-ds-management-using-active-directory-administrative-center--level-200-" TargetMode="External" /><Relationship Type="http://schemas.openxmlformats.org/officeDocument/2006/relationships/hyperlink" Id="rId579" Target="https://learn.microsoft.com/windows-server/identity/ad-ds/get-started/adac/fine-grained-password-policies" TargetMode="External" /><Relationship Type="http://schemas.openxmlformats.org/officeDocument/2006/relationships/hyperlink" Id="rId203" Target="https://learn.microsoft.com/windows-server/identity/ad-ds/ldap-channel-binding" TargetMode="External" /><Relationship Type="http://schemas.openxmlformats.org/officeDocument/2006/relationships/hyperlink" Id="rId201" Target="https://learn.microsoft.com/windows-server/identity/ad-ds/ldap-signing" TargetMode="External" /><Relationship Type="http://schemas.openxmlformats.org/officeDocument/2006/relationships/hyperlink" Id="rId269" Target="https://learn.microsoft.com/windows-server/identity/ad-ds/manage/dc-locator" TargetMode="External" /><Relationship Type="http://schemas.openxmlformats.org/officeDocument/2006/relationships/hyperlink" Id="rId716" Target="https://learn.microsoft.com/windows-server/identity/ad-ds/manage/delegated-managed-service-accounts/delegated-managed-service-accounts-overview" TargetMode="External" /><Relationship Type="http://schemas.openxmlformats.org/officeDocument/2006/relationships/hyperlink" Id="rId718" Target="https://learn.microsoft.com/windows-server/identity/ad-ds/manage/group-managed-service-accounts/group-managed-service-accounts/manage-group-managed-service-accounts" TargetMode="External" /><Relationship Type="http://schemas.openxmlformats.org/officeDocument/2006/relationships/hyperlink" Id="rId650" Target="https://learn.microsoft.com/windows-server/identity/ad-ds/manage/group-policy/group-policy-processing" TargetMode="External" /><Relationship Type="http://schemas.openxmlformats.org/officeDocument/2006/relationships/hyperlink" Id="rId648" Target="https://learn.microsoft.com/windows-server/identity/ad-ds/manage/group-policy/group-policy-scope" TargetMode="External" /><Relationship Type="http://schemas.openxmlformats.org/officeDocument/2006/relationships/hyperlink" Id="rId628" Target="https://learn.microsoft.com/windows-server/identity/ad-ds/manage/manage-fsmo-roles" TargetMode="External" /><Relationship Type="http://schemas.openxmlformats.org/officeDocument/2006/relationships/hyperlink" Id="rId625" Target="https://learn.microsoft.com/windows-server/identity/ad-ds/manage/understand-fsmo-roles" TargetMode="External" /><Relationship Type="http://schemas.openxmlformats.org/officeDocument/2006/relationships/hyperlink" Id="rId550" Target="https://learn.microsoft.com/windows-server/identity/ad-ds/manage/understand-security-groups" TargetMode="External" /><Relationship Type="http://schemas.openxmlformats.org/officeDocument/2006/relationships/hyperlink" Id="rId723" Target="https://learn.microsoft.com/windows-server/identity/ad-ds/plan/active-directory-domain-services-maximum-limits" TargetMode="External" /><Relationship Type="http://schemas.openxmlformats.org/officeDocument/2006/relationships/hyperlink" Id="rId637" Target="https://learn.microsoft.com/windows-server/identity/ad-ds/plan/identifying-your-functional-level-upgrade" TargetMode="External" /><Relationship Type="http://schemas.openxmlformats.org/officeDocument/2006/relationships/hyperlink" Id="rId639" Target="https://learn.microsoft.com/windows-server/identity/ad-ds/plan/raise-domain-forest-functional-levels" TargetMode="External" /><Relationship Type="http://schemas.openxmlformats.org/officeDocument/2006/relationships/hyperlink" Id="rId553" Target="https://learn.microsoft.com/windows-server/identity/ad-ds/plan/security-best-practices/appendix-c--protected-accounts-and-groups-in-active-directory" TargetMode="External" /><Relationship Type="http://schemas.openxmlformats.org/officeDocument/2006/relationships/hyperlink" Id="rId555" Target="https://learn.microsoft.com/windows-server/identity/ad-ds/plan/security-best-practices/reducing-the-active-directory-attack-surface" TargetMode="External" /><Relationship Type="http://schemas.openxmlformats.org/officeDocument/2006/relationships/hyperlink" Id="rId566" Target="https://learn.microsoft.com/windows-server/identity/laps/laps-overview" TargetMode="External" /><Relationship Type="http://schemas.openxmlformats.org/officeDocument/2006/relationships/hyperlink" Id="rId564" Target="https://learn.microsoft.com/windows-server/identity/laps/laps-technical-reference" TargetMode="External" /><Relationship Type="http://schemas.openxmlformats.org/officeDocument/2006/relationships/hyperlink" Id="rId295" Target="https://learn.microsoft.com/windows-server/identity/manage-ldap-signing-group-policy" TargetMode="External" /><Relationship Type="http://schemas.openxmlformats.org/officeDocument/2006/relationships/hyperlink" Id="rId670" Target="https://learn.microsoft.com/windows-server/networking/dns/configure-aging-scavenging" TargetMode="External" /><Relationship Type="http://schemas.openxmlformats.org/officeDocument/2006/relationships/hyperlink" Id="rId321" Target="https://learn.microsoft.com/windows-server/networking/windows-time-service/how-the-windows-time-service-works" TargetMode="External" /><Relationship Type="http://schemas.openxmlformats.org/officeDocument/2006/relationships/hyperlink" Id="rId704" Target="https://learn.microsoft.com/windows-server/security/kerberos/kerberos-constrained-delegation-overview" TargetMode="External" /><Relationship Type="http://schemas.openxmlformats.org/officeDocument/2006/relationships/hyperlink" Id="rId328" Target="https://learn.microsoft.com/windows-server/storage/dfs-namespaces/choose-a-namespace-type" TargetMode="External" /><Relationship Type="http://schemas.openxmlformats.org/officeDocument/2006/relationships/hyperlink" Id="rId324" Target="https://learn.microsoft.com/windows/client-management/mdm/policy-csp-admx-w32time" TargetMode="External" /><Relationship Type="http://schemas.openxmlformats.org/officeDocument/2006/relationships/hyperlink" Id="rId193" Target="https://learn.microsoft.com/windows/release-health/windows-message-center" TargetMode="External" /><Relationship Type="http://schemas.openxmlformats.org/officeDocument/2006/relationships/hyperlink" Id="rId603" Target="https://learn.microsoft.com/windows/release-health/windows-server-release-info" TargetMode="External" /><Relationship Type="http://schemas.openxmlformats.org/officeDocument/2006/relationships/hyperlink" Id="rId604" Target="https://learn.microsoft.com/windows/release-health/windows11-release-information" TargetMode="External" /><Relationship Type="http://schemas.openxmlformats.org/officeDocument/2006/relationships/hyperlink" Id="rId282" Target="https://learn.microsoft.com/windows/security/identity-protection/hello-for-business/deploy/" TargetMode="External" /><Relationship Type="http://schemas.openxmlformats.org/officeDocument/2006/relationships/hyperlink" Id="rId479" Target="https://learn.microsoft.com/windows/security/operating-system-security/device-management/windows-security-configuration-framework/security-compliance-toolkit-10" TargetMode="External" /><Relationship Type="http://schemas.openxmlformats.org/officeDocument/2006/relationships/hyperlink" Id="rId190" Target="https://learn.microsoft.com/windows/whats-new/deprecated-features" TargetMode="External" /><Relationship Type="http://schemas.openxmlformats.org/officeDocument/2006/relationships/hyperlink" Id="rId575" Target="https://learn.microsoft.com/windows/win32/ad/restoring-deleted-objects" TargetMode="External" /><Relationship Type="http://schemas.openxmlformats.org/officeDocument/2006/relationships/hyperlink" Id="rId699" Target="https://learn.microsoft.com/windows/win32/adschema/a-lastlogontimestamp" TargetMode="External" /><Relationship Type="http://schemas.openxmlformats.org/officeDocument/2006/relationships/hyperlink" Id="rId560" Target="https://learn.microsoft.com/windows/win32/adschema/a-searchflags" TargetMode="External" /><Relationship Type="http://schemas.openxmlformats.org/officeDocument/2006/relationships/hyperlink" Id="rId1278" Target="https://learn.microsoft.com/windows/win32/adschema/c-msds-groupmanagedserviceaccount" TargetMode="External" /><Relationship Type="http://schemas.openxmlformats.org/officeDocument/2006/relationships/hyperlink" Id="rId1263" Target="https://learn.microsoft.com/windows/win32/adschema/r-certificate-enrollment" TargetMode="External" /><Relationship Type="http://schemas.openxmlformats.org/officeDocument/2006/relationships/hyperlink" Id="rId569" Target="https://learn.microsoft.com/windows/win32/adschema/r-ds-replication-get-changes-all" TargetMode="External" /><Relationship Type="http://schemas.openxmlformats.org/officeDocument/2006/relationships/hyperlink" Id="rId688" Target="https://learn.microsoft.com/windows/win32/api/certenroll/ne-certenroll-x509certificatetemplateenrollmentflag" TargetMode="External" /><Relationship Type="http://schemas.openxmlformats.org/officeDocument/2006/relationships/hyperlink" Id="rId686" Target="https://learn.microsoft.com/windows/win32/api/certenroll/ne-certenroll-x509certificatetemplatesubjectnameflag" TargetMode="External" /><Relationship Type="http://schemas.openxmlformats.org/officeDocument/2006/relationships/hyperlink" Id="rId772" Target="https://learn.microsoft.com/windows/win32/winrm/installation-and-configuration-for-windows-remote-management" TargetMode="External" /><Relationship Type="http://schemas.openxmlformats.org/officeDocument/2006/relationships/hyperlink" Id="rId405" Target="https://nvlpubs.nist.gov/nistpubs/SpecialPublications/NIST.SP.800-37r2.pdf" TargetMode="External" /><Relationship Type="http://schemas.openxmlformats.org/officeDocument/2006/relationships/hyperlink" Id="rId156" Target="https://openid.net/specs/openid-connect-core-1_0.html" TargetMode="External" /><Relationship Type="http://schemas.openxmlformats.org/officeDocument/2006/relationships/hyperlink" Id="rId241" Target="https://pages.nist.gov/OSCAL/learn/concepts/layer/" TargetMode="External" /><Relationship Type="http://schemas.openxmlformats.org/officeDocument/2006/relationships/hyperlink" Id="rId1237" Target="https://raw.githubusercontent.com/usnistgov/oscal-content/main/nist.gov/SP800-53/rev5/json/NIST_SP-800-53_rev5_catalog.json" TargetMode="External" /><Relationship Type="http://schemas.openxmlformats.org/officeDocument/2006/relationships/hyperlink" Id="rId197" Target="https://techcommunity.microsoft.com/blog/windows-itpro-blog/advancing-windows-security-disabling-ntlm-by-default/4489526" TargetMode="External" /><Relationship Type="http://schemas.openxmlformats.org/officeDocument/2006/relationships/hyperlink" Id="rId34" Target="https://www.cisa.gov/news-events/alerts/2024/09/25/asds-acsc-cisa-and-us-and-international-partners-release-guidance-detecting-and-mitigating-active" TargetMode="External" /><Relationship Type="http://schemas.openxmlformats.org/officeDocument/2006/relationships/hyperlink" Id="rId1134" Target="https://www.cisa.gov/news-events/directives/bod-25-01-implementation-guidance-implementing-secure-practices-cloud-services" TargetMode="External" /><Relationship Type="http://schemas.openxmlformats.org/officeDocument/2006/relationships/hyperlink" Id="rId417" Target="https://www.cisa.gov/news-events/directives/bod-25-01-implementing-secure-practices-cloud-services" TargetMode="External" /><Relationship Type="http://schemas.openxmlformats.org/officeDocument/2006/relationships/hyperlink" Id="rId1213" Target="https://www.cisa.gov/resources-tools/services/bod-25-01-implementing-secure-practices-cloud-services-required-configurations" TargetMode="External" /><Relationship Type="http://schemas.openxmlformats.org/officeDocument/2006/relationships/hyperlink" Id="rId22" Target="https://www.cisa.gov/sites/default/files/2023-04/CISA_Zero_Trust_Maturity_Model_Version_2_508c.pdf" TargetMode="External" /><Relationship Type="http://schemas.openxmlformats.org/officeDocument/2006/relationships/hyperlink" Id="rId124" Target="https://www.fedramp.gov/20x/" TargetMode="External" /><Relationship Type="http://schemas.openxmlformats.org/officeDocument/2006/relationships/hyperlink" Id="rId271" Target="https://www.fedramp.gov/marketplace/products.json" TargetMode="External" /><Relationship Type="http://schemas.openxmlformats.org/officeDocument/2006/relationships/hyperlink" Id="rId128" Target="https://www.govinfo.gov/content/pkg/PLAW-115publ435/html/PLAW-115publ435.htm" TargetMode="External" /><Relationship Type="http://schemas.openxmlformats.org/officeDocument/2006/relationships/hyperlink" Id="rId530" Target="https://www.pingcastle.com/" TargetMode="External" /><Relationship Type="http://schemas.openxmlformats.org/officeDocument/2006/relationships/hyperlink" Id="rId613" Target="https://www.pkisolutions.com/tools/pspki/" TargetMode="External" /><Relationship Type="http://schemas.openxmlformats.org/officeDocument/2006/relationships/hyperlink" Id="rId615" Target="https://www.powershellgallery.com/packages/PSPKI" TargetMode="External" /><Relationship Type="http://schemas.openxmlformats.org/officeDocument/2006/relationships/hyperlink" Id="rId149" Target="https://www.rfc-editor.org/rfc/rfc4120" TargetMode="External" /><Relationship Type="http://schemas.openxmlformats.org/officeDocument/2006/relationships/hyperlink" Id="rId151" Target="https://www.rfc-editor.org/rfc/rfc4178" TargetMode="External" /><Relationship Type="http://schemas.openxmlformats.org/officeDocument/2006/relationships/hyperlink" Id="rId692" Target="https://www.rfc-editor.org/rfc/rfc4556" TargetMode="External" /><Relationship Type="http://schemas.openxmlformats.org/officeDocument/2006/relationships/hyperlink" Id="rId694" Target="https://www.rfc-editor.org/rfc/rfc5280" TargetMode="External" /><Relationship Type="http://schemas.openxmlformats.org/officeDocument/2006/relationships/hyperlink" Id="rId154" Target="https://www.rfc-editor.org/rfc/rfc6749" TargetMode="External" /><Relationship Type="http://schemas.openxmlformats.org/officeDocument/2006/relationships/hyperlink" Id="rId158" Target="https://www.rfc-editor.org/rfc/rfc7643" TargetMode="External" /><Relationship Type="http://schemas.openxmlformats.org/officeDocument/2006/relationships/hyperlink" Id="rId160" Target="https://www.rfc-editor.org/rfc/rfc7644" TargetMode="External" /><Relationship Type="http://schemas.openxmlformats.org/officeDocument/2006/relationships/hyperlink" Id="rId166" Target="https://www.rfc-editor.org/rfc/rfc8705" TargetMode="External" /><Relationship Type="http://schemas.openxmlformats.org/officeDocument/2006/relationships/hyperlink" Id="rId168" Target="https://www.rfc-editor.org/rfc/rfc9449" TargetMode="External" /><Relationship Type="http://schemas.openxmlformats.org/officeDocument/2006/relationships/hyperlink" Id="rId534" Target="https://www.semperis.com/purple-knight/" TargetMode="External" /><Relationship Type="http://schemas.openxmlformats.org/officeDocument/2006/relationships/hyperlink" Id="rId403" Target="https://www.whitehouse.gov/wp-content/uploads/2019/05/M-19-17.pdf" TargetMode="External" /><Relationship Type="http://schemas.openxmlformats.org/officeDocument/2006/relationships/hyperlink" Id="rId1132" Target="https://www.whitehouse.gov/wp-content/uploads/2021/08/M-21-31-Improving-the-Federal-Governments-Investigative-and-Remediation-Capabilities-Related-to-Cybersecurity-Incidents.pdf" TargetMode="External" /><Relationship Type="http://schemas.openxmlformats.org/officeDocument/2006/relationships/hyperlink" Id="rId18" Target="https://www.whitehouse.gov/wp-content/uploads/2022/01/M-22-09.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02 — Identity &amp; Directory</dc:title>
  <dc:creator/>
  <cp:keywords/>
  <dcterms:created xsi:type="dcterms:W3CDTF">2026-10-20T23:38:17Z</dcterms:created>
  <dcterms:modified xsi:type="dcterms:W3CDTF">2026-10-20T23:38:17Z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Active Directory to Entra ID — Modernization Workbook, combined edition</vt:lpwstr>
  </property>
</Properties>
</file>