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05 — Provisioning Services</w:t>
      </w:r>
    </w:p>
    <w:p>
      <w:pPr>
        <w:pStyle w:val="Subtitle"/>
      </w:pPr>
      <w:r>
        <w:t xml:space="preserve">Book 03 — HR-Driven Identity: from the HR system of record to Entra 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pPr>
            <w:pStyle w:val="TOC1"/>
          </w:pPr>
          <w:r>
            <w:fldChar w:fldCharType="begin" w:dirty="true"/>
          </w:r>
          <w:r>
            <w:instrText xml:space="preserve">TOC \o "1-2" \h \z \u</w:instrText>
          </w:r>
          <w:r>
            <w:fldChar w:fldCharType="separate"/>
          </w:r>
          <w:hyperlink w:anchor="_Toc00000083" w:history="1">
            <w:r>
              <w:t xml:space="preserve">Chapter 05 — Provisioning Services</w:t>
            </w:r>
          </w:hyperlink>
        </w:p>
        <w:p>
          <w:pPr>
            <w:pStyle w:val="TOC2"/>
          </w:pPr>
          <w:hyperlink w:anchor="_Toc00000084" w:history="1">
            <w:r>
              <w:t xml:space="preserve">In this chapter</w:t>
            </w:r>
          </w:hyperlink>
        </w:p>
        <w:p>
          <w:pPr>
            <w:pStyle w:val="TOC2"/>
          </w:pPr>
          <w:hyperlink w:anchor="_Toc00000085" w:history="1">
            <w:r>
              <w:t xml:space="preserve">Logical architecture and Microsoft realization</w:t>
            </w:r>
          </w:hyperlink>
        </w:p>
        <w:p>
          <w:pPr>
            <w:pStyle w:val="TOC2"/>
          </w:pPr>
          <w:hyperlink w:anchor="_Toc00000086" w:history="1">
            <w:r>
              <w:t xml:space="preserve">Why API-driven inbound provisioning</w:t>
            </w:r>
          </w:hyperlink>
        </w:p>
        <w:p>
          <w:pPr>
            <w:pStyle w:val="TOC2"/>
          </w:pPr>
          <w:hyperlink w:anchor="_Toc00000087" w:history="1">
            <w:r>
              <w:t xml:space="preserve">The source: Oracle Fusion Cloud HCM</w:t>
            </w:r>
          </w:hyperlink>
        </w:p>
        <w:p>
          <w:pPr>
            <w:pStyle w:val="TOC2"/>
          </w:pPr>
          <w:hyperlink w:anchor="_Toc00000088" w:history="1">
            <w:r>
              <w:t xml:space="preserve">The middleware: five duties per event</w:t>
            </w:r>
          </w:hyperlink>
        </w:p>
        <w:p>
          <w:pPr>
            <w:pStyle w:val="TOC2"/>
          </w:pPr>
          <w:hyperlink w:anchor="_Toc00000089" w:history="1">
            <w:r>
              <w:t xml:space="preserve">The /bulkUpload contract</w:t>
            </w:r>
          </w:hyperlink>
        </w:p>
        <w:p>
          <w:pPr>
            <w:pStyle w:val="TOC2"/>
          </w:pPr>
          <w:hyperlink w:anchor="_Toc00000090" w:history="1">
            <w:r>
              <w:t xml:space="preserve">Two landing zones</w:t>
            </w:r>
          </w:hyperlink>
        </w:p>
        <w:p>
          <w:pPr>
            <w:pStyle w:val="TOC2"/>
          </w:pPr>
          <w:hyperlink w:anchor="_Toc00000091" w:history="1">
            <w:r>
              <w:t xml:space="preserve">Native connectors</w:t>
            </w:r>
          </w:hyperlink>
        </w:p>
        <w:p>
          <w:pPr>
            <w:pStyle w:val="TOC2"/>
          </w:pPr>
          <w:hyperlink w:anchor="_Toc00000092" w:history="1">
            <w:r>
              <w:t xml:space="preserve">Writeback: optional and one-way per attribute</w:t>
            </w:r>
          </w:hyperlink>
        </w:p>
        <w:p>
          <w:pPr>
            <w:pStyle w:val="TOC2"/>
          </w:pPr>
          <w:hyperlink w:anchor="_Toc00000093" w:history="1">
            <w:r>
              <w:t xml:space="preserve">Continue the book</w:t>
            </w:r>
          </w:hyperlink>
          <w:r>
            <w:fldChar w:fldCharType="end"/>
          </w:r>
        </w:p>
      </w:sdtContent>
    </w:sdt>
    <w:bookmarkStart w:id="82" w:name="chapter-05-provisioning-services"/>
    <w:p>
      <w:pPr>
        <w:pStyle w:val="Heading1"/>
      </w:pPr>
      <w:bookmarkStart w:id="83" w:name="_Toc00000083"/>
      <w:r>
        <w:t xml:space="preserve">Chapter 05 — Provisioning Services</w:t>
      </w:r>
      <w:bookmarkEnd w:id="83"/>
    </w:p>
    <w:p>
      <w:pPr>
        <w:pStyle w:val="FirstParagraph"/>
      </w:pPr>
      <w:r>
        <w:rPr>
          <w:i/>
          <w:iCs/>
        </w:rPr>
        <w:t xml:space="preserve">One door into the directory, so there is exactly one door to instrument.</w:t>
      </w:r>
    </w:p>
    <w:bookmarkStart w:id="9" w:name="in-this-chapter"/>
    <w:p>
      <w:pPr>
        <w:pStyle w:val="Heading2"/>
      </w:pPr>
      <w:bookmarkStart w:id="84" w:name="_Toc00000084"/>
      <w:r>
        <w:t xml:space="preserve">In this chapter</w:t>
      </w:r>
      <w:bookmarkEnd w:id="84"/>
    </w:p>
    <w:p>
      <w:pPr>
        <w:pStyle w:val="FirstParagraph"/>
      </w:pPr>
      <w:r>
        <w:t xml:space="preserve">The logical architecture and its Microsoft realization: where provisioning sits between the governed identity model and the directories, and why API-driven inbound provisioning is the Microsoft implementation. The Oracle HCM source surfaces. What the middleware must do for every event, including reconciliation. The</w:t>
      </w:r>
      <w:r>
        <w:t xml:space="preserve"> </w:t>
      </w:r>
      <w:r>
        <w:rPr>
          <w:rStyle w:val="VerbatimChar"/>
        </w:rPr>
        <w:t xml:space="preserve">bulkUpload</w:t>
      </w:r>
      <w:r>
        <w:t xml:space="preserve"> </w:t>
      </w:r>
      <w:r>
        <w:t xml:space="preserve">contract and its limits. The two landing zones and what each one does with structure. Native connectors and writeback.</w:t>
      </w:r>
    </w:p>
    <w:bookmarkEnd w:id="9"/>
    <w:bookmarkStart w:id="15" w:name="X2b1bab292a56fb90c953e270ee25f4c6dc1bf82"/>
    <w:p>
      <w:pPr>
        <w:pStyle w:val="Heading2"/>
      </w:pPr>
      <w:bookmarkStart w:id="85" w:name="_Toc00000085"/>
      <w:r>
        <w:t xml:space="preserve">Logical architecture and Microsoft realization</w:t>
      </w:r>
      <w:bookmarkEnd w:id="85"/>
    </w:p>
    <w:p>
      <w:pPr>
        <w:pStyle w:val="FirstParagraph"/>
      </w:pPr>
      <w:r>
        <w:rPr>
          <w:b/>
          <w:bCs/>
        </w:rPr>
        <w:t xml:space="preserve">The logical architecture is stable:</w:t>
      </w:r>
    </w:p>
    <w:p>
      <w:pPr>
        <w:pStyle w:val="BlockText"/>
      </w:pPr>
      <w:r>
        <w:rPr>
          <w:b/>
          <w:bCs/>
        </w:rPr>
        <w:t xml:space="preserve">Authoritative workforce source → boundary transformation → governed workforce identity model → provisioning service → target services</w:t>
      </w:r>
    </w:p>
    <w:p>
      <w:pPr>
        <w:pStyle w:val="FirstParagraph"/>
      </w:pPr>
      <w:r>
        <w:t xml:space="preserve">The governed workforce identity model (Chapter 06) is the stable center: everything to its left is source-specific, everything to its right is delivery.</w:t>
      </w:r>
    </w:p>
    <w:p>
      <w:pPr>
        <w:pStyle w:val="BodyText"/>
      </w:pPr>
      <w:r>
        <w:rPr>
          <w:b/>
          <w:bCs/>
        </w:rPr>
        <w:t xml:space="preserve">The Microsoft realization is replaceable:</w:t>
      </w:r>
    </w:p>
    <w:p>
      <w:pPr>
        <w:pStyle w:val="BlockText"/>
      </w:pPr>
      <w:r>
        <w:rPr>
          <w:b/>
          <w:bCs/>
        </w:rPr>
        <w:t xml:space="preserve">Oracle Core HCM → integration middleware (Azure Functions or Logic Apps) → Microsoft Graph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/bulkUpload</w:t>
      </w:r>
      <w:r>
        <w:rPr>
          <w:b/>
          <w:bCs/>
        </w:rPr>
        <w:t xml:space="preserve"> </w:t>
      </w:r>
      <w:r>
        <w:rPr>
          <w:b/>
          <w:bCs/>
        </w:rPr>
        <w:t xml:space="preserve">→ Entra provisioning service → Entra ID or on-premises Active Directory</w:t>
      </w:r>
    </w:p>
    <w:p>
      <w:pPr>
        <w:pStyle w:val="CaptionedFigure"/>
      </w:pPr>
      <w:r>
        <w:drawing>
          <wp:inline>
            <wp:extent cx="5334000" cy="1802851"/>
            <wp:effectExtent b="0" l="0" r="0" t="0"/>
            <wp:docPr descr="Provisioning services: Core HCM through a replaceable boundary transformation and a middleware with five duties per event, into Graph /bulkUpload, landing in Active Directory or Entra ID, with provenance in an evidence store." title="" id="11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b03-hr-identity/png/ch05-provisioning-service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02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Provisioning services: Core HCM through a replaceable boundary transformation and a middleware with five duties per event, into Graph /bulkUpload, landing in Active Directory or Entra ID, with provenance in an evidence store.</w:t>
      </w:r>
    </w:p>
    <w:p>
      <w:pPr>
        <w:pStyle w:val="BodyText"/>
      </w:pPr>
      <w:r>
        <w:t xml:space="preserve">The API client reads identity data from the authoritative source and posts it to the provisioning app’s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endpoint as a SCIM bulk request. It doesn’t compare source and target values to decide whether to create, update, enable or disable; the provisioning service does that, applies the attribute mappings the administrator configured, and writes the user to on-premises AD (hybrid users) or to Entra ID (cloud-only users). The endpoint answers</w:t>
      </w:r>
      <w:r>
        <w:t xml:space="preserve"> </w:t>
      </w:r>
      <w:r>
        <w:rPr>
          <w:rStyle w:val="VerbatimChar"/>
        </w:rPr>
        <w:t xml:space="preserve">202 Accepted</w:t>
      </w:r>
      <w:r>
        <w:t xml:space="preserve"> </w:t>
      </w:r>
      <w:r>
        <w:t xml:space="preserve">and processes asynchronously; the client reads the provisioning logs API for the per-record result and applies bounded, idempotent retry for transient failures. Permanent failures become reconciled exceptions with an owner and alternate completion path.</w:t>
      </w:r>
      <w:r>
        <w:rPr>
          <w:rStyle w:val="FootnoteReference"/>
        </w:rPr>
        <w:footnoteReference w:id="13"/>
      </w:r>
    </w:p>
    <w:bookmarkEnd w:id="15"/>
    <w:bookmarkStart w:id="20" w:name="why-api-driven-inbound-provisioning"/>
    <w:p>
      <w:pPr>
        <w:pStyle w:val="Heading2"/>
      </w:pPr>
      <w:bookmarkStart w:id="86" w:name="_Toc00000086"/>
      <w:r>
        <w:t xml:space="preserve">Why API-driven inbound provisioning</w:t>
      </w:r>
      <w:bookmarkEnd w:id="86"/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Oracle Fusion Cloud HCM has no native Entra connector.</w:t>
      </w:r>
      <w:r>
        <w:t xml:space="preserve"> </w:t>
      </w:r>
      <w:r>
        <w:t xml:space="preserve">Entra’s prebuilt HR connectors are for Workday and SAP SuccessFactors.</w:t>
      </w:r>
      <w:r>
        <w:rPr>
          <w:rStyle w:val="FootnoteReference"/>
        </w:rPr>
        <w:footnoteReference w:id="16"/>
      </w:r>
      <w:r>
        <w:t xml:space="preserve"> </w:t>
      </w:r>
      <w:r>
        <w:t xml:space="preserve">Microsoft’s own Oracle HCM integration guidance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API-driven pattern: CSV extracts for the initial load, ATOM feeds or HCM Extracts for deltas (or Oracle Integration Cloud where the agency subscribes to it), and optional writeback through Oracle’s SCIM APIs.</w:t>
      </w:r>
      <w:r>
        <w:rPr>
          <w:rStyle w:val="FootnoteReference"/>
        </w:rPr>
        <w:footnoteReference w:id="18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governed identity model is source-independent; each deployed source has an explicit contract and transformation.</w:t>
      </w:r>
      <w:r>
        <w:t xml:space="preserve"> </w:t>
      </w:r>
      <w:r>
        <w:t xml:space="preserve">The middleware normalizes any HR export into the same SCIM payload, so the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call is identical whatever the source. If the source changes, the source contract and boundary transformation change; the governed identity model and downstream lifecycle policy remain stable.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entry point gives one provenance stream.</w:t>
      </w:r>
      <w:r>
        <w:t xml:space="preserve"> </w:t>
      </w:r>
      <w:r>
        <w:t xml:space="preserve">All inbound identity writes pass through a single provisioning surface, which is what makes lineage and drift detection tractable (Chapter 11).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procurement points the same way.</w:t>
      </w:r>
      <w:r>
        <w:t xml:space="preserve"> </w:t>
      </w:r>
      <w:r>
        <w:t xml:space="preserve">As Chapter 03 records from the solicitation, the Core HCM requirements checklist asks for SCIM 2.0 near-real-time provisioning, the protocol this pattern uses.</w:t>
      </w:r>
    </w:p>
    <w:p>
      <w:pPr>
        <w:pStyle w:val="FirstParagraph"/>
      </w:pPr>
      <w:r>
        <w:t xml:space="preserve">If Microsoft later ships a native Oracle HCM connector, it becomes an optimization inside this architecture, not a replacement for it.</w:t>
      </w:r>
    </w:p>
    <w:bookmarkEnd w:id="20"/>
    <w:bookmarkStart w:id="29" w:name="the-source-oracle-fusion-cloud-hcm"/>
    <w:p>
      <w:pPr>
        <w:pStyle w:val="Heading2"/>
      </w:pPr>
      <w:bookmarkStart w:id="87" w:name="_Toc00000087"/>
      <w:r>
        <w:t xml:space="preserve">The source: Oracle Fusion Cloud HCM</w:t>
      </w:r>
      <w:bookmarkEnd w:id="87"/>
    </w:p>
    <w:p>
      <w:pPr>
        <w:pStyle w:val="TableCaption"/>
      </w:pPr>
      <w:r>
        <w:t xml:space="preserve">Oracle HCM source surfaces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Oracle HCM source surface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Sync</w:t>
            </w:r>
          </w:p>
        </w:tc>
        <w:tc>
          <w:tcPr/>
          <w:p>
            <w:pPr>
              <w:pStyle w:val="Compact"/>
            </w:pPr>
            <w:r>
              <w:t xml:space="preserve">Mechanism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Initial / full</w:t>
            </w:r>
          </w:p>
        </w:tc>
        <w:tc>
          <w:tcPr/>
          <w:p>
            <w:pPr>
              <w:pStyle w:val="Compact"/>
            </w:pPr>
            <w:r>
              <w:t xml:space="preserve">HCM Extracts (or BI Publisher) to CSV</w:t>
            </w:r>
            <w:r>
              <w:rPr>
                <w:rStyle w:val="FootnoteReference"/>
              </w:rPr>
              <w:footnoteReference w:id="21"/>
            </w:r>
          </w:p>
        </w:tc>
        <w:tc>
          <w:tcPr/>
          <w:p>
            <w:pPr>
              <w:pStyle w:val="Compact"/>
            </w:pPr>
            <w:r>
              <w:t xml:space="preserve">Full worker population, scoped by the filter rules of Chapter 12, Phase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Delta</w:t>
            </w:r>
          </w:p>
        </w:tc>
        <w:tc>
          <w:tcPr/>
          <w:p>
            <w:pPr>
              <w:pStyle w:val="Compact"/>
            </w:pPr>
            <w:r>
              <w:t xml:space="preserve">ATOM feeds:</w:t>
            </w:r>
            <w:r>
              <w:t xml:space="preserve"> </w:t>
            </w:r>
            <w:r>
              <w:rPr>
                <w:rStyle w:val="VerbatimChar"/>
              </w:rPr>
              <w:t xml:space="preserve">newhire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empassignment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termination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cancelworkrelship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workrelshipupdate</w:t>
            </w:r>
            <w:r>
              <w:rPr>
                <w:rStyle w:val="FootnoteReference"/>
              </w:rPr>
              <w:footnoteReference w:id="23"/>
            </w:r>
          </w:p>
        </w:tc>
        <w:tc>
          <w:tcPr/>
          <w:p>
            <w:pPr>
              <w:pStyle w:val="Compact"/>
            </w:pPr>
            <w:r>
              <w:t xml:space="preserve">Turn on immediately after the initial sync; a gap loses changes</w:t>
            </w:r>
            <w:r>
              <w:rPr>
                <w:rStyle w:val="FootnoteReference"/>
              </w:rPr>
              <w:footnoteReference w:id="25"/>
            </w:r>
          </w:p>
        </w:tc>
      </w:tr>
      <w:tr>
        <w:tc>
          <w:tcPr/>
          <w:p>
            <w:pPr>
              <w:pStyle w:val="Compact"/>
            </w:pPr>
            <w:r>
              <w:t xml:space="preserve">Delta (alternative)</w:t>
            </w:r>
          </w:p>
        </w:tc>
        <w:tc>
          <w:tcPr/>
          <w:p>
            <w:pPr>
              <w:pStyle w:val="Compact"/>
            </w:pPr>
            <w:r>
              <w:t xml:space="preserve">Periodic HCM Extract deltas</w:t>
            </w:r>
          </w:p>
        </w:tc>
        <w:tc>
          <w:tcPr/>
          <w:p>
            <w:pPr>
              <w:pStyle w:val="Compact"/>
            </w:pPr>
            <w:r>
              <w:t xml:space="preserve">Simpler; latency equals the extract cadence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Enrichment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workers</w:t>
            </w:r>
            <w:r>
              <w:t xml:space="preserve"> </w:t>
            </w:r>
            <w:r>
              <w:t xml:space="preserve">REST resource</w:t>
            </w:r>
          </w:p>
        </w:tc>
        <w:tc>
          <w:tcPr/>
          <w:p>
            <w:pPr>
              <w:pStyle w:val="Compact"/>
            </w:pPr>
            <w:r>
              <w:t xml:space="preserve">When a feed event doesn’t carry an attribute the payload needs. Microsoft’s guide also names the</w:t>
            </w:r>
            <w:r>
              <w:t xml:space="preserve"> </w:t>
            </w:r>
            <w:r>
              <w:rPr>
                <w:rStyle w:val="VerbatimChar"/>
              </w:rPr>
              <w:t xml:space="preserve">employees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emps</w:t>
            </w:r>
            <w:r>
              <w:t xml:space="preserve">) resource, but Oracle marks it for future deprecation and advises the</w:t>
            </w:r>
            <w:r>
              <w:t xml:space="preserve"> </w:t>
            </w:r>
            <w:r>
              <w:rPr>
                <w:rStyle w:val="VerbatimChar"/>
              </w:rPr>
              <w:t xml:space="preserve">workers</w:t>
            </w:r>
            <w:r>
              <w:t xml:space="preserve"> </w:t>
            </w:r>
            <w:r>
              <w:t xml:space="preserve">resource for new integrations</w:t>
            </w:r>
            <w:r>
              <w:rPr>
                <w:rStyle w:val="FootnoteReference"/>
              </w:rPr>
              <w:footnoteReference w:id="26"/>
            </w:r>
          </w:p>
        </w:tc>
      </w:tr>
    </w:tbl>
    <w:p>
      <w:pPr>
        <w:pStyle w:val="BodyText"/>
      </w:pPr>
      <w:r>
        <w:rPr>
          <w:b/>
          <w:bCs/>
        </w:rPr>
        <w:t xml:space="preserve">Source correlation key:</w:t>
      </w:r>
      <w:r>
        <w:t xml:space="preserve"> </w:t>
      </w:r>
      <w:r>
        <w:t xml:space="preserve">Oracle</w:t>
      </w:r>
      <w:r>
        <w:t xml:space="preserve"> </w:t>
      </w:r>
      <w:r>
        <w:rPr>
          <w:rStyle w:val="VerbatimChar"/>
        </w:rPr>
        <w:t xml:space="preserve">PersonNumber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 </w:t>
      </w:r>
      <w:r>
        <w:t xml:space="preserve">in Entra ID and AD, subject to the enterprise identifier decision in Chapter 04. The employee ID must be populated on existing accounts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first full sync; matching is what prevents duplicate identities at go-live.</w:t>
      </w:r>
    </w:p>
    <w:bookmarkEnd w:id="29"/>
    <w:bookmarkStart w:id="35" w:name="the-middleware-five-duties-per-event"/>
    <w:p>
      <w:pPr>
        <w:pStyle w:val="Heading2"/>
      </w:pPr>
      <w:bookmarkStart w:id="88" w:name="_Toc00000088"/>
      <w:r>
        <w:t xml:space="preserve">The middleware: five duties per event</w:t>
      </w:r>
      <w:bookmarkEnd w:id="88"/>
    </w:p>
    <w:p>
      <w:pPr>
        <w:pStyle w:val="FirstParagraph"/>
      </w:pPr>
      <w:r>
        <w:t xml:space="preserve">Azure Functions or Logic Apps, inside the agency’s authorization boundary, doing five things for every event: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Validate.</w:t>
      </w:r>
      <w:r>
        <w:t xml:space="preserve"> </w:t>
      </w:r>
      <w:r>
        <w:t xml:space="preserve">Required attributes present; unknown worker types refused. Fail closed.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Sequence and retry.</w:t>
      </w:r>
      <w:r>
        <w:t xml:space="preserve"> </w:t>
      </w:r>
      <w:r>
        <w:t xml:space="preserve">Apply feed events in order and handle failures explicitly. An out-of-order mover/leaver pair is a correctness bug and a dropped event is a silent drift source. A failed transform retries and is recorded, never skipped.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Normalize to SCIM.</w:t>
      </w:r>
      <w:r>
        <w:t xml:space="preserve"> </w:t>
      </w:r>
      <w:r>
        <w:t xml:space="preserve">Build the bulk request (</w:t>
      </w:r>
      <w:r>
        <w:rPr>
          <w:rStyle w:val="VerbatimChar"/>
        </w:rPr>
        <w:t xml:space="preserve">urn:ietf:params:scim:api:messages:2.0:BulkRequest</w:t>
      </w:r>
      <w:r>
        <w:t xml:space="preserve">) with the core and enterprise user schemas, plus a schema extension for any attribute the core schemas don’t carry.</w:t>
      </w:r>
      <w:r>
        <w:rPr>
          <w:rStyle w:val="FootnoteReference"/>
        </w:rPr>
        <w:footnoteReference w:id="30"/>
      </w:r>
      <w:r>
        <w:rPr>
          <w:rStyle w:val="FootnoteReference"/>
        </w:rPr>
        <w:footnoteReference w:id="31"/>
      </w:r>
      <w:r>
        <w:t xml:space="preserve"> </w:t>
      </w:r>
      <w:r>
        <w:t xml:space="preserve">The canonical payload is defined in Chapter 06.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Write provenance.</w:t>
      </w:r>
      <w:r>
        <w:t xml:space="preserve"> </w:t>
      </w:r>
      <w:r>
        <w:t xml:space="preserve">One record per event (source event ID, payload hash, derivation inputs, outcome) to the agency’s evidence store, before the Graph call returns. No record, no verifiable outcome.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Reconcile.</w:t>
      </w:r>
      <w:r>
        <w:t xml:space="preserve"> </w:t>
      </w:r>
      <w:r>
        <w:t xml:space="preserve">Read the provisioning logs for each submitted record and match the result to the source event. Transient failures retry with bounded, idempotent backoff; permanent failures become exceptions with an owner and an alternate completion path, and stay open until the directory reflects the source. A scheduled comparison of the HR population with the directories catches anything the per-event check missed (Chapter 11).</w:t>
      </w:r>
    </w:p>
    <w:p>
      <w:pPr>
        <w:pStyle w:val="FirstParagraph"/>
      </w:pPr>
      <w:r>
        <w:t xml:space="preserve">The middleware never writes back to the HR system’s HR-mastered facts. Send the complete user record in every request, for full and delta syncs alike: if clearing attribute values (a preview feature) is enabled, an omitted or null mapped attribute can clear the target value.</w:t>
      </w:r>
      <w:r>
        <w:rPr>
          <w:rStyle w:val="FootnoteReference"/>
        </w:rPr>
        <w:footnoteReference w:id="34"/>
      </w:r>
    </w:p>
    <w:bookmarkEnd w:id="35"/>
    <w:bookmarkStart w:id="47" w:name="the-bulkupload-contract"/>
    <w:p>
      <w:pPr>
        <w:pStyle w:val="Heading2"/>
      </w:pPr>
      <w:bookmarkStart w:id="89" w:name="_Toc00000089"/>
      <w:r>
        <w:t xml:space="preserve">The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contract</w:t>
      </w:r>
      <w:bookmarkEnd w:id="89"/>
    </w:p>
    <w:p>
      <w:pPr>
        <w:pStyle w:val="TableCaption"/>
      </w:pPr>
      <w:r>
        <w:t xml:space="preserve">The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envelope</w:t>
      </w:r>
      <w:r>
        <w:rPr>
          <w:rStyle w:val="FootnoteReference"/>
        </w:rPr>
        <w:footnoteReference w:id="36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/bulkUpload envelope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Microsoft Graph, worldwide endpoint</w:t>
            </w:r>
            <w:r>
              <w:t xml:space="preserve"> </w:t>
            </w:r>
            <w:r>
              <w:rPr>
                <w:rStyle w:val="VerbatimChar"/>
              </w:rPr>
              <w:t xml:space="preserve">graph.microsoft.com</w:t>
            </w:r>
            <w:r>
              <w:t xml:space="preserve"> </w:t>
            </w:r>
            <w:r>
              <w:t xml:space="preserve">(Microsoft 365 GCC tenants use the worldwide endpoints)</w:t>
            </w:r>
            <w:r>
              <w:rPr>
                <w:rStyle w:val="FootnoteReference"/>
              </w:rPr>
              <w:footnoteReference w:id="37"/>
            </w:r>
          </w:p>
        </w:tc>
      </w:tr>
      <w:tr>
        <w:tc>
          <w:tcPr/>
          <w:p>
            <w:pPr>
              <w:pStyle w:val="Compact"/>
            </w:pPr>
            <w:r>
              <w:t xml:space="preserve">Payload</w:t>
            </w:r>
          </w:p>
        </w:tc>
        <w:tc>
          <w:tcPr/>
          <w:p>
            <w:pPr>
              <w:pStyle w:val="Compact"/>
            </w:pPr>
            <w:r>
              <w:t xml:space="preserve">SCIM bulk request; up to 50 operations per call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Throttling</w:t>
            </w:r>
          </w:p>
        </w:tc>
        <w:tc>
          <w:tcPr/>
          <w:p>
            <w:pPr>
              <w:pStyle w:val="Compact"/>
            </w:pPr>
            <w:r>
              <w:t xml:space="preserve">40 calls in any 5-second window, HTTP 429 beyond it, per the Entra concepts page; the Graph API reference states 40 requests per second.</w:t>
            </w:r>
            <w:r>
              <w:rPr>
                <w:rStyle w:val="FootnoteReference"/>
              </w:rPr>
              <w:footnoteReference w:id="39"/>
            </w:r>
            <w:r>
              <w:t xml:space="preserve"> </w:t>
            </w:r>
            <w:r>
              <w:t xml:space="preserve">The two Microsoft pages disagree, so pace the client to the stricter figure and handle 429 responses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daily cap</w:t>
            </w:r>
          </w:p>
        </w:tc>
        <w:tc>
          <w:tcPr/>
          <w:p>
            <w:pPr>
              <w:pStyle w:val="Compact"/>
            </w:pPr>
            <w:r>
              <w:t xml:space="preserve">2,000 calls per 24 hours with Entra ID P1/P2; 6,000 with Entra ID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permissions for the client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SynchronizationData-User.Upload</w:t>
            </w:r>
            <w:r>
              <w:t xml:space="preserve"> </w:t>
            </w:r>
            <w:r>
              <w:t xml:space="preserve">(Microsoft’s standard setup) or the least-privileged</w:t>
            </w:r>
            <w:r>
              <w:t xml:space="preserve"> </w:t>
            </w:r>
            <w:r>
              <w:rPr>
                <w:rStyle w:val="VerbatimChar"/>
              </w:rPr>
              <w:t xml:space="preserve">SynchronizationData-User.Upload.OwnedBy</w:t>
            </w:r>
            <w:r>
              <w:t xml:space="preserve">, which limits uploads to provisioning apps the client’s identity owns;</w:t>
            </w:r>
            <w:r>
              <w:rPr>
                <w:rStyle w:val="FootnoteReference"/>
              </w:rPr>
              <w:footnoteReference w:id="41"/>
            </w:r>
            <w:r>
              <w:rPr>
                <w:rStyle w:val="FootnoteReference"/>
              </w:rPr>
              <w:footnoteReference w:id="42"/>
            </w:r>
            <w:r>
              <w:t xml:space="preserve"> </w:t>
            </w:r>
            <w:r>
              <w:rPr>
                <w:rStyle w:val="VerbatimChar"/>
              </w:rPr>
              <w:t xml:space="preserve">ProvisioningLog.Read.All</w:t>
            </w:r>
            <w:r>
              <w:t xml:space="preserve"> </w:t>
            </w:r>
            <w:r>
              <w:t xml:space="preserve">for the component that reads per-record results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Licensing floor</w:t>
            </w:r>
          </w:p>
        </w:tc>
        <w:tc>
          <w:tcPr/>
          <w:p>
            <w:pPr>
              <w:pStyle w:val="Compact"/>
            </w:pPr>
            <w:r>
              <w:t xml:space="preserve">Entra ID P1; Entra ID Governance for Lifecycle Workflows</w:t>
            </w:r>
          </w:p>
        </w:tc>
      </w:tr>
    </w:tbl>
    <w:p>
      <w:pPr>
        <w:pStyle w:val="BodyText"/>
      </w:pPr>
      <w:r>
        <w:t xml:space="preserve">Each endpoint belongs to one provisioning app, and an agency with several sources (HR for employees, a contractor system, a badging system that only updates attributes) creates one app per source.</w:t>
      </w:r>
      <w:r>
        <w:rPr>
          <w:rStyle w:val="FootnoteReference"/>
        </w:rPr>
        <w:footnoteReference w:id="44"/>
      </w:r>
      <w:r>
        <w:rPr>
          <w:rStyle w:val="FootnoteReference"/>
        </w:rPr>
        <w:footnoteReference w:id="45"/>
      </w:r>
    </w:p>
    <w:bookmarkEnd w:id="47"/>
    <w:bookmarkStart w:id="74" w:name="two-landing-zones"/>
    <w:p>
      <w:pPr>
        <w:pStyle w:val="Heading2"/>
      </w:pPr>
      <w:bookmarkStart w:id="90" w:name="_Toc00000090"/>
      <w:r>
        <w:t xml:space="preserve">Two landing zones</w:t>
      </w:r>
      <w:bookmarkEnd w:id="90"/>
    </w:p>
    <w:p>
      <w:pPr>
        <w:pStyle w:val="FirstParagraph"/>
      </w:pPr>
      <w:r>
        <w:t xml:space="preserve">The same HR feed can land in two places, separately or at the same time — and which one a population uses changes as the agency moves from Active Directory to Entra ID:</w:t>
      </w:r>
    </w:p>
    <w:p>
      <w:pPr>
        <w:pStyle w:val="CaptionedFigure"/>
      </w:pPr>
      <w:r>
        <w:drawing>
          <wp:inline>
            <wp:extent cx="5334000" cy="2726064"/>
            <wp:effectExtent b="0" l="0" r="0" t="0"/>
            <wp:docPr descr="Two landing patterns across the Entra ID migration: while AD is the source of authority, HR lands users in AD and they sync to Entra ID; once a population’s source of authority moves to the cloud, HR lands users in Entra ID and any AD account an application still needs is provisioned from Entra ID." title="" id="49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b03-hr-identity/png/ch05-two-pattern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6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Two landing patterns across the Entra ID migration: while AD is the source of authority, HR lands users in AD and they sync to Entra ID; once a population’s source of authority moves to the cloud, HR lands users in Entra ID and any AD account an application still needs is provisioned from Entra ID.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API-driven inbound provisioning to Microsoft Entra ID</w:t>
      </w:r>
      <w:r>
        <w:t xml:space="preserve"> </w:t>
      </w:r>
      <w:r>
        <w:t xml:space="preserve">creates cloud-only users directly.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API-driven inbound provisioning to on-premises Active Directory</w:t>
      </w:r>
      <w:r>
        <w:t xml:space="preserve"> </w:t>
      </w:r>
      <w:r>
        <w:t xml:space="preserve">delivers the same payloads through the Microsoft Entra provisioning agent, which writes to AD DS from inside the agency network; Entra Connect Sync or Cloud Sync then projects the user to the cloud.</w:t>
      </w:r>
      <w:r>
        <w:rPr>
          <w:rStyle w:val="FootnoteReference"/>
        </w:rPr>
        <w:footnoteReference w:id="51"/>
      </w:r>
      <w:r>
        <w:rPr>
          <w:rStyle w:val="FootnoteReference"/>
        </w:rPr>
        <w:footnoteReference w:id="52"/>
      </w:r>
    </w:p>
    <w:bookmarkStart w:id="61" w:name="landing-in-active-directory"/>
    <w:p>
      <w:pPr>
        <w:pStyle w:val="Heading3"/>
      </w:pPr>
      <w:r>
        <w:t xml:space="preserve">Landing in Active Directory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The OU is computed, not hand-picked.</w:t>
      </w:r>
      <w:r>
        <w:t xml:space="preserve"> </w:t>
      </w:r>
      <w:r>
        <w:t xml:space="preserve">An expression mapping on</w:t>
      </w:r>
      <w:r>
        <w:t xml:space="preserve"> </w:t>
      </w:r>
      <w:r>
        <w:rPr>
          <w:rStyle w:val="VerbatimChar"/>
        </w:rPr>
        <w:t xml:space="preserve">parentDistinguishedName</w:t>
      </w:r>
      <w:r>
        <w:t xml:space="preserve"> </w:t>
      </w:r>
      <w:r>
        <w:t xml:space="preserve">derives the destination domain and OU from HR attributes.</w:t>
      </w:r>
      <w:r>
        <w:rPr>
          <w:rStyle w:val="FootnoteReference"/>
        </w:rPr>
        <w:footnoteReference w:id="53"/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The reporting line becomes a reference.</w:t>
      </w:r>
      <w:r>
        <w:t xml:space="preserve"> </w:t>
      </w:r>
      <w:r>
        <w:t xml:space="preserve">The provisioning service writes AD’s</w:t>
      </w:r>
      <w:r>
        <w:t xml:space="preserve"> </w:t>
      </w:r>
      <w:r>
        <w:rPr>
          <w:rStyle w:val="VerbatimChar"/>
        </w:rPr>
        <w:t xml:space="preserve">manager</w:t>
      </w:r>
      <w:r>
        <w:t xml:space="preserve"> </w:t>
      </w:r>
      <w:r>
        <w:t xml:space="preserve">attribute as a DN reference to the already-provisioned supervisor; for managers in another domain, Microsoft’s topologies either enable referral chasing on the provisioning agent (one app for the forest) or add a separate app that updates only</w:t>
      </w:r>
      <w:r>
        <w:t xml:space="preserve"> </w:t>
      </w:r>
      <w:r>
        <w:rPr>
          <w:rStyle w:val="VerbatimChar"/>
        </w:rPr>
        <w:t xml:space="preserve">manager</w:t>
      </w:r>
      <w:r>
        <w:t xml:space="preserve"> </w:t>
      </w:r>
      <w:r>
        <w:t xml:space="preserve">(one app per domain).</w:t>
      </w:r>
      <w:r>
        <w:rPr>
          <w:rStyle w:val="FootnoteReference"/>
        </w:rPr>
        <w:footnoteReference w:id="54"/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High availability.</w:t>
      </w:r>
      <w:r>
        <w:t xml:space="preserve"> </w:t>
      </w:r>
      <w:r>
        <w:t xml:space="preserve">Deploy at least two provisioning agents, on servers with line of sight to the domain controllers;</w:t>
      </w:r>
      <w:r>
        <w:rPr>
          <w:rStyle w:val="FootnoteReference"/>
        </w:rPr>
        <w:footnoteReference w:id="55"/>
      </w:r>
      <w:r>
        <w:t xml:space="preserve"> </w:t>
      </w:r>
      <w:r>
        <w:t xml:space="preserve">Microsoft’s Cloud Sync prerequisites now recommend three active agents, on servers hardened as Tier 0 (control plane) assets.</w:t>
      </w:r>
      <w:r>
        <w:rPr>
          <w:rStyle w:val="FootnoteReference"/>
        </w:rPr>
        <w:footnoteReference w:id="56"/>
      </w:r>
      <w:r>
        <w:t xml:space="preserve"> </w:t>
      </w:r>
      <w:r>
        <w:t xml:space="preserve">The agent service runs as a group managed service account (gMSA); Domain or Enterprise Administrator credentials are needed once, to create it, not to run the agent.</w:t>
      </w:r>
      <w:r>
        <w:rPr>
          <w:rStyle w:val="FootnoteReference"/>
        </w:rPr>
        <w:footnoteReference w:id="58"/>
      </w:r>
      <w:r>
        <w:t xml:space="preserve"> </w:t>
      </w:r>
      <w:r>
        <w:t xml:space="preserve">Delegate the gMSA rights to the target OUs only.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Termination reaches the domain controller.</w:t>
      </w:r>
      <w:r>
        <w:t xml:space="preserve"> </w:t>
      </w:r>
      <w:r>
        <w:t xml:space="preserve">The SCIM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value maps to AD’s</w:t>
      </w:r>
      <w:r>
        <w:t xml:space="preserve"> </w:t>
      </w:r>
      <w:r>
        <w:rPr>
          <w:rStyle w:val="VerbatimChar"/>
        </w:rPr>
        <w:t xml:space="preserve">accountDisabled</w:t>
      </w:r>
      <w:r>
        <w:t xml:space="preserve">, so an HR termination disables the AD account, and the sync client carries that state to the cloud.</w:t>
      </w:r>
      <w:r>
        <w:rPr>
          <w:rStyle w:val="FootnoteReference"/>
        </w:rPr>
        <w:footnoteReference w:id="59"/>
      </w:r>
      <w:r>
        <w:rPr>
          <w:rStyle w:val="FootnoteReference"/>
        </w:rPr>
        <w:footnoteReference w:id="60"/>
      </w:r>
    </w:p>
    <w:p>
      <w:pPr>
        <w:pStyle w:val="FirstParagraph"/>
      </w:pPr>
      <w:r>
        <w:t xml:space="preserve">The caveat:</w:t>
      </w:r>
      <w:r>
        <w:t xml:space="preserve"> </w:t>
      </w:r>
      <w:r>
        <w:rPr>
          <w:b/>
          <w:bCs/>
        </w:rPr>
        <w:t xml:space="preserve">AD stores structure as place.</w:t>
      </w:r>
      <w:r>
        <w:t xml:space="preserve"> </w:t>
      </w:r>
      <w:r>
        <w:t xml:space="preserve">An OU is a container, and Group Policy that reads OU position inherits every reorganization. HR-driven provisioning keeps AD</w:t>
      </w:r>
      <w:r>
        <w:t xml:space="preserve"> </w:t>
      </w:r>
      <w:r>
        <w:rPr>
          <w:i/>
          <w:iCs/>
        </w:rPr>
        <w:t xml:space="preserve">correct</w:t>
      </w:r>
      <w:r>
        <w:t xml:space="preserve">; it can’t make AD attribute-native.</w:t>
      </w:r>
    </w:p>
    <w:bookmarkEnd w:id="61"/>
    <w:bookmarkStart w:id="68" w:name="landing-in-entra-id"/>
    <w:p>
      <w:pPr>
        <w:pStyle w:val="Heading3"/>
      </w:pPr>
      <w:r>
        <w:t xml:space="preserve">Landing in Entra ID</w:t>
      </w:r>
    </w:p>
    <w:p>
      <w:pPr>
        <w:pStyle w:val="FirstParagraph"/>
      </w:pPr>
      <w:r>
        <w:t xml:space="preserve">Entra ID has no OUs. The worker record lands as attributes, and structure becomes data:</w:t>
      </w:r>
      <w:r>
        <w:t xml:space="preserve"> </w:t>
      </w:r>
      <w:r>
        <w:rPr>
          <w:rStyle w:val="VerbatimChar"/>
        </w:rPr>
        <w:t xml:space="preserve">manager</w:t>
      </w:r>
      <w:r>
        <w:t xml:space="preserve"> </w:t>
      </w:r>
      <w:r>
        <w:t xml:space="preserve">(a directory relationship that drives the org chart in Teams and Outlook</w:t>
      </w:r>
      <w:r>
        <w:rPr>
          <w:rStyle w:val="FootnoteReference"/>
        </w:rPr>
        <w:footnoteReference w:id="62"/>
      </w:r>
      <w:r>
        <w:t xml:space="preserve"> </w:t>
      </w:r>
      <w:r>
        <w:t xml:space="preserve">and approval routing),</w:t>
      </w:r>
      <w:r>
        <w:t xml:space="preserve"> </w:t>
      </w:r>
      <w:r>
        <w:rPr>
          <w:rStyle w:val="VerbatimChar"/>
        </w:rPr>
        <w:t xml:space="preserve">department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jobTitle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employeeOrgData</w:t>
      </w:r>
      <w:r>
        <w:t xml:space="preserve"> </w:t>
      </w:r>
      <w:r>
        <w:t xml:space="preserve">(</w:t>
      </w:r>
      <w:r>
        <w:rPr>
          <w:rStyle w:val="VerbatimChar"/>
        </w:rPr>
        <w:t xml:space="preserve">division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costCenter</w:t>
      </w:r>
      <w:r>
        <w:t xml:space="preserve">).</w:t>
      </w:r>
      <w:r>
        <w:rPr>
          <w:rStyle w:val="FootnoteReference"/>
        </w:rPr>
        <w:footnoteReference w:id="64"/>
      </w:r>
      <w:r>
        <w:t xml:space="preserve"> </w:t>
      </w:r>
      <w:r>
        <w:t xml:space="preserve">Chapter 06 fixes which of these the agency uses and for what; Chapter 10 shows how they become access.</w:t>
      </w:r>
    </w:p>
    <w:p>
      <w:pPr>
        <w:pStyle w:val="TableCaption"/>
      </w:pPr>
      <w:r>
        <w:t xml:space="preserve">How each directory absorbs organizational structure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How each directory absorbs organizational structur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Active Directory</w:t>
            </w:r>
          </w:p>
        </w:tc>
        <w:tc>
          <w:tcPr/>
          <w:p>
            <w:pPr>
              <w:pStyle w:val="Compact"/>
            </w:pPr>
            <w:r>
              <w:t xml:space="preserve">Entra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Structural container</w:t>
            </w:r>
          </w:p>
        </w:tc>
        <w:tc>
          <w:tcPr/>
          <w:p>
            <w:pPr>
              <w:pStyle w:val="Compact"/>
            </w:pPr>
            <w:r>
              <w:t xml:space="preserve">OU tree: structure as place, which GPO reads</w:t>
            </w:r>
          </w:p>
        </w:tc>
        <w:tc>
          <w:tcPr/>
          <w:p>
            <w:pPr>
              <w:pStyle w:val="Compact"/>
            </w:pPr>
            <w:r>
              <w:t xml:space="preserve">None: structure as attributes, which policy reads through groups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Reporting line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manager</w:t>
            </w:r>
            <w:r>
              <w:t xml:space="preserve"> </w:t>
            </w:r>
            <w:r>
              <w:t xml:space="preserve">DN reference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manager</w:t>
            </w:r>
            <w:r>
              <w:t xml:space="preserve"> </w:t>
            </w:r>
            <w:r>
              <w:t xml:space="preserve">relationship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 placement</w:t>
            </w:r>
          </w:p>
        </w:tc>
        <w:tc>
          <w:tcPr/>
          <w:p>
            <w:pPr>
              <w:pStyle w:val="Compact"/>
            </w:pPr>
            <w:r>
              <w:t xml:space="preserve">OU computed at provisioning (</w:t>
            </w:r>
            <w:r>
              <w:rPr>
                <w:rStyle w:val="VerbatimChar"/>
              </w:rPr>
              <w:t xml:space="preserve">parentDistinguishedName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department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employeeOrgData</w:t>
            </w:r>
            <w:r>
              <w:t xml:space="preserve">, stamped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Membership</w:t>
            </w:r>
          </w:p>
        </w:tc>
        <w:tc>
          <w:tcPr/>
          <w:p>
            <w:pPr>
              <w:pStyle w:val="Compact"/>
            </w:pPr>
            <w:r>
              <w:t xml:space="preserve">Static groups, manual or scripted</w:t>
            </w:r>
          </w:p>
        </w:tc>
        <w:tc>
          <w:tcPr/>
          <w:p>
            <w:pPr>
              <w:pStyle w:val="Compact"/>
            </w:pPr>
            <w:r>
              <w:t xml:space="preserve">Rules for dynamic membership, evaluated by the service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Delegated admin</w:t>
            </w:r>
          </w:p>
        </w:tc>
        <w:tc>
          <w:tcPr/>
          <w:p>
            <w:pPr>
              <w:pStyle w:val="Compact"/>
            </w:pPr>
            <w:r>
              <w:t xml:space="preserve">OU ACL delegation</w:t>
            </w:r>
          </w:p>
        </w:tc>
        <w:tc>
          <w:tcPr/>
          <w:p>
            <w:pPr>
              <w:pStyle w:val="Compact"/>
            </w:pPr>
            <w:r>
              <w:t xml:space="preserve">Administrative units (flat; they can’t be nested)</w:t>
            </w:r>
            <w:r>
              <w:rPr>
                <w:rStyle w:val="FootnoteReference"/>
              </w:rPr>
              <w:footnoteReference w:id="66"/>
            </w:r>
          </w:p>
        </w:tc>
      </w:tr>
      <w:tr>
        <w:tc>
          <w:tcPr/>
          <w:p>
            <w:pPr>
              <w:pStyle w:val="Compact"/>
            </w:pPr>
            <w:r>
              <w:t xml:space="preserve">Reorganization cost</w:t>
            </w:r>
          </w:p>
        </w:tc>
        <w:tc>
          <w:tcPr/>
          <w:p>
            <w:pPr>
              <w:pStyle w:val="Compact"/>
            </w:pPr>
            <w:r>
              <w:t xml:space="preserve">OU restructure and GPO re-link: a project</w:t>
            </w:r>
          </w:p>
        </w:tc>
        <w:tc>
          <w:tcPr/>
          <w:p>
            <w:pPr>
              <w:pStyle w:val="Compact"/>
            </w:pPr>
            <w:r>
              <w:t xml:space="preserve">Attribute re-stamp and rule re-evaluation: a data change</w:t>
            </w:r>
          </w:p>
        </w:tc>
      </w:tr>
    </w:tbl>
    <w:p>
      <w:pPr>
        <w:pStyle w:val="BodyText"/>
      </w:pPr>
      <w:r>
        <w:t xml:space="preserve">During coexistence, provision both zones, read structure from attributes, and retire OU-bound policy deliberately (Chapter 12, Phase 5).</w:t>
      </w:r>
    </w:p>
    <w:bookmarkEnd w:id="68"/>
    <w:bookmarkStart w:id="73" w:name="over-the-entra-id-migration"/>
    <w:p>
      <w:pPr>
        <w:pStyle w:val="Heading3"/>
      </w:pPr>
      <w:r>
        <w:t xml:space="preserve">Over the Entra ID migration</w:t>
      </w:r>
    </w:p>
    <w:p>
      <w:pPr>
        <w:pStyle w:val="FirstParagraph"/>
      </w:pPr>
      <w:r>
        <w:t xml:space="preserve">Microsoft’s path to the cloud moves users’</w:t>
      </w:r>
      <w:r>
        <w:t xml:space="preserve"> </w:t>
      </w:r>
      <w:r>
        <w:rPr>
          <w:b/>
          <w:bCs/>
        </w:rPr>
        <w:t xml:space="preserve">source of authority</w:t>
      </w:r>
      <w:r>
        <w:t xml:space="preserve"> </w:t>
      </w:r>
      <w:r>
        <w:t xml:space="preserve">from Active Directory to Entra ID, after which the user lifecycle is governed in the cloud with Entra ID Governance; for users who still need on-premises access, provisioning from Entra ID to Active Directory maintains the AD account while Entra ID remains the source of authority.</w:t>
      </w:r>
      <w:r>
        <w:rPr>
          <w:rStyle w:val="FootnoteReference"/>
        </w:rPr>
        <w:footnoteReference w:id="69"/>
      </w:r>
      <w:r>
        <w:t xml:space="preserve"> </w:t>
      </w:r>
      <w:r>
        <w:t xml:space="preserve">Microsoft’s migration guidance makes the same split for HR: new employees who use only Entra-integrated applications can be provisioned as cloud-only accounts, and hybrid accounts are provisioned only where applications still depend on AD.</w:t>
      </w:r>
      <w:r>
        <w:rPr>
          <w:rStyle w:val="FootnoteReference"/>
        </w:rPr>
        <w:footnoteReference w:id="71"/>
      </w:r>
      <w:r>
        <w:t xml:space="preserve"> </w:t>
      </w:r>
      <w:r>
        <w:t xml:space="preserve">HR-driven provisioning and the directory migration therefore converge on one design, population by population: HR is the source of authority, Entra ID is the identity platform it drives, and Active Directory becomes a downstream target that shrinks as applications move.</w:t>
      </w:r>
    </w:p>
    <w:bookmarkEnd w:id="73"/>
    <w:bookmarkEnd w:id="74"/>
    <w:bookmarkStart w:id="75" w:name="native-connectors"/>
    <w:p>
      <w:pPr>
        <w:pStyle w:val="Heading2"/>
      </w:pPr>
      <w:bookmarkStart w:id="91" w:name="_Toc00000091"/>
      <w:r>
        <w:t xml:space="preserve">Native connectors</w:t>
      </w:r>
      <w:bookmarkEnd w:id="91"/>
    </w:p>
    <w:p>
      <w:pPr>
        <w:pStyle w:val="FirstParagraph"/>
      </w:pPr>
      <w:r>
        <w:t xml:space="preserve">Where an HR source has a native connector (Workday, SAP SuccessFactors), it’s an acceptable accelerator. The API-driven pattern stays the reference implementation because it works for any source and because its middleware is where validation, provenance and reconciliation happen before the identity platform sees the record. A native connector bypasses that middleware, so those duties have to be supplied another way.</w:t>
      </w:r>
    </w:p>
    <w:bookmarkEnd w:id="75"/>
    <w:bookmarkStart w:id="80" w:name="X266d4d5a9494795d71b36e2d275e4c6bbec543b"/>
    <w:p>
      <w:pPr>
        <w:pStyle w:val="Heading2"/>
      </w:pPr>
      <w:bookmarkStart w:id="92" w:name="_Toc00000092"/>
      <w:r>
        <w:t xml:space="preserve">Writeback: optional and one-way per attribute</w:t>
      </w:r>
      <w:bookmarkEnd w:id="92"/>
    </w:p>
    <w:p>
      <w:pPr>
        <w:pStyle w:val="FirstParagraph"/>
      </w:pPr>
      <w:r>
        <w:t xml:space="preserve">Once inbound provisioning is proven, an optional outbound job can write identity-platform-mastered attributes the HR system wants to display (username, work email, work phone) back to Oracle HCM through its SCIM APIs.</w:t>
      </w:r>
      <w:r>
        <w:rPr>
          <w:rStyle w:val="FootnoteReference"/>
        </w:rPr>
        <w:footnoteReference w:id="76"/>
      </w:r>
      <w:r>
        <w:rPr>
          <w:rStyle w:val="FootnoteReference"/>
        </w:rPr>
        <w:footnoteReference w:id="77"/>
      </w:r>
      <w:r>
        <w:t xml:space="preserve"> </w:t>
      </w:r>
      <w:r>
        <w:t xml:space="preserve">Microsoft’s guide builds that job on the Oracle Fusion ERP gallery connector, limited to the Update action, with every attribute the agency doesn’t intend to write back removed from the mapping.</w:t>
      </w:r>
      <w:r>
        <w:rPr>
          <w:rStyle w:val="FootnoteReference"/>
        </w:rPr>
        <w:footnoteReference w:id="79"/>
      </w:r>
      <w:r>
        <w:t xml:space="preserve"> </w:t>
      </w:r>
      <w:r>
        <w:t xml:space="preserve">Two rules keep it safe: no attribute is writable in both directions (Chapter 04), and nothing in the plan depends on writeback.</w:t>
      </w:r>
    </w:p>
    <w:bookmarkEnd w:id="80"/>
    <w:bookmarkStart w:id="81" w:name="continue-the-book"/>
    <w:p>
      <w:pPr>
        <w:pStyle w:val="Heading2"/>
      </w:pPr>
      <w:bookmarkStart w:id="93" w:name="_Toc00000093"/>
      <w:r>
        <w:t xml:space="preserve">Continue the book</w:t>
      </w:r>
      <w:bookmarkEnd w:id="93"/>
    </w:p>
    <w:p>
      <w:pPr>
        <w:pStyle w:val="FirstParagraph"/>
      </w:pPr>
      <w:r>
        <w:t xml:space="preserve">← Previous: Chapter 04 — Attribute Authority · Book index · Next: Chapter 06 — The Canonical Workforce Identity Model →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20, 2026).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20, 2026).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20, 2026).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Oracle,</w:t>
      </w:r>
      <w:r>
        <w:t xml:space="preserve"> </w:t>
      </w:r>
      <w:r>
        <w:rPr>
          <w:i/>
          <w:iCs/>
        </w:rPr>
        <w:t xml:space="preserve">Oracle Fusion Cloud HCM: HCM Extracts</w:t>
      </w:r>
      <w:r>
        <w:t xml:space="preserve">,</w:t>
      </w:r>
      <w:r>
        <w:t xml:space="preserve"> </w:t>
      </w:r>
      <w:r>
        <w:t xml:space="preserve">“Introduction to HCM Extracts”</w:t>
      </w:r>
      <w:r>
        <w:t xml:space="preserve"> </w:t>
      </w:r>
      <w:r>
        <w:t xml:space="preserve">(the main way to retrieve data in bulk; CSV among the output formats),</w:t>
      </w:r>
      <w:r>
        <w:t xml:space="preserve"> </w:t>
      </w:r>
      <w:hyperlink r:id="rId22">
        <w:r>
          <w:rPr>
            <w:rStyle w:val="Hyperlink"/>
          </w:rPr>
          <w:t xml:space="preserve">https://docs.oracle.com/en/cloud/saas/human-resources/fahex/introduction-to-hcm-extracts.html</w:t>
        </w:r>
      </w:hyperlink>
      <w:r>
        <w:t xml:space="preserve"> </w:t>
      </w:r>
      <w:r>
        <w:t xml:space="preserve">(accessed Oct 20, 2026).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Oracle,</w:t>
      </w:r>
      <w:r>
        <w:t xml:space="preserve"> </w:t>
      </w:r>
      <w:r>
        <w:rPr>
          <w:i/>
          <w:iCs/>
        </w:rPr>
        <w:t xml:space="preserve">REST API for Oracle Fusion Cloud HCM</w:t>
      </w:r>
      <w:r>
        <w:t xml:space="preserve">,</w:t>
      </w:r>
      <w:r>
        <w:t xml:space="preserve"> </w:t>
      </w:r>
      <w:r>
        <w:t xml:space="preserve">“Employee Feeds,”</w:t>
      </w:r>
      <w:r>
        <w:t xml:space="preserve"> </w:t>
      </w:r>
      <w:hyperlink r:id="rId24">
        <w:r>
          <w:rPr>
            <w:rStyle w:val="Hyperlink"/>
          </w:rPr>
          <w:t xml:space="preserve">https://docs.oracle.com/en/cloud/saas/human-resources/farws/Employee_Atom_Feeds.html</w:t>
        </w:r>
      </w:hyperlink>
      <w:r>
        <w:t xml:space="preserve"> </w:t>
      </w:r>
      <w:r>
        <w:t xml:space="preserve">(accessed Oct 20, 2026).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20, 2026).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Oracle,</w:t>
      </w:r>
      <w:r>
        <w:t xml:space="preserve"> </w:t>
      </w:r>
      <w:r>
        <w:rPr>
          <w:i/>
          <w:iCs/>
        </w:rPr>
        <w:t xml:space="preserve">REST API for Oracle Fusion Cloud HCM</w:t>
      </w:r>
      <w:r>
        <w:t xml:space="preserve">,</w:t>
      </w:r>
      <w:r>
        <w:t xml:space="preserve"> </w:t>
      </w:r>
      <w:r>
        <w:t xml:space="preserve">“Employees REST Endpoints”</w:t>
      </w:r>
      <w:r>
        <w:t xml:space="preserve"> </w:t>
      </w:r>
      <w:r>
        <w:t xml:space="preserve">(deprecation notice) and</w:t>
      </w:r>
      <w:r>
        <w:t xml:space="preserve"> </w:t>
      </w:r>
      <w:r>
        <w:t xml:space="preserve">“Workers REST Endpoints”</w:t>
      </w:r>
      <w:r>
        <w:t xml:space="preserve"> </w:t>
      </w:r>
      <w:r>
        <w:t xml:space="preserve">(employee, contingent worker and pending worker types),</w:t>
      </w:r>
      <w:r>
        <w:t xml:space="preserve"> </w:t>
      </w:r>
      <w:hyperlink r:id="rId27">
        <w:r>
          <w:rPr>
            <w:rStyle w:val="Hyperlink"/>
          </w:rPr>
          <w:t xml:space="preserve">https://docs.oracle.com/en/cloud/saas/human-resources/farws/api-employees.html</w:t>
        </w:r>
      </w:hyperlink>
      <w:r>
        <w:t xml:space="preserve"> </w:t>
      </w:r>
      <w:r>
        <w:t xml:space="preserve">and</w:t>
      </w:r>
      <w:r>
        <w:t xml:space="preserve"> </w:t>
      </w:r>
      <w:hyperlink r:id="rId28">
        <w:r>
          <w:rPr>
            <w:rStyle w:val="Hyperlink"/>
          </w:rPr>
          <w:t xml:space="preserve">https://docs.oracle.com/en/cloud/saas/human-resources/farws/api-workers.html</w:t>
        </w:r>
      </w:hyperlink>
      <w:r>
        <w:t xml:space="preserve"> </w:t>
      </w:r>
      <w:r>
        <w:t xml:space="preserve">(accessed Oct 20, 2026).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20, 2026).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Internet Engineering Task Force, RFC 7644,</w:t>
      </w:r>
      <w:r>
        <w:t xml:space="preserve"> </w:t>
      </w:r>
      <w:r>
        <w:rPr>
          <w:i/>
          <w:iCs/>
        </w:rPr>
        <w:t xml:space="preserve">System for Cross-domain Identity Management: Protocol</w:t>
      </w:r>
      <w:r>
        <w:t xml:space="preserve">, September 2015, §3.7 (bulk operations),</w:t>
      </w:r>
      <w:r>
        <w:t xml:space="preserve"> </w:t>
      </w:r>
      <w:hyperlink r:id="rId32">
        <w:r>
          <w:rPr>
            <w:rStyle w:val="Hyperlink"/>
          </w:rPr>
          <w:t xml:space="preserve">https://www.rfc-editor.org/rfc/rfc7644</w:t>
        </w:r>
      </w:hyperlink>
      <w:r>
        <w:t xml:space="preserve">; and RFC 7643,</w:t>
      </w:r>
      <w:r>
        <w:t xml:space="preserve"> </w:t>
      </w:r>
      <w:r>
        <w:rPr>
          <w:i/>
          <w:iCs/>
        </w:rPr>
        <w:t xml:space="preserve">SCIM: Core Schema</w:t>
      </w:r>
      <w:r>
        <w:t xml:space="preserve">, September 2015, §4.3 (enterprise user extension),</w:t>
      </w:r>
      <w:r>
        <w:t xml:space="preserve"> </w:t>
      </w:r>
      <w:hyperlink r:id="rId33">
        <w:r>
          <w:rPr>
            <w:rStyle w:val="Hyperlink"/>
          </w:rPr>
          <w:t xml:space="preserve">https://www.rfc-editor.org/rfc/rfc7643</w:t>
        </w:r>
      </w:hyperlink>
      <w:r>
        <w:t xml:space="preserve"> </w:t>
      </w:r>
      <w:r>
        <w:t xml:space="preserve">(accessed Oct 20, 2026).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20, 2026).</w:t>
      </w:r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20, 2026).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“National cloud deployments”</w:t>
      </w:r>
      <w:r>
        <w:t xml:space="preserve"> </w:t>
      </w:r>
      <w:r>
        <w:t xml:space="preserve">(Microsoft Graph):</w:t>
      </w:r>
      <w:r>
        <w:t xml:space="preserve"> </w:t>
      </w:r>
      <w:r>
        <w:t xml:space="preserve">“If you’re working in a Microsoft 365 GCC environment, continue using the worldwide endpoints,”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https://learn.microsoft.com/en-us/graph/deployments</w:t>
        </w:r>
      </w:hyperlink>
      <w:r>
        <w:t xml:space="preserve"> </w:t>
      </w:r>
      <w:r>
        <w:t xml:space="preserve">(accessed Oct 20, 2026).</w:t>
      </w:r>
    </w:p>
  </w:footnote>
  <w:footnote w:id="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“Perform bulkUpload”</w:t>
      </w:r>
      <w:r>
        <w:t xml:space="preserve"> </w:t>
      </w:r>
      <w:r>
        <w:t xml:space="preserve">(Microsoft Graph v1.0 API reference: rate limit and permissions),</w:t>
      </w:r>
      <w:r>
        <w:t xml:space="preserve"> </w:t>
      </w:r>
      <w:hyperlink r:id="rId40">
        <w:r>
          <w:rPr>
            <w:rStyle w:val="Hyperlink"/>
          </w:rPr>
          <w:t xml:space="preserve">https://learn.microsoft.com/en-us/graph/api/synchronization-synchronizationjob-post-bulkupload</w:t>
        </w:r>
      </w:hyperlink>
      <w:r>
        <w:t xml:space="preserve"> </w:t>
      </w:r>
      <w:r>
        <w:t xml:space="preserve">(accessed Oct 20, 2026).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“Perform bulkUpload”</w:t>
      </w:r>
      <w:r>
        <w:t xml:space="preserve"> </w:t>
      </w:r>
      <w:r>
        <w:t xml:space="preserve">(Microsoft Graph v1.0 API reference: rate limit and permissions),</w:t>
      </w:r>
      <w:r>
        <w:t xml:space="preserve"> </w:t>
      </w:r>
      <w:hyperlink r:id="rId40">
        <w:r>
          <w:rPr>
            <w:rStyle w:val="Hyperlink"/>
          </w:rPr>
          <w:t xml:space="preserve">https://learn.microsoft.com/en-us/graph/api/synchronization-synchronizationjob-post-bulkupload</w:t>
        </w:r>
      </w:hyperlink>
      <w:r>
        <w:t xml:space="preserve"> </w:t>
      </w:r>
      <w:r>
        <w:t xml:space="preserve">(accessed Oct 20, 2026).</w:t>
      </w:r>
    </w:p>
  </w:footnote>
  <w:footnote w:id="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“Grant access to the inbound provisioning API,”</w:t>
      </w:r>
      <w:r>
        <w:t xml:space="preserve"> </w:t>
      </w:r>
      <w:hyperlink r:id="rId43">
        <w:r>
          <w:rPr>
            <w:rStyle w:val="Hyperlink"/>
          </w:rPr>
          <w:t xml:space="preserve">https://learn.microsoft.com/en-us/entra/identity/app-provisioning/inbound-provisioning-api-grant-access</w:t>
        </w:r>
      </w:hyperlink>
      <w:r>
        <w:t xml:space="preserve"> </w:t>
      </w:r>
      <w:r>
        <w:t xml:space="preserve">(accessed Oct 20, 2026).</w:t>
      </w:r>
    </w:p>
  </w:footnote>
  <w:footnote w:id="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20, 2026).</w:t>
      </w:r>
    </w:p>
  </w:footnote>
  <w:footnote w:id="4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“Frequently asked questions about API-driven inbound provisioning,”</w:t>
      </w:r>
      <w:r>
        <w:t xml:space="preserve"> </w:t>
      </w:r>
      <w:hyperlink r:id="rId46">
        <w:r>
          <w:rPr>
            <w:rStyle w:val="Hyperlink"/>
          </w:rPr>
          <w:t xml:space="preserve">https://learn.microsoft.com/en-us/entra/identity/app-provisioning/inbound-provisioning-api-faqs</w:t>
        </w:r>
      </w:hyperlink>
      <w:r>
        <w:t xml:space="preserve"> </w:t>
      </w:r>
      <w:r>
        <w:t xml:space="preserve">(accessed Oct 20, 2026).</w:t>
      </w:r>
    </w:p>
  </w:footnote>
  <w:footnote w:id="5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20, 2026).</w:t>
      </w:r>
    </w:p>
  </w:footnote>
  <w:footnote w:id="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20, 2026).</w:t>
      </w:r>
    </w:p>
  </w:footnote>
  <w:footnote w:id="5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20, 2026).</w:t>
      </w:r>
    </w:p>
  </w:footnote>
  <w:footnote w:id="5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20, 2026).</w:t>
      </w:r>
    </w:p>
  </w:footnote>
  <w:footnote w:id="5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20, 2026).</w:t>
      </w:r>
    </w:p>
  </w:footnote>
  <w:footnote w:id="5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“Prerequisites for Microsoft Entra Cloud Sync”</w:t>
      </w:r>
      <w:r>
        <w:t xml:space="preserve"> </w:t>
      </w:r>
      <w:r>
        <w:t xml:space="preserve">(gMSA requirements; three active agents recommended; Tier 0 hardening),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https://learn.microsoft.com/en-us/entra/identity/hybrid/cloud-sync/how-to-prerequisites</w:t>
        </w:r>
      </w:hyperlink>
      <w:r>
        <w:t xml:space="preserve"> </w:t>
      </w:r>
      <w:r>
        <w:t xml:space="preserve">(accessed Oct 20, 2026).</w:t>
      </w:r>
    </w:p>
  </w:footnote>
  <w:footnote w:id="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“Prerequisites for Microsoft Entra Cloud Sync”</w:t>
      </w:r>
      <w:r>
        <w:t xml:space="preserve"> </w:t>
      </w:r>
      <w:r>
        <w:t xml:space="preserve">(gMSA requirements; three active agents recommended; Tier 0 hardening),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https://learn.microsoft.com/en-us/entra/identity/hybrid/cloud-sync/how-to-prerequisites</w:t>
        </w:r>
      </w:hyperlink>
      <w:r>
        <w:t xml:space="preserve"> </w:t>
      </w:r>
      <w:r>
        <w:t xml:space="preserve">(accessed Oct 20, 2026).</w:t>
      </w:r>
    </w:p>
  </w:footnote>
  <w:footnote w:id="5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20, 2026).</w:t>
      </w:r>
    </w:p>
  </w:footnote>
  <w:footnote w:id="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20, 2026).</w:t>
      </w:r>
    </w:p>
  </w:footnote>
  <w:footnote w:id="6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“Introducing Org Explorer”</w:t>
      </w:r>
      <w:r>
        <w:t xml:space="preserve"> </w:t>
      </w:r>
      <w:r>
        <w:t xml:space="preserve">(available in Teams and Outlook; org information comes from Microsoft Entra ID and needs the manager relationship),</w:t>
      </w:r>
      <w:r>
        <w:t xml:space="preserve"> </w:t>
      </w:r>
      <w:hyperlink r:id="rId63">
        <w:r>
          <w:rPr>
            <w:rStyle w:val="Hyperlink"/>
          </w:rPr>
          <w:t xml:space="preserve">https://learn.microsoft.com/en-us/viva/people-in-viva/introducing-org-explorer</w:t>
        </w:r>
      </w:hyperlink>
      <w:r>
        <w:t xml:space="preserve"> </w:t>
      </w:r>
      <w:r>
        <w:t xml:space="preserve">(accessed Oct 20, 2026).</w:t>
      </w:r>
    </w:p>
  </w:footnote>
  <w:footnote w:id="6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“user resource type”</w:t>
      </w:r>
      <w:r>
        <w:t xml:space="preserve"> </w:t>
      </w:r>
      <w:r>
        <w:t xml:space="preserve">(Microsoft Graph v1.0:</w:t>
      </w:r>
      <w:r>
        <w:t xml:space="preserve"> </w:t>
      </w:r>
      <w:r>
        <w:rPr>
          <w:rStyle w:val="VerbatimChar"/>
        </w:rPr>
        <w:t xml:space="preserve">employeeType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employeeOrgData</w:t>
      </w:r>
      <w:r>
        <w:t xml:space="preserve">),</w:t>
      </w:r>
      <w:r>
        <w:t xml:space="preserve"> </w:t>
      </w:r>
      <w:hyperlink r:id="rId65">
        <w:r>
          <w:rPr>
            <w:rStyle w:val="Hyperlink"/>
          </w:rPr>
          <w:t xml:space="preserve">https://learn.microsoft.com/en-us/graph/api/resources/user</w:t>
        </w:r>
      </w:hyperlink>
      <w:r>
        <w:t xml:space="preserve"> </w:t>
      </w:r>
      <w:r>
        <w:t xml:space="preserve">(accessed Oct 20, 2026).</w:t>
      </w:r>
    </w:p>
  </w:footnote>
  <w:footnote w:id="6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“Administrative units in Microsoft Entra ID,”</w:t>
      </w:r>
      <w:r>
        <w:t xml:space="preserve"> </w:t>
      </w:r>
      <w:hyperlink r:id="rId67">
        <w:r>
          <w:rPr>
            <w:rStyle w:val="Hyperlink"/>
          </w:rPr>
          <w:t xml:space="preserve">https://learn.microsoft.com/en-us/entra/identity/role-based-access-control/administrative-units</w:t>
        </w:r>
      </w:hyperlink>
      <w:r>
        <w:t xml:space="preserve"> </w:t>
      </w:r>
      <w:r>
        <w:t xml:space="preserve">(accessed Oct 20, 2026).</w:t>
      </w:r>
    </w:p>
  </w:footnote>
  <w:footnote w:id="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“Transfer user Source of Authority (SOA) to Microsoft Entra ID,”</w:t>
      </w:r>
      <w:r>
        <w:t xml:space="preserve"> </w:t>
      </w:r>
      <w:hyperlink r:id="rId70">
        <w:r>
          <w:rPr>
            <w:rStyle w:val="Hyperlink"/>
          </w:rPr>
          <w:t xml:space="preserve">https://learn.microsoft.com/en-us/entra/identity/hybrid/user-source-of-authority-overview</w:t>
        </w:r>
      </w:hyperlink>
      <w:r>
        <w:t xml:space="preserve"> </w:t>
      </w:r>
      <w:r>
        <w:t xml:space="preserve">(accessed Oct 20, 2026).</w:t>
      </w:r>
    </w:p>
  </w:footnote>
  <w:footnote w:id="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“Transition to the cloud”</w:t>
      </w:r>
      <w:r>
        <w:t xml:space="preserve"> </w:t>
      </w:r>
      <w:r>
        <w:t xml:space="preserve">(Move to cloud HR provisioning),</w:t>
      </w:r>
      <w:r>
        <w:t xml:space="preserve"> </w:t>
      </w:r>
      <w:hyperlink r:id="rId72">
        <w:r>
          <w:rPr>
            <w:rStyle w:val="Hyperlink"/>
          </w:rPr>
          <w:t xml:space="preserve">https://learn.microsoft.com/en-us/entra/architecture/road-to-the-cloud-migrate</w:t>
        </w:r>
      </w:hyperlink>
      <w:r>
        <w:t xml:space="preserve"> </w:t>
      </w:r>
      <w:r>
        <w:t xml:space="preserve">(accessed Oct 20, 2026).</w:t>
      </w:r>
    </w:p>
  </w:footnote>
  <w:footnote w:id="7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20, 2026).</w:t>
      </w:r>
    </w:p>
  </w:footnote>
  <w:footnote w:id="7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Oracle,</w:t>
      </w:r>
      <w:r>
        <w:t xml:space="preserve"> </w:t>
      </w:r>
      <w:r>
        <w:rPr>
          <w:i/>
          <w:iCs/>
        </w:rPr>
        <w:t xml:space="preserve">REST API for Common Features in Oracle Fusion Cloud Applications</w:t>
      </w:r>
      <w:r>
        <w:t xml:space="preserve">,</w:t>
      </w:r>
      <w:r>
        <w:t xml:space="preserve"> </w:t>
      </w:r>
      <w:r>
        <w:t xml:space="preserve">“Get all users”</w:t>
      </w:r>
      <w:r>
        <w:t xml:space="preserve"> </w:t>
      </w:r>
      <w:r>
        <w:t xml:space="preserve">(</w:t>
      </w:r>
      <w:r>
        <w:rPr>
          <w:rStyle w:val="VerbatimChar"/>
        </w:rPr>
        <w:t xml:space="preserve">/hcmRestApi/scim/Users</w:t>
      </w:r>
      <w:r>
        <w:t xml:space="preserve">),</w:t>
      </w:r>
      <w:r>
        <w:t xml:space="preserve"> </w:t>
      </w:r>
      <w:hyperlink r:id="rId78">
        <w:r>
          <w:rPr>
            <w:rStyle w:val="Hyperlink"/>
          </w:rPr>
          <w:t xml:space="preserve">https://docs.oracle.com/en/cloud/saas/applications-common/25d/farca/op-hcmrestapi-scim-users-get.html</w:t>
        </w:r>
      </w:hyperlink>
      <w:r>
        <w:t xml:space="preserve"> </w:t>
      </w:r>
      <w:r>
        <w:t xml:space="preserve">(accessed Oct 20, 2026).</w:t>
      </w:r>
    </w:p>
  </w:footnote>
  <w:footnote w:id="7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20,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  <w:style w:type="paragraph" w:styleId="TOC1">
    <w:name w:val="toc 1"/>
    <w:basedOn w:val="Normal"/>
    <w:next w:val="Normal"/>
    <w:uiPriority w:val="39"/>
    <w:unhideWhenUsed/>
    <w:pPr>
      <w:spacing w:before="120" w:after="0"/>
      <w:ind w:left="0"/>
    </w:pPr>
    <w:rPr>
      <w:b/>
    </w:rPr>
  </w:style>
  <w:style w:type="paragraph" w:styleId="TOC2">
    <w:name w:val="toc 2"/>
    <w:basedOn w:val="Normal"/>
    <w:next w:val="Normal"/>
    <w:uiPriority w:val="39"/>
    <w:unhideWhenUsed/>
    <w:pPr>
      <w:spacing w:before="0" w:after="0"/>
      <w:ind w:left="240"/>
    </w:pPr>
  </w:style>
  <w:style w:type="paragraph" w:styleId="TOC3">
    <w:name w:val="toc 3"/>
    <w:basedOn w:val="Normal"/>
    <w:next w:val="Normal"/>
    <w:uiPriority w:val="39"/>
    <w:unhideWhenUsed/>
    <w:pPr>
      <w:spacing w:before="0" w:after="0"/>
      <w:ind w:left="480"/>
    </w:p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48" Target="media/rId48.png" /><Relationship Type="http://schemas.openxmlformats.org/officeDocument/2006/relationships/hyperlink" Id="rId78" Target="https://docs.oracle.com/en/cloud/saas/applications-common/25d/farca/op-hcmrestapi-scim-users-get.html" TargetMode="External" /><Relationship Type="http://schemas.openxmlformats.org/officeDocument/2006/relationships/hyperlink" Id="rId22" Target="https://docs.oracle.com/en/cloud/saas/human-resources/fahex/introduction-to-hcm-extracts.html" TargetMode="External" /><Relationship Type="http://schemas.openxmlformats.org/officeDocument/2006/relationships/hyperlink" Id="rId24" Target="https://docs.oracle.com/en/cloud/saas/human-resources/farws/Employee_Atom_Feeds.html" TargetMode="External" /><Relationship Type="http://schemas.openxmlformats.org/officeDocument/2006/relationships/hyperlink" Id="rId27" Target="https://docs.oracle.com/en/cloud/saas/human-resources/farws/api-employees.html" TargetMode="External" /><Relationship Type="http://schemas.openxmlformats.org/officeDocument/2006/relationships/hyperlink" Id="rId28" Target="https://docs.oracle.com/en/cloud/saas/human-resources/farws/api-workers.html" TargetMode="External" /><Relationship Type="http://schemas.openxmlformats.org/officeDocument/2006/relationships/hyperlink" Id="rId72" Target="https://learn.microsoft.com/en-us/entra/architecture/road-to-the-cloud-migrate" TargetMode="External" /><Relationship Type="http://schemas.openxmlformats.org/officeDocument/2006/relationships/hyperlink" Id="rId14" Target="https://learn.microsoft.com/en-us/entra/identity/app-provisioning/inbound-provisioning-api-concepts" TargetMode="External" /><Relationship Type="http://schemas.openxmlformats.org/officeDocument/2006/relationships/hyperlink" Id="rId46" Target="https://learn.microsoft.com/en-us/entra/identity/app-provisioning/inbound-provisioning-api-faqs" TargetMode="External" /><Relationship Type="http://schemas.openxmlformats.org/officeDocument/2006/relationships/hyperlink" Id="rId43" Target="https://learn.microsoft.com/en-us/entra/identity/app-provisioning/inbound-provisioning-api-grant-access" TargetMode="External" /><Relationship Type="http://schemas.openxmlformats.org/officeDocument/2006/relationships/hyperlink" Id="rId17" Target="https://learn.microsoft.com/en-us/entra/identity/app-provisioning/plan-cloud-hr-provision" TargetMode="External" /><Relationship Type="http://schemas.openxmlformats.org/officeDocument/2006/relationships/hyperlink" Id="rId57" Target="https://learn.microsoft.com/en-us/entra/identity/hybrid/cloud-sync/how-to-prerequisites" TargetMode="External" /><Relationship Type="http://schemas.openxmlformats.org/officeDocument/2006/relationships/hyperlink" Id="rId70" Target="https://learn.microsoft.com/en-us/entra/identity/hybrid/user-source-of-authority-overview" TargetMode="External" /><Relationship Type="http://schemas.openxmlformats.org/officeDocument/2006/relationships/hyperlink" Id="rId67" Target="https://learn.microsoft.com/en-us/entra/identity/role-based-access-control/administrative-units" TargetMode="External" /><Relationship Type="http://schemas.openxmlformats.org/officeDocument/2006/relationships/hyperlink" Id="rId19" Target="https://learn.microsoft.com/en-us/entra/identity/saas-apps/oracle-hcm-provisioning-tutorial" TargetMode="External" /><Relationship Type="http://schemas.openxmlformats.org/officeDocument/2006/relationships/hyperlink" Id="rId65" Target="https://learn.microsoft.com/en-us/graph/api/resources/user" TargetMode="External" /><Relationship Type="http://schemas.openxmlformats.org/officeDocument/2006/relationships/hyperlink" Id="rId40" Target="https://learn.microsoft.com/en-us/graph/api/synchronization-synchronizationjob-post-bulkupload" TargetMode="External" /><Relationship Type="http://schemas.openxmlformats.org/officeDocument/2006/relationships/hyperlink" Id="rId38" Target="https://learn.microsoft.com/en-us/graph/deployments" TargetMode="External" /><Relationship Type="http://schemas.openxmlformats.org/officeDocument/2006/relationships/hyperlink" Id="rId63" Target="https://learn.microsoft.com/en-us/viva/people-in-viva/introducing-org-explorer" TargetMode="External" /><Relationship Type="http://schemas.openxmlformats.org/officeDocument/2006/relationships/hyperlink" Id="rId33" Target="https://www.rfc-editor.org/rfc/rfc7643" TargetMode="External" /><Relationship Type="http://schemas.openxmlformats.org/officeDocument/2006/relationships/hyperlink" Id="rId32" Target="https://www.rfc-editor.org/rfc/rfc76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https://docs.oracle.com/en/cloud/saas/applications-common/25d/farca/op-hcmrestapi-scim-users-get.html" TargetMode="External" /><Relationship Type="http://schemas.openxmlformats.org/officeDocument/2006/relationships/hyperlink" Id="rId22" Target="https://docs.oracle.com/en/cloud/saas/human-resources/fahex/introduction-to-hcm-extracts.html" TargetMode="External" /><Relationship Type="http://schemas.openxmlformats.org/officeDocument/2006/relationships/hyperlink" Id="rId24" Target="https://docs.oracle.com/en/cloud/saas/human-resources/farws/Employee_Atom_Feeds.html" TargetMode="External" /><Relationship Type="http://schemas.openxmlformats.org/officeDocument/2006/relationships/hyperlink" Id="rId27" Target="https://docs.oracle.com/en/cloud/saas/human-resources/farws/api-employees.html" TargetMode="External" /><Relationship Type="http://schemas.openxmlformats.org/officeDocument/2006/relationships/hyperlink" Id="rId28" Target="https://docs.oracle.com/en/cloud/saas/human-resources/farws/api-workers.html" TargetMode="External" /><Relationship Type="http://schemas.openxmlformats.org/officeDocument/2006/relationships/hyperlink" Id="rId72" Target="https://learn.microsoft.com/en-us/entra/architecture/road-to-the-cloud-migrate" TargetMode="External" /><Relationship Type="http://schemas.openxmlformats.org/officeDocument/2006/relationships/hyperlink" Id="rId14" Target="https://learn.microsoft.com/en-us/entra/identity/app-provisioning/inbound-provisioning-api-concepts" TargetMode="External" /><Relationship Type="http://schemas.openxmlformats.org/officeDocument/2006/relationships/hyperlink" Id="rId46" Target="https://learn.microsoft.com/en-us/entra/identity/app-provisioning/inbound-provisioning-api-faqs" TargetMode="External" /><Relationship Type="http://schemas.openxmlformats.org/officeDocument/2006/relationships/hyperlink" Id="rId43" Target="https://learn.microsoft.com/en-us/entra/identity/app-provisioning/inbound-provisioning-api-grant-access" TargetMode="External" /><Relationship Type="http://schemas.openxmlformats.org/officeDocument/2006/relationships/hyperlink" Id="rId17" Target="https://learn.microsoft.com/en-us/entra/identity/app-provisioning/plan-cloud-hr-provision" TargetMode="External" /><Relationship Type="http://schemas.openxmlformats.org/officeDocument/2006/relationships/hyperlink" Id="rId57" Target="https://learn.microsoft.com/en-us/entra/identity/hybrid/cloud-sync/how-to-prerequisites" TargetMode="External" /><Relationship Type="http://schemas.openxmlformats.org/officeDocument/2006/relationships/hyperlink" Id="rId70" Target="https://learn.microsoft.com/en-us/entra/identity/hybrid/user-source-of-authority-overview" TargetMode="External" /><Relationship Type="http://schemas.openxmlformats.org/officeDocument/2006/relationships/hyperlink" Id="rId67" Target="https://learn.microsoft.com/en-us/entra/identity/role-based-access-control/administrative-units" TargetMode="External" /><Relationship Type="http://schemas.openxmlformats.org/officeDocument/2006/relationships/hyperlink" Id="rId19" Target="https://learn.microsoft.com/en-us/entra/identity/saas-apps/oracle-hcm-provisioning-tutorial" TargetMode="External" /><Relationship Type="http://schemas.openxmlformats.org/officeDocument/2006/relationships/hyperlink" Id="rId65" Target="https://learn.microsoft.com/en-us/graph/api/resources/user" TargetMode="External" /><Relationship Type="http://schemas.openxmlformats.org/officeDocument/2006/relationships/hyperlink" Id="rId40" Target="https://learn.microsoft.com/en-us/graph/api/synchronization-synchronizationjob-post-bulkupload" TargetMode="External" /><Relationship Type="http://schemas.openxmlformats.org/officeDocument/2006/relationships/hyperlink" Id="rId38" Target="https://learn.microsoft.com/en-us/graph/deployments" TargetMode="External" /><Relationship Type="http://schemas.openxmlformats.org/officeDocument/2006/relationships/hyperlink" Id="rId63" Target="https://learn.microsoft.com/en-us/viva/people-in-viva/introducing-org-explorer" TargetMode="External" /><Relationship Type="http://schemas.openxmlformats.org/officeDocument/2006/relationships/hyperlink" Id="rId33" Target="https://www.rfc-editor.org/rfc/rfc7643" TargetMode="External" /><Relationship Type="http://schemas.openxmlformats.org/officeDocument/2006/relationships/hyperlink" Id="rId32" Target="https://www.rfc-editor.org/rfc/rfc76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05 — Provisioning Services</dc:title>
  <dc:creator/>
  <cp:keywords/>
  <dcterms:created xsi:type="dcterms:W3CDTF">2026-10-20T23:38:20Z</dcterms:created>
  <dcterms:modified xsi:type="dcterms:W3CDTF">2026-10-20T23:38:20Z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Book 03 — HR-Driven Identity: from the HR system of record to Entra ID</vt:lpwstr>
  </property>
</Properties>
</file>