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Credentials and Certificates Across Joiner, Mover, Leaver</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108" w:history="1">
            <w:r>
              <w:t xml:space="preserve">Chapter 09 — Credentials and Certificates Across Joiner, Mover, Leaver</w:t>
            </w:r>
          </w:hyperlink>
        </w:p>
        <w:p>
          <w:pPr>
            <w:pStyle w:val="TOC2"/>
          </w:pPr>
          <w:hyperlink w:anchor="_Toc00000109" w:history="1">
            <w:r>
              <w:t xml:space="preserve">In this chapter</w:t>
            </w:r>
          </w:hyperlink>
        </w:p>
        <w:p>
          <w:pPr>
            <w:pStyle w:val="TOC2"/>
          </w:pPr>
          <w:hyperlink w:anchor="_Toc00000110" w:history="1">
            <w:r>
              <w:t xml:space="preserve">Why certificates need their own chapter</w:t>
            </w:r>
          </w:hyperlink>
        </w:p>
        <w:p>
          <w:pPr>
            <w:pStyle w:val="TOC2"/>
          </w:pPr>
          <w:hyperlink w:anchor="_Toc00000111" w:history="1">
            <w:r>
              <w:t xml:space="preserve">Joiner: proofing, issuance, binding</w:t>
            </w:r>
          </w:hyperlink>
        </w:p>
        <w:p>
          <w:pPr>
            <w:pStyle w:val="TOC2"/>
          </w:pPr>
          <w:hyperlink w:anchor="_Toc00000112" w:history="1">
            <w:r>
              <w:t xml:space="preserve">Mover: usually nothing, sometimes a reissue</w:t>
            </w:r>
          </w:hyperlink>
        </w:p>
        <w:p>
          <w:pPr>
            <w:pStyle w:val="TOC2"/>
          </w:pPr>
          <w:hyperlink w:anchor="_Toc00000113" w:history="1">
            <w:r>
              <w:t xml:space="preserve">Device certificates: Intune and Microsoft Cloud PKI</w:t>
            </w:r>
          </w:hyperlink>
        </w:p>
        <w:p>
          <w:pPr>
            <w:pStyle w:val="TOC2"/>
          </w:pPr>
          <w:hyperlink w:anchor="_Toc00000114" w:history="1">
            <w:r>
              <w:t xml:space="preserve">The canonical leaver sequence</w:t>
            </w:r>
          </w:hyperlink>
        </w:p>
        <w:p>
          <w:pPr>
            <w:pStyle w:val="TOC2"/>
          </w:pPr>
          <w:hyperlink w:anchor="_Toc00000115" w:history="1">
            <w:r>
              <w:t xml:space="preserve">What the evidence must show</w:t>
            </w:r>
          </w:hyperlink>
        </w:p>
        <w:p>
          <w:pPr>
            <w:pStyle w:val="TOC2"/>
          </w:pPr>
          <w:hyperlink w:anchor="_Toc00000116" w:history="1">
            <w:r>
              <w:t xml:space="preserve">Continue the book</w:t>
            </w:r>
          </w:hyperlink>
          <w:r>
            <w:fldChar w:fldCharType="end"/>
          </w:r>
        </w:p>
      </w:sdtContent>
    </w:sdt>
    <w:bookmarkStart w:id="107" w:name="Xd56341c8deccf1f1cc4fa757ebc33727c488cf4"/>
    <w:p>
      <w:pPr>
        <w:pStyle w:val="Heading1"/>
      </w:pPr>
      <w:bookmarkStart w:id="108" w:name="_Toc00000108"/>
      <w:r>
        <w:t xml:space="preserve">Chapter 09 — Credentials and Certificates Across Joiner, Mover, Leaver</w:t>
      </w:r>
      <w:bookmarkEnd w:id="108"/>
    </w:p>
    <w:p>
      <w:pPr>
        <w:pStyle w:val="FirstParagraph"/>
      </w:pPr>
      <w:r>
        <w:rPr>
          <w:i/>
          <w:iCs/>
        </w:rPr>
        <w:t xml:space="preserve">Disabling an account doesn’t revoke a certificate. Deleting a user doesn’t either.</w:t>
      </w:r>
    </w:p>
    <w:bookmarkStart w:id="9" w:name="in-this-chapter"/>
    <w:p>
      <w:pPr>
        <w:pStyle w:val="Heading2"/>
      </w:pPr>
      <w:bookmarkStart w:id="109" w:name="_Toc00000109"/>
      <w:r>
        <w:t xml:space="preserve">In this chapter</w:t>
      </w:r>
      <w:bookmarkEnd w:id="109"/>
    </w:p>
    <w:p>
      <w:pPr>
        <w:pStyle w:val="FirstParagraph"/>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bookmarkEnd w:id="9"/>
    <w:bookmarkStart w:id="15" w:name="why-certificates-need-their-own-chapter"/>
    <w:p>
      <w:pPr>
        <w:pStyle w:val="Heading2"/>
      </w:pPr>
      <w:bookmarkStart w:id="110" w:name="_Toc00000110"/>
      <w:r>
        <w:t xml:space="preserve">Why certificates need their own chapter</w:t>
      </w:r>
      <w:bookmarkEnd w:id="110"/>
    </w:p>
    <w:p>
      <w:pPr>
        <w:pStyle w:val="FirstParagraph"/>
      </w:pPr>
      <w:r>
        <w:t xml:space="preserve">Chapters 05–08 make the account a consequence of the HR record. Certificates don’t automatically follow. A PIV authentication certificate is issued through the agency’s card management system (CMS) by a certification authority that operates under the Federal PKI Common Policy,</w:t>
      </w:r>
      <w:r>
        <w:rPr>
          <w:rStyle w:val="FootnoteReference"/>
        </w:rPr>
        <w:footnoteReference w:id="10"/>
      </w:r>
      <w:r>
        <w:t xml:space="preserve"> </w:t>
      </w:r>
      <w:r>
        <w:t xml:space="preserve">and it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12"/>
      </w:r>
      <w:r>
        <w:t xml:space="preserve"> </w:t>
      </w:r>
      <w:r>
        <w:t xml:space="preserve">The playbook is best practice, not policy.</w:t>
      </w:r>
      <w:r>
        <w:rPr>
          <w:rStyle w:val="FootnoteReference"/>
        </w:rPr>
        <w:footnoteReference w:id="14"/>
      </w:r>
      <w:r>
        <w:t xml:space="preserve"> </w:t>
      </w:r>
      <w:r>
        <w:t xml:space="preserve">In this book the HR record and Entra ID together play the Master User Record’s role for the Microsoft estate, and the CMS remains the system of record for the PIV card.</w:t>
      </w:r>
    </w:p>
    <w:bookmarkEnd w:id="15"/>
    <w:bookmarkStart w:id="64" w:name="joiner-proofing-issuance-binding"/>
    <w:p>
      <w:pPr>
        <w:pStyle w:val="Heading2"/>
      </w:pPr>
      <w:bookmarkStart w:id="111" w:name="_Toc00000111"/>
      <w:r>
        <w:t xml:space="preserve">Joiner: proofing, issuance, binding</w:t>
      </w:r>
      <w:bookmarkEnd w:id="111"/>
    </w:p>
    <w:p>
      <w:pPr>
        <w:pStyle w:val="CaptionedFigure"/>
      </w:pPr>
      <w:r>
        <w:drawing>
          <wp:inline>
            <wp:extent cx="5334000" cy="937696"/>
            <wp:effectExtent b="0" l="0" r="0" t="0"/>
            <wp:docPr descr="Credentials follow the HR record: the joiner event starts sponsorship and proofing, card management issues the credential, it is bound to the account, and phishing-resistant sign-in records the assurance achieved." title="" id="17" name="Picture"/>
            <a:graphic>
              <a:graphicData uri="http://schemas.openxmlformats.org/drawingml/2006/picture">
                <pic:pic>
                  <pic:nvPicPr>
                    <pic:cNvPr descr="/home/runner/work/modernization-workbook/modernization-workbook/docs/images/diagrams/b03-hr-identity/png/ch09-credential-assurance.png" id="18" name="Picture"/>
                    <pic:cNvPicPr>
                      <a:picLocks noChangeArrowheads="1" noChangeAspect="1"/>
                    </pic:cNvPicPr>
                  </pic:nvPicPr>
                  <pic:blipFill>
                    <a:blip r:embed="rId16"/>
                    <a:stretch>
                      <a:fillRect/>
                    </a:stretch>
                  </pic:blipFill>
                  <pic:spPr bwMode="auto">
                    <a:xfrm>
                      <a:off x="0" y="0"/>
                      <a:ext cx="5334000" cy="937696"/>
                    </a:xfrm>
                    <a:prstGeom prst="rect">
                      <a:avLst/>
                    </a:prstGeom>
                    <a:noFill/>
                    <a:ln w="9525">
                      <a:noFill/>
                      <a:headEnd/>
                      <a:tailEnd/>
                    </a:ln>
                  </pic:spPr>
                </pic:pic>
              </a:graphicData>
            </a:graphic>
          </wp:inline>
        </w:drawing>
      </w:r>
    </w:p>
    <w:p>
      <w:pPr>
        <w:pStyle w:val="ImageCaption"/>
      </w:pPr>
      <w:r>
        <w:t xml:space="preserve">Credentials follow the HR record: the joiner event starts sponsorship and proofing, card management issues the credential, it is bound to the account, and phishing-resistant sign-in records the assurance achieved.</w:t>
      </w:r>
    </w:p>
    <w:bookmarkStart w:id="24"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19"/>
      </w:r>
      <w:r>
        <w:t xml:space="preserve"> </w:t>
      </w:r>
      <w:r>
        <w:t xml:space="preserve">The PIV card itself is governed by FIPS 201-3, which establishes the PIV system for federal employees and contractors under HSPD-12.</w:t>
      </w:r>
      <w:r>
        <w:rPr>
          <w:rStyle w:val="FootnoteReference"/>
        </w:rPr>
        <w:footnoteReference w:id="20"/>
      </w:r>
      <w:r>
        <w:t xml:space="preserve"> </w:t>
      </w:r>
      <w:r>
        <w:t xml:space="preserve">NIST SP 800-63-4 (July 2025, superseding SP 800-63-3) is the current revision of the Digital Identity Guidelines covering proofing, authentication and federation.</w:t>
      </w:r>
      <w:r>
        <w:rPr>
          <w:rStyle w:val="FootnoteReference"/>
        </w:rPr>
        <w:footnoteReference w:id="21"/>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23"/>
      </w:r>
    </w:p>
    <w:p>
      <w:pPr>
        <w:pStyle w:val="BodyText"/>
      </w:pPr>
      <w:r>
        <w:t xml:space="preserve">The gap between account creation and card issuance is normal: provisioning creates the account ahead of day one (Chapter 08), and the card follows proofing and adjudication. Bridge it with a Temporary Access Pass sent through the joiner workflow (Chapter 08), not with a password.</w:t>
      </w:r>
    </w:p>
    <w:bookmarkEnd w:id="24"/>
    <w:bookmarkStart w:id="45"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25"/>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27"/>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28"/>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29"/>
      </w:r>
      <w:r>
        <w:t xml:space="preserve"> </w:t>
      </w:r>
      <w:r>
        <w:t xml:space="preserve">If the tenant requires high-affinity binding, Entra drops the low-affinity bindings from evaluation.</w:t>
      </w:r>
      <w:r>
        <w:rPr>
          <w:rStyle w:val="FootnoteReference"/>
        </w:rPr>
        <w:footnoteReference w:id="30"/>
      </w:r>
      <w:r>
        <w:t xml:space="preserve"> </w:t>
      </w:r>
      <w:r>
        <w:t xml:space="preserve">The tenant defaults are low affinity and single-factor; both are settings an administrator changes.</w:t>
      </w:r>
      <w:r>
        <w:rPr>
          <w:rStyle w:val="FootnoteReference"/>
        </w:rPr>
        <w:footnoteReference w:id="31"/>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A card reissue produces new keys and certificates, so new SKI, SHA1PublicKey and serial-number values, and FIPS 201-3 requires the old card to be revoked when the new one is issued.</w:t>
      </w:r>
      <w:r>
        <w:rPr>
          <w:rStyle w:val="FootnoteReference"/>
        </w:rPr>
        <w:footnoteReference w:id="33"/>
      </w:r>
      <w:r>
        <w:t xml:space="preserve"> </w:t>
      </w:r>
      <w:r>
        <w:t xml:space="preserve">Even a renewal on the same key changes the serial number and the SHA1PublicKey value, which is the certificate’s thumbprint.</w:t>
      </w:r>
      <w:r>
        <w:rPr>
          <w:rStyle w:val="FootnoteReference"/>
        </w:rPr>
        <w:footnoteReference w:id="34"/>
      </w:r>
      <w:r>
        <w:t xml:space="preserve"> </w:t>
      </w:r>
      <w:r>
        <w:t xml:space="preserve">So the binding must be rewritten as part of the CMS’s issuance event, and the old value removed; Microsoft’s guidance for synchronized values is the same: populate only values for current valid certificates, and remove a value when its certificate expires or is revoked.</w:t>
      </w:r>
      <w:r>
        <w:rPr>
          <w:rStyle w:val="FootnoteReference"/>
        </w:rPr>
        <w:footnoteReference w:id="35"/>
      </w:r>
      <w:r>
        <w:t xml:space="preserve"> </w:t>
      </w:r>
      <w:r>
        <w:t xml:space="preserve">The binding is lifecycle data, and it needs a writer.</w:t>
      </w:r>
    </w:p>
    <w:p>
      <w:pPr>
        <w:pStyle w:val="BodyText"/>
      </w:pPr>
      <w:r>
        <w:t xml:space="preserve">How the value gets written depends on where the user is mastered:</w:t>
      </w:r>
    </w:p>
    <w:p>
      <w:pPr>
        <w:pStyle w:val="Compact"/>
        <w:numPr>
          <w:ilvl w:val="0"/>
          <w:numId w:val="1001"/>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37"/>
      </w:r>
      <w:r>
        <w:rPr>
          <w:rStyle w:val="FootnoteReference"/>
        </w:rPr>
        <w:footnoteReference w:id="38"/>
      </w:r>
      <w:r>
        <w:t xml:space="preserve"> </w:t>
      </w:r>
      <w:r>
        <w:t xml:space="preserve">The attribute holds up to 10 values of up to 1,024 characters each, and each value can belong to only one user in the tenant; the admin center accepts up to four values of 120 characters.</w:t>
      </w:r>
      <w:r>
        <w:rPr>
          <w:rStyle w:val="FootnoteReference"/>
        </w:rPr>
        <w:footnoteReference w:id="39"/>
      </w:r>
      <w:r>
        <w:t xml:space="preserve"> </w:t>
      </w:r>
      <w:r>
        <w:t xml:space="preserve">The Microsoft Entra PowerShell module’s</w:t>
      </w:r>
      <w:r>
        <w:t xml:space="preserve"> </w:t>
      </w:r>
      <w:r>
        <w:rPr>
          <w:rStyle w:val="VerbatimChar"/>
        </w:rPr>
        <w:t xml:space="preserve">Get-EntraUserCertificateUserIdsFromCertificate</w:t>
      </w:r>
      <w:r>
        <w:t xml:space="preserve"> </w:t>
      </w:r>
      <w:r>
        <w:t xml:space="preserve">cmdlet computes the correct</w:t>
      </w:r>
      <w:r>
        <w:t xml:space="preserve"> </w:t>
      </w:r>
      <w:r>
        <w:rPr>
          <w:rStyle w:val="VerbatimChar"/>
        </w:rPr>
        <w:t xml:space="preserve">certificateUserIds</w:t>
      </w:r>
      <w:r>
        <w:t xml:space="preserve"> </w:t>
      </w:r>
      <w:r>
        <w:t xml:space="preserve">values from a certificate.</w:t>
      </w:r>
      <w:r>
        <w:rPr>
          <w:rStyle w:val="FootnoteReference"/>
        </w:rPr>
        <w:footnoteReference w:id="40"/>
      </w:r>
    </w:p>
    <w:p>
      <w:pPr>
        <w:pStyle w:val="Compact"/>
        <w:numPr>
          <w:ilvl w:val="0"/>
          <w:numId w:val="1001"/>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41"/>
      </w:r>
      <w:r>
        <w:rPr>
          <w:rStyle w:val="FootnoteReference"/>
        </w:rPr>
        <w:footnoteReference w:id="42"/>
      </w:r>
      <w:r>
        <w:rPr>
          <w:rStyle w:val="FootnoteReference"/>
        </w:rPr>
        <w:footnoteReference w:id="43"/>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44"/>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06: one automated writer (the CMS integration), no help-desk or self-service path, and any other write is drift (Chapter 11).</w:t>
      </w:r>
    </w:p>
    <w:bookmarkEnd w:id="45"/>
    <w:bookmarkStart w:id="54" w:name="revocation-checking"/>
    <w:p>
      <w:pPr>
        <w:pStyle w:val="Heading3"/>
      </w:pPr>
      <w:r>
        <w:t xml:space="preserve">Revocation checking</w:t>
      </w:r>
    </w:p>
    <w:p>
      <w:pPr>
        <w:pStyle w:val="FirstParagraph"/>
      </w:pPr>
      <w:r>
        <w:t xml:space="preserve">Entra ID checks the CRL of the issuing CA, and of the other CAs in the chain up to the root, during CBA sign-in.</w:t>
      </w:r>
      <w:r>
        <w:rPr>
          <w:rStyle w:val="FootnoteReference"/>
        </w:rPr>
        <w:footnoteReference w:id="46"/>
      </w:r>
      <w:r>
        <w:t xml:space="preserve"> </w:t>
      </w:r>
      <w:r>
        <w:t xml:space="preserve">Three properties shape how fast a PIV revocation takes effect in Entra:</w:t>
      </w:r>
    </w:p>
    <w:p>
      <w:pPr>
        <w:pStyle w:val="Compact"/>
        <w:numPr>
          <w:ilvl w:val="0"/>
          <w:numId w:val="1002"/>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48"/>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49"/>
      </w:r>
    </w:p>
    <w:p>
      <w:pPr>
        <w:pStyle w:val="Compact"/>
        <w:numPr>
          <w:ilvl w:val="0"/>
          <w:numId w:val="1002"/>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50"/>
      </w:r>
      <w:r>
        <w:t xml:space="preserve"> </w:t>
      </w:r>
      <w:r>
        <w:t xml:space="preserve">Microsoft advises revoking tokens manually when immediate revocation is critical.</w:t>
      </w:r>
      <w:r>
        <w:rPr>
          <w:rStyle w:val="FootnoteReference"/>
        </w:rPr>
        <w:footnoteReference w:id="51"/>
      </w:r>
    </w:p>
    <w:p>
      <w:pPr>
        <w:pStyle w:val="Compact"/>
        <w:numPr>
          <w:ilvl w:val="0"/>
          <w:numId w:val="1002"/>
        </w:numPr>
      </w:pPr>
      <w:r>
        <w:rPr>
          <w:b/>
          <w:bCs/>
        </w:rPr>
        <w:t xml:space="preserve">Size limits.</w:t>
      </w:r>
      <w:r>
        <w:t xml:space="preserve"> </w:t>
      </w:r>
      <w:r>
        <w:t xml:space="preserve">In Azure Global, which includes GCC, the CRL download limits are 20 MB for interactive sign-in and 65 MB for the service; in Azure Government (GCC High and DoD) they are 45 MB and 150 MB.</w:t>
      </w:r>
      <w:r>
        <w:rPr>
          <w:rStyle w:val="FootnoteReference"/>
        </w:rPr>
        <w:footnoteReference w:id="52"/>
      </w:r>
      <w:r>
        <w:t xml:space="preserve"> </w:t>
      </w:r>
      <w:r>
        <w:t xml:space="preserve">Check the issuing CAs’ CRL sizes against those limits during Phase 1. If Entra can’t reach a configured CRL endpoint, CBA fails.</w:t>
      </w:r>
      <w:r>
        <w:rPr>
          <w:rStyle w:val="FootnoteReference"/>
        </w:rPr>
        <w:footnoteReference w:id="53"/>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54"/>
    <w:bookmarkStart w:id="60"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 and requires the derived PIV authentication certificate to be revoked when its private key can’t be securely zeroized or destroyed.</w:t>
      </w:r>
      <w:r>
        <w:rPr>
          <w:rStyle w:val="FootnoteReference"/>
        </w:rPr>
        <w:footnoteReference w:id="55"/>
      </w:r>
      <w:r>
        <w:t xml:space="preserve"> </w:t>
      </w:r>
      <w:r>
        <w:t xml:space="preserve">NIST SP 800-157 (December 2014) is the current final guideline; SP 800-157 Revision 1 is still a final public draft (November 2024) that widens derived PIV credentials to include non-PKI authenticators verified by the home agency.</w:t>
      </w:r>
      <w:r>
        <w:rPr>
          <w:rStyle w:val="FootnoteReference"/>
        </w:rPr>
        <w:footnoteReference w:id="56"/>
      </w:r>
      <w:r>
        <w:rPr>
          <w:rStyle w:val="FootnoteReference"/>
        </w:rPr>
        <w:footnoteReference w:id="58"/>
      </w:r>
      <w:r>
        <w:t xml:space="preserve"> </w:t>
      </w:r>
      <w:r>
        <w:t xml:space="preserve">Plan for both forms in the Master User Record: a derived credential is an authenticator to revoke, and the leaver sequence has to find it.</w:t>
      </w:r>
    </w:p>
    <w:bookmarkEnd w:id="60"/>
    <w:bookmarkStart w:id="63" w:name="assurance-as-data"/>
    <w:p>
      <w:pPr>
        <w:pStyle w:val="Heading3"/>
      </w:pPr>
      <w:r>
        <w:t xml:space="preserve">Assurance as data</w:t>
      </w:r>
    </w:p>
    <w:p>
      <w:pPr>
        <w:pStyle w:val="FirstParagraph"/>
      </w:pPr>
      <w:r>
        <w:t xml:space="preserve">Record each person’s identity proofing level and authenticator assurance as governed attributes, not as tribal knowledge. OMB M-22-09 requires phishing-resistant MFA for agency staff, contractors and partners, and a PIV-bound account is how most federal workforce users meet it.</w:t>
      </w:r>
      <w:r>
        <w:rPr>
          <w:rStyle w:val="FootnoteReference"/>
        </w:rPr>
        <w:footnoteReference w:id="61"/>
      </w:r>
      <w:r>
        <w:t xml:space="preserve"> </w:t>
      </w:r>
      <w:r>
        <w:t xml:space="preserve">Two rules make assurance usable as data: the joiner workflow records the proofing outcome from the credentialing process, and an account whose proofing evidence is missing is itself a finding (Chapter 11), not a default. HR sponsors and triggers proofing; under FIPS 201 the PIV process performs it.</w:t>
      </w:r>
    </w:p>
    <w:bookmarkEnd w:id="63"/>
    <w:bookmarkEnd w:id="64"/>
    <w:bookmarkStart w:id="67" w:name="X94296ff6e6513d4753c25cabb29212bdcd367df"/>
    <w:p>
      <w:pPr>
        <w:pStyle w:val="Heading2"/>
      </w:pPr>
      <w:bookmarkStart w:id="112" w:name="_Toc00000112"/>
      <w:r>
        <w:t xml:space="preserve">Mover: usually nothing, sometimes a reissue</w:t>
      </w:r>
      <w:bookmarkEnd w:id="112"/>
    </w:p>
    <w:p>
      <w:pPr>
        <w:pStyle w:val="FirstParagraph"/>
      </w:pPr>
      <w:r>
        <w:t xml:space="preserve">Most moves don’t touch credentials: the person, the identifier and the PIV identity account stay the same (Chapter 04). Two exceptions:</w:t>
      </w:r>
    </w:p>
    <w:p>
      <w:pPr>
        <w:pStyle w:val="Compact"/>
        <w:numPr>
          <w:ilvl w:val="0"/>
          <w:numId w:val="1003"/>
        </w:numPr>
      </w:pPr>
      <w:r>
        <w:rPr>
          <w:b/>
          <w:bCs/>
        </w:rPr>
        <w:t xml:space="preserve">A change that reissues the card</w:t>
      </w:r>
      <w:r>
        <w:t xml:space="preserve"> </w:t>
      </w:r>
      <w:r>
        <w:t xml:space="preserve">(a legal name change, a contractor whose engagement changes) produces new certificates, and the high-affinity binding must be rewritten. FIPS 201-3 lists an employee status or attribute change among the reasons for reissuance.</w:t>
      </w:r>
      <w:r>
        <w:rPr>
          <w:rStyle w:val="FootnoteReference"/>
        </w:rPr>
        <w:footnoteReference w:id="65"/>
      </w:r>
    </w:p>
    <w:p>
      <w:pPr>
        <w:pStyle w:val="Compact"/>
        <w:numPr>
          <w:ilvl w:val="0"/>
          <w:numId w:val="1003"/>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66"/>
      </w:r>
      <w:r>
        <w:t xml:space="preserve"> </w:t>
      </w:r>
      <w:r>
        <w:t xml:space="preserve">That is a mover in HR and a leaver for the credential.</w:t>
      </w:r>
    </w:p>
    <w:bookmarkEnd w:id="67"/>
    <w:bookmarkStart w:id="77" w:name="X81ae425e60662faa234921fdd19f20af4c2f099"/>
    <w:p>
      <w:pPr>
        <w:pStyle w:val="Heading2"/>
      </w:pPr>
      <w:bookmarkStart w:id="113" w:name="_Toc00000113"/>
      <w:r>
        <w:t xml:space="preserve">Device certificates: Intune and Microsoft Cloud PKI</w:t>
      </w:r>
      <w:bookmarkEnd w:id="113"/>
    </w:p>
    <w:p>
      <w:pPr>
        <w:pStyle w:val="FirstParagraph"/>
      </w:pPr>
      <w:r>
        <w:t xml:space="preserve">Devices get their own certificates, for Wi-Fi, VPN and other authentication, through Intune SCEP or PKCS certificate profiles; Microsoft Cloud PKI can be the issuing CA for SCEP. Cloud PKI is licensed as a subscription on top of Intune Plan 1 or Plan 2; it is available in GCC High but not in DoD environments. Intune hosts each Cloud PKI CA’s CRL, which is valid for seven days, republished every 3.5 days, and updated with every revocation.</w:t>
      </w:r>
      <w:r>
        <w:rPr>
          <w:rStyle w:val="FootnoteReference"/>
        </w:rPr>
        <w:footnoteReference w:id="68"/>
      </w:r>
      <w:r>
        <w:t xml:space="preserve"> </w:t>
      </w:r>
      <w:r>
        <w:t xml:space="preserve">The SQL Server series, Book 10 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70"/>
      </w:r>
    </w:p>
    <w:p>
      <w:pPr>
        <w:pStyle w:val="TableCaption"/>
      </w:pPr>
      <w:r>
        <w:t xml:space="preserve">When Intune revokes a SCEP certificate on a Windows device</w:t>
      </w:r>
      <w:r>
        <w:rPr>
          <w:rStyle w:val="FootnoteReference"/>
        </w:rPr>
        <w:footnoteReference w:id="72"/>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(on macOS, for example, retire revokes and removes SCEP certificates, and the article notes that using wipe to factory-reset a macOS device isn’t supported). Two more caveats from the same source: SCEP certificates from a third-party CA are removed but not revoked, and PKCS certificates are revoked and removed on unenroll, wipe or retire.</w:t>
      </w:r>
      <w:r>
        <w:rPr>
          <w:rStyle w:val="FootnoteReference"/>
        </w:rPr>
        <w:footnoteReference w:id="73"/>
      </w:r>
    </w:p>
    <w:p>
      <w:pPr>
        <w:pStyle w:val="BodyText"/>
      </w:pPr>
      <w:r>
        <w:rPr>
          <w:b/>
          <w:bCs/>
        </w:rPr>
        <w:t xml:space="preserve">The rule that follows: retire or wipe the leaver’s devices before deleting the user.</w:t>
      </w:r>
      <w:r>
        <w:t xml:space="preserve"> </w:t>
      </w:r>
      <w:r>
        <w:t xml:space="preserve">Microsoft gives the same order for a user being removed from Active Directory or Entra ID: wipe or retire the device first, then remove the user.</w:t>
      </w:r>
      <w:r>
        <w:rPr>
          <w:rStyle w:val="FootnoteReference"/>
        </w:rPr>
        <w:footnoteReference w:id="74"/>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75"/>
      </w:r>
    </w:p>
    <w:bookmarkEnd w:id="77"/>
    <w:bookmarkStart w:id="102" w:name="the-canonical-leaver-sequence"/>
    <w:p>
      <w:pPr>
        <w:pStyle w:val="Heading2"/>
      </w:pPr>
      <w:bookmarkStart w:id="114" w:name="_Toc00000114"/>
      <w:r>
        <w:t xml:space="preserve">The canonical leaver sequence</w:t>
      </w:r>
      <w:bookmarkEnd w:id="114"/>
    </w:p>
    <w:p>
      <w:pPr>
        <w:pStyle w:val="FirstParagraph"/>
      </w:pPr>
      <w:r>
        <w:rPr>
          <w:b/>
          <w:bCs/>
        </w:rPr>
        <w:t xml:space="preserve">Block logical access first.</w:t>
      </w:r>
      <w:r>
        <w:t xml:space="preserve"> </w:t>
      </w:r>
      <w:r>
        <w:t xml:space="preserve">At the effective separation time, disable sign-in and revoke sessions. Every other revocation — credentials, devices, entitlements, application access — runs after the block, in parallel where practical, and is reconciled to completion. None of them may delay the block.</w:t>
      </w:r>
    </w:p>
    <w:p>
      <w:pPr>
        <w:pStyle w:val="CaptionedFigure"/>
      </w:pPr>
      <w:r>
        <w:drawing>
          <wp:inline>
            <wp:extent cx="5334000" cy="5002352"/>
            <wp:effectExtent b="0" l="0" r="0" t="0"/>
            <wp:docPr descr="The leaver sequence: block first by disabling the account and revoking sessions, then revoke credentials, devices and access in parallel, reconcile every result, and dispose of the directory object last." title="" id="79" name="Picture"/>
            <a:graphic>
              <a:graphicData uri="http://schemas.openxmlformats.org/drawingml/2006/picture">
                <pic:pic>
                  <pic:nvPicPr>
                    <pic:cNvPr descr="/home/runner/work/modernization-workbook/modernization-workbook/docs/images/diagrams/b03-hr-identity/png/ch09-leaver-sequence.png" id="80" name="Picture"/>
                    <pic:cNvPicPr>
                      <a:picLocks noChangeArrowheads="1" noChangeAspect="1"/>
                    </pic:cNvPicPr>
                  </pic:nvPicPr>
                  <pic:blipFill>
                    <a:blip r:embed="rId78"/>
                    <a:stretch>
                      <a:fillRect/>
                    </a:stretch>
                  </pic:blipFill>
                  <pic:spPr bwMode="auto">
                    <a:xfrm>
                      <a:off x="0" y="0"/>
                      <a:ext cx="5334000" cy="5002352"/>
                    </a:xfrm>
                    <a:prstGeom prst="rect">
                      <a:avLst/>
                    </a:prstGeom>
                    <a:noFill/>
                    <a:ln w="9525">
                      <a:noFill/>
                      <a:headEnd/>
                      <a:tailEnd/>
                    </a:ln>
                  </pic:spPr>
                </pic:pic>
              </a:graphicData>
            </a:graphic>
          </wp:inline>
        </w:drawing>
      </w:r>
    </w:p>
    <w:p>
      <w:pPr>
        <w:pStyle w:val="ImageCaption"/>
      </w:pPr>
      <w:r>
        <w:t xml:space="preserve">The leaver sequence: block first by disabling the account and revoking sessions, then revoke credentials, devices and access in parallel, reconcile every result, and dispose of the directory object last.</w:t>
      </w:r>
    </w:p>
    <w:p>
      <w:pPr>
        <w:pStyle w:val="Compact"/>
        <w:numPr>
          <w:ilvl w:val="0"/>
          <w:numId w:val="1004"/>
        </w:numPr>
      </w:pPr>
      <w:r>
        <w:rPr>
          <w:b/>
          <w:bCs/>
        </w:rPr>
        <w:t xml:space="preserve">Disable the account</w:t>
      </w:r>
      <w:r>
        <w:t xml:space="preserve"> </w:t>
      </w:r>
      <w:r>
        <w:t xml:space="preserve">in Entra ID, and in AD for synced users. For a hybrid user, Microsoft’s procedure disables the account in AD and resets its password twice.</w:t>
      </w:r>
      <w:r>
        <w:rPr>
          <w:rStyle w:val="FootnoteReference"/>
        </w:rPr>
        <w:footnoteReference w:id="81"/>
      </w:r>
    </w:p>
    <w:p>
      <w:pPr>
        <w:pStyle w:val="Compact"/>
        <w:numPr>
          <w:ilvl w:val="0"/>
          <w:numId w:val="1004"/>
        </w:numPr>
      </w:pPr>
      <w:r>
        <w:rPr>
          <w:b/>
          <w:bCs/>
        </w:rPr>
        <w:t xml:space="preserve">Revoke sessions and refresh tokens.</w:t>
      </w:r>
      <w:r>
        <w:t xml:space="preserve"> </w:t>
      </w:r>
      <w:r>
        <w:t xml:space="preserve">Microsoft’s revocation procedure disables the user and then revokes refresh tokens, so the user can’t get a new token for any application tied to Entra ID. Access tokens already issued stay valid until they expire (one hour by default) unless the application supports continuous access evaluation, and applications that keep their own session tokens have to end those sessions themselves.</w:t>
      </w:r>
      <w:r>
        <w:rPr>
          <w:rStyle w:val="FootnoteReference"/>
        </w:rPr>
        <w:footnoteReference w:id="83"/>
      </w:r>
      <w:r>
        <w:t xml:space="preserve"> </w:t>
      </w:r>
      <w:r>
        <w:t xml:space="preserve">This is also the step that closes CBA immediately rather than at the next CRL refresh.</w:t>
      </w:r>
      <w:r>
        <w:rPr>
          <w:rStyle w:val="FootnoteReference"/>
        </w:rPr>
        <w:footnoteReference w:id="84"/>
      </w:r>
    </w:p>
    <w:p>
      <w:pPr>
        <w:pStyle w:val="Compact"/>
        <w:numPr>
          <w:ilvl w:val="0"/>
          <w:numId w:val="1004"/>
        </w:numPr>
      </w:pPr>
      <w:r>
        <w:rPr>
          <w:b/>
          <w:bCs/>
        </w:rPr>
        <w:t xml:space="preserve">Revoke credentials, devices and access, in parallel where practical:</w:t>
      </w:r>
    </w:p>
    <w:p>
      <w:pPr>
        <w:pStyle w:val="Compact"/>
        <w:numPr>
          <w:ilvl w:val="1"/>
          <w:numId w:val="1005"/>
        </w:numPr>
      </w:pPr>
      <w:r>
        <w:rPr>
          <w:b/>
          <w:bCs/>
        </w:rPr>
        <w:t xml:space="preserve">PIV, through the CMS.</w:t>
      </w:r>
      <w:r>
        <w:t xml:space="preserve"> </w:t>
      </w:r>
      <w:r>
        <w:t xml:space="preserve">Collect and destroy the card where possible; otherwise inform the CA and revoke the PIV authentication and card authentication certificates, and the signature and key management certificates if present. Update the Central Verification System (or its successor), the issuer’s records of the card’s FASC-N and UUID, and the CMS, and invalidate all derived PIV credentials. For a card that can’t be collected, FIPS 201-3 requires the normal termination procedures to be completed within 18 hours of notification, and calls for emergency procedures where 18 hours is too long.</w:t>
      </w:r>
      <w:r>
        <w:rPr>
          <w:rStyle w:val="FootnoteReference"/>
        </w:rPr>
        <w:footnoteReference w:id="85"/>
      </w:r>
    </w:p>
    <w:p>
      <w:pPr>
        <w:pStyle w:val="Compact"/>
        <w:numPr>
          <w:ilvl w:val="1"/>
          <w:numId w:val="1005"/>
        </w:numPr>
      </w:pPr>
      <w:r>
        <w:rPr>
          <w:b/>
          <w:bCs/>
        </w:rPr>
        <w:t xml:space="preserve">Devices, through Intune.</w:t>
      </w:r>
      <w:r>
        <w:t xml:space="preserve"> </w:t>
      </w:r>
      <w:r>
        <w:t xml:space="preserve">Retire or wipe every managed device assigned to the leaver. This revokes and removes Intune SCEP and PKCS certificates.</w:t>
      </w:r>
      <w:r>
        <w:rPr>
          <w:rStyle w:val="FootnoteReference"/>
        </w:rPr>
        <w:footnoteReference w:id="86"/>
      </w:r>
      <w:r>
        <w:t xml:space="preserve"> </w:t>
      </w:r>
      <w:r>
        <w:t xml:space="preserve">Wipe needs the device online.</w:t>
      </w:r>
      <w:r>
        <w:rPr>
          <w:rStyle w:val="FootnoteReference"/>
        </w:rPr>
        <w:footnoteReference w:id="87"/>
      </w:r>
      <w:r>
        <w:t xml:space="preserve"> </w:t>
      </w:r>
      <w:r>
        <w:t xml:space="preserve">Remove the leaver from SCEP profile assignments so a manually revoked certificate isn’t reissued.</w:t>
      </w:r>
      <w:r>
        <w:rPr>
          <w:rStyle w:val="FootnoteReference"/>
        </w:rPr>
        <w:footnoteReference w:id="88"/>
      </w:r>
    </w:p>
    <w:p>
      <w:pPr>
        <w:pStyle w:val="Compact"/>
        <w:numPr>
          <w:ilvl w:val="1"/>
          <w:numId w:val="1005"/>
        </w:numPr>
      </w:pPr>
      <w:r>
        <w:rPr>
          <w:b/>
          <w:bCs/>
        </w:rPr>
        <w:t xml:space="preserve">Access.</w:t>
      </w:r>
      <w:r>
        <w:t xml:space="preserve"> </w:t>
      </w:r>
      <w:r>
        <w:t xml:space="preserve">Remove privileged-role eligibility and standing privileged access, access packages, groups, Teams, licenses, and application-specific accounts and credentials.</w:t>
      </w:r>
    </w:p>
    <w:p>
      <w:pPr>
        <w:pStyle w:val="Compact"/>
        <w:numPr>
          <w:ilvl w:val="0"/>
          <w:numId w:val="1004"/>
        </w:numPr>
      </w:pPr>
      <w:r>
        <w:rPr>
          <w:b/>
          <w:bCs/>
        </w:rPr>
        <w:t xml:space="preserve">Reconcile every result.</w:t>
      </w:r>
      <w:r>
        <w:t xml:space="preserve"> </w:t>
      </w:r>
      <w:r>
        <w:t xml:space="preserve">Each action in step 3 reports completion or failure; anything incomplete escalates through an alternate path until revocation is confirmed.</w:t>
      </w:r>
    </w:p>
    <w:p>
      <w:pPr>
        <w:pStyle w:val="Compact"/>
        <w:numPr>
          <w:ilvl w:val="0"/>
          <w:numId w:val="1004"/>
        </w:numPr>
      </w:pPr>
      <w:r>
        <w:rPr>
          <w:b/>
          <w:bCs/>
        </w:rPr>
        <w:t xml:space="preserve">Dispose of the directory object under the approved account-disposition rule</w:t>
      </w:r>
      <w:r>
        <w:t xml:space="preserve"> </w:t>
      </w:r>
      <w:r>
        <w:t xml:space="preserve">(Chapter 08) — last, because deleting the user leaves device certificates valid on hardware that hasn’t been retired.</w:t>
      </w:r>
    </w:p>
    <w:p>
      <w:pPr>
        <w:pStyle w:val="FirstParagraph"/>
      </w:pPr>
      <w:r>
        <w:t xml:space="preserve">Steps 1 and 2 run back to back. Disabling first, then revoking, follows Microsoft’s documented order;</w:t>
      </w:r>
      <w:r>
        <w:rPr>
          <w:rStyle w:val="FootnoteReference"/>
        </w:rPr>
        <w:footnoteReference w:id="89"/>
      </w:r>
      <w:r>
        <w:t xml:space="preserve"> </w:t>
      </w:r>
      <w:r>
        <w:t xml:space="preserve">revoking first would leave a window in which a still-enabled account could get a new token. Disabling the account doesn’t stop the step 3 actions: Intune retire and wipe act on the device, and CMS revocation acts on the credential, not on the user’s sign-in.</w:t>
      </w:r>
    </w:p>
    <w:bookmarkStart w:id="101"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90"/>
      </w:r>
      <w:r>
        <w:t xml:space="preserve"> </w:t>
      </w:r>
      <w:r>
        <w:t xml:space="preserve">Microsoft’s real-time termination tutorial, for example, removes the user from all groups and Teams and deletes the account.</w:t>
      </w:r>
      <w:r>
        <w:rPr>
          <w:rStyle w:val="FootnoteReference"/>
        </w:rPr>
        <w:footnoteReference w:id="92"/>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94"/>
      </w:r>
    </w:p>
    <w:p>
      <w:pPr>
        <w:pStyle w:val="Compact"/>
        <w:numPr>
          <w:ilvl w:val="0"/>
          <w:numId w:val="1006"/>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96"/>
      </w:r>
      <w:r>
        <w:t xml:space="preserve"> </w:t>
      </w:r>
      <w:r>
        <w:t xml:space="preserve">A third-party system such as the CMS integration can send the response if the Logic App only acts as an intermediary.</w:t>
      </w:r>
      <w:r>
        <w:rPr>
          <w:rStyle w:val="FootnoteReference"/>
        </w:rPr>
        <w:footnoteReference w:id="97"/>
      </w:r>
    </w:p>
    <w:p>
      <w:pPr>
        <w:pStyle w:val="Compact"/>
        <w:numPr>
          <w:ilvl w:val="0"/>
          <w:numId w:val="1006"/>
        </w:numPr>
      </w:pPr>
      <w:r>
        <w:t xml:space="preserve">Authorize the response with the Logic App’s system-assigned managed identity, the default.</w:t>
      </w:r>
      <w:r>
        <w:rPr>
          <w:rStyle w:val="FootnoteReference"/>
        </w:rPr>
        <w:footnoteReference w:id="98"/>
      </w:r>
    </w:p>
    <w:p>
      <w:pPr>
        <w:pStyle w:val="Compact"/>
        <w:numPr>
          <w:ilvl w:val="0"/>
          <w:numId w:val="1006"/>
        </w:numPr>
      </w:pPr>
      <w:r>
        <w:t xml:space="preserve">Order the workflow as the sequence above. Tasks run in their execution sequence, and each task’s</w:t>
      </w:r>
      <w:r>
        <w:t xml:space="preserve"> </w:t>
      </w:r>
      <w:r>
        <w:rPr>
          <w:rStyle w:val="VerbatimChar"/>
        </w:rPr>
        <w:t xml:space="preserve">continueOnError</w:t>
      </w:r>
      <w:r>
        <w:t xml:space="preserve"> </w:t>
      </w:r>
      <w:r>
        <w:t xml:space="preserve">setting decides whether its failure stops the tasks after it.</w:t>
      </w:r>
      <w:r>
        <w:rPr>
          <w:rStyle w:val="FootnoteReference"/>
        </w:rPr>
        <w:footnoteReference w:id="99"/>
      </w:r>
      <w:r>
        <w:t xml:space="preserve"> </w:t>
      </w:r>
      <w:r>
        <w:t xml:space="preserve">Put</w:t>
      </w:r>
      <w:r>
        <w:t xml:space="preserve"> </w:t>
      </w:r>
      <w:r>
        <w:rPr>
          <w:i/>
          <w:iCs/>
        </w:rPr>
        <w:t xml:space="preserve">Disable user account</w:t>
      </w:r>
      <w:r>
        <w:t xml:space="preserve"> </w:t>
      </w:r>
      <w:r>
        <w:t xml:space="preserve">and</w:t>
      </w:r>
      <w:r>
        <w:t xml:space="preserve"> </w:t>
      </w:r>
      <w:r>
        <w:rPr>
          <w:i/>
          <w:iCs/>
        </w:rPr>
        <w:t xml:space="preserve">Revoke all refresh tokens for user</w:t>
      </w:r>
      <w:r>
        <w:t xml:space="preserve"> </w:t>
      </w:r>
      <w:r>
        <w:t xml:space="preserve">first; then the custom task (one Logic App that starts the Intune retire or wipe and the CMS revocation in parallel and reports both results); then the group, Teams, access package and license removals. Put</w:t>
      </w:r>
      <w:r>
        <w:t xml:space="preserve"> </w:t>
      </w:r>
      <w:r>
        <w:rPr>
          <w:i/>
          <w:iCs/>
        </w:rPr>
        <w:t xml:space="preserve">Delete user</w:t>
      </w:r>
      <w:r>
        <w:t xml:space="preserve"> </w:t>
      </w:r>
      <w:r>
        <w:t xml:space="preserve">in a separate post-offboarding workflow keyed to the account-disposition rule. That task doesn’t support users with Microsoft Entra role assignments or with membership or ownership of role-assignable groups, so the privileged-access removals have to finish first.</w:t>
      </w:r>
      <w:r>
        <w:rPr>
          <w:rStyle w:val="FootnoteReference"/>
        </w:rPr>
        <w:footnoteReference w:id="100"/>
      </w:r>
    </w:p>
    <w:p>
      <w:pPr>
        <w:pStyle w:val="FirstParagraph"/>
      </w:pPr>
      <w:r>
        <w:t xml:space="preserve">Custom tasks must be idempotent and use bounded retry with backoff for transient failures. Exhausted retries, validation failures, or permanent errors create a high-priority exception, notify the responsible security and operations teams, and remain open until revocation is confirmed through an alternate path. The exception counts against the separation metrics in Chapter 11.</w:t>
      </w:r>
    </w:p>
    <w:bookmarkEnd w:id="101"/>
    <w:bookmarkEnd w:id="102"/>
    <w:bookmarkStart w:id="105" w:name="what-the-evidence-must-show"/>
    <w:p>
      <w:pPr>
        <w:pStyle w:val="Heading2"/>
      </w:pPr>
      <w:bookmarkStart w:id="115" w:name="_Toc00000115"/>
      <w:r>
        <w:t xml:space="preserve">What the evidence must show</w:t>
      </w:r>
      <w:bookmarkEnd w:id="115"/>
    </w:p>
    <w:p>
      <w:pPr>
        <w:pStyle w:val="FirstParagraph"/>
      </w:pPr>
      <w:r>
        <w:t xml:space="preserve">For each leaver: the HR effective date; the disable and token-revocation timestamps; the device actions and their completion; the CMS revocation record and the CRL that published it; the access removals; any exceptions and how they closed; and the disposition date. Two intervals come out of it: HR effective date to the block (steps 1–2), and HR effective date to the last confirmed revocation. They are what an assessor asks for under PS-4, which requires disabling system access within an organization-defined period and revoking the person’s authenticators and credentials (Chapter 11).</w:t>
      </w:r>
      <w:r>
        <w:rPr>
          <w:rStyle w:val="FootnoteReference"/>
        </w:rPr>
        <w:footnoteReference w:id="103"/>
      </w:r>
    </w:p>
    <w:bookmarkEnd w:id="105"/>
    <w:bookmarkStart w:id="106" w:name="continue-the-book"/>
    <w:p>
      <w:pPr>
        <w:pStyle w:val="Heading2"/>
      </w:pPr>
      <w:bookmarkStart w:id="116" w:name="_Toc00000116"/>
      <w:r>
        <w:t xml:space="preserve">Continue the book</w:t>
      </w:r>
      <w:bookmarkEnd w:id="116"/>
    </w:p>
    <w:p>
      <w:pPr>
        <w:pStyle w:val="FirstParagraph"/>
      </w:pPr>
      <w:r>
        <w:t xml:space="preserve">← Previous: Chapter 08 — Joiner, Mover, Leaver · Book index · Next: Chapter 10 — From Attributes to Access →</w:t>
      </w:r>
    </w:p>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12">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3">
        <w:r>
          <w:rPr>
            <w:rStyle w:val="Hyperlink"/>
          </w:rPr>
          <w:t xml:space="preserve">https://www.idmanagement.gov/playbooks/ilm/</w:t>
        </w:r>
      </w:hyperlink>
      <w:r>
        <w:t xml:space="preserve"> </w:t>
      </w:r>
      <w:r>
        <w:t xml:space="preserve">(accessed Oct 20, 2026).</w:t>
      </w:r>
    </w:p>
  </w:footnote>
  <w:footnote w:id="14">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3">
        <w:r>
          <w:rPr>
            <w:rStyle w:val="Hyperlink"/>
          </w:rPr>
          <w:t xml:space="preserve">https://www.idmanagement.gov/playbooks/ilm/</w:t>
        </w:r>
      </w:hyperlink>
      <w:r>
        <w:t xml:space="preserve"> </w:t>
      </w:r>
      <w:r>
        <w:t xml:space="preserve">(accessed Oct 20, 2026).</w:t>
      </w:r>
    </w:p>
  </w:footnote>
  <w:footnote w:id="19">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3">
        <w:r>
          <w:rPr>
            <w:rStyle w:val="Hyperlink"/>
          </w:rPr>
          <w:t xml:space="preserve">https://www.idmanagement.gov/playbooks/ilm/</w:t>
        </w:r>
      </w:hyperlink>
      <w:r>
        <w:t xml:space="preserve"> </w:t>
      </w:r>
      <w:r>
        <w:t xml:space="preserve">(accessed Oct 20, 2026).</w:t>
      </w:r>
    </w:p>
  </w:footnote>
  <w:footnote w:id="20">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21">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22">
        <w:r>
          <w:rPr>
            <w:rStyle w:val="Hyperlink"/>
          </w:rPr>
          <w:t xml:space="preserve">https://csrc.nist.gov/pubs/sp/800/63/4/final</w:t>
        </w:r>
      </w:hyperlink>
      <w:r>
        <w:t xml:space="preserve"> </w:t>
      </w:r>
      <w:r>
        <w:t xml:space="preserve">(accessed Oct 20, 2026).</w:t>
      </w:r>
    </w:p>
  </w:footnote>
  <w:footnote w:id="23">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3">
        <w:r>
          <w:rPr>
            <w:rStyle w:val="Hyperlink"/>
          </w:rPr>
          <w:t xml:space="preserve">https://www.idmanagement.gov/playbooks/ilm/</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2">
        <w:r>
          <w:rPr>
            <w:rStyle w:val="Hyperlink"/>
          </w:rPr>
          <w:t xml:space="preserve">https://learn.microsoft.com/en-us/entra/identity/authentication/how-to-certificate-based-authentication</w:t>
        </w:r>
      </w:hyperlink>
      <w:r>
        <w:t xml:space="preserve"> </w:t>
      </w:r>
      <w:r>
        <w:t xml:space="preserve">(accessed Oct 20, 2026).</w:t>
      </w:r>
    </w:p>
  </w:footnote>
  <w:footnote w:id="33">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2">
        <w:r>
          <w:rPr>
            <w:rStyle w:val="Hyperlink"/>
          </w:rPr>
          <w:t xml:space="preserve">https://learn.microsoft.com/en-us/entra/identity/authentication/how-to-certificate-based-authentication</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2">
        <w:r>
          <w:rPr>
            <w:rStyle w:val="Hyperlink"/>
          </w:rPr>
          <w:t xml:space="preserve">https://learn.microsoft.com/en-us/entra/identity/authentication/how-to-certificate-based-authentication</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6">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6">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2">
        <w:r>
          <w:rPr>
            <w:rStyle w:val="Hyperlink"/>
          </w:rPr>
          <w:t xml:space="preserve">https://learn.microsoft.com/en-us/entra/identity/authentication/how-to-certificate-based-authentication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5">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56">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57">
        <w:r>
          <w:rPr>
            <w:rStyle w:val="Hyperlink"/>
          </w:rPr>
          <w:t xml:space="preserve">https://csrc.nist.gov/pubs/sp/800/157/final</w:t>
        </w:r>
      </w:hyperlink>
      <w:r>
        <w:t xml:space="preserve"> </w:t>
      </w:r>
      <w:r>
        <w:t xml:space="preserve">(accessed Oct 20, 2026).</w:t>
      </w:r>
    </w:p>
  </w:footnote>
  <w:footnote w:id="58">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59">
        <w:r>
          <w:rPr>
            <w:rStyle w:val="Hyperlink"/>
          </w:rPr>
          <w:t xml:space="preserve">https://csrc.nist.gov/pubs/sp/800/157/r1/fpd</w:t>
        </w:r>
      </w:hyperlink>
      <w:r>
        <w:t xml:space="preserve"> </w:t>
      </w:r>
      <w:r>
        <w:t xml:space="preserve">(accessed Oct 20, 2026).</w:t>
      </w:r>
    </w:p>
  </w:footnote>
  <w:footnote w:id="61">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62">
        <w:r>
          <w:rPr>
            <w:rStyle w:val="Hyperlink"/>
          </w:rPr>
          <w:t xml:space="preserve">https://www.whitehouse.gov/wp-content/uploads/2022/01/M-22-09.pdf</w:t>
        </w:r>
      </w:hyperlink>
      <w:r>
        <w:t xml:space="preserve"> </w:t>
      </w:r>
      <w:r>
        <w:t xml:space="preserve">(accessed Oct 20, 2026).</w:t>
      </w:r>
    </w:p>
  </w:footnote>
  <w:footnote w:id="65">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66">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w:t>
      </w:r>
      <w:r>
        <w:t xml:space="preserve"> </w:t>
      </w:r>
      <w:hyperlink r:id="rId69">
        <w:r>
          <w:rPr>
            <w:rStyle w:val="Hyperlink"/>
          </w:rPr>
          <w:t xml:space="preserve">https://learn.microsoft.com/en-us/intune/cloud-pki/</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1">
        <w:r>
          <w:rPr>
            <w:rStyle w:val="Hyperlink"/>
          </w:rPr>
          <w:t xml:space="preserve">https://learn.microsoft.com/en-us/intune/device-configuration/certificates/remove-profiles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1">
        <w:r>
          <w:rPr>
            <w:rStyle w:val="Hyperlink"/>
          </w:rPr>
          <w:t xml:space="preserve">https://learn.microsoft.com/en-us/intune/device-configuration/certificates/remove-profiles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1">
        <w:r>
          <w:rPr>
            <w:rStyle w:val="Hyperlink"/>
          </w:rPr>
          <w:t xml:space="preserve">https://learn.microsoft.com/en-us/intune/device-configuration/certificates/remove-profiles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1">
        <w:r>
          <w:rPr>
            <w:rStyle w:val="Hyperlink"/>
          </w:rPr>
          <w:t xml:space="preserve">https://learn.microsoft.com/en-us/intune/device-configuration/certificates/remove-profiles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6">
        <w:r>
          <w:rPr>
            <w:rStyle w:val="Hyperlink"/>
          </w:rPr>
          <w:t xml:space="preserve">https://learn.microsoft.com/en-us/intune/cloud-pki/monitor-certificates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2">
        <w:r>
          <w:rPr>
            <w:rStyle w:val="Hyperlink"/>
          </w:rPr>
          <w:t xml:space="preserve">https://learn.microsoft.com/en-us/entra/identity/users/users-revoke-access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2">
        <w:r>
          <w:rPr>
            <w:rStyle w:val="Hyperlink"/>
          </w:rPr>
          <w:t xml:space="preserve">https://learn.microsoft.com/en-us/entra/identity/users/users-revoke-access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7">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5">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1">
        <w:r>
          <w:rPr>
            <w:rStyle w:val="Hyperlink"/>
          </w:rPr>
          <w:t xml:space="preserve">https://csrc.nist.gov/pubs/fips/201-3/final</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1">
        <w:r>
          <w:rPr>
            <w:rStyle w:val="Hyperlink"/>
          </w:rPr>
          <w:t xml:space="preserve">https://learn.microsoft.com/en-us/intune/device-configuration/certificates/remove-profiles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2">
        <w:r>
          <w:rPr>
            <w:rStyle w:val="Hyperlink"/>
          </w:rPr>
          <w:t xml:space="preserve">https://learn.microsoft.com/en-us/entra/identity/users/users-revoke-access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6">
        <w:r>
          <w:rPr>
            <w:rStyle w:val="Hyperlink"/>
          </w:rPr>
          <w:t xml:space="preserve">https://learn.microsoft.com/en-us/intune/cloud-pki/monitor-certificates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2">
        <w:r>
          <w:rPr>
            <w:rStyle w:val="Hyperlink"/>
          </w:rPr>
          <w:t xml:space="preserve">https://learn.microsoft.com/en-us/entra/identity/users/users-revoke-access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1">
        <w:r>
          <w:rPr>
            <w:rStyle w:val="Hyperlink"/>
          </w:rPr>
          <w:t xml:space="preserve">https://learn.microsoft.com/en-us/entra/id-governance/lifecycle-workflow-tasks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93">
        <w:r>
          <w:rPr>
            <w:rStyle w:val="Hyperlink"/>
          </w:rPr>
          <w:t xml:space="preserve">https://learn.microsoft.com/en-us/entra/id-governance/tutorial-offboard-custom-workflow-portal</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5">
        <w:r>
          <w:rPr>
            <w:rStyle w:val="Hyperlink"/>
          </w:rPr>
          <w:t xml:space="preserve">https://learn.microsoft.com/en-us/entra/id-governance/lifecycle-workflow-extensibility</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5">
        <w:r>
          <w:rPr>
            <w:rStyle w:val="Hyperlink"/>
          </w:rPr>
          <w:t xml:space="preserve">https://learn.microsoft.com/en-us/entra/id-governance/lifecycle-workflow-extensibility</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5">
        <w:r>
          <w:rPr>
            <w:rStyle w:val="Hyperlink"/>
          </w:rPr>
          <w:t xml:space="preserve">https://learn.microsoft.com/en-us/entra/id-governance/lifecycle-workflow-extensibility</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5">
        <w:r>
          <w:rPr>
            <w:rStyle w:val="Hyperlink"/>
          </w:rPr>
          <w:t xml:space="preserve">https://learn.microsoft.com/en-us/entra/id-governance/lifecycle-workflow-extensibility</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1">
        <w:r>
          <w:rPr>
            <w:rStyle w:val="Hyperlink"/>
          </w:rPr>
          <w:t xml:space="preserve">https://learn.microsoft.com/en-us/entra/id-governance/lifecycle-workflow-tasks</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1">
        <w:r>
          <w:rPr>
            <w:rStyle w:val="Hyperlink"/>
          </w:rPr>
          <w:t xml:space="preserve">https://learn.microsoft.com/en-us/entra/id-governance/lifecycle-workflow-tasks</w:t>
        </w:r>
      </w:hyperlink>
      <w:r>
        <w:t xml:space="preserve"> </w:t>
      </w:r>
      <w:r>
        <w:t xml:space="preserve">(accessed Oct 20, 2026).</w:t>
      </w:r>
    </w:p>
  </w:footnote>
  <w:footnote w:id="103">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 PS-4,</w:t>
      </w:r>
      <w:r>
        <w:t xml:space="preserve"> </w:t>
      </w:r>
      <w:hyperlink r:id="rId104">
        <w:r>
          <w:rPr>
            <w:rStyle w:val="Hyperlink"/>
          </w:rPr>
          <w:t xml:space="preserve">https://csrc.nist.gov/pubs/sp/800/53/r5/upd1/final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78" Target="media/rId78.png" /><Relationship Type="http://schemas.openxmlformats.org/officeDocument/2006/relationships/hyperlink" Id="rId11" Target="https://csrc.nist.gov/pubs/fips/201-3/final" TargetMode="External" /><Relationship Type="http://schemas.openxmlformats.org/officeDocument/2006/relationships/hyperlink" Id="rId57" Target="https://csrc.nist.gov/pubs/sp/800/157/final" TargetMode="External" /><Relationship Type="http://schemas.openxmlformats.org/officeDocument/2006/relationships/hyperlink" Id="rId59" Target="https://csrc.nist.gov/pubs/sp/800/157/r1/fpd" TargetMode="External" /><Relationship Type="http://schemas.openxmlformats.org/officeDocument/2006/relationships/hyperlink" Id="rId104" Target="https://csrc.nist.gov/pubs/sp/800/53/r5/upd1/final" TargetMode="External" /><Relationship Type="http://schemas.openxmlformats.org/officeDocument/2006/relationships/hyperlink" Id="rId22" Target="https://csrc.nist.gov/pubs/sp/800/63/4/final" TargetMode="External" /><Relationship Type="http://schemas.openxmlformats.org/officeDocument/2006/relationships/hyperlink" Id="rId95" Target="https://learn.microsoft.com/en-us/entra/id-governance/lifecycle-workflow-extensibility" TargetMode="External" /><Relationship Type="http://schemas.openxmlformats.org/officeDocument/2006/relationships/hyperlink" Id="rId91" Target="https://learn.microsoft.com/en-us/entra/id-governance/lifecycle-workflow-tasks" TargetMode="External" /><Relationship Type="http://schemas.openxmlformats.org/officeDocument/2006/relationships/hyperlink" Id="rId93" Target="https://learn.microsoft.com/en-us/entra/id-governance/tutorial-offboard-custom-workflow-portal" TargetMode="External" /><Relationship Type="http://schemas.openxmlformats.org/officeDocument/2006/relationships/hyperlink" Id="rId47" Target="https://learn.microsoft.com/en-us/entra/identity/authentication/concept-certificate-based-authentication-certificate-revocation-list" TargetMode="External" /><Relationship Type="http://schemas.openxmlformats.org/officeDocument/2006/relationships/hyperlink" Id="rId36" Target="https://learn.microsoft.com/en-us/entra/identity/authentication/concept-certificate-based-authentication-certificateuserids" TargetMode="External" /><Relationship Type="http://schemas.openxmlformats.org/officeDocument/2006/relationships/hyperlink" Id="rId26" Target="https://learn.microsoft.com/en-us/entra/identity/authentication/concept-certificate-based-authentication-technical-deep-dive" TargetMode="External" /><Relationship Type="http://schemas.openxmlformats.org/officeDocument/2006/relationships/hyperlink" Id="rId32" Target="https://learn.microsoft.com/en-us/entra/identity/authentication/how-to-certificate-based-authentication" TargetMode="External" /><Relationship Type="http://schemas.openxmlformats.org/officeDocument/2006/relationships/hyperlink" Id="rId82" Target="https://learn.microsoft.com/en-us/entra/identity/users/users-revoke-access" TargetMode="External" /><Relationship Type="http://schemas.openxmlformats.org/officeDocument/2006/relationships/hyperlink" Id="rId69" Target="https://learn.microsoft.com/en-us/intune/cloud-pki/" TargetMode="External" /><Relationship Type="http://schemas.openxmlformats.org/officeDocument/2006/relationships/hyperlink" Id="rId76" Target="https://learn.microsoft.com/en-us/intune/cloud-pki/monitor-certificates" TargetMode="External" /><Relationship Type="http://schemas.openxmlformats.org/officeDocument/2006/relationships/hyperlink" Id="rId71" Target="https://learn.microsoft.com/en-us/intune/device-configuration/certificates/remove-profiles" TargetMode="External" /><Relationship Type="http://schemas.openxmlformats.org/officeDocument/2006/relationships/hyperlink" Id="rId13" Target="https://www.idmanagement.gov/playbooks/ilm/" TargetMode="External" /><Relationship Type="http://schemas.openxmlformats.org/officeDocument/2006/relationships/hyperlink" Id="rId62"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1" Target="https://csrc.nist.gov/pubs/fips/201-3/final" TargetMode="External" /><Relationship Type="http://schemas.openxmlformats.org/officeDocument/2006/relationships/hyperlink" Id="rId57" Target="https://csrc.nist.gov/pubs/sp/800/157/final" TargetMode="External" /><Relationship Type="http://schemas.openxmlformats.org/officeDocument/2006/relationships/hyperlink" Id="rId59" Target="https://csrc.nist.gov/pubs/sp/800/157/r1/fpd" TargetMode="External" /><Relationship Type="http://schemas.openxmlformats.org/officeDocument/2006/relationships/hyperlink" Id="rId104" Target="https://csrc.nist.gov/pubs/sp/800/53/r5/upd1/final" TargetMode="External" /><Relationship Type="http://schemas.openxmlformats.org/officeDocument/2006/relationships/hyperlink" Id="rId22" Target="https://csrc.nist.gov/pubs/sp/800/63/4/final" TargetMode="External" /><Relationship Type="http://schemas.openxmlformats.org/officeDocument/2006/relationships/hyperlink" Id="rId95" Target="https://learn.microsoft.com/en-us/entra/id-governance/lifecycle-workflow-extensibility" TargetMode="External" /><Relationship Type="http://schemas.openxmlformats.org/officeDocument/2006/relationships/hyperlink" Id="rId91" Target="https://learn.microsoft.com/en-us/entra/id-governance/lifecycle-workflow-tasks" TargetMode="External" /><Relationship Type="http://schemas.openxmlformats.org/officeDocument/2006/relationships/hyperlink" Id="rId93" Target="https://learn.microsoft.com/en-us/entra/id-governance/tutorial-offboard-custom-workflow-portal" TargetMode="External" /><Relationship Type="http://schemas.openxmlformats.org/officeDocument/2006/relationships/hyperlink" Id="rId47" Target="https://learn.microsoft.com/en-us/entra/identity/authentication/concept-certificate-based-authentication-certificate-revocation-list" TargetMode="External" /><Relationship Type="http://schemas.openxmlformats.org/officeDocument/2006/relationships/hyperlink" Id="rId36" Target="https://learn.microsoft.com/en-us/entra/identity/authentication/concept-certificate-based-authentication-certificateuserids" TargetMode="External" /><Relationship Type="http://schemas.openxmlformats.org/officeDocument/2006/relationships/hyperlink" Id="rId26" Target="https://learn.microsoft.com/en-us/entra/identity/authentication/concept-certificate-based-authentication-technical-deep-dive" TargetMode="External" /><Relationship Type="http://schemas.openxmlformats.org/officeDocument/2006/relationships/hyperlink" Id="rId32" Target="https://learn.microsoft.com/en-us/entra/identity/authentication/how-to-certificate-based-authentication" TargetMode="External" /><Relationship Type="http://schemas.openxmlformats.org/officeDocument/2006/relationships/hyperlink" Id="rId82" Target="https://learn.microsoft.com/en-us/entra/identity/users/users-revoke-access" TargetMode="External" /><Relationship Type="http://schemas.openxmlformats.org/officeDocument/2006/relationships/hyperlink" Id="rId69" Target="https://learn.microsoft.com/en-us/intune/cloud-pki/" TargetMode="External" /><Relationship Type="http://schemas.openxmlformats.org/officeDocument/2006/relationships/hyperlink" Id="rId76" Target="https://learn.microsoft.com/en-us/intune/cloud-pki/monitor-certificates" TargetMode="External" /><Relationship Type="http://schemas.openxmlformats.org/officeDocument/2006/relationships/hyperlink" Id="rId71" Target="https://learn.microsoft.com/en-us/intune/device-configuration/certificates/remove-profiles" TargetMode="External" /><Relationship Type="http://schemas.openxmlformats.org/officeDocument/2006/relationships/hyperlink" Id="rId13" Target="https://www.idmanagement.gov/playbooks/ilm/" TargetMode="External" /><Relationship Type="http://schemas.openxmlformats.org/officeDocument/2006/relationships/hyperlink" Id="rId62"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Credentials and Certificates Across Joiner, Mover, Leaver</dc:title>
  <dc:creator/>
  <cp:keywords/>
  <dcterms:created xsi:type="dcterms:W3CDTF">2026-10-20T23:38:21Z</dcterms:created>
  <dcterms:modified xsi:type="dcterms:W3CDTF">2026-10-20T23:38:21Z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