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93.png" ContentType="image/png"/>
  <Override PartName="/word/media/rId709.png" ContentType="image/png"/>
  <Override PartName="/word/media/rId756.png" ContentType="image/png"/>
  <Override PartName="/word/media/rId13.png" ContentType="image/png"/>
  <Override PartName="/word/media/rId76.png" ContentType="image/png"/>
  <Override PartName="/word/media/rId90.png" ContentType="image/png"/>
  <Override PartName="/word/media/rId169.png" ContentType="image/png"/>
  <Override PartName="/word/media/rId193.png" ContentType="image/png"/>
  <Override PartName="/word/media/rId199.png" ContentType="image/png"/>
  <Override PartName="/word/media/rId223.png" ContentType="image/png"/>
  <Override PartName="/word/media/rId259.png" ContentType="image/png"/>
  <Override PartName="/word/media/rId298.png" ContentType="image/png"/>
  <Override PartName="/word/media/rId383.png" ContentType="image/png"/>
  <Override PartName="/word/media/rId340.png" ContentType="image/png"/>
  <Override PartName="/word/media/rId399.png" ContentType="image/png"/>
  <Override PartName="/word/media/rId416.png" ContentType="image/png"/>
  <Override PartName="/word/media/rId454.png" ContentType="image/png"/>
  <Override PartName="/word/media/rId515.png" ContentType="image/png"/>
  <Override PartName="/word/media/rId543.png" ContentType="image/png"/>
  <Override PartName="/word/media/rId609.png" ContentType="image/png"/>
  <Override PartName="/word/media/rId641.png" ContentType="image/png"/>
  <Override PartName="/word/media/rId67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03 — HR-Driven Identity</w:t>
      </w:r>
    </w:p>
    <w:p>
      <w:pPr>
        <w:pStyle w:val="Subtitle"/>
      </w:pPr>
      <w:r>
        <w:t xml:space="preserve">HR-Driven Identity Modernization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776" w:history="1">
            <w:r>
              <w:t xml:space="preserve">Book 03 — HR-Driven Identity: An Enterprise Data Architecture Case Study</w:t>
            </w:r>
          </w:hyperlink>
        </w:p>
        <w:p>
          <w:pPr>
            <w:pStyle w:val="TOC2"/>
          </w:pPr>
          <w:hyperlink w:anchor="_Toc00000777" w:history="1">
            <w:r>
              <w:t xml:space="preserve">Status — draft book</w:t>
            </w:r>
          </w:hyperlink>
        </w:p>
        <w:p>
          <w:pPr>
            <w:pStyle w:val="TOC2"/>
          </w:pPr>
          <w:hyperlink w:anchor="_Toc00000778" w:history="1">
            <w:r>
              <w:t xml:space="preserve">Modernization outcomes</w:t>
            </w:r>
          </w:hyperlink>
        </w:p>
        <w:p>
          <w:pPr>
            <w:pStyle w:val="TOC2"/>
          </w:pPr>
          <w:hyperlink w:anchor="_Toc00000779" w:history="1">
            <w:r>
              <w:t xml:space="preserve">Why, what, who, how</w:t>
            </w:r>
          </w:hyperlink>
        </w:p>
        <w:p>
          <w:pPr>
            <w:pStyle w:val="TOC2"/>
          </w:pPr>
          <w:hyperlink w:anchor="_Toc00000780" w:history="1">
            <w:r>
              <w:t xml:space="preserve">Where this book sits in the workbook</w:t>
            </w:r>
          </w:hyperlink>
        </w:p>
        <w:p>
          <w:pPr>
            <w:pStyle w:val="TOC1"/>
          </w:pPr>
          <w:hyperlink w:anchor="_Toc00000781" w:history="1">
            <w:r>
              <w:t xml:space="preserve">Chapter 01 — Overview and Applicability</w:t>
            </w:r>
          </w:hyperlink>
        </w:p>
        <w:p>
          <w:pPr>
            <w:pStyle w:val="TOC2"/>
          </w:pPr>
          <w:hyperlink w:anchor="_Toc00000782" w:history="1">
            <w:r>
              <w:t xml:space="preserve">In this chapter</w:t>
            </w:r>
          </w:hyperlink>
        </w:p>
        <w:p>
          <w:pPr>
            <w:pStyle w:val="TOC2"/>
          </w:pPr>
          <w:hyperlink w:anchor="_Toc00000783" w:history="1">
            <w:r>
              <w:t xml:space="preserve">The proposal</w:t>
            </w:r>
          </w:hyperlink>
        </w:p>
        <w:p>
          <w:pPr>
            <w:pStyle w:val="TOC2"/>
          </w:pPr>
          <w:hyperlink w:anchor="_Toc00000784" w:history="1">
            <w:r>
              <w:t xml:space="preserve">The problem</w:t>
            </w:r>
          </w:hyperlink>
        </w:p>
        <w:p>
          <w:pPr>
            <w:pStyle w:val="TOC2"/>
          </w:pPr>
          <w:hyperlink w:anchor="_Toc00000785" w:history="1">
            <w:r>
              <w:t xml:space="preserve">The modernization outcomes</w:t>
            </w:r>
          </w:hyperlink>
        </w:p>
        <w:p>
          <w:pPr>
            <w:pStyle w:val="TOC2"/>
          </w:pPr>
          <w:hyperlink w:anchor="_Toc00000786" w:history="1">
            <w:r>
              <w:t xml:space="preserve">The architecture in one paragraph</w:t>
            </w:r>
          </w:hyperlink>
        </w:p>
        <w:p>
          <w:pPr>
            <w:pStyle w:val="TOC2"/>
          </w:pPr>
          <w:hyperlink w:anchor="_Toc00000787" w:history="1">
            <w:r>
              <w:t xml:space="preserve">The ask</w:t>
            </w:r>
          </w:hyperlink>
        </w:p>
        <w:p>
          <w:pPr>
            <w:pStyle w:val="TOC2"/>
          </w:pPr>
          <w:hyperlink w:anchor="_Toc00000788" w:history="1">
            <w:r>
              <w:t xml:space="preserve">Authority boundaries</w:t>
            </w:r>
          </w:hyperlink>
        </w:p>
        <w:p>
          <w:pPr>
            <w:pStyle w:val="TOC2"/>
          </w:pPr>
          <w:hyperlink w:anchor="_Toc00000789" w:history="1">
            <w:r>
              <w:t xml:space="preserve">Architectural principles</w:t>
            </w:r>
          </w:hyperlink>
        </w:p>
        <w:p>
          <w:pPr>
            <w:pStyle w:val="TOC2"/>
          </w:pPr>
          <w:hyperlink w:anchor="_Toc00000790" w:history="1">
            <w:r>
              <w:t xml:space="preserve">Where this book applies</w:t>
            </w:r>
          </w:hyperlink>
        </w:p>
        <w:p>
          <w:pPr>
            <w:pStyle w:val="TOC2"/>
          </w:pPr>
          <w:hyperlink w:anchor="_Toc00000791" w:history="1">
            <w:r>
              <w:t xml:space="preserve">Where it doesn’t apply as written</w:t>
            </w:r>
          </w:hyperlink>
        </w:p>
        <w:p>
          <w:pPr>
            <w:pStyle w:val="TOC2"/>
          </w:pPr>
          <w:hyperlink w:anchor="_Toc00000792" w:history="1">
            <w:r>
              <w:t xml:space="preserve">One caution, stated up front</w:t>
            </w:r>
          </w:hyperlink>
        </w:p>
        <w:p>
          <w:pPr>
            <w:pStyle w:val="TOC2"/>
          </w:pPr>
          <w:hyperlink w:anchor="_Toc00000793" w:history="1">
            <w:r>
              <w:t xml:space="preserve">The enterprise data architecture contribution</w:t>
            </w:r>
          </w:hyperlink>
        </w:p>
        <w:p>
          <w:pPr>
            <w:pStyle w:val="TOC2"/>
          </w:pPr>
          <w:hyperlink w:anchor="_Toc00000794" w:history="1">
            <w:r>
              <w:t xml:space="preserve">What success looks like</w:t>
            </w:r>
          </w:hyperlink>
        </w:p>
        <w:p>
          <w:pPr>
            <w:pStyle w:val="TOC2"/>
          </w:pPr>
          <w:hyperlink w:anchor="_Toc00000795" w:history="1">
            <w:r>
              <w:t xml:space="preserve">Continue the book</w:t>
            </w:r>
          </w:hyperlink>
        </w:p>
        <w:p>
          <w:pPr>
            <w:pStyle w:val="TOC1"/>
          </w:pPr>
          <w:hyperlink w:anchor="_Toc00000796" w:history="1">
            <w:r>
              <w:t xml:space="preserve">Chapter 02 — Why HR Is the Source of Authority</w:t>
            </w:r>
          </w:hyperlink>
        </w:p>
        <w:p>
          <w:pPr>
            <w:pStyle w:val="TOC2"/>
          </w:pPr>
          <w:hyperlink w:anchor="_Toc00000797" w:history="1">
            <w:r>
              <w:t xml:space="preserve">In this chapter</w:t>
            </w:r>
          </w:hyperlink>
        </w:p>
        <w:p>
          <w:pPr>
            <w:pStyle w:val="TOC2"/>
          </w:pPr>
          <w:hyperlink w:anchor="_Toc00000798" w:history="1">
            <w:r>
              <w:t xml:space="preserve">What the claims in a token assert</w:t>
            </w:r>
          </w:hyperlink>
        </w:p>
        <w:p>
          <w:pPr>
            <w:pStyle w:val="TOC2"/>
          </w:pPr>
          <w:hyperlink w:anchor="_Toc00000799" w:history="1">
            <w:r>
              <w:t xml:space="preserve">The fragmented truth problem</w:t>
            </w:r>
          </w:hyperlink>
        </w:p>
        <w:p>
          <w:pPr>
            <w:pStyle w:val="TOC2"/>
          </w:pPr>
          <w:hyperlink w:anchor="_Toc00000800" w:history="1">
            <w:r>
              <w:t xml:space="preserve">Why the agency needs HR-driven ICAM now</w:t>
            </w:r>
          </w:hyperlink>
        </w:p>
        <w:p>
          <w:pPr>
            <w:pStyle w:val="TOC2"/>
          </w:pPr>
          <w:hyperlink w:anchor="_Toc00000801" w:history="1">
            <w:r>
              <w:t xml:space="preserve">The federal policy frame</w:t>
            </w:r>
          </w:hyperlink>
        </w:p>
        <w:p>
          <w:pPr>
            <w:pStyle w:val="TOC2"/>
          </w:pPr>
          <w:hyperlink w:anchor="_Toc00000802" w:history="1">
            <w:r>
              <w:t xml:space="preserve">Why this can’t be patched</w:t>
            </w:r>
          </w:hyperlink>
        </w:p>
        <w:p>
          <w:pPr>
            <w:pStyle w:val="TOC2"/>
          </w:pPr>
          <w:hyperlink w:anchor="_Toc00000803" w:history="1">
            <w:r>
              <w:t xml:space="preserve">What HR-driven provisioning means</w:t>
            </w:r>
          </w:hyperlink>
        </w:p>
        <w:p>
          <w:pPr>
            <w:pStyle w:val="TOC2"/>
          </w:pPr>
          <w:hyperlink w:anchor="_Toc00000804" w:history="1">
            <w:r>
              <w:t xml:space="preserve">What HR provides, and what identity architecture must add</w:t>
            </w:r>
          </w:hyperlink>
        </w:p>
        <w:p>
          <w:pPr>
            <w:pStyle w:val="TOC2"/>
          </w:pPr>
          <w:hyperlink w:anchor="_Toc00000805" w:history="1">
            <w:r>
              <w:t xml:space="preserve">Continue the book</w:t>
            </w:r>
          </w:hyperlink>
        </w:p>
        <w:p>
          <w:pPr>
            <w:pStyle w:val="TOC1"/>
          </w:pPr>
          <w:hyperlink w:anchor="_Toc00000806" w:history="1">
            <w:r>
              <w:t xml:space="preserve">Chapter 03 — Federal HR 2.0 and the Core HCM Platform</w:t>
            </w:r>
          </w:hyperlink>
        </w:p>
        <w:p>
          <w:pPr>
            <w:pStyle w:val="TOC2"/>
          </w:pPr>
          <w:hyperlink w:anchor="_Toc00000807" w:history="1">
            <w:r>
              <w:t xml:space="preserve">In this chapter</w:t>
            </w:r>
          </w:hyperlink>
        </w:p>
        <w:p>
          <w:pPr>
            <w:pStyle w:val="TOC2"/>
          </w:pPr>
          <w:hyperlink w:anchor="_Toc00000808" w:history="1">
            <w:r>
              <w:t xml:space="preserve">OPM HRIT and Federal HR 2.0</w:t>
            </w:r>
          </w:hyperlink>
        </w:p>
        <w:p>
          <w:pPr>
            <w:pStyle w:val="TOC2"/>
          </w:pPr>
          <w:hyperlink w:anchor="_Toc00000809" w:history="1">
            <w:r>
              <w:t xml:space="preserve">Fifty years of consolidation</w:t>
            </w:r>
          </w:hyperlink>
        </w:p>
        <w:p>
          <w:pPr>
            <w:pStyle w:val="TOC2"/>
          </w:pPr>
          <w:hyperlink w:anchor="_Toc00000810" w:history="1">
            <w:r>
              <w:t xml:space="preserve">The program facts</w:t>
            </w:r>
          </w:hyperlink>
        </w:p>
        <w:p>
          <w:pPr>
            <w:pStyle w:val="TOC2"/>
          </w:pPr>
          <w:hyperlink w:anchor="_Toc00000811" w:history="1">
            <w:r>
              <w:t xml:space="preserve">Why this is the opportunity, not the project</w:t>
            </w:r>
          </w:hyperlink>
        </w:p>
        <w:p>
          <w:pPr>
            <w:pStyle w:val="TOC2"/>
          </w:pPr>
          <w:hyperlink w:anchor="_Toc00000812" w:history="1">
            <w:r>
              <w:t xml:space="preserve">What OPM requires, and what it leaves to the agency</w:t>
            </w:r>
          </w:hyperlink>
        </w:p>
        <w:p>
          <w:pPr>
            <w:pStyle w:val="TOC2"/>
          </w:pPr>
          <w:hyperlink w:anchor="_Toc00000813" w:history="1">
            <w:r>
              <w:t xml:space="preserve">Continue the book</w:t>
            </w:r>
          </w:hyperlink>
        </w:p>
        <w:p>
          <w:pPr>
            <w:pStyle w:val="TOC1"/>
          </w:pPr>
          <w:hyperlink w:anchor="_Toc00000814" w:history="1">
            <w:r>
              <w:t xml:space="preserve">Chapter 04 — Attribute Authority</w:t>
            </w:r>
          </w:hyperlink>
        </w:p>
        <w:p>
          <w:pPr>
            <w:pStyle w:val="TOC2"/>
          </w:pPr>
          <w:hyperlink w:anchor="_Toc00000815" w:history="1">
            <w:r>
              <w:t xml:space="preserve">In this chapter</w:t>
            </w:r>
          </w:hyperlink>
        </w:p>
        <w:p>
          <w:pPr>
            <w:pStyle w:val="TOC2"/>
          </w:pPr>
          <w:hyperlink w:anchor="_Toc00000816" w:history="1">
            <w:r>
              <w:t xml:space="preserve">What a human capital system actually owns</w:t>
            </w:r>
          </w:hyperlink>
        </w:p>
        <w:p>
          <w:pPr>
            <w:pStyle w:val="TOC2"/>
          </w:pPr>
          <w:hyperlink w:anchor="_Toc00000817" w:history="1">
            <w:r>
              <w:t xml:space="preserve">System of record versus identity provider</w:t>
            </w:r>
          </w:hyperlink>
        </w:p>
        <w:p>
          <w:pPr>
            <w:pStyle w:val="TOC2"/>
          </w:pPr>
          <w:hyperlink w:anchor="_Toc00000818" w:history="1">
            <w:r>
              <w:t xml:space="preserve">Effective dating: truth with a timeline</w:t>
            </w:r>
          </w:hyperlink>
        </w:p>
        <w:p>
          <w:pPr>
            <w:pStyle w:val="TOC2"/>
          </w:pPr>
          <w:hyperlink w:anchor="_Toc00000819" w:history="1">
            <w:r>
              <w:t xml:space="preserve">Authoritative versus derived attributes</w:t>
            </w:r>
          </w:hyperlink>
        </w:p>
        <w:p>
          <w:pPr>
            <w:pStyle w:val="TOC2"/>
          </w:pPr>
          <w:hyperlink w:anchor="_Toc00000820" w:history="1">
            <w:r>
              <w:t xml:space="preserve">One person, layered identifiers</w:t>
            </w:r>
          </w:hyperlink>
        </w:p>
        <w:p>
          <w:pPr>
            <w:pStyle w:val="TOC2"/>
          </w:pPr>
          <w:hyperlink w:anchor="_Toc00000821" w:history="1">
            <w:r>
              <w:t xml:space="preserve">The worker-type boundary</w:t>
            </w:r>
          </w:hyperlink>
        </w:p>
        <w:p>
          <w:pPr>
            <w:pStyle w:val="TOC2"/>
          </w:pPr>
          <w:hyperlink w:anchor="_Toc00000822" w:history="1">
            <w:r>
              <w:t xml:space="preserve">Privacy: the disclosure basis for identity</w:t>
            </w:r>
          </w:hyperlink>
        </w:p>
        <w:p>
          <w:pPr>
            <w:pStyle w:val="TOC2"/>
          </w:pPr>
          <w:hyperlink w:anchor="_Toc00000823" w:history="1">
            <w:r>
              <w:t xml:space="preserve">Operating rules</w:t>
            </w:r>
          </w:hyperlink>
        </w:p>
        <w:p>
          <w:pPr>
            <w:pStyle w:val="TOC2"/>
          </w:pPr>
          <w:hyperlink w:anchor="_Toc00000824" w:history="1">
            <w:r>
              <w:t xml:space="preserve">Continue the book</w:t>
            </w:r>
          </w:hyperlink>
        </w:p>
        <w:p>
          <w:pPr>
            <w:pStyle w:val="TOC1"/>
          </w:pPr>
          <w:hyperlink w:anchor="_Toc00000825" w:history="1">
            <w:r>
              <w:t xml:space="preserve">Chapter 05 — Provisioning Services</w:t>
            </w:r>
          </w:hyperlink>
        </w:p>
        <w:p>
          <w:pPr>
            <w:pStyle w:val="TOC2"/>
          </w:pPr>
          <w:hyperlink w:anchor="_Toc00000826" w:history="1">
            <w:r>
              <w:t xml:space="preserve">In this chapter</w:t>
            </w:r>
          </w:hyperlink>
        </w:p>
        <w:p>
          <w:pPr>
            <w:pStyle w:val="TOC2"/>
          </w:pPr>
          <w:hyperlink w:anchor="_Toc00000827" w:history="1">
            <w:r>
              <w:t xml:space="preserve">Logical architecture and Microsoft realization</w:t>
            </w:r>
          </w:hyperlink>
        </w:p>
        <w:p>
          <w:pPr>
            <w:pStyle w:val="TOC2"/>
          </w:pPr>
          <w:hyperlink w:anchor="_Toc00000828" w:history="1">
            <w:r>
              <w:t xml:space="preserve">Why API-driven inbound provisioning</w:t>
            </w:r>
          </w:hyperlink>
        </w:p>
        <w:p>
          <w:pPr>
            <w:pStyle w:val="TOC2"/>
          </w:pPr>
          <w:hyperlink w:anchor="_Toc00000829" w:history="1">
            <w:r>
              <w:t xml:space="preserve">The source: Oracle Fusion Cloud HCM</w:t>
            </w:r>
          </w:hyperlink>
        </w:p>
        <w:p>
          <w:pPr>
            <w:pStyle w:val="TOC2"/>
          </w:pPr>
          <w:hyperlink w:anchor="_Toc00000830" w:history="1">
            <w:r>
              <w:t xml:space="preserve">The middleware: five duties per event</w:t>
            </w:r>
          </w:hyperlink>
        </w:p>
        <w:p>
          <w:pPr>
            <w:pStyle w:val="TOC2"/>
          </w:pPr>
          <w:hyperlink w:anchor="_Toc00000831" w:history="1">
            <w:r>
              <w:t xml:space="preserve">The /bulkUpload contract</w:t>
            </w:r>
          </w:hyperlink>
        </w:p>
        <w:p>
          <w:pPr>
            <w:pStyle w:val="TOC2"/>
          </w:pPr>
          <w:hyperlink w:anchor="_Toc00000832" w:history="1">
            <w:r>
              <w:t xml:space="preserve">Two landing zones</w:t>
            </w:r>
          </w:hyperlink>
        </w:p>
        <w:p>
          <w:pPr>
            <w:pStyle w:val="TOC2"/>
          </w:pPr>
          <w:hyperlink w:anchor="_Toc00000833" w:history="1">
            <w:r>
              <w:t xml:space="preserve">Native connectors</w:t>
            </w:r>
          </w:hyperlink>
        </w:p>
        <w:p>
          <w:pPr>
            <w:pStyle w:val="TOC2"/>
          </w:pPr>
          <w:hyperlink w:anchor="_Toc00000834" w:history="1">
            <w:r>
              <w:t xml:space="preserve">Writeback: optional and one-way per attribute</w:t>
            </w:r>
          </w:hyperlink>
        </w:p>
        <w:p>
          <w:pPr>
            <w:pStyle w:val="TOC2"/>
          </w:pPr>
          <w:hyperlink w:anchor="_Toc00000835" w:history="1">
            <w:r>
              <w:t xml:space="preserve">Continue the book</w:t>
            </w:r>
          </w:hyperlink>
        </w:p>
        <w:p>
          <w:pPr>
            <w:pStyle w:val="TOC1"/>
          </w:pPr>
          <w:hyperlink w:anchor="_Toc00000836" w:history="1">
            <w:r>
              <w:t xml:space="preserve">Chapter 06 — The Canonical Workforce Identity Model</w:t>
            </w:r>
          </w:hyperlink>
        </w:p>
        <w:p>
          <w:pPr>
            <w:pStyle w:val="TOC2"/>
          </w:pPr>
          <w:hyperlink w:anchor="_Toc00000837" w:history="1">
            <w:r>
              <w:t xml:space="preserve">In this chapter</w:t>
            </w:r>
          </w:hyperlink>
        </w:p>
        <w:p>
          <w:pPr>
            <w:pStyle w:val="TOC2"/>
          </w:pPr>
          <w:hyperlink w:anchor="_Toc00000838" w:history="1">
            <w:r>
              <w:t xml:space="preserve">The standard-attribute layer</w:t>
            </w:r>
          </w:hyperlink>
        </w:p>
        <w:p>
          <w:pPr>
            <w:pStyle w:val="TOC2"/>
          </w:pPr>
          <w:hyperlink w:anchor="_Toc00000839" w:history="1">
            <w:r>
              <w:t xml:space="preserve">Contractors and vendors: the population HRIT doesn’t cover</w:t>
            </w:r>
          </w:hyperlink>
        </w:p>
        <w:p>
          <w:pPr>
            <w:pStyle w:val="TOC2"/>
          </w:pPr>
          <w:hyperlink w:anchor="_Toc00000840" w:history="1">
            <w:r>
              <w:t xml:space="preserve">Design rules</w:t>
            </w:r>
          </w:hyperlink>
        </w:p>
        <w:p>
          <w:pPr>
            <w:pStyle w:val="TOC2"/>
          </w:pPr>
          <w:hyperlink w:anchor="_Toc00000841" w:history="1">
            <w:r>
              <w:t xml:space="preserve">The schema</w:t>
            </w:r>
          </w:hyperlink>
        </w:p>
        <w:p>
          <w:pPr>
            <w:pStyle w:val="TOC2"/>
          </w:pPr>
          <w:hyperlink w:anchor="_Toc00000842" w:history="1">
            <w:r>
              <w:t xml:space="preserve">Writers</w:t>
            </w:r>
          </w:hyperlink>
        </w:p>
        <w:p>
          <w:pPr>
            <w:pStyle w:val="TOC2"/>
          </w:pPr>
          <w:hyperlink w:anchor="_Toc00000843" w:history="1">
            <w:r>
              <w:t xml:space="preserve">How other pages use this schema</w:t>
            </w:r>
          </w:hyperlink>
        </w:p>
        <w:p>
          <w:pPr>
            <w:pStyle w:val="TOC2"/>
          </w:pPr>
          <w:hyperlink w:anchor="_Toc00000844" w:history="1">
            <w:r>
              <w:t xml:space="preserve">Continue the book</w:t>
            </w:r>
          </w:hyperlink>
        </w:p>
        <w:p>
          <w:pPr>
            <w:pStyle w:val="TOC1"/>
          </w:pPr>
          <w:hyperlink w:anchor="_Toc00000845" w:history="1">
            <w:r>
              <w:t xml:space="preserve">Chapter 07 — Who Owns Workforce Identity</w:t>
            </w:r>
          </w:hyperlink>
        </w:p>
        <w:p>
          <w:pPr>
            <w:pStyle w:val="TOC2"/>
          </w:pPr>
          <w:hyperlink w:anchor="_Toc00000846" w:history="1">
            <w:r>
              <w:t xml:space="preserve">In this chapter</w:t>
            </w:r>
          </w:hyperlink>
        </w:p>
        <w:p>
          <w:pPr>
            <w:pStyle w:val="TOC2"/>
          </w:pPr>
          <w:hyperlink w:anchor="_Toc00000847" w:history="1">
            <w:r>
              <w:t xml:space="preserve">Who owns the data</w:t>
            </w:r>
          </w:hyperlink>
        </w:p>
        <w:p>
          <w:pPr>
            <w:pStyle w:val="TOC2"/>
          </w:pPr>
          <w:hyperlink w:anchor="_Toc00000848" w:history="1">
            <w:r>
              <w:t xml:space="preserve">Who uses it</w:t>
            </w:r>
          </w:hyperlink>
        </w:p>
        <w:p>
          <w:pPr>
            <w:pStyle w:val="TOC2"/>
          </w:pPr>
          <w:hyperlink w:anchor="_Toc00000849" w:history="1">
            <w:r>
              <w:t xml:space="preserve">Who guards it</w:t>
            </w:r>
          </w:hyperlink>
        </w:p>
        <w:p>
          <w:pPr>
            <w:pStyle w:val="TOC2"/>
          </w:pPr>
          <w:hyperlink w:anchor="_Toc00000850" w:history="1">
            <w:r>
              <w:t xml:space="preserve">The data architect: one model, one key, one owner per attribute</w:t>
            </w:r>
          </w:hyperlink>
        </w:p>
        <w:p>
          <w:pPr>
            <w:pStyle w:val="TOC2"/>
          </w:pPr>
          <w:hyperlink w:anchor="_Toc00000851" w:history="1">
            <w:r>
              <w:t xml:space="preserve">The responsibility matrix</w:t>
            </w:r>
          </w:hyperlink>
        </w:p>
        <w:p>
          <w:pPr>
            <w:pStyle w:val="TOC2"/>
          </w:pPr>
          <w:hyperlink w:anchor="_Toc00000852" w:history="1">
            <w:r>
              <w:t xml:space="preserve">Where ownership fails, and how the program prevents it</w:t>
            </w:r>
          </w:hyperlink>
        </w:p>
        <w:p>
          <w:pPr>
            <w:pStyle w:val="TOC2"/>
          </w:pPr>
          <w:hyperlink w:anchor="_Toc00000853" w:history="1">
            <w:r>
              <w:t xml:space="preserve">Continue the book</w:t>
            </w:r>
          </w:hyperlink>
        </w:p>
        <w:p>
          <w:pPr>
            <w:pStyle w:val="TOC1"/>
          </w:pPr>
          <w:hyperlink w:anchor="_Toc00000854" w:history="1">
            <w:r>
              <w:t xml:space="preserve">Chapter 08 — Joiner, Mover, Leaver</w:t>
            </w:r>
          </w:hyperlink>
        </w:p>
        <w:p>
          <w:pPr>
            <w:pStyle w:val="TOC2"/>
          </w:pPr>
          <w:hyperlink w:anchor="_Toc00000855" w:history="1">
            <w:r>
              <w:t xml:space="preserve">In this chapter</w:t>
            </w:r>
          </w:hyperlink>
        </w:p>
        <w:p>
          <w:pPr>
            <w:pStyle w:val="TOC2"/>
          </w:pPr>
          <w:hyperlink w:anchor="_Toc00000856" w:history="1">
            <w:r>
              <w:t xml:space="preserve">The lifecycle is an event stream</w:t>
            </w:r>
          </w:hyperlink>
        </w:p>
        <w:p>
          <w:pPr>
            <w:pStyle w:val="TOC2"/>
          </w:pPr>
          <w:hyperlink w:anchor="_Toc00000857" w:history="1">
            <w:r>
              <w:t xml:space="preserve">Personnel actions are the triggers</w:t>
            </w:r>
          </w:hyperlink>
        </w:p>
        <w:p>
          <w:pPr>
            <w:pStyle w:val="TOC2"/>
          </w:pPr>
          <w:hyperlink w:anchor="_Toc00000858" w:history="1">
            <w:r>
              <w:t xml:space="preserve">Who does what: provisioning and Lifecycle Workflows</w:t>
            </w:r>
          </w:hyperlink>
        </w:p>
        <w:p>
          <w:pPr>
            <w:pStyle w:val="TOC2"/>
          </w:pPr>
          <w:hyperlink w:anchor="_Toc00000859" w:history="1">
            <w:r>
              <w:t xml:space="preserve">Joiner</w:t>
            </w:r>
          </w:hyperlink>
        </w:p>
        <w:p>
          <w:pPr>
            <w:pStyle w:val="TOC2"/>
          </w:pPr>
          <w:hyperlink w:anchor="_Toc00000860" w:history="1">
            <w:r>
              <w:t xml:space="preserve">Mover</w:t>
            </w:r>
          </w:hyperlink>
        </w:p>
        <w:p>
          <w:pPr>
            <w:pStyle w:val="TOC2"/>
          </w:pPr>
          <w:hyperlink w:anchor="_Toc00000861" w:history="1">
            <w:r>
              <w:t xml:space="preserve">Leaver</w:t>
            </w:r>
          </w:hyperlink>
        </w:p>
        <w:p>
          <w:pPr>
            <w:pStyle w:val="TOC2"/>
          </w:pPr>
          <w:hyperlink w:anchor="_Toc00000862" w:history="1">
            <w:r>
              <w:t xml:space="preserve">Rehire and conversion</w:t>
            </w:r>
          </w:hyperlink>
        </w:p>
        <w:p>
          <w:pPr>
            <w:pStyle w:val="TOC2"/>
          </w:pPr>
          <w:hyperlink w:anchor="_Toc00000863" w:history="1">
            <w:r>
              <w:t xml:space="preserve">Deletion</w:t>
            </w:r>
          </w:hyperlink>
        </w:p>
        <w:p>
          <w:pPr>
            <w:pStyle w:val="TOC2"/>
          </w:pPr>
          <w:hyperlink w:anchor="_Toc00000864" w:history="1">
            <w:r>
              <w:t xml:space="preserve">Continue the book</w:t>
            </w:r>
          </w:hyperlink>
        </w:p>
        <w:p>
          <w:pPr>
            <w:pStyle w:val="TOC1"/>
          </w:pPr>
          <w:hyperlink w:anchor="_Toc00000865" w:history="1">
            <w:r>
              <w:t xml:space="preserve">Chapter 09 — Credentials and Certificates Across Joiner, Mover, Leaver</w:t>
            </w:r>
          </w:hyperlink>
        </w:p>
        <w:p>
          <w:pPr>
            <w:pStyle w:val="TOC2"/>
          </w:pPr>
          <w:hyperlink w:anchor="_Toc00000866" w:history="1">
            <w:r>
              <w:t xml:space="preserve">In this chapter</w:t>
            </w:r>
          </w:hyperlink>
        </w:p>
        <w:p>
          <w:pPr>
            <w:pStyle w:val="TOC2"/>
          </w:pPr>
          <w:hyperlink w:anchor="_Toc00000867" w:history="1">
            <w:r>
              <w:t xml:space="preserve">Why certificates need their own chapter</w:t>
            </w:r>
          </w:hyperlink>
        </w:p>
        <w:p>
          <w:pPr>
            <w:pStyle w:val="TOC2"/>
          </w:pPr>
          <w:hyperlink w:anchor="_Toc00000868" w:history="1">
            <w:r>
              <w:t xml:space="preserve">Joiner: proofing, issuance, binding</w:t>
            </w:r>
          </w:hyperlink>
        </w:p>
        <w:p>
          <w:pPr>
            <w:pStyle w:val="TOC2"/>
          </w:pPr>
          <w:hyperlink w:anchor="_Toc00000869" w:history="1">
            <w:r>
              <w:t xml:space="preserve">Mover: usually nothing, sometimes a reissue</w:t>
            </w:r>
          </w:hyperlink>
        </w:p>
        <w:p>
          <w:pPr>
            <w:pStyle w:val="TOC2"/>
          </w:pPr>
          <w:hyperlink w:anchor="_Toc00000870" w:history="1">
            <w:r>
              <w:t xml:space="preserve">Device certificates: Intune and Microsoft Cloud PKI</w:t>
            </w:r>
          </w:hyperlink>
        </w:p>
        <w:p>
          <w:pPr>
            <w:pStyle w:val="TOC2"/>
          </w:pPr>
          <w:hyperlink w:anchor="_Toc00000871" w:history="1">
            <w:r>
              <w:t xml:space="preserve">The canonical leaver sequence</w:t>
            </w:r>
          </w:hyperlink>
        </w:p>
        <w:p>
          <w:pPr>
            <w:pStyle w:val="TOC2"/>
          </w:pPr>
          <w:hyperlink w:anchor="_Toc00000872" w:history="1">
            <w:r>
              <w:t xml:space="preserve">What the evidence must show</w:t>
            </w:r>
          </w:hyperlink>
        </w:p>
        <w:p>
          <w:pPr>
            <w:pStyle w:val="TOC2"/>
          </w:pPr>
          <w:hyperlink w:anchor="_Toc00000873" w:history="1">
            <w:r>
              <w:t xml:space="preserve">Continue the book</w:t>
            </w:r>
          </w:hyperlink>
        </w:p>
        <w:p>
          <w:pPr>
            <w:pStyle w:val="TOC1"/>
          </w:pPr>
          <w:hyperlink w:anchor="_Toc00000874" w:history="1">
            <w:r>
              <w:t xml:space="preserve">Chapter 10 — From Attributes to Access</w:t>
            </w:r>
          </w:hyperlink>
        </w:p>
        <w:p>
          <w:pPr>
            <w:pStyle w:val="TOC2"/>
          </w:pPr>
          <w:hyperlink w:anchor="_Toc00000875" w:history="1">
            <w:r>
              <w:t xml:space="preserve">In this chapter</w:t>
            </w:r>
          </w:hyperlink>
        </w:p>
        <w:p>
          <w:pPr>
            <w:pStyle w:val="TOC2"/>
          </w:pPr>
          <w:hyperlink w:anchor="_Toc00000876" w:history="1">
            <w:r>
              <w:t xml:space="preserve">The derivation chain</w:t>
            </w:r>
          </w:hyperlink>
        </w:p>
        <w:p>
          <w:pPr>
            <w:pStyle w:val="TOC2"/>
          </w:pPr>
          <w:hyperlink w:anchor="_Toc00000877" w:history="1">
            <w:r>
              <w:t xml:space="preserve">Rule patterns</w:t>
            </w:r>
          </w:hyperlink>
        </w:p>
        <w:p>
          <w:pPr>
            <w:pStyle w:val="TOC2"/>
          </w:pPr>
          <w:hyperlink w:anchor="_Toc00000878" w:history="1">
            <w:r>
              <w:t xml:space="preserve">Administrative units</w:t>
            </w:r>
          </w:hyperlink>
        </w:p>
        <w:p>
          <w:pPr>
            <w:pStyle w:val="TOC2"/>
          </w:pPr>
          <w:hyperlink w:anchor="_Toc00000879" w:history="1">
            <w:r>
              <w:t xml:space="preserve">Access packages and access reviews</w:t>
            </w:r>
          </w:hyperlink>
        </w:p>
        <w:p>
          <w:pPr>
            <w:pStyle w:val="TOC2"/>
          </w:pPr>
          <w:hyperlink w:anchor="_Toc00000880" w:history="1">
            <w:r>
              <w:t xml:space="preserve">Where dynamic membership stops</w:t>
            </w:r>
          </w:hyperlink>
        </w:p>
        <w:p>
          <w:pPr>
            <w:pStyle w:val="TOC2"/>
          </w:pPr>
          <w:hyperlink w:anchor="_Toc00000881" w:history="1">
            <w:r>
              <w:t xml:space="preserve">Continue the book</w:t>
            </w:r>
          </w:hyperlink>
        </w:p>
        <w:p>
          <w:pPr>
            <w:pStyle w:val="TOC1"/>
          </w:pPr>
          <w:hyperlink w:anchor="_Toc00000882" w:history="1">
            <w:r>
              <w:t xml:space="preserve">Chapter 11 — Drift, Metrics and Evidence</w:t>
            </w:r>
          </w:hyperlink>
        </w:p>
        <w:p>
          <w:pPr>
            <w:pStyle w:val="TOC2"/>
          </w:pPr>
          <w:hyperlink w:anchor="_Toc00000883" w:history="1">
            <w:r>
              <w:t xml:space="preserve">In this chapter</w:t>
            </w:r>
          </w:hyperlink>
        </w:p>
        <w:p>
          <w:pPr>
            <w:pStyle w:val="TOC2"/>
          </w:pPr>
          <w:hyperlink w:anchor="_Toc00000884" w:history="1">
            <w:r>
              <w:t xml:space="preserve">The measured lifecycle</w:t>
            </w:r>
          </w:hyperlink>
        </w:p>
        <w:p>
          <w:pPr>
            <w:pStyle w:val="TOC2"/>
          </w:pPr>
          <w:hyperlink w:anchor="_Toc00000885" w:history="1">
            <w:r>
              <w:t xml:space="preserve">Drift between HR and the directory</w:t>
            </w:r>
          </w:hyperlink>
        </w:p>
        <w:p>
          <w:pPr>
            <w:pStyle w:val="TOC2"/>
          </w:pPr>
          <w:hyperlink w:anchor="_Toc00000886" w:history="1">
            <w:r>
              <w:t xml:space="preserve">The evidence each event leaves</w:t>
            </w:r>
          </w:hyperlink>
        </w:p>
        <w:p>
          <w:pPr>
            <w:pStyle w:val="TOC2"/>
          </w:pPr>
          <w:hyperlink w:anchor="_Toc00000887" w:history="1">
            <w:r>
              <w:t xml:space="preserve">Control support: NIST SP 800-53 Rev. 5</w:t>
            </w:r>
          </w:hyperlink>
        </w:p>
        <w:p>
          <w:pPr>
            <w:pStyle w:val="TOC2"/>
          </w:pPr>
          <w:hyperlink w:anchor="_Toc00000888" w:history="1">
            <w:r>
              <w:t xml:space="preserve">Continue the book</w:t>
            </w:r>
          </w:hyperlink>
        </w:p>
        <w:p>
          <w:pPr>
            <w:pStyle w:val="TOC1"/>
          </w:pPr>
          <w:hyperlink w:anchor="_Toc00000889" w:history="1">
            <w:r>
              <w:t xml:space="preserve">Chapter 12 — Execution Plan</w:t>
            </w:r>
          </w:hyperlink>
        </w:p>
        <w:p>
          <w:pPr>
            <w:pStyle w:val="TOC2"/>
          </w:pPr>
          <w:hyperlink w:anchor="_Toc00000890" w:history="1">
            <w:r>
              <w:t xml:space="preserve">In this chapter</w:t>
            </w:r>
          </w:hyperlink>
        </w:p>
        <w:p>
          <w:pPr>
            <w:pStyle w:val="TOC2"/>
          </w:pPr>
          <w:hyperlink w:anchor="_Toc00000891" w:history="1">
            <w:r>
              <w:t xml:space="preserve">Sequencing principle</w:t>
            </w:r>
          </w:hyperlink>
        </w:p>
        <w:p>
          <w:pPr>
            <w:pStyle w:val="TOC2"/>
          </w:pPr>
          <w:hyperlink w:anchor="_Toc00000892" w:history="1">
            <w:r>
              <w:t xml:space="preserve">Phase 0 — Program alignment</w:t>
            </w:r>
          </w:hyperlink>
        </w:p>
        <w:p>
          <w:pPr>
            <w:pStyle w:val="TOC2"/>
          </w:pPr>
          <w:hyperlink w:anchor="_Toc00000893" w:history="1">
            <w:r>
              <w:t xml:space="preserve">Phase 1 — Attribute authority and schema</w:t>
            </w:r>
          </w:hyperlink>
        </w:p>
        <w:p>
          <w:pPr>
            <w:pStyle w:val="TOC2"/>
          </w:pPr>
          <w:hyperlink w:anchor="_Toc00000894" w:history="1">
            <w:r>
              <w:t xml:space="preserve">Phase 2 — Pipeline build and test</w:t>
            </w:r>
          </w:hyperlink>
        </w:p>
        <w:p>
          <w:pPr>
            <w:pStyle w:val="TOC2"/>
          </w:pPr>
          <w:hyperlink w:anchor="_Toc00000895" w:history="1">
            <w:r>
              <w:t xml:space="preserve">Phase 3 — Hybrid go-live (pilot)</w:t>
            </w:r>
          </w:hyperlink>
        </w:p>
        <w:p>
          <w:pPr>
            <w:pStyle w:val="TOC2"/>
          </w:pPr>
          <w:hyperlink w:anchor="_Toc00000896" w:history="1">
            <w:r>
              <w:t xml:space="preserve">Phase 4 — Lifecycle automation and attribute-derived access</w:t>
            </w:r>
          </w:hyperlink>
        </w:p>
        <w:p>
          <w:pPr>
            <w:pStyle w:val="TOC2"/>
          </w:pPr>
          <w:hyperlink w:anchor="_Toc00000897" w:history="1">
            <w:r>
              <w:t xml:space="preserve">Phase 5 — Cutover, population by population</w:t>
            </w:r>
          </w:hyperlink>
        </w:p>
        <w:p>
          <w:pPr>
            <w:pStyle w:val="TOC2"/>
          </w:pPr>
          <w:hyperlink w:anchor="_Toc00000898" w:history="1">
            <w:r>
              <w:t xml:space="preserve">Phase 6 — Sustained posture</w:t>
            </w:r>
          </w:hyperlink>
        </w:p>
        <w:p>
          <w:pPr>
            <w:pStyle w:val="TOC2"/>
          </w:pPr>
          <w:hyperlink w:anchor="_Toc00000899" w:history="1">
            <w:r>
              <w:t xml:space="preserve">The program at a glance</w:t>
            </w:r>
          </w:hyperlink>
        </w:p>
        <w:p>
          <w:pPr>
            <w:pStyle w:val="TOC2"/>
          </w:pPr>
          <w:hyperlink w:anchor="_Toc00000900" w:history="1">
            <w:r>
              <w:t xml:space="preserve">Roles</w:t>
            </w:r>
          </w:hyperlink>
        </w:p>
        <w:p>
          <w:pPr>
            <w:pStyle w:val="TOC2"/>
          </w:pPr>
          <w:hyperlink w:anchor="_Toc00000901" w:history="1">
            <w:r>
              <w:t xml:space="preserve">Open verification register</w:t>
            </w:r>
          </w:hyperlink>
        </w:p>
        <w:p>
          <w:pPr>
            <w:pStyle w:val="TOC2"/>
          </w:pPr>
          <w:hyperlink w:anchor="_Toc00000902" w:history="1">
            <w:r>
              <w:t xml:space="preserve">Continue the book</w:t>
            </w:r>
          </w:hyperlink>
        </w:p>
        <w:p>
          <w:pPr>
            <w:pStyle w:val="TOC1"/>
          </w:pPr>
          <w:hyperlink w:anchor="_Toc00000903" w:history="1">
            <w:r>
              <w:t xml:space="preserve">Chapter 13 — Reference Deployment (Illustrative)</w:t>
            </w:r>
          </w:hyperlink>
        </w:p>
        <w:p>
          <w:pPr>
            <w:pStyle w:val="TOC2"/>
          </w:pPr>
          <w:hyperlink w:anchor="_Toc00000904" w:history="1">
            <w:r>
              <w:t xml:space="preserve">In this chapter</w:t>
            </w:r>
          </w:hyperlink>
        </w:p>
        <w:p>
          <w:pPr>
            <w:pStyle w:val="TOC2"/>
          </w:pPr>
          <w:hyperlink w:anchor="_Toc00000905" w:history="1">
            <w:r>
              <w:t xml:space="preserve">Illustrative, not an engagement record</w:t>
            </w:r>
          </w:hyperlink>
        </w:p>
        <w:p>
          <w:pPr>
            <w:pStyle w:val="TOC2"/>
          </w:pPr>
          <w:hyperlink w:anchor="_Toc00000906" w:history="1">
            <w:r>
              <w:t xml:space="preserve">The agency</w:t>
            </w:r>
          </w:hyperlink>
        </w:p>
        <w:p>
          <w:pPr>
            <w:pStyle w:val="TOC2"/>
          </w:pPr>
          <w:hyperlink w:anchor="_Toc00000907" w:history="1">
            <w:r>
              <w:t xml:space="preserve">Phase by phase</w:t>
            </w:r>
          </w:hyperlink>
        </w:p>
        <w:p>
          <w:pPr>
            <w:pStyle w:val="TOC2"/>
          </w:pPr>
          <w:hyperlink w:anchor="_Toc00000908" w:history="1">
            <w:r>
              <w:t xml:space="preserve">The evidence package</w:t>
            </w:r>
          </w:hyperlink>
        </w:p>
        <w:p>
          <w:pPr>
            <w:pStyle w:val="TOC2"/>
          </w:pPr>
          <w:hyperlink w:anchor="_Toc00000909" w:history="1">
            <w:r>
              <w:t xml:space="preserve">What survives the engagement</w:t>
            </w:r>
          </w:hyperlink>
        </w:p>
        <w:p>
          <w:pPr>
            <w:pStyle w:val="TOC2"/>
          </w:pPr>
          <w:hyperlink w:anchor="_Toc00000910" w:history="1">
            <w:r>
              <w:t xml:space="preserve">Companion</w:t>
            </w:r>
          </w:hyperlink>
        </w:p>
        <w:p>
          <w:pPr>
            <w:pStyle w:val="TOC2"/>
          </w:pPr>
          <w:hyperlink w:anchor="_Toc00000911" w:history="1">
            <w:r>
              <w:t xml:space="preserve">Continue the book</w:t>
            </w:r>
          </w:hyperlink>
        </w:p>
        <w:p>
          <w:pPr>
            <w:pStyle w:val="TOC1"/>
          </w:pPr>
          <w:hyperlink w:anchor="_Toc00000912" w:history="1">
            <w:r>
              <w:t xml:space="preserve">Appendix A — Lifecycle Rules</w:t>
            </w:r>
          </w:hyperlink>
        </w:p>
        <w:p>
          <w:pPr>
            <w:pStyle w:val="TOC2"/>
          </w:pPr>
          <w:hyperlink w:anchor="_Toc00000913" w:history="1">
            <w:r>
              <w:t xml:space="preserve">In this appendix</w:t>
            </w:r>
          </w:hyperlink>
        </w:p>
        <w:p>
          <w:pPr>
            <w:pStyle w:val="TOC2"/>
          </w:pPr>
          <w:hyperlink w:anchor="_Toc00000914" w:history="1">
            <w:r>
              <w:t xml:space="preserve">Scope</w:t>
            </w:r>
          </w:hyperlink>
        </w:p>
        <w:p>
          <w:pPr>
            <w:pStyle w:val="TOC2"/>
          </w:pPr>
          <w:hyperlink w:anchor="_Toc00000915" w:history="1">
            <w:r>
              <w:t xml:space="preserve">Leave is not a leaver</w:t>
            </w:r>
          </w:hyperlink>
        </w:p>
        <w:p>
          <w:pPr>
            <w:pStyle w:val="TOC2"/>
          </w:pPr>
          <w:hyperlink w:anchor="_Toc00000916" w:history="1">
            <w:r>
              <w:t xml:space="preserve">Precedence</w:t>
            </w:r>
          </w:hyperlink>
        </w:p>
        <w:p>
          <w:pPr>
            <w:pStyle w:val="TOC2"/>
          </w:pPr>
          <w:hyperlink w:anchor="_Toc00000917" w:history="1">
            <w:r>
              <w:t xml:space="preserve">Rescinded offers and cancellations</w:t>
            </w:r>
          </w:hyperlink>
        </w:p>
        <w:p>
          <w:pPr>
            <w:pStyle w:val="TOC2"/>
          </w:pPr>
          <w:hyperlink w:anchor="_Toc00000918" w:history="1">
            <w:r>
              <w:t xml:space="preserve">Partial leavers</w:t>
            </w:r>
          </w:hyperlink>
        </w:p>
        <w:p>
          <w:pPr>
            <w:pStyle w:val="TOC2"/>
          </w:pPr>
          <w:hyperlink w:anchor="_Toc00000919" w:history="1">
            <w:r>
              <w:t xml:space="preserve">The quarantine contract</w:t>
            </w:r>
          </w:hyperlink>
        </w:p>
        <w:p>
          <w:pPr>
            <w:pStyle w:val="TOC2"/>
          </w:pPr>
          <w:hyperlink w:anchor="_Toc00000920" w:history="1">
            <w:r>
              <w:t xml:space="preserve">Manager links</w:t>
            </w:r>
          </w:hyperlink>
        </w:p>
        <w:p>
          <w:pPr>
            <w:pStyle w:val="TOC2"/>
          </w:pPr>
          <w:hyperlink w:anchor="_Toc00000921" w:history="1">
            <w:r>
              <w:t xml:space="preserve">Rehire and conversion</w:t>
            </w:r>
          </w:hyperlink>
        </w:p>
        <w:p>
          <w:pPr>
            <w:pStyle w:val="TOC2"/>
          </w:pPr>
          <w:hyperlink w:anchor="_Toc00000922" w:history="1">
            <w:r>
              <w:t xml:space="preserve">Continue the book</w:t>
            </w:r>
          </w:hyperlink>
        </w:p>
        <w:p>
          <w:pPr>
            <w:pStyle w:val="TOC1"/>
          </w:pPr>
          <w:hyperlink w:anchor="_Toc00000923" w:history="1">
            <w:r>
              <w:t xml:space="preserve">Appendix B — Security and Privacy Assessment</w:t>
            </w:r>
          </w:hyperlink>
        </w:p>
        <w:p>
          <w:pPr>
            <w:pStyle w:val="TOC2"/>
          </w:pPr>
          <w:hyperlink w:anchor="_Toc00000924" w:history="1">
            <w:r>
              <w:t xml:space="preserve">In this appendix</w:t>
            </w:r>
          </w:hyperlink>
        </w:p>
        <w:p>
          <w:pPr>
            <w:pStyle w:val="TOC2"/>
          </w:pPr>
          <w:hyperlink w:anchor="_Toc00000925" w:history="1">
            <w:r>
              <w:t xml:space="preserve">The privacy basis</w:t>
            </w:r>
          </w:hyperlink>
        </w:p>
        <w:p>
          <w:pPr>
            <w:pStyle w:val="TOC2"/>
          </w:pPr>
          <w:hyperlink w:anchor="_Toc00000926" w:history="1">
            <w:r>
              <w:t xml:space="preserve">Minimization</w:t>
            </w:r>
          </w:hyperlink>
        </w:p>
        <w:p>
          <w:pPr>
            <w:pStyle w:val="TOC2"/>
          </w:pPr>
          <w:hyperlink w:anchor="_Toc00000927" w:history="1">
            <w:r>
              <w:t xml:space="preserve">Protecting every leg</w:t>
            </w:r>
          </w:hyperlink>
        </w:p>
        <w:p>
          <w:pPr>
            <w:pStyle w:val="TOC2"/>
          </w:pPr>
          <w:hyperlink w:anchor="_Toc00000928" w:history="1">
            <w:r>
              <w:t xml:space="preserve">Service identity and privilege</w:t>
            </w:r>
          </w:hyperlink>
        </w:p>
        <w:p>
          <w:pPr>
            <w:pStyle w:val="TOC2"/>
          </w:pPr>
          <w:hyperlink w:anchor="_Toc00000929" w:history="1">
            <w:r>
              <w:t xml:space="preserve">A pause switch</w:t>
            </w:r>
          </w:hyperlink>
        </w:p>
        <w:p>
          <w:pPr>
            <w:pStyle w:val="TOC2"/>
          </w:pPr>
          <w:hyperlink w:anchor="_Toc00000930" w:history="1">
            <w:r>
              <w:t xml:space="preserve">ISSO review checklist</w:t>
            </w:r>
          </w:hyperlink>
        </w:p>
        <w:p>
          <w:pPr>
            <w:pStyle w:val="TOC2"/>
          </w:pPr>
          <w:hyperlink w:anchor="_Toc00000931" w:history="1">
            <w:r>
              <w:t xml:space="preserve">Continue the book</w:t>
            </w:r>
          </w:hyperlink>
        </w:p>
        <w:p>
          <w:pPr>
            <w:pStyle w:val="TOC1"/>
          </w:pPr>
          <w:hyperlink w:anchor="_Toc00000932" w:history="1">
            <w:r>
              <w:t xml:space="preserve">Appendix C — Acceptance and Cutover</w:t>
            </w:r>
          </w:hyperlink>
        </w:p>
        <w:p>
          <w:pPr>
            <w:pStyle w:val="TOC2"/>
          </w:pPr>
          <w:hyperlink w:anchor="_Toc00000933" w:history="1">
            <w:r>
              <w:t xml:space="preserve">In this appendix</w:t>
            </w:r>
          </w:hyperlink>
        </w:p>
        <w:p>
          <w:pPr>
            <w:pStyle w:val="TOC2"/>
          </w:pPr>
          <w:hyperlink w:anchor="_Toc00000934" w:history="1">
            <w:r>
              <w:t xml:space="preserve">Acceptance</w:t>
            </w:r>
          </w:hyperlink>
        </w:p>
        <w:p>
          <w:pPr>
            <w:pStyle w:val="TOC2"/>
          </w:pPr>
          <w:hyperlink w:anchor="_Toc00000935" w:history="1">
            <w:r>
              <w:t xml:space="preserve">The validation report</w:t>
            </w:r>
          </w:hyperlink>
        </w:p>
        <w:p>
          <w:pPr>
            <w:pStyle w:val="TOC2"/>
          </w:pPr>
          <w:hyperlink w:anchor="_Toc00000936" w:history="1">
            <w:r>
              <w:t xml:space="preserve">Dry run, cutover and rollback</w:t>
            </w:r>
          </w:hyperlink>
        </w:p>
        <w:p>
          <w:pPr>
            <w:pStyle w:val="TOC2"/>
          </w:pPr>
          <w:hyperlink w:anchor="_Toc00000937" w:history="1">
            <w:r>
              <w:t xml:space="preserve">Proving HR is the sole source</w:t>
            </w:r>
          </w:hyperlink>
        </w:p>
        <w:p>
          <w:pPr>
            <w:pStyle w:val="TOC2"/>
          </w:pPr>
          <w:hyperlink w:anchor="_Toc00000938" w:history="1">
            <w:r>
              <w:t xml:space="preserve">Closing the ticket path</w:t>
            </w:r>
          </w:hyperlink>
        </w:p>
        <w:p>
          <w:pPr>
            <w:pStyle w:val="TOC2"/>
          </w:pPr>
          <w:hyperlink w:anchor="_Toc00000939" w:history="1">
            <w:r>
              <w:t xml:space="preserve">Where an HR connector already exists</w:t>
            </w:r>
          </w:hyperlink>
        </w:p>
        <w:p>
          <w:pPr>
            <w:pStyle w:val="TOC2"/>
          </w:pPr>
          <w:hyperlink w:anchor="_Toc00000940" w:history="1">
            <w:r>
              <w:t xml:space="preserve">Continue the book</w:t>
            </w:r>
          </w:hyperlink>
          <w:r>
            <w:fldChar w:fldCharType="end"/>
          </w:r>
        </w:p>
      </w:sdtContent>
    </w:sdt>
    <w:bookmarkStart w:id="19" w:name="X6ec720813dd0a58999ca26ea862fa007b19c640"/>
    <w:p>
      <w:pPr>
        <w:pStyle w:val="Heading1"/>
      </w:pPr>
      <w:bookmarkStart w:id="776" w:name="_Toc00000776"/>
      <w:r>
        <w:t xml:space="preserve">Book 03 — HR-Driven Identity: An Enterprise Data Architecture Case Study</w:t>
      </w:r>
      <w:bookmarkEnd w:id="776"/>
    </w:p>
    <w:bookmarkStart w:id="10" w:name="status-draft-book"/>
    <w:p>
      <w:pPr>
        <w:pStyle w:val="Heading2"/>
      </w:pPr>
      <w:bookmarkStart w:id="777" w:name="_Toc00000777"/>
      <w:r>
        <w:t xml:space="preserve">Status — draft book</w:t>
      </w:r>
      <w:bookmarkEnd w:id="777"/>
    </w:p>
    <w:p>
      <w:pPr>
        <w:pStyle w:val="FirstParagraph"/>
      </w:pPr>
      <w:r>
        <w:t xml:space="preserve">This book is the former HR-Driven Identity series, which had already consolidated nine separate pages. It now reads Why / What / Who / How, with a new chapter on who owns workforce identity. Every external claim was checked against a primary source on October 20, 2026 and carries a footnote. The previous pages are kept in the repository’s</w:t>
      </w:r>
      <w:r>
        <w:t xml:space="preserve"> </w:t>
      </w:r>
      <w:hyperlink r:id="rId9">
        <w:r>
          <w:rPr>
            <w:rStyle w:val="VerbatimChar"/>
          </w:rPr>
          <w:t xml:space="preserve">archive/b03-hr-identity/</w:t>
        </w:r>
      </w:hyperlink>
      <w:r>
        <w:t xml:space="preserve"> </w:t>
      </w:r>
      <w:r>
        <w:t xml:space="preserve">folder, and their old addresses forward here. Federal HR 2.0 program facts change; check them at engagement time.</w:t>
      </w:r>
    </w:p>
    <w:bookmarkEnd w:id="10"/>
    <w:p>
      <w:pPr>
        <w:pStyle w:val="BodyText"/>
      </w:pPr>
      <w:r>
        <w:rPr>
          <w:b/>
          <w:bCs/>
        </w:rPr>
        <w:t xml:space="preserve">15-minute presentation</w:t>
      </w:r>
      <w:r>
        <w:t xml:space="preserve">: the Why / What / Who / How deck and its narrated version are in</w:t>
      </w:r>
      <w:r>
        <w:t xml:space="preserve"> </w:t>
      </w:r>
      <w:hyperlink r:id="rId11">
        <w:r>
          <w:rPr>
            <w:rStyle w:val="VerbatimChar"/>
          </w:rPr>
          <w:t xml:space="preserve">presentations/b03-hr-identity/</w:t>
        </w:r>
      </w:hyperlink>
      <w:r>
        <w:t xml:space="preserve">. The earlier interview edition is in</w:t>
      </w:r>
      <w:r>
        <w:t xml:space="preserve"> </w:t>
      </w:r>
      <w:hyperlink r:id="rId12">
        <w:r>
          <w:rPr>
            <w:rStyle w:val="VerbatimChar"/>
          </w:rPr>
          <w:t xml:space="preserve">presentations/hr-driven-identity-interview/</w:t>
        </w:r>
      </w:hyperlink>
      <w:r>
        <w:t xml:space="preserve">.</w:t>
      </w:r>
    </w:p>
    <w:p>
      <w:pPr>
        <w:pStyle w:val="BodyText"/>
      </w:pPr>
      <w:r>
        <w:t xml:space="preserve">An agency’s identity platform can prove, cryptographically and at every hop, that a claim was signed by the party allowed to sign it. It can’t tell you whether the claim is</w:t>
      </w:r>
      <w:r>
        <w:t xml:space="preserve"> </w:t>
      </w:r>
      <w:r>
        <w:rPr>
          <w:i/>
          <w:iCs/>
        </w:rPr>
        <w:t xml:space="preserve">true</w:t>
      </w:r>
      <w:r>
        <w:t xml:space="preserve">: whether the person behind the credential still works for the agency, still holds the position the access was granted for, still reports to the supervisor who approved it. Those are workforce facts. They originate in workforce business processes and are recorded in the human capital system of record; identity services consume governed projections of them and remain authoritative for credentials, authentication, sessions, directory objects, and policy enforcement.</w:t>
      </w:r>
    </w:p>
    <w:p>
      <w:pPr>
        <w:pStyle w:val="BodyText"/>
      </w:pPr>
      <w:r>
        <w:t xml:space="preserve">This book is a proposal: use Federal HR 2.0 and the move from Active Directory to Entra ID together to</w:t>
      </w:r>
      <w:r>
        <w:t xml:space="preserve"> </w:t>
      </w:r>
      <w:r>
        <w:rPr>
          <w:b/>
          <w:bCs/>
        </w:rPr>
        <w:t xml:space="preserve">start HR-driven identity</w:t>
      </w:r>
      <w:r>
        <w:t xml:space="preserve">, so that accounts, credentials, access and their removal become timely, explainable</w:t>
      </w:r>
      <w:r>
        <w:t xml:space="preserve"> </w:t>
      </w:r>
      <w:r>
        <w:rPr>
          <w:i/>
          <w:iCs/>
        </w:rPr>
        <w:t xml:space="preserve">consequences</w:t>
      </w:r>
      <w:r>
        <w:t xml:space="preserve"> </w:t>
      </w:r>
      <w:r>
        <w:t xml:space="preserve">of personnel records rather than tickets. It is not a plan to implement HRIT; HRIT is happening regardless. It is a plan to use it. It’s written for a federal civilian agency in the commercial Microsoft cloud at GCC-Moderate / FedRAMP Moderate, receiving its HR data from the government-wide Federal HR 2.0 platform (Oracle Fusion Cloud HCM). For federal employees its contract is OPM’s standard personnel data — the government-wide data standards and nature-of-action codes — mapped once into a governed workforce identity model; vendor field names are replaceable boundary logic. HRIT does not cover contractors and vendors, so they need their own authoritative source mapped into the same model (Chapter 06).</w:t>
      </w:r>
    </w:p>
    <w:p>
      <w:pPr>
        <w:pStyle w:val="CaptionedFigure"/>
      </w:pPr>
      <w:r>
        <w:drawing>
          <wp:inline>
            <wp:extent cx="5334000" cy="2421159"/>
            <wp:effectExtent b="0" l="0" r="0" t="0"/>
            <wp:docPr descr="Two migrations, one opportunity: HR moves to Core HCM and identity moves to Entra ID; together they start HR-driven identity on OPM standard attributes." title="" id="14" name="Picture"/>
            <a:graphic>
              <a:graphicData uri="http://schemas.openxmlformats.org/drawingml/2006/picture">
                <pic:pic>
                  <pic:nvPicPr>
                    <pic:cNvPr descr="/home/runner/work/modernization-workbook/modernization-workbook/docs/images/diagrams/b03-hr-identity/png/ch01-thesis.png" id="15" name="Picture"/>
                    <pic:cNvPicPr>
                      <a:picLocks noChangeArrowheads="1" noChangeAspect="1"/>
                    </pic:cNvPicPr>
                  </pic:nvPicPr>
                  <pic:blipFill>
                    <a:blip r:embed="rId13"/>
                    <a:stretch>
                      <a:fillRect/>
                    </a:stretch>
                  </pic:blipFill>
                  <pic:spPr bwMode="auto">
                    <a:xfrm>
                      <a:off x="0" y="0"/>
                      <a:ext cx="5334000" cy="2421159"/>
                    </a:xfrm>
                    <a:prstGeom prst="rect">
                      <a:avLst/>
                    </a:prstGeom>
                    <a:noFill/>
                    <a:ln w="9525">
                      <a:noFill/>
                      <a:headEnd/>
                      <a:tailEnd/>
                    </a:ln>
                  </pic:spPr>
                </pic:pic>
              </a:graphicData>
            </a:graphic>
          </wp:inline>
        </w:drawing>
      </w:r>
    </w:p>
    <w:p>
      <w:pPr>
        <w:pStyle w:val="ImageCaption"/>
      </w:pPr>
      <w:r>
        <w:t xml:space="preserve">Two migrations, one opportunity: HR moves to Core HCM and identity moves to Entra ID; together they start HR-driven identity on OPM standard attributes.</w:t>
      </w:r>
    </w:p>
    <w:bookmarkStart w:id="16" w:name="modernization-outcomes"/>
    <w:p>
      <w:pPr>
        <w:pStyle w:val="Heading2"/>
      </w:pPr>
      <w:bookmarkStart w:id="778" w:name="_Toc00000778"/>
      <w:r>
        <w:t xml:space="preserve">Modernization outcomes</w:t>
      </w:r>
      <w:bookmarkEnd w:id="778"/>
    </w:p>
    <w:p>
      <w:pPr>
        <w:pStyle w:val="Compact"/>
        <w:numPr>
          <w:ilvl w:val="0"/>
          <w:numId w:val="1001"/>
        </w:numPr>
      </w:pPr>
      <w:r>
        <w:rPr>
          <w:b/>
          <w:bCs/>
        </w:rPr>
        <w:t xml:space="preserve">Day-one readiness:</w:t>
      </w:r>
      <w:r>
        <w:t xml:space="preserve"> </w:t>
      </w:r>
      <w:r>
        <w:t xml:space="preserve">required accounts and approved baseline access are available when an affiliation begins.</w:t>
      </w:r>
    </w:p>
    <w:p>
      <w:pPr>
        <w:pStyle w:val="Compact"/>
        <w:numPr>
          <w:ilvl w:val="0"/>
          <w:numId w:val="1001"/>
        </w:numPr>
      </w:pPr>
      <w:r>
        <w:rPr>
          <w:b/>
          <w:bCs/>
        </w:rPr>
        <w:t xml:space="preserve">Separation-to-block latency:</w:t>
      </w:r>
      <w:r>
        <w:t xml:space="preserve"> </w:t>
      </w:r>
      <w:r>
        <w:t xml:space="preserve">logical access is blocked at the effective separation time, or within the agency-approved threshold.</w:t>
      </w:r>
    </w:p>
    <w:p>
      <w:pPr>
        <w:pStyle w:val="Compact"/>
        <w:numPr>
          <w:ilvl w:val="0"/>
          <w:numId w:val="1001"/>
        </w:numPr>
      </w:pPr>
      <w:r>
        <w:rPr>
          <w:b/>
          <w:bCs/>
        </w:rPr>
        <w:t xml:space="preserve">Revocation completion:</w:t>
      </w:r>
      <w:r>
        <w:t xml:space="preserve"> </w:t>
      </w:r>
      <w:r>
        <w:t xml:space="preserve">PIV and derived credentials, device certificates, sessions, and application-specific credentials are reconciled to completion.</w:t>
      </w:r>
    </w:p>
    <w:p>
      <w:pPr>
        <w:pStyle w:val="Compact"/>
        <w:numPr>
          <w:ilvl w:val="0"/>
          <w:numId w:val="1001"/>
        </w:numPr>
      </w:pPr>
      <w:r>
        <w:rPr>
          <w:b/>
          <w:bCs/>
        </w:rPr>
        <w:t xml:space="preserve">Mover convergence:</w:t>
      </w:r>
      <w:r>
        <w:t xml:space="preserve"> </w:t>
      </w:r>
      <w:r>
        <w:t xml:space="preserve">access derived from the prior assignment is removed, the new baseline applied, and residual exceptions reviewed.</w:t>
      </w:r>
    </w:p>
    <w:p>
      <w:pPr>
        <w:pStyle w:val="Compact"/>
        <w:numPr>
          <w:ilvl w:val="0"/>
          <w:numId w:val="1001"/>
        </w:numPr>
      </w:pPr>
      <w:r>
        <w:rPr>
          <w:b/>
          <w:bCs/>
        </w:rPr>
        <w:t xml:space="preserve">Correlation coverage:</w:t>
      </w:r>
      <w:r>
        <w:t xml:space="preserve"> </w:t>
      </w:r>
      <w:r>
        <w:t xml:space="preserve">governed workforce identities reconcile with enabled enterprise accounts.</w:t>
      </w:r>
    </w:p>
    <w:p>
      <w:pPr>
        <w:pStyle w:val="Compact"/>
        <w:numPr>
          <w:ilvl w:val="0"/>
          <w:numId w:val="1001"/>
        </w:numPr>
      </w:pPr>
      <w:r>
        <w:rPr>
          <w:b/>
          <w:bCs/>
        </w:rPr>
        <w:t xml:space="preserve">Orphan reduction:</w:t>
      </w:r>
      <w:r>
        <w:t xml:space="preserve"> </w:t>
      </w:r>
      <w:r>
        <w:t xml:space="preserve">enabled accounts without a current, approved authority record are found and resolved.</w:t>
      </w:r>
    </w:p>
    <w:p>
      <w:pPr>
        <w:pStyle w:val="Compact"/>
        <w:numPr>
          <w:ilvl w:val="0"/>
          <w:numId w:val="1001"/>
        </w:numPr>
      </w:pPr>
      <w:r>
        <w:rPr>
          <w:b/>
          <w:bCs/>
        </w:rPr>
        <w:t xml:space="preserve">Explainable access:</w:t>
      </w:r>
      <w:r>
        <w:t xml:space="preserve"> </w:t>
      </w:r>
      <w:r>
        <w:t xml:space="preserve">covered entitlements trace to a rule, an approved exception, an authoritative attribute, or a privileged-access decision.</w:t>
      </w:r>
    </w:p>
    <w:p>
      <w:pPr>
        <w:pStyle w:val="Compact"/>
        <w:numPr>
          <w:ilvl w:val="0"/>
          <w:numId w:val="1001"/>
        </w:numPr>
      </w:pPr>
      <w:r>
        <w:rPr>
          <w:b/>
          <w:bCs/>
        </w:rPr>
        <w:t xml:space="preserve">Continuous evidence:</w:t>
      </w:r>
      <w:r>
        <w:t xml:space="preserve"> </w:t>
      </w:r>
      <w:r>
        <w:t xml:space="preserve">provenance, provisioning results, workflow outcomes, exceptions, and drift findings come out of normal operation.</w:t>
      </w:r>
    </w:p>
    <w:p>
      <w:pPr>
        <w:pStyle w:val="FirstParagraph"/>
      </w:pPr>
      <w:r>
        <w:t xml:space="preserve">The canonical model and provisioning services exist to produce these outcomes; Chapter 01 sets out the scope, authority boundaries, and principles behind them.</w:t>
      </w:r>
    </w:p>
    <w:bookmarkEnd w:id="16"/>
    <w:bookmarkStart w:id="17" w:name="why-what-who-how"/>
    <w:p>
      <w:pPr>
        <w:pStyle w:val="Heading2"/>
      </w:pPr>
      <w:bookmarkStart w:id="779" w:name="_Toc00000779"/>
      <w:r>
        <w:t xml:space="preserve">Why, what, who, how</w:t>
      </w:r>
      <w:bookmarkEnd w:id="77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should HR, not IT, decide who exists, and why now?</w:t>
            </w:r>
          </w:p>
        </w:tc>
        <w:tc>
          <w:tcPr/>
          <w:p>
            <w:pPr>
              <w:pStyle w:val="Compact"/>
            </w:pPr>
            <w:r>
              <w:t xml:space="preserve">01, 02, 03</w:t>
            </w:r>
          </w:p>
        </w:tc>
      </w:tr>
      <w:tr>
        <w:tc>
          <w:tcPr/>
          <w:p>
            <w:pPr>
              <w:pStyle w:val="Compact"/>
            </w:pPr>
            <w:r>
              <w:rPr>
                <w:b/>
                <w:bCs/>
              </w:rPr>
              <w:t xml:space="preserve">What</w:t>
            </w:r>
          </w:p>
        </w:tc>
        <w:tc>
          <w:tcPr/>
          <w:p>
            <w:pPr>
              <w:pStyle w:val="Compact"/>
            </w:pPr>
            <w:r>
              <w:t xml:space="preserve">What data, owned by whom, flowing how?</w:t>
            </w:r>
          </w:p>
        </w:tc>
        <w:tc>
          <w:tcPr/>
          <w:p>
            <w:pPr>
              <w:pStyle w:val="Compact"/>
            </w:pPr>
            <w:r>
              <w:t xml:space="preserve">04, 05, 06</w:t>
            </w:r>
          </w:p>
        </w:tc>
      </w:tr>
      <w:tr>
        <w:tc>
          <w:tcPr/>
          <w:p>
            <w:pPr>
              <w:pStyle w:val="Compact"/>
            </w:pPr>
            <w:r>
              <w:rPr>
                <w:b/>
                <w:bCs/>
              </w:rPr>
              <w:t xml:space="preserve">Who</w:t>
            </w:r>
          </w:p>
        </w:tc>
        <w:tc>
          <w:tcPr/>
          <w:p>
            <w:pPr>
              <w:pStyle w:val="Compact"/>
            </w:pPr>
            <w:r>
              <w:t xml:space="preserve">Who owns, uses and guards workforce identity data</w:t>
            </w:r>
          </w:p>
        </w:tc>
        <w:tc>
          <w:tcPr/>
          <w:p>
            <w:pPr>
              <w:pStyle w:val="Compact"/>
            </w:pPr>
            <w:r>
              <w:t xml:space="preserve">07</w:t>
            </w:r>
          </w:p>
        </w:tc>
      </w:tr>
      <w:tr>
        <w:tc>
          <w:tcPr/>
          <w:p>
            <w:pPr>
              <w:pStyle w:val="Compact"/>
            </w:pPr>
            <w:r>
              <w:rPr>
                <w:b/>
                <w:bCs/>
              </w:rPr>
              <w:t xml:space="preserve">How</w:t>
            </w:r>
          </w:p>
        </w:tc>
        <w:tc>
          <w:tcPr/>
          <w:p>
            <w:pPr>
              <w:pStyle w:val="Compact"/>
            </w:pPr>
            <w:r>
              <w:t xml:space="preserve">Lifecycle, credentials, access, evidence, the plan and a reference deployment</w:t>
            </w:r>
          </w:p>
        </w:tc>
        <w:tc>
          <w:tcPr/>
          <w:p>
            <w:pPr>
              <w:pStyle w:val="Compact"/>
            </w:pPr>
            <w:r>
              <w:t xml:space="preserve">08, 09, 10, 11, 12, 13</w:t>
            </w:r>
          </w:p>
        </w:tc>
      </w:tr>
    </w:tbl>
    <w:p>
      <w:pPr>
        <w:pStyle w:val="BodyText"/>
      </w:pPr>
      <w:r>
        <w:t xml:space="preserve">Appendices: A — Lifecycle rules · B — Security and privacy assessment · C — Acceptance and cutover</w:t>
      </w:r>
    </w:p>
    <w:bookmarkEnd w:id="17"/>
    <w:bookmarkStart w:id="18" w:name="where-this-book-sits-in-the-workbook"/>
    <w:p>
      <w:pPr>
        <w:pStyle w:val="Heading2"/>
      </w:pPr>
      <w:bookmarkStart w:id="780" w:name="_Toc00000780"/>
      <w:r>
        <w:t xml:space="preserve">Where this book sits in the workbook</w:t>
      </w:r>
      <w:bookmarkEnd w:id="780"/>
    </w:p>
    <w:p>
      <w:pPr>
        <w:pStyle w:val="Compact"/>
        <w:numPr>
          <w:ilvl w:val="0"/>
          <w:numId w:val="1002"/>
        </w:numPr>
      </w:pPr>
      <w:r>
        <w:rPr>
          <w:b/>
          <w:bCs/>
        </w:rPr>
        <w:t xml:space="preserve">SQL Server Identity Transformation, Book 07</w:t>
      </w:r>
      <w:r>
        <w:t xml:space="preserve"> </w:t>
      </w:r>
      <w:r>
        <w:t xml:space="preserve">applies the attribute-to-access chain of Chapter 10 to SQL Server logins and database roles.</w:t>
      </w:r>
    </w:p>
    <w:p>
      <w:pPr>
        <w:pStyle w:val="Compact"/>
        <w:numPr>
          <w:ilvl w:val="0"/>
          <w:numId w:val="1002"/>
        </w:numPr>
      </w:pPr>
      <w:r>
        <w:rPr>
          <w:b/>
          <w:bCs/>
        </w:rPr>
        <w:t xml:space="preserve">SQL Server Identity Transformation, Book 10</w:t>
      </w:r>
      <w:r>
        <w:t xml:space="preserve"> </w:t>
      </w:r>
      <w:r>
        <w:t xml:space="preserve">covers the move from AD CS to Microsoft Cloud PKI; Chapter 09 covers only the certificate steps of the leaver sequence.</w:t>
      </w:r>
    </w:p>
    <w:p>
      <w:pPr>
        <w:pStyle w:val="Compact"/>
        <w:numPr>
          <w:ilvl w:val="0"/>
          <w:numId w:val="1002"/>
        </w:numPr>
      </w:pPr>
      <w:r>
        <w:rPr>
          <w:b/>
          <w:bCs/>
        </w:rPr>
        <w:t xml:space="preserve">Federal Compliance Vol I Book 04</w:t>
      </w:r>
      <w:r>
        <w:t xml:space="preserve"> </w:t>
      </w:r>
      <w:r>
        <w:t xml:space="preserve">carries the compliance treatment of the same controls (AC-2, IA-4, PS-4, PS-5, SI-12). The architecture contributes mechanisms and evidence to them; it doesn’t satisfy them on its own.</w:t>
      </w:r>
    </w:p>
    <w:p>
      <w:pPr>
        <w:pStyle w:val="Compact"/>
        <w:numPr>
          <w:ilvl w:val="0"/>
          <w:numId w:val="1002"/>
        </w:numPr>
      </w:pPr>
      <w:r>
        <w:rPr>
          <w:b/>
          <w:bCs/>
        </w:rPr>
        <w:t xml:space="preserve">Client-Server to Hybrid-Cloud, Chapter 04</w:t>
      </w:r>
      <w:r>
        <w:t xml:space="preserve"> </w:t>
      </w:r>
      <w:r>
        <w:t xml:space="preserve">covers the move from the OU tree to attribute-driven structure.</w:t>
      </w:r>
    </w:p>
    <w:p>
      <w:pPr>
        <w:pStyle w:val="Compact"/>
        <w:numPr>
          <w:ilvl w:val="0"/>
          <w:numId w:val="1002"/>
        </w:numPr>
      </w:pPr>
      <w:r>
        <w:rPr>
          <w:b/>
          <w:bCs/>
        </w:rPr>
        <w:t xml:space="preserve">Book 02 — Identity &amp; Directory</w:t>
      </w:r>
      <w:r>
        <w:t xml:space="preserve"> </w:t>
      </w:r>
      <w:r>
        <w:t xml:space="preserve">covers the directory migration this book builds on; Chapter 09 there designs the Entra ID target that inbound provisioning feeds.</w:t>
      </w:r>
    </w:p>
    <w:p>
      <w:pPr>
        <w:pStyle w:val="Compact"/>
        <w:numPr>
          <w:ilvl w:val="0"/>
          <w:numId w:val="1002"/>
        </w:numPr>
      </w:pPr>
      <w:r>
        <w:rPr>
          <w:b/>
          <w:bCs/>
        </w:rPr>
        <w:t xml:space="preserve">Identity Lifecycle &amp; Provisioning project</w:t>
      </w:r>
      <w:r>
        <w:t xml:space="preserve"> </w:t>
      </w:r>
      <w:r>
        <w:t xml:space="preserve">(plan) is the project charter that delivers this book’s execution plan.</w:t>
      </w:r>
    </w:p>
    <w:bookmarkEnd w:id="18"/>
    <w:bookmarkEnd w:id="19"/>
    <w:bookmarkStart w:id="72" w:name="chapter-01-overview-and-applicability"/>
    <w:p>
      <w:pPr>
        <w:pStyle w:val="Heading1"/>
      </w:pPr>
      <w:bookmarkStart w:id="781" w:name="_Toc00000781"/>
      <w:r>
        <w:t xml:space="preserve">Chapter 01 — Overview and Applicability</w:t>
      </w:r>
      <w:bookmarkEnd w:id="781"/>
    </w:p>
    <w:p>
      <w:pPr>
        <w:pStyle w:val="FirstParagraph"/>
      </w:pPr>
      <w:r>
        <w:rPr>
          <w:i/>
          <w:iCs/>
        </w:rPr>
        <w:t xml:space="preserve">This book is not about implementing HRIT. It is about using Federal HR 2.0, and the move from Active Directory to Entra ID, to start HR-driven identity.</w:t>
      </w:r>
    </w:p>
    <w:bookmarkStart w:id="20" w:name="in-this-chapter"/>
    <w:p>
      <w:pPr>
        <w:pStyle w:val="Heading2"/>
      </w:pPr>
      <w:bookmarkStart w:id="782" w:name="_Toc00000782"/>
      <w:r>
        <w:t xml:space="preserve">In this chapter</w:t>
      </w:r>
      <w:bookmarkEnd w:id="782"/>
    </w:p>
    <w:p>
      <w:pPr>
        <w:pStyle w:val="FirstParagraph"/>
      </w:pPr>
      <w:r>
        <w:t xml:space="preserve">The proposal and why now. The problem it solves, the outcomes it is measured by, the architecture in one paragraph, the boundaries of authority, the principles every chapter follows, where the book applies and where it doesn’t, and the federal-policy caution that governs the product-specific material.</w:t>
      </w:r>
    </w:p>
    <w:bookmarkEnd w:id="20"/>
    <w:bookmarkStart w:id="48" w:name="the-proposal"/>
    <w:p>
      <w:pPr>
        <w:pStyle w:val="Heading2"/>
      </w:pPr>
      <w:bookmarkStart w:id="783" w:name="_Toc00000783"/>
      <w:r>
        <w:t xml:space="preserve">The proposal</w:t>
      </w:r>
      <w:bookmarkEnd w:id="783"/>
    </w:p>
    <w:p>
      <w:pPr>
        <w:pStyle w:val="FirstParagraph"/>
      </w:pPr>
      <w:r>
        <w:t xml:space="preserve">Access is now decided by identity: a token and the attributes behind it, evaluated on every request. In most agencies those attributes don’t come from the personnel record. IT types them in from tickets, so the record of who works here and the record of who can get in drift apart, and every gap between them is access that shouldn’t exist. Two migrations already under way rebuild both ends of that connection: Federal HR 2.0 moves HR onto one government-wide platform, and the move from Active Directory to Entra ID moves identity to the cloud. This book argues for using them together to</w:t>
      </w:r>
      <w:r>
        <w:t xml:space="preserve"> </w:t>
      </w:r>
      <w:r>
        <w:rPr>
          <w:b/>
          <w:bCs/>
        </w:rPr>
        <w:t xml:space="preserve">start HR-driven identity</w:t>
      </w:r>
      <w:r>
        <w:t xml:space="preserve">, so the HR record becomes the source of authority and accounts, credentials and access follow from it by rule, with evidence.</w:t>
      </w:r>
    </w:p>
    <w:p>
      <w:pPr>
        <w:pStyle w:val="BodyText"/>
      </w:pPr>
      <w:r>
        <w:t xml:space="preserve">In many agencies there is no enterprise HR-driven identity lifecycle. Accounts in Active Directory and Entra ID — and the credentials, devices and access that hang off them — are created, changed and removed by tickets, email and manual process. Microsoft describes this starting point plainly: IT staff</w:t>
      </w:r>
      <w:r>
        <w:t xml:space="preserve"> </w:t>
      </w:r>
      <w:r>
        <w:t xml:space="preserve">“have relied on manual methods to create, update, and delete employees,”</w:t>
      </w:r>
      <w:r>
        <w:t xml:space="preserve"> </w:t>
      </w:r>
      <w:r>
        <w:t xml:space="preserve">and those processes are error prone, insecure and hard to manage.</w:t>
      </w:r>
      <w:r>
        <w:rPr>
          <w:rStyle w:val="FootnoteReference"/>
        </w:rPr>
        <w:footnoteReference w:id="21"/>
      </w:r>
    </w:p>
    <w:p>
      <w:pPr>
        <w:pStyle w:val="BodyText"/>
      </w:pPr>
      <w:r>
        <w:t xml:space="preserve">Two migrations are coming to those agencies regardless:</w:t>
      </w:r>
    </w:p>
    <w:p>
      <w:pPr>
        <w:pStyle w:val="Compact"/>
        <w:numPr>
          <w:ilvl w:val="0"/>
          <w:numId w:val="1003"/>
        </w:numPr>
      </w:pPr>
      <w:r>
        <w:rPr>
          <w:b/>
          <w:bCs/>
        </w:rPr>
        <w:t xml:space="preserve">HR moves to the Core HCM platform.</w:t>
      </w:r>
      <w:r>
        <w:t xml:space="preserve"> </w:t>
      </w:r>
      <w:r>
        <w:t xml:space="preserve">Federal HR 2.0 consolidates more than 100 agency Core HCM systems onto one government-wide platform, Oracle Fusion Cloud HCM, with new interconnections and HR data reviewed and migrated for the move (Chapter 03).</w:t>
      </w:r>
      <w:r>
        <w:rPr>
          <w:rStyle w:val="FootnoteReference"/>
        </w:rPr>
        <w:footnoteReference w:id="23"/>
      </w:r>
      <w:r>
        <w:rPr>
          <w:rStyle w:val="FootnoteReference"/>
        </w:rPr>
        <w:footnoteReference w:id="25"/>
      </w:r>
    </w:p>
    <w:p>
      <w:pPr>
        <w:pStyle w:val="Compact"/>
        <w:numPr>
          <w:ilvl w:val="0"/>
          <w:numId w:val="1003"/>
        </w:numPr>
      </w:pPr>
      <w:r>
        <w:rPr>
          <w:b/>
          <w:bCs/>
        </w:rPr>
        <w:t xml:space="preserve">Identity moves from Active Directory toward Entra ID.</w:t>
      </w:r>
      <w:r>
        <w:t xml:space="preserve"> </w:t>
      </w:r>
      <w:r>
        <w:t xml:space="preserve">Microsoft’s path is to transfer users’</w:t>
      </w:r>
      <w:r>
        <w:t xml:space="preserve"> </w:t>
      </w:r>
      <w:r>
        <w:rPr>
          <w:i/>
          <w:iCs/>
        </w:rPr>
        <w:t xml:space="preserve">source of authority</w:t>
      </w:r>
      <w:r>
        <w:t xml:space="preserve"> </w:t>
      </w:r>
      <w:r>
        <w:t xml:space="preserve">from Active Directory to the cloud and govern the user lifecycle with Microsoft Entra ID Governance, keeping Active Directory accounts only where applications still need them.</w:t>
      </w:r>
      <w:r>
        <w:rPr>
          <w:rStyle w:val="FootnoteReference"/>
        </w:rPr>
        <w:footnoteReference w:id="28"/>
      </w:r>
      <w:r>
        <w:rPr>
          <w:rStyle w:val="FootnoteReference"/>
        </w:rPr>
        <w:footnoteReference w:id="30"/>
      </w:r>
    </w:p>
    <w:p>
      <w:pPr>
        <w:pStyle w:val="FirstParagraph"/>
      </w:pPr>
      <w:r>
        <w:t xml:space="preserve">The proposal is to use the two together as the opportunity to</w:t>
      </w:r>
      <w:r>
        <w:t xml:space="preserve"> </w:t>
      </w:r>
      <w:r>
        <w:rPr>
          <w:b/>
          <w:bCs/>
        </w:rPr>
        <w:t xml:space="preserve">start HR-driven identity</w:t>
      </w:r>
      <w:r>
        <w:t xml:space="preserve">: the HR system of record becomes the source of authority for who works here, in what role and for whom, and Entra ID, Active Directory and the rest of ICAM follow from it by rule, with evidence. Microsoft calls this HR-driven provisioning —</w:t>
      </w:r>
      <w:r>
        <w:t xml:space="preserve"> </w:t>
      </w:r>
      <w:r>
        <w:t xml:space="preserve">“the process of creating digital identities based on a human resources system,”</w:t>
      </w:r>
      <w:r>
        <w:t xml:space="preserve"> </w:t>
      </w:r>
      <w:r>
        <w:t xml:space="preserve">in which</w:t>
      </w:r>
      <w:r>
        <w:t xml:space="preserve"> </w:t>
      </w:r>
      <w:r>
        <w:t xml:space="preserve">“the HR systems become the source of authority.”</w:t>
      </w:r>
      <w:r>
        <w:rPr>
          <w:rStyle w:val="FootnoteReference"/>
        </w:rPr>
        <w:footnoteReference w:id="32"/>
      </w:r>
      <w:r>
        <w:t xml:space="preserve"> </w:t>
      </w:r>
      <w:r>
        <w:t xml:space="preserve">This book adds two things Microsoft’s guidance leaves to the agency. For federal employees, the contract is</w:t>
      </w:r>
      <w:r>
        <w:t xml:space="preserve"> </w:t>
      </w:r>
      <w:r>
        <w:rPr>
          <w:b/>
          <w:bCs/>
        </w:rPr>
        <w:t xml:space="preserve">OPM’s standard personnel data</w:t>
      </w:r>
      <w:r>
        <w:t xml:space="preserve"> </w:t>
      </w:r>
      <w:r>
        <w:t xml:space="preserve">— the government-wide data standards and nature-of-action codes — not one vendor’s field names. And because HRIT covers federal employees only,</w:t>
      </w:r>
      <w:r>
        <w:t xml:space="preserve"> </w:t>
      </w:r>
      <w:r>
        <w:rPr>
          <w:b/>
          <w:bCs/>
        </w:rPr>
        <w:t xml:space="preserve">contractors and vendors</w:t>
      </w:r>
      <w:r>
        <w:t xml:space="preserve"> </w:t>
      </w:r>
      <w:r>
        <w:t xml:space="preserve">— tracked today in contracting officer’s representative (COR) spreadsheets — need their own authoritative source, mapped into the same model (Chapter 06).</w:t>
      </w:r>
    </w:p>
    <w:bookmarkStart w:id="35" w:name="fig-ch01-thesis"/>
    <w:p>
      <w:pPr>
        <w:pStyle w:val="CaptionedFigure"/>
      </w:pPr>
      <w:r>
        <w:drawing>
          <wp:inline>
            <wp:extent cx="5334000" cy="2421159"/>
            <wp:effectExtent b="0" l="0" r="0" t="0"/>
            <wp:docPr descr="The proposal: Federal HR 2.0 moves HR to Core HCM and the Entra ID migration moves identity to the cloud; together they start HR-driven identity, with OPM standard attributes as the contract, driving Entra ID, Active Directory and ICAM." title="" id="33" name="Picture"/>
            <a:graphic>
              <a:graphicData uri="http://schemas.openxmlformats.org/drawingml/2006/picture">
                <pic:pic>
                  <pic:nvPicPr>
                    <pic:cNvPr descr="/home/runner/work/modernization-workbook/modernization-workbook/docs/images/diagrams/b03-hr-identity/png/ch01-thesis.png" id="34" name="Picture"/>
                    <pic:cNvPicPr>
                      <a:picLocks noChangeArrowheads="1" noChangeAspect="1"/>
                    </pic:cNvPicPr>
                  </pic:nvPicPr>
                  <pic:blipFill>
                    <a:blip r:embed="rId13"/>
                    <a:stretch>
                      <a:fillRect/>
                    </a:stretch>
                  </pic:blipFill>
                  <pic:spPr bwMode="auto">
                    <a:xfrm>
                      <a:off x="0" y="0"/>
                      <a:ext cx="5334000" cy="2421159"/>
                    </a:xfrm>
                    <a:prstGeom prst="rect">
                      <a:avLst/>
                    </a:prstGeom>
                    <a:noFill/>
                    <a:ln w="9525">
                      <a:noFill/>
                      <a:headEnd/>
                      <a:tailEnd/>
                    </a:ln>
                  </pic:spPr>
                </pic:pic>
              </a:graphicData>
            </a:graphic>
          </wp:inline>
        </w:drawing>
      </w:r>
    </w:p>
    <w:p>
      <w:pPr>
        <w:pStyle w:val="ImageCaption"/>
      </w:pPr>
      <w:r>
        <w:t xml:space="preserve">The proposal: Federal HR 2.0 moves HR to Core HCM and the Entra ID migration moves identity to the cloud; together they start HR-driven identity, with OPM standard attributes as the contract, driving Entra ID, Active Directory and ICAM.</w:t>
      </w:r>
    </w:p>
    <w:bookmarkEnd w:id="35"/>
    <w:bookmarkStart w:id="46" w:name="why-now"/>
    <w:p>
      <w:pPr>
        <w:pStyle w:val="Heading3"/>
      </w:pPr>
      <w:r>
        <w:t xml:space="preserve">Why now</w:t>
      </w:r>
    </w:p>
    <w:p>
      <w:pPr>
        <w:pStyle w:val="FirstParagraph"/>
      </w:pPr>
      <w:r>
        <w:t xml:space="preserve">Zero Trust is now federal strategy. OMB M-22-09 sets it, NIST SP 800-207 describes the architecture and CISA’s Zero Trust Maturity Model measures it, with identity as its first pillar.</w:t>
      </w:r>
      <w:r>
        <w:rPr>
          <w:rStyle w:val="FootnoteReference"/>
        </w:rPr>
        <w:footnoteReference w:id="36"/>
      </w:r>
      <w:r>
        <w:rPr>
          <w:rStyle w:val="FootnoteReference"/>
        </w:rPr>
        <w:footnoteReference w:id="38"/>
      </w:r>
      <w:r>
        <w:rPr>
          <w:rStyle w:val="FootnoteReference"/>
        </w:rPr>
        <w:footnoteReference w:id="40"/>
      </w:r>
      <w:r>
        <w:t xml:space="preserve"> </w:t>
      </w:r>
      <w:r>
        <w:t xml:space="preserve">In this book’s design, SASE is how Zero Trust is delivered at the network edge, and TIC 3.0 is what opened that path for agencies by dropping the requirement that agency traffic pass through a physical TIC access point.</w:t>
      </w:r>
      <w:r>
        <w:rPr>
          <w:rStyle w:val="FootnoteReference"/>
        </w:rPr>
        <w:footnoteReference w:id="42"/>
      </w:r>
      <w:r>
        <w:t xml:space="preserve"> </w:t>
      </w:r>
      <w:r>
        <w:t xml:space="preserve">Both move every access decision off the network perimeter and onto identity, and ICAM drives those decisions. In Entra ID the user presents a token from a phishing-resistant credential, and access is decided by Conditional Access and dynamic groups that read employee attributes.</w:t>
      </w:r>
      <w:r>
        <w:rPr>
          <w:rStyle w:val="FootnoteReference"/>
        </w:rPr>
        <w:footnoteReference w:id="44"/>
      </w:r>
      <w:r>
        <w:t xml:space="preserve"> </w:t>
      </w:r>
      <w:r>
        <w:t xml:space="preserve">The accuracy of employee data now</w:t>
      </w:r>
      <w:r>
        <w:t xml:space="preserve"> </w:t>
      </w:r>
      <w:r>
        <w:rPr>
          <w:i/>
          <w:iCs/>
        </w:rPr>
        <w:t xml:space="preserve">is</w:t>
      </w:r>
      <w:r>
        <w:t xml:space="preserve"> </w:t>
      </w:r>
      <w:r>
        <w:t xml:space="preserve">the accuracy of access (Chapter 02).</w:t>
      </w:r>
    </w:p>
    <w:bookmarkEnd w:id="46"/>
    <w:bookmarkStart w:id="47" w:name="why-together"/>
    <w:p>
      <w:pPr>
        <w:pStyle w:val="Heading3"/>
      </w:pPr>
      <w:r>
        <w:t xml:space="preserve">Why together</w:t>
      </w:r>
    </w:p>
    <w:p>
      <w:pPr>
        <w:pStyle w:val="FirstParagraph"/>
      </w:pPr>
      <w:r>
        <w:t xml:space="preserve">Done separately, each migration undercuts the other. The directory migration on its own moves ticket-created accounts to the cloud as they are. An HR feed built on its own targets a directory that is about to change. Done together, each population moves to Entra ID already sourced from HR, and the Active Directory accounts that remain are provisioned from the same source.</w:t>
      </w:r>
    </w:p>
    <w:bookmarkEnd w:id="47"/>
    <w:bookmarkEnd w:id="48"/>
    <w:bookmarkStart w:id="49" w:name="the-problem"/>
    <w:p>
      <w:pPr>
        <w:pStyle w:val="Heading2"/>
      </w:pPr>
      <w:bookmarkStart w:id="784" w:name="_Toc00000784"/>
      <w:r>
        <w:t xml:space="preserve">The problem</w:t>
      </w:r>
      <w:bookmarkEnd w:id="784"/>
    </w:p>
    <w:p>
      <w:pPr>
        <w:pStyle w:val="FirstParagraph"/>
      </w:pPr>
      <w:r>
        <w:t xml:space="preserve">Hire, transfer, conversion, leave and separation are recorded as effective-dated workforce events. Identity and access services learn about them later — by ticket, by email, by periodic reconciliation, or by audit finding. The delay produces day-one access gaps, stale organizational attributes, access retained after a move, duplicate identities after a conversion or rehire, and accounts and credentials that stay active after their business justification has ended (Chapter 02).</w:t>
      </w:r>
    </w:p>
    <w:p>
      <w:pPr>
        <w:pStyle w:val="BodyText"/>
      </w:pPr>
      <w:r>
        <w:t xml:space="preserve">Adding a connector doesn’t solve that by itself. The task is to establish a governed workforce identity model built on standard attributes, connect authoritative events to the services that must act on them, make those actions resilient and observable, and measure the time from business event to verified identity outcome.</w:t>
      </w:r>
    </w:p>
    <w:bookmarkEnd w:id="49"/>
    <w:bookmarkStart w:id="50" w:name="the-modernization-outcomes"/>
    <w:p>
      <w:pPr>
        <w:pStyle w:val="Heading2"/>
      </w:pPr>
      <w:bookmarkStart w:id="785" w:name="_Toc00000785"/>
      <w:r>
        <w:t xml:space="preserve">The modernization outcomes</w:t>
      </w:r>
      <w:bookmarkEnd w:id="785"/>
    </w:p>
    <w:p>
      <w:pPr>
        <w:pStyle w:val="FirstParagraph"/>
      </w:pPr>
      <w:r>
        <w:t xml:space="preserve">The book is organized around these outcomes:</w:t>
      </w:r>
    </w:p>
    <w:p>
      <w:pPr>
        <w:pStyle w:val="Compact"/>
        <w:numPr>
          <w:ilvl w:val="0"/>
          <w:numId w:val="1004"/>
        </w:numPr>
      </w:pPr>
      <w:r>
        <w:t xml:space="preserve">day-one readiness for covered workforce populations;</w:t>
      </w:r>
    </w:p>
    <w:p>
      <w:pPr>
        <w:pStyle w:val="Compact"/>
        <w:numPr>
          <w:ilvl w:val="0"/>
          <w:numId w:val="1004"/>
        </w:numPr>
      </w:pPr>
      <w:r>
        <w:t xml:space="preserve">logical-access blocking at separation;</w:t>
      </w:r>
    </w:p>
    <w:p>
      <w:pPr>
        <w:pStyle w:val="Compact"/>
        <w:numPr>
          <w:ilvl w:val="0"/>
          <w:numId w:val="1004"/>
        </w:numPr>
      </w:pPr>
      <w:r>
        <w:t xml:space="preserve">completion of PIV, derived credential, device certificate, session, entitlement, and application-specific revocation actions;</w:t>
      </w:r>
    </w:p>
    <w:p>
      <w:pPr>
        <w:pStyle w:val="Compact"/>
        <w:numPr>
          <w:ilvl w:val="0"/>
          <w:numId w:val="1004"/>
        </w:numPr>
      </w:pPr>
      <w:r>
        <w:t xml:space="preserve">removal of access derived from a prior assignment;</w:t>
      </w:r>
    </w:p>
    <w:p>
      <w:pPr>
        <w:pStyle w:val="Compact"/>
        <w:numPr>
          <w:ilvl w:val="0"/>
          <w:numId w:val="1004"/>
        </w:numPr>
      </w:pPr>
      <w:r>
        <w:t xml:space="preserve">correlation between current workforce records and enabled enterprise accounts;</w:t>
      </w:r>
    </w:p>
    <w:p>
      <w:pPr>
        <w:pStyle w:val="Compact"/>
        <w:numPr>
          <w:ilvl w:val="0"/>
          <w:numId w:val="1004"/>
        </w:numPr>
      </w:pPr>
      <w:r>
        <w:t xml:space="preserve">identification and resolution of orphaned or unmatched accounts;</w:t>
      </w:r>
    </w:p>
    <w:p>
      <w:pPr>
        <w:pStyle w:val="Compact"/>
        <w:numPr>
          <w:ilvl w:val="0"/>
          <w:numId w:val="1004"/>
        </w:numPr>
      </w:pPr>
      <w:r>
        <w:t xml:space="preserve">explainability of covered access from authority through rule or approved exception; and</w:t>
      </w:r>
    </w:p>
    <w:p>
      <w:pPr>
        <w:pStyle w:val="Compact"/>
        <w:numPr>
          <w:ilvl w:val="0"/>
          <w:numId w:val="1004"/>
        </w:numPr>
      </w:pPr>
      <w:r>
        <w:t xml:space="preserve">audit and continuous-monitoring evidence produced by normal operation.</w:t>
      </w:r>
    </w:p>
    <w:p>
      <w:pPr>
        <w:pStyle w:val="FirstParagraph"/>
      </w:pPr>
      <w:r>
        <w:t xml:space="preserve">The canonical model, source transformations, provisioning services, workflows, and mappings are the means. These outcomes are the objectives.</w:t>
      </w:r>
    </w:p>
    <w:bookmarkEnd w:id="50"/>
    <w:bookmarkStart w:id="53" w:name="the-architecture-in-one-paragraph"/>
    <w:p>
      <w:pPr>
        <w:pStyle w:val="Heading2"/>
      </w:pPr>
      <w:bookmarkStart w:id="786" w:name="_Toc00000786"/>
      <w:r>
        <w:t xml:space="preserve">The architecture in one paragraph</w:t>
      </w:r>
      <w:bookmarkEnd w:id="786"/>
    </w:p>
    <w:p>
      <w:pPr>
        <w:pStyle w:val="FirstParagraph"/>
      </w:pPr>
      <w:r>
        <w:t xml:space="preserve">Core HCM publishes effective-dated facts about people, affiliations, positions, assignments, worker types and supervisors, expressed in OPM’s standard data elements and personnel actions. Source-boundary transformations validate and normalize those facts into a governed workforce identity model. Provisioning and lifecycle services — in the Microsoft implementation, Entra ID’s API-driven inbound provisioning and Lifecycle Workflows, which Microsoft documents for Oracle Fusion Cloud HCM specifically</w:t>
      </w:r>
      <w:r>
        <w:rPr>
          <w:rStyle w:val="FootnoteReference"/>
        </w:rPr>
        <w:footnoteReference w:id="51"/>
      </w:r>
      <w:r>
        <w:t xml:space="preserve"> </w:t>
      </w:r>
      <w:r>
        <w:t xml:space="preserve">— deliver the model to Entra ID and Active Directory and through them to credentialing, endpoint, privileged-access, application and evidence services according to approved policy. Identity platforms remain authoritative for credentials, authentication, sessions, directory objects and enforcement. Every material action produces an outcome, exception or reconciliation record.</w:t>
      </w:r>
    </w:p>
    <w:bookmarkEnd w:id="53"/>
    <w:bookmarkStart w:id="54" w:name="the-ask"/>
    <w:p>
      <w:pPr>
        <w:pStyle w:val="Heading2"/>
      </w:pPr>
      <w:bookmarkStart w:id="787" w:name="_Toc00000787"/>
      <w:r>
        <w:t xml:space="preserve">The ask</w:t>
      </w:r>
      <w:bookmarkEnd w:id="787"/>
    </w:p>
    <w:p>
      <w:pPr>
        <w:pStyle w:val="FirstParagraph"/>
      </w:pPr>
      <w:r>
        <w:t xml:space="preserve">Decide now to start HR-driven identity, and build it into both migrations rather than retrofitting it after they finish:</w:t>
      </w:r>
    </w:p>
    <w:p>
      <w:pPr>
        <w:pStyle w:val="Compact"/>
        <w:numPr>
          <w:ilvl w:val="0"/>
          <w:numId w:val="1005"/>
        </w:numPr>
      </w:pPr>
      <w:r>
        <w:t xml:space="preserve">name identity as a consumer of the agency’s Core HCM interconnection, and HR as the source in the Entra ID migration plan;</w:t>
      </w:r>
    </w:p>
    <w:p>
      <w:pPr>
        <w:pStyle w:val="Compact"/>
        <w:numPr>
          <w:ilvl w:val="0"/>
          <w:numId w:val="1005"/>
        </w:numPr>
      </w:pPr>
      <w:r>
        <w:t xml:space="preserve">establish the standard-attribute crosswalk, the authority map and the privacy basis before automating anything;</w:t>
      </w:r>
    </w:p>
    <w:p>
      <w:pPr>
        <w:pStyle w:val="Compact"/>
        <w:numPr>
          <w:ilvl w:val="0"/>
          <w:numId w:val="1005"/>
        </w:numPr>
      </w:pPr>
      <w:r>
        <w:t xml:space="preserve">use effective-dated personnel actions to drive joiner, mover, leaver, rehire and conversion;</w:t>
      </w:r>
    </w:p>
    <w:p>
      <w:pPr>
        <w:pStyle w:val="Compact"/>
        <w:numPr>
          <w:ilvl w:val="0"/>
          <w:numId w:val="1005"/>
        </w:numPr>
      </w:pPr>
      <w:r>
        <w:t xml:space="preserve">cut each population over to HR-driven identity as it moves to Entra ID, and close the ticket path for it;</w:t>
      </w:r>
    </w:p>
    <w:p>
      <w:pPr>
        <w:pStyle w:val="Compact"/>
        <w:numPr>
          <w:ilvl w:val="0"/>
          <w:numId w:val="1005"/>
        </w:numPr>
      </w:pPr>
      <w:r>
        <w:t xml:space="preserve">instrument every delivery path, define failure and reconciliation behavior, and measure business-event-to-outcome latency.</w:t>
      </w:r>
    </w:p>
    <w:bookmarkEnd w:id="54"/>
    <w:bookmarkStart w:id="55" w:name="authority-boundaries"/>
    <w:p>
      <w:pPr>
        <w:pStyle w:val="Heading2"/>
      </w:pPr>
      <w:bookmarkStart w:id="788" w:name="_Toc00000788"/>
      <w:r>
        <w:t xml:space="preserve">Authority boundaries</w:t>
      </w:r>
      <w:bookmarkEnd w:id="788"/>
    </w:p>
    <w:p>
      <w:pPr>
        <w:pStyle w:val="FirstParagraph"/>
      </w:pPr>
      <w:r>
        <w:t xml:space="preserve">The human capital system is authoritative for employment and assignment facts to the extent those facts are created and governed there. The identity platform is authoritative for credentials, authentication methods, sessions, directory objects, and policy enforcement. The credentialing system remains authoritative for PIV issuance and revocation. Endpoint-management and PKI services remain authoritative for managed-device actions and device certificates. Application owners remain responsible for application-specific accounts and entitlements that enterprise identity services don’t govern.</w:t>
      </w:r>
    </w:p>
    <w:p>
      <w:pPr>
        <w:pStyle w:val="BodyText"/>
      </w:pPr>
      <w:r>
        <w:t xml:space="preserve">No system becomes authoritative because it receives a copy. No source field should drive access until the agency has approved its owner, meaning, values, quality expectations, correction path, and permitted use.</w:t>
      </w:r>
    </w:p>
    <w:bookmarkEnd w:id="55"/>
    <w:bookmarkStart w:id="56" w:name="architectural-principles"/>
    <w:p>
      <w:pPr>
        <w:pStyle w:val="Heading2"/>
      </w:pPr>
      <w:bookmarkStart w:id="789" w:name="_Toc00000789"/>
      <w:r>
        <w:t xml:space="preserve">Architectural principles</w:t>
      </w:r>
      <w:bookmarkEnd w:id="789"/>
    </w:p>
    <w:p>
      <w:pPr>
        <w:pStyle w:val="FirstParagraph"/>
      </w:pPr>
      <w:r>
        <w:rPr>
          <w:b/>
          <w:bCs/>
        </w:rPr>
        <w:t xml:space="preserve">Business authority before automation.</w:t>
      </w:r>
      <w:r>
        <w:t xml:space="preserve"> </w:t>
      </w:r>
      <w:r>
        <w:t xml:space="preserve">Automation magnifies the quality of its inputs. A designated source also has to be correct, timely, and governed enough for the decision it drives.</w:t>
      </w:r>
    </w:p>
    <w:p>
      <w:pPr>
        <w:pStyle w:val="BodyText"/>
      </w:pPr>
      <w:r>
        <w:rPr>
          <w:b/>
          <w:bCs/>
        </w:rPr>
        <w:t xml:space="preserve">Standards before vendor fields.</w:t>
      </w:r>
      <w:r>
        <w:t xml:space="preserve"> </w:t>
      </w:r>
      <w:r>
        <w:t xml:space="preserve">The durable contract is OPM’s standard personnel data, mapped once into the governed identity model. Core HCM extracts, event feeds, REST interfaces, SCIM payloads and vendor-specific field names are implementation details at the system boundary. A source change alters the source contract and transformation; it doesn’t require lifecycle and access policy to be rewritten. OPM’s standards describe federal employees; contractors and vendors come from a separate source and map into the same model.</w:t>
      </w:r>
    </w:p>
    <w:p>
      <w:pPr>
        <w:pStyle w:val="BodyText"/>
      </w:pPr>
      <w:r>
        <w:rPr>
          <w:b/>
          <w:bCs/>
        </w:rPr>
        <w:t xml:space="preserve">Block first, reconcile to completion.</w:t>
      </w:r>
      <w:r>
        <w:t xml:space="preserve"> </w:t>
      </w:r>
      <w:r>
        <w:t xml:space="preserve">At an effective separation or emergency termination, disable sign-in and revoke sessions first. PIV and derived credentials, managed devices, certificates, entitlements, licenses, and application-specific access are then revoked or removed in parallel where practical and tracked to verified completion. A slow or unavailable external system must not delay the primary logical-access block. Chapter 09 gives the sequence.</w:t>
      </w:r>
    </w:p>
    <w:p>
      <w:pPr>
        <w:pStyle w:val="BodyText"/>
      </w:pPr>
      <w:r>
        <w:rPr>
          <w:b/>
          <w:bCs/>
        </w:rPr>
        <w:t xml:space="preserve">Native attributes first.</w:t>
      </w:r>
      <w:r>
        <w:t xml:space="preserve"> </w:t>
      </w:r>
      <w:r>
        <w:t xml:space="preserve">Organizational placement is carried by approved attributes and the manager relationship, not by directory-container position. Extensions are added only when a required policy can’t use a supported native property.</w:t>
      </w:r>
    </w:p>
    <w:p>
      <w:pPr>
        <w:pStyle w:val="BodyText"/>
      </w:pPr>
      <w:r>
        <w:rPr>
          <w:b/>
          <w:bCs/>
        </w:rPr>
        <w:t xml:space="preserve">Privacy by design.</w:t>
      </w:r>
      <w:r>
        <w:t xml:space="preserve"> </w:t>
      </w:r>
      <w:r>
        <w:t xml:space="preserve">Moving personnel data into a directory is a disclosure. Identity is a routine-use consumer of the HR system of records and receives only the attributes its decisions read (Appendix B).</w:t>
      </w:r>
    </w:p>
    <w:p>
      <w:pPr>
        <w:pStyle w:val="BodyText"/>
      </w:pPr>
      <w:r>
        <w:rPr>
          <w:b/>
          <w:bCs/>
        </w:rPr>
        <w:t xml:space="preserve">Control support, not control closure.</w:t>
      </w:r>
      <w:r>
        <w:t xml:space="preserve"> </w:t>
      </w:r>
      <w:r>
        <w:t xml:space="preserve">The architecture implements mechanisms and produces evidence that support controls such as account management, identifier management, personnel termination, personnel transfer, and information management. It doesn’t establish compliance by itself. Control satisfaction also depends on approved agency policy, organization-defined parameters, operating procedures, inherited controls, privacy and records decisions, exception handling, and assessment.</w:t>
      </w:r>
    </w:p>
    <w:bookmarkEnd w:id="56"/>
    <w:bookmarkStart w:id="61" w:name="where-this-book-applies"/>
    <w:p>
      <w:pPr>
        <w:pStyle w:val="Heading2"/>
      </w:pPr>
      <w:bookmarkStart w:id="790" w:name="_Toc00000790"/>
      <w:r>
        <w:t xml:space="preserve">Where this book applies</w:t>
      </w:r>
      <w:bookmarkEnd w:id="790"/>
    </w:p>
    <w:p>
      <w:pPr>
        <w:pStyle w:val="Compact"/>
        <w:numPr>
          <w:ilvl w:val="0"/>
          <w:numId w:val="1006"/>
        </w:numPr>
      </w:pPr>
      <w:r>
        <w:rPr>
          <w:b/>
          <w:bCs/>
        </w:rPr>
        <w:t xml:space="preserve">Cloud:</w:t>
      </w:r>
      <w:r>
        <w:t xml:space="preserve"> </w:t>
      </w:r>
      <w:r>
        <w:t xml:space="preserve">a federal civilian agency using Microsoft 365 GCC (GCC-Moderate), whose Entra ID tenant runs in Microsoft’s commercial Azure cloud, with commercial Azure services where the middleware needs them, under a FedRAMP Moderate authorization — subject to confirming tenant licensing, endpoint availability, and authorization boundaries.</w:t>
      </w:r>
      <w:r>
        <w:rPr>
          <w:rStyle w:val="FootnoteReference"/>
        </w:rPr>
        <w:footnoteReference w:id="57"/>
      </w:r>
      <w:r>
        <w:rPr>
          <w:rStyle w:val="FootnoteReference"/>
        </w:rPr>
        <w:footnoteReference w:id="59"/>
      </w:r>
    </w:p>
    <w:p>
      <w:pPr>
        <w:pStyle w:val="Compact"/>
        <w:numPr>
          <w:ilvl w:val="0"/>
          <w:numId w:val="1006"/>
        </w:numPr>
      </w:pPr>
      <w:r>
        <w:rPr>
          <w:b/>
          <w:bCs/>
        </w:rPr>
        <w:t xml:space="preserve">Workforce source:</w:t>
      </w:r>
      <w:r>
        <w:t xml:space="preserve"> </w:t>
      </w:r>
      <w:r>
        <w:t xml:space="preserve">for federal employees, an Executive Branch civilian agency preparing for or operating on the Federal HR 2.0 Core HCM platform (Oracle Fusion Cloud HCM), or any other source that can provide governed workforce records and effective-dated changes. For contractors and vendors, which HRIT does not cover, the source the agency designates (Chapter 06).</w:t>
      </w:r>
    </w:p>
    <w:p>
      <w:pPr>
        <w:pStyle w:val="Compact"/>
        <w:numPr>
          <w:ilvl w:val="0"/>
          <w:numId w:val="1006"/>
        </w:numPr>
      </w:pPr>
      <w:r>
        <w:rPr>
          <w:b/>
          <w:bCs/>
        </w:rPr>
        <w:t xml:space="preserve">Starting point:</w:t>
      </w:r>
      <w:r>
        <w:t xml:space="preserve"> </w:t>
      </w:r>
      <w:r>
        <w:t xml:space="preserve">agencies with no HR-driven provisioning today, where accounts come from tickets — the common case. Agencies that already run an HR-to-directory connector can use the same material to replace it.</w:t>
      </w:r>
    </w:p>
    <w:p>
      <w:pPr>
        <w:pStyle w:val="Compact"/>
        <w:numPr>
          <w:ilvl w:val="0"/>
          <w:numId w:val="1006"/>
        </w:numPr>
      </w:pPr>
      <w:r>
        <w:rPr>
          <w:b/>
          <w:bCs/>
        </w:rPr>
        <w:t xml:space="preserve">Directories:</w:t>
      </w:r>
      <w:r>
        <w:t xml:space="preserve"> </w:t>
      </w:r>
      <w:r>
        <w:t xml:space="preserve">hybrid estates where some users are still mastered in on-premises Active Directory and others are, or are becoming, cloud-managed in Entra ID.</w:t>
      </w:r>
    </w:p>
    <w:p>
      <w:pPr>
        <w:pStyle w:val="Compact"/>
        <w:numPr>
          <w:ilvl w:val="0"/>
          <w:numId w:val="1006"/>
        </w:numPr>
      </w:pPr>
      <w:r>
        <w:rPr>
          <w:b/>
          <w:bCs/>
        </w:rPr>
        <w:t xml:space="preserve">Populations:</w:t>
      </w:r>
      <w:r>
        <w:t xml:space="preserve"> </w:t>
      </w:r>
      <w:r>
        <w:t xml:space="preserve">employees and other human affiliations for which the agency has identified an authoritative source, a lifecycle owner, and approved policy.</w:t>
      </w:r>
    </w:p>
    <w:bookmarkEnd w:id="61"/>
    <w:bookmarkStart w:id="63" w:name="where-it-doesnt-apply-as-written"/>
    <w:p>
      <w:pPr>
        <w:pStyle w:val="Heading2"/>
      </w:pPr>
      <w:bookmarkStart w:id="791" w:name="_Toc00000791"/>
      <w:r>
        <w:t xml:space="preserve">Where it doesn’t apply as written</w:t>
      </w:r>
      <w:bookmarkEnd w:id="791"/>
    </w:p>
    <w:p>
      <w:pPr>
        <w:pStyle w:val="Compact"/>
        <w:numPr>
          <w:ilvl w:val="0"/>
          <w:numId w:val="1007"/>
        </w:numPr>
      </w:pPr>
      <w:r>
        <w:t xml:space="preserve">GCC High, DoD, national security, military personnel, and Intelligence Community environments, which need separate validation of scope, endpoints, services, and governing requirements. The Federal HR 2.0 memo initially excludes military personnel and Intelligence Community agencies.</w:t>
      </w:r>
      <w:r>
        <w:rPr>
          <w:rStyle w:val="FootnoteReference"/>
        </w:rPr>
        <w:footnoteReference w:id="62"/>
      </w:r>
    </w:p>
    <w:p>
      <w:pPr>
        <w:pStyle w:val="Compact"/>
        <w:numPr>
          <w:ilvl w:val="0"/>
          <w:numId w:val="1007"/>
        </w:numPr>
      </w:pPr>
      <w:r>
        <w:t xml:space="preserve">Non-person identities — service accounts, managed identities, application identities, shared accounts, robotic automation. They need a companion authority and lifecycle model and shouldn’t be forced into the human-worker pattern because the same directory stores them.</w:t>
      </w:r>
    </w:p>
    <w:p>
      <w:pPr>
        <w:pStyle w:val="Compact"/>
        <w:numPr>
          <w:ilvl w:val="0"/>
          <w:numId w:val="1007"/>
        </w:numPr>
      </w:pPr>
      <w:r>
        <w:t xml:space="preserve">The directory migration itself (moving objects and applications from AD to Entra ID), which is the companion Book 02 — Identity &amp; Directory, in particular Chapter 09 — Building the Entra ID Target. This book covers where that migration’s users come from.</w:t>
      </w:r>
    </w:p>
    <w:p>
      <w:pPr>
        <w:pStyle w:val="Compact"/>
        <w:numPr>
          <w:ilvl w:val="0"/>
          <w:numId w:val="1007"/>
        </w:numPr>
      </w:pPr>
      <w:r>
        <w:t xml:space="preserve">Application modernization. Legacy applications with local accounts, proprietary roles, RACF profiles, shared credentials, or nonstandard deprovisioning paths need an application-specific integration and revocation plan.</w:t>
      </w:r>
    </w:p>
    <w:p>
      <w:pPr>
        <w:pStyle w:val="Compact"/>
        <w:numPr>
          <w:ilvl w:val="0"/>
          <w:numId w:val="1007"/>
        </w:numPr>
      </w:pPr>
      <w:r>
        <w:t xml:space="preserve">A production interface specification for Federal HR 2.0. Procurement requirements, awarded-product capabilities, agency onboarding schedules, and post-award interfaces have to be verified at engagement time.</w:t>
      </w:r>
    </w:p>
    <w:bookmarkEnd w:id="63"/>
    <w:bookmarkStart w:id="68" w:name="one-caution-stated-up-front"/>
    <w:p>
      <w:pPr>
        <w:pStyle w:val="Heading2"/>
      </w:pPr>
      <w:bookmarkStart w:id="792" w:name="_Toc00000792"/>
      <w:r>
        <w:t xml:space="preserve">One caution, stated up front</w:t>
      </w:r>
      <w:bookmarkEnd w:id="792"/>
    </w:p>
    <w:p>
      <w:pPr>
        <w:pStyle w:val="FirstParagraph"/>
      </w:pPr>
      <w:r>
        <w:rPr>
          <w:b/>
          <w:bCs/>
        </w:rPr>
        <w:t xml:space="preserve">No OPM document mandates or specifies Entra ID integration.</w:t>
      </w:r>
      <w:r>
        <w:t xml:space="preserve"> </w:t>
      </w:r>
      <w:r>
        <w:t xml:space="preserve">That is the opening, not an obstacle: OPM fixes the HR side, and the identity side is the agency’s decision to make. Federal guidance is deliberately product-neutral. OMB M-19-17 sets the federal enterprise ICAM policy framework,</w:t>
      </w:r>
      <w:r>
        <w:rPr>
          <w:rStyle w:val="FootnoteReference"/>
        </w:rPr>
        <w:footnoteReference w:id="64"/>
      </w:r>
      <w:r>
        <w:t xml:space="preserve"> </w:t>
      </w:r>
      <w:r>
        <w:t xml:space="preserve">and the GSA/FICAM Identity Lifecycle Management Playbook — best practice, explicitly</w:t>
      </w:r>
      <w:r>
        <w:t xml:space="preserve"> </w:t>
      </w:r>
      <w:r>
        <w:t xml:space="preserve">“not official policy”</w:t>
      </w:r>
      <w:r>
        <w:t xml:space="preserve"> </w:t>
      </w:r>
      <w:r>
        <w:t xml:space="preserve">— recommends that agencies designate HR systems as the authoritative source for identity creation and termination and describes the create, modify and delete stages that joiner-mover-leaver doctrine builds on.</w:t>
      </w:r>
      <w:r>
        <w:rPr>
          <w:rStyle w:val="FootnoteReference"/>
        </w:rPr>
        <w:footnoteReference w:id="66"/>
      </w:r>
      <w:r>
        <w:t xml:space="preserve"> </w:t>
      </w:r>
      <w:r>
        <w:t xml:space="preserve">The Entra, Graph, Lifecycle Workflows, Conditional Access, Intune, and Microsoft Cloud PKI material in this book comes from Microsoft’s own guidance and the agency’s implementation decisions, not from OPM. Don’t cite this book as OPM guidance for the Entra leg.</w:t>
      </w:r>
    </w:p>
    <w:p>
      <w:pPr>
        <w:pStyle w:val="BodyText"/>
      </w:pPr>
      <w:r>
        <w:t xml:space="preserve">The Evidence Act supports reliable, governed evidence for agency decisions; this book doesn’t cite it as a requirement for one system of record per data type.</w:t>
      </w:r>
    </w:p>
    <w:bookmarkEnd w:id="68"/>
    <w:bookmarkStart w:id="69" w:name="X9f8cdc9344c8ad301b786ad526b0b4f5c280991"/>
    <w:p>
      <w:pPr>
        <w:pStyle w:val="Heading2"/>
      </w:pPr>
      <w:bookmarkStart w:id="793" w:name="_Toc00000793"/>
      <w:r>
        <w:t xml:space="preserve">The enterprise data architecture contribution</w:t>
      </w:r>
      <w:bookmarkEnd w:id="793"/>
    </w:p>
    <w:p>
      <w:pPr>
        <w:pStyle w:val="FirstParagraph"/>
      </w:pPr>
      <w:r>
        <w:t xml:space="preserve">This is an enterprise data architecture problem before it is an identity-product problem. The contribution, in one sentence:</w:t>
      </w:r>
      <w:r>
        <w:t xml:space="preserve"> </w:t>
      </w:r>
      <w:r>
        <w:rPr>
          <w:b/>
          <w:bCs/>
        </w:rPr>
        <w:t xml:space="preserve">establish authority, identifiers, standards, lineage and evidence, so workforce events produce measurable identity outcomes.</w:t>
      </w:r>
    </w:p>
    <w:p>
      <w:pPr>
        <w:pStyle w:val="TableCaption"/>
      </w:pPr>
      <w:r>
        <w:t xml:space="preserve">The enterprise data architecture contribution</w:t>
      </w:r>
    </w:p>
    <w:tbl>
      <w:tblPr>
        <w:tblStyle w:val="Table"/>
        <w:tblW w:type="pct" w:w="5000"/>
        <w:tblLayout w:type="fixed"/>
        <w:tblLook w:firstRow="1" w:lastRow="0" w:firstColumn="0" w:lastColumn="0" w:noHBand="0" w:noVBand="0" w:val="0020"/>
        <w:tblCaption w:val="The enterprise data architecture contribution"/>
      </w:tblPr>
      <w:tblGrid>
        <w:gridCol w:w="2640"/>
        <w:gridCol w:w="2640"/>
        <w:gridCol w:w="2640"/>
      </w:tblGrid>
      <w:tr>
        <w:trPr>
          <w:tblHeader w:val="on"/>
        </w:trPr>
        <w:tc>
          <w:tcPr/>
          <w:p>
            <w:pPr>
              <w:pStyle w:val="Compact"/>
            </w:pPr>
            <w:r>
              <w:t xml:space="preserve">Contribution</w:t>
            </w:r>
          </w:p>
        </w:tc>
        <w:tc>
          <w:tcPr/>
          <w:p>
            <w:pPr>
              <w:pStyle w:val="Compact"/>
            </w:pPr>
            <w:r>
              <w:t xml:space="preserve">What it means here</w:t>
            </w:r>
          </w:p>
        </w:tc>
        <w:tc>
          <w:tcPr/>
          <w:p>
            <w:pPr>
              <w:pStyle w:val="Compact"/>
            </w:pPr>
            <w:r>
              <w:t xml:space="preserve">Where</w:t>
            </w:r>
          </w:p>
        </w:tc>
      </w:tr>
      <w:tr>
        <w:tc>
          <w:tcPr/>
          <w:p>
            <w:pPr>
              <w:pStyle w:val="Compact"/>
            </w:pPr>
            <w:r>
              <w:t xml:space="preserve">Authority</w:t>
            </w:r>
          </w:p>
        </w:tc>
        <w:tc>
          <w:tcPr/>
          <w:p>
            <w:pPr>
              <w:pStyle w:val="Compact"/>
            </w:pPr>
            <w:r>
              <w:t xml:space="preserve">One owner for every attribute; corrections flow upstream</w:t>
            </w:r>
          </w:p>
        </w:tc>
        <w:tc>
          <w:tcPr/>
          <w:p>
            <w:pPr>
              <w:pStyle w:val="Compact"/>
            </w:pPr>
            <w:r>
              <w:t xml:space="preserve">Chapter 04</w:t>
            </w:r>
          </w:p>
        </w:tc>
      </w:tr>
      <w:tr>
        <w:tc>
          <w:tcPr/>
          <w:p>
            <w:pPr>
              <w:pStyle w:val="Compact"/>
            </w:pPr>
            <w:r>
              <w:t xml:space="preserve">Identifiers</w:t>
            </w:r>
          </w:p>
        </w:tc>
        <w:tc>
          <w:tcPr/>
          <w:p>
            <w:pPr>
              <w:pStyle w:val="Compact"/>
            </w:pPr>
            <w:r>
              <w:t xml:space="preserve">An enterprise person key with layered source, affiliation, directory and credential keys</w:t>
            </w:r>
          </w:p>
        </w:tc>
        <w:tc>
          <w:tcPr/>
          <w:p>
            <w:pPr>
              <w:pStyle w:val="Compact"/>
            </w:pPr>
            <w:r>
              <w:t xml:space="preserve">Chapter 04</w:t>
            </w:r>
          </w:p>
        </w:tc>
      </w:tr>
      <w:tr>
        <w:tc>
          <w:tcPr/>
          <w:p>
            <w:pPr>
              <w:pStyle w:val="Compact"/>
            </w:pPr>
            <w:r>
              <w:t xml:space="preserve">Standards</w:t>
            </w:r>
          </w:p>
        </w:tc>
        <w:tc>
          <w:tcPr/>
          <w:p>
            <w:pPr>
              <w:pStyle w:val="Compact"/>
            </w:pPr>
            <w:r>
              <w:t xml:space="preserve">OPM data standards and nature-of-action codes as the shared vocabulary; one governed crosswalk</w:t>
            </w:r>
          </w:p>
        </w:tc>
        <w:tc>
          <w:tcPr/>
          <w:p>
            <w:pPr>
              <w:pStyle w:val="Compact"/>
            </w:pPr>
            <w:r>
              <w:t xml:space="preserve">Chapters 06–08</w:t>
            </w:r>
          </w:p>
        </w:tc>
      </w:tr>
      <w:tr>
        <w:tc>
          <w:tcPr/>
          <w:p>
            <w:pPr>
              <w:pStyle w:val="Compact"/>
            </w:pPr>
            <w:r>
              <w:t xml:space="preserve">Lineage</w:t>
            </w:r>
          </w:p>
        </w:tc>
        <w:tc>
          <w:tcPr/>
          <w:p>
            <w:pPr>
              <w:pStyle w:val="Compact"/>
            </w:pPr>
            <w:r>
              <w:t xml:space="preserve">A provenance record for every event, from the personnel action to every consumer</w:t>
            </w:r>
          </w:p>
        </w:tc>
        <w:tc>
          <w:tcPr/>
          <w:p>
            <w:pPr>
              <w:pStyle w:val="Compact"/>
            </w:pPr>
            <w:r>
              <w:t xml:space="preserve">Chapters 05, 11</w:t>
            </w:r>
          </w:p>
        </w:tc>
      </w:tr>
      <w:tr>
        <w:tc>
          <w:tcPr/>
          <w:p>
            <w:pPr>
              <w:pStyle w:val="Compact"/>
            </w:pPr>
            <w:r>
              <w:t xml:space="preserve">Evidence</w:t>
            </w:r>
          </w:p>
        </w:tc>
        <w:tc>
          <w:tcPr/>
          <w:p>
            <w:pPr>
              <w:pStyle w:val="Compact"/>
            </w:pPr>
            <w:r>
              <w:t xml:space="preserve">Lifecycle metrics, drift findings and control support produced by normal operation</w:t>
            </w:r>
          </w:p>
        </w:tc>
        <w:tc>
          <w:tcPr/>
          <w:p>
            <w:pPr>
              <w:pStyle w:val="Compact"/>
            </w:pPr>
            <w:r>
              <w:t xml:space="preserve">Chapter 11</w:t>
            </w:r>
          </w:p>
        </w:tc>
      </w:tr>
    </w:tbl>
    <w:p>
      <w:pPr>
        <w:pStyle w:val="BodyText"/>
      </w:pPr>
      <w:r>
        <w:t xml:space="preserve">The architecture is stable; the products that realize it are replaceable (Chapter 05).</w:t>
      </w:r>
    </w:p>
    <w:bookmarkEnd w:id="69"/>
    <w:bookmarkStart w:id="70" w:name="what-success-looks-like"/>
    <w:p>
      <w:pPr>
        <w:pStyle w:val="Heading2"/>
      </w:pPr>
      <w:bookmarkStart w:id="794" w:name="_Toc00000794"/>
      <w:r>
        <w:t xml:space="preserve">What success looks like</w:t>
      </w:r>
      <w:bookmarkEnd w:id="794"/>
    </w:p>
    <w:p>
      <w:pPr>
        <w:pStyle w:val="FirstParagraph"/>
      </w:pPr>
      <w:r>
        <w:t xml:space="preserve">A covered identity can be traced from a personnel action in Core HCM to its directory objects, credentials, devices, access decisions, exceptions, and evidence. A joiner is ready within an approved threshold. A mover’s access converges on the new assignment and residual access is reviewed. A leaver’s logical access is blocked immediately and every linked revocation action is reconciled to completion. No account is created by ticket for a covered population. Drift is measurable, ownership is explicit, and a change of source system doesn’t require the lifecycle policy to be redesigned.</w:t>
      </w:r>
    </w:p>
    <w:bookmarkEnd w:id="70"/>
    <w:bookmarkStart w:id="71" w:name="continue-the-book"/>
    <w:p>
      <w:pPr>
        <w:pStyle w:val="Heading2"/>
      </w:pPr>
      <w:bookmarkStart w:id="795" w:name="_Toc00000795"/>
      <w:r>
        <w:t xml:space="preserve">Continue the book</w:t>
      </w:r>
      <w:bookmarkEnd w:id="795"/>
    </w:p>
    <w:p>
      <w:pPr>
        <w:pStyle w:val="FirstParagraph"/>
      </w:pPr>
      <w:r>
        <w:t xml:space="preserve">← Previous: Book 03 — HR-Driven Identity · Book index · Next: Chapter 02 — Why HR Is the Source of Authority →</w:t>
      </w:r>
    </w:p>
    <w:bookmarkEnd w:id="71"/>
    <w:bookmarkEnd w:id="72"/>
    <w:bookmarkStart w:id="112" w:name="Xac54a90e344f899b24b0fa0c9db8e7495c6be78"/>
    <w:p>
      <w:pPr>
        <w:pStyle w:val="Heading1"/>
      </w:pPr>
      <w:bookmarkStart w:id="796" w:name="_Toc00000796"/>
      <w:r>
        <w:t xml:space="preserve">Chapter 02 — Why HR Is the Source of Authority</w:t>
      </w:r>
      <w:bookmarkEnd w:id="796"/>
    </w:p>
    <w:p>
      <w:pPr>
        <w:pStyle w:val="FirstParagraph"/>
      </w:pPr>
      <w:r>
        <w:rPr>
          <w:i/>
          <w:iCs/>
        </w:rPr>
        <w:t xml:space="preserve">A token proves that an assertion was signed. It can’t prove the assertion describes a real, current employee with a real, current role.</w:t>
      </w:r>
    </w:p>
    <w:bookmarkStart w:id="73" w:name="in-this-chapter-1"/>
    <w:p>
      <w:pPr>
        <w:pStyle w:val="Heading2"/>
      </w:pPr>
      <w:bookmarkStart w:id="797" w:name="_Toc00000797"/>
      <w:r>
        <w:t xml:space="preserve">In this chapter</w:t>
      </w:r>
      <w:bookmarkEnd w:id="797"/>
    </w:p>
    <w:p>
      <w:pPr>
        <w:pStyle w:val="FirstParagraph"/>
      </w:pPr>
      <w:r>
        <w:t xml:space="preserve">Where identity truth lives today and why it contradicts itself. Why accurate employee data matters more under Zero Trust and SASE than it ever did. Why orphaned accounts are the guaranteed output of that design rather than an operational lapse. The federal policy and guidance that support authoritative sources and governed lineage. Why cleanup, directory mastery, and reviews can’t substitute for one. What HR provides and what identity architecture has to add.</w:t>
      </w:r>
    </w:p>
    <w:bookmarkEnd w:id="73"/>
    <w:bookmarkStart w:id="74" w:name="what-the-claims-in-a-token-assert"/>
    <w:p>
      <w:pPr>
        <w:pStyle w:val="Heading2"/>
      </w:pPr>
      <w:bookmarkStart w:id="798" w:name="_Toc00000798"/>
      <w:r>
        <w:t xml:space="preserve">What the claims in a token assert</w:t>
      </w:r>
      <w:bookmarkEnd w:id="798"/>
    </w:p>
    <w:p>
      <w:pPr>
        <w:pStyle w:val="FirstParagraph"/>
      </w:pPr>
      <w:r>
        <w:t xml:space="preserve">An access token carries claims: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bookmarkEnd w:id="74"/>
    <w:bookmarkStart w:id="83" w:name="the-fragmented-truth-problem"/>
    <w:p>
      <w:pPr>
        <w:pStyle w:val="Heading2"/>
      </w:pPr>
      <w:bookmarkStart w:id="799" w:name="_Toc00000799"/>
      <w:r>
        <w:t xml:space="preserve">The fragmented truth problem</w:t>
      </w:r>
      <w:bookmarkEnd w:id="799"/>
    </w:p>
    <w:bookmarkStart w:id="75" w:name="where-identity-truth-lives-today"/>
    <w:p>
      <w:pPr>
        <w:pStyle w:val="Heading3"/>
      </w:pPr>
      <w:r>
        <w:t xml:space="preserve">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08"/>
        </w:numPr>
      </w:pPr>
      <w:r>
        <w:rPr>
          <w:b/>
          <w:bCs/>
        </w:rPr>
        <w:t xml:space="preserve">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08"/>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08"/>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08"/>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75"/>
    <w:bookmarkStart w:id="82" w:name="the-visible-symptom-orphaned-accounts"/>
    <w:p>
      <w:pPr>
        <w:pStyle w:val="Heading3"/>
      </w:pPr>
      <w:r>
        <w:t xml:space="preserve">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bookmarkStart w:id="79" w:name="fig-ch02-orphan-timeline"/>
    <w:p>
      <w:pPr>
        <w:pStyle w:val="CaptionedFigure"/>
      </w:pPr>
      <w:r>
        <w:drawing>
          <wp:inline>
            <wp:extent cx="5334000" cy="1162724"/>
            <wp:effectExtent b="0" l="0" r="0" t="0"/>
            <wp:docPr descr="The orphan timeline: HR records the separation on day −14; the other systems learn it by accident, and the last account is found by a penetration test on day +180." title="" id="77" name="Picture"/>
            <a:graphic>
              <a:graphicData uri="http://schemas.openxmlformats.org/drawingml/2006/picture">
                <pic:pic>
                  <pic:nvPicPr>
                    <pic:cNvPr descr="/home/runner/work/modernization-workbook/modernization-workbook/docs/images/diagrams/b03-hr-identity/png/ch02-orphan-timeline.png" id="78" name="Picture"/>
                    <pic:cNvPicPr>
                      <a:picLocks noChangeArrowheads="1" noChangeAspect="1"/>
                    </pic:cNvPicPr>
                  </pic:nvPicPr>
                  <pic:blipFill>
                    <a:blip r:embed="rId76"/>
                    <a:stretch>
                      <a:fillRect/>
                    </a:stretch>
                  </pic:blipFill>
                  <pic:spPr bwMode="auto">
                    <a:xfrm>
                      <a:off x="0" y="0"/>
                      <a:ext cx="5334000" cy="1162724"/>
                    </a:xfrm>
                    <a:prstGeom prst="rect">
                      <a:avLst/>
                    </a:prstGeom>
                    <a:noFill/>
                    <a:ln w="9525">
                      <a:noFill/>
                      <a:headEnd/>
                      <a:tailEnd/>
                    </a:ln>
                  </pic:spPr>
                </pic:pic>
              </a:graphicData>
            </a:graphic>
          </wp:inline>
        </w:drawing>
      </w:r>
    </w:p>
    <w:p>
      <w:pPr>
        <w:pStyle w:val="ImageCaption"/>
      </w:pPr>
      <w:r>
        <w:t xml:space="preserve">The orphan timeline: HR records the separation on day −14; the other systems learn it by accident, and the last account is found by a penetration test on day +180.</w:t>
      </w:r>
    </w:p>
    <w:bookmarkEnd w:id="79"/>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that NIST SP 800-53 control PS-5, Personnel Transfer, exists to stop</w:t>
      </w:r>
      <w:r>
        <w:rPr>
          <w:rStyle w:val="FootnoteReference"/>
        </w:rPr>
        <w:footnoteReference w:id="80"/>
      </w:r>
      <w:r>
        <w:t xml:space="preserve">), the contractor converted to staff who now has two identities, the rehired annuitant with three.</w:t>
      </w:r>
    </w:p>
    <w:bookmarkEnd w:id="82"/>
    <w:bookmarkEnd w:id="83"/>
    <w:bookmarkStart w:id="95" w:name="why-the-agency-needs-hr-driven-icam-now"/>
    <w:p>
      <w:pPr>
        <w:pStyle w:val="Heading2"/>
      </w:pPr>
      <w:bookmarkStart w:id="800" w:name="_Toc00000800"/>
      <w:r>
        <w:t xml:space="preserve">Why the agency needs HR-driven ICAM now</w:t>
      </w:r>
      <w:bookmarkEnd w:id="800"/>
    </w:p>
    <w:p>
      <w:pPr>
        <w:pStyle w:val="FirstParagraph"/>
      </w:pPr>
      <w:r>
        <w:t xml:space="preserve">For most of the directory era, the network decided access: a user inside the perimeter reached what the perimeter allowed, and a wrong department or a stale manager produced a wrong phone-book entry. Federal direction has moved the decision off the network and onto identity, in three layers:</w:t>
      </w:r>
    </w:p>
    <w:p>
      <w:pPr>
        <w:pStyle w:val="Compact"/>
        <w:numPr>
          <w:ilvl w:val="0"/>
          <w:numId w:val="1009"/>
        </w:numPr>
      </w:pPr>
      <w:r>
        <w:rPr>
          <w:b/>
          <w:bCs/>
        </w:rPr>
        <w:t xml:space="preserve">Zero Trust is the strategy.</w:t>
      </w:r>
      <w:r>
        <w:t xml:space="preserve"> </w:t>
      </w:r>
      <w:r>
        <w:t xml:space="preserve">OMB M-22-09 sets the federal Zero Trust strategy: centralized identity management for agency staff, phishing-resistant multifactor authentication, and authorization in which</w:t>
      </w:r>
      <w:r>
        <w:t xml:space="preserve"> </w:t>
      </w:r>
      <w:r>
        <w:t xml:space="preserve">“every request for access should be evaluated,”</w:t>
      </w:r>
      <w:r>
        <w:t xml:space="preserve"> </w:t>
      </w:r>
      <w:r>
        <w:t xml:space="preserve">because no network is implicitly trusted.</w:t>
      </w:r>
      <w:r>
        <w:rPr>
          <w:rStyle w:val="FootnoteReference"/>
        </w:rPr>
        <w:footnoteReference w:id="84"/>
      </w:r>
      <w:r>
        <w:t xml:space="preserve"> </w:t>
      </w:r>
      <w:r>
        <w:t xml:space="preserve">NIST SP 800-207 describes the architecture — access granted per session by a policy engine, using dynamic policy that includes the client’s identity and</w:t>
      </w:r>
      <w:r>
        <w:t xml:space="preserve"> </w:t>
      </w:r>
      <w:r>
        <w:t xml:space="preserve">“any associated attributes assigned by the enterprise”</w:t>
      </w:r>
      <w:r>
        <w:t xml:space="preserve"> </w:t>
      </w:r>
      <w:r>
        <w:t xml:space="preserve">to its account</w:t>
      </w:r>
      <w:r>
        <w:rPr>
          <w:rStyle w:val="FootnoteReference"/>
        </w:rPr>
        <w:footnoteReference w:id="85"/>
      </w:r>
      <w:r>
        <w:t xml:space="preserve"> </w:t>
      </w:r>
      <w:r>
        <w:t xml:space="preserve">— and CISA’s Zero Trust Maturity Model makes identity its first pillar, defining an identity as</w:t>
      </w:r>
      <w:r>
        <w:t xml:space="preserve"> </w:t>
      </w:r>
      <w:r>
        <w:t xml:space="preserve">“an attribute or set of attributes that uniquely describes an agency user or entity.”</w:t>
      </w:r>
      <w:r>
        <w:rPr>
          <w:rStyle w:val="FootnoteReference"/>
        </w:rPr>
        <w:footnoteReference w:id="86"/>
      </w:r>
    </w:p>
    <w:p>
      <w:pPr>
        <w:pStyle w:val="Compact"/>
        <w:numPr>
          <w:ilvl w:val="0"/>
          <w:numId w:val="1009"/>
        </w:numPr>
      </w:pPr>
      <w:r>
        <w:rPr>
          <w:b/>
          <w:bCs/>
        </w:rPr>
        <w:t xml:space="preserve">SASE delivers it.</w:t>
      </w:r>
      <w:r>
        <w:t xml:space="preserve"> </w:t>
      </w:r>
      <w:r>
        <w:t xml:space="preserve">In this book’s design, Secure Access Service Edge (SASE) is the delivery model that implements Zero Trust at the network edge: security services, including Zero Trust network access, delivered from a cloud edge close to the user instead of the agency perimeter. TIC 3.0, under OMB M-19-26, is what opens that path for agencies: it ended the requirement that agency traffic flow through a physical TIC access point and replaced it with use cases for cloud, branch office and remote users.</w:t>
      </w:r>
      <w:r>
        <w:rPr>
          <w:rStyle w:val="FootnoteReference"/>
        </w:rPr>
        <w:footnoteReference w:id="87"/>
      </w:r>
      <w:r>
        <w:rPr>
          <w:rStyle w:val="FootnoteReference"/>
        </w:rPr>
        <w:footnoteReference w:id="88"/>
      </w:r>
    </w:p>
    <w:p>
      <w:pPr>
        <w:pStyle w:val="Compact"/>
        <w:numPr>
          <w:ilvl w:val="0"/>
          <w:numId w:val="1009"/>
        </w:numPr>
      </w:pPr>
      <w:r>
        <w:rPr>
          <w:b/>
          <w:bCs/>
        </w:rPr>
        <w:t xml:space="preserve">ICAM drives SASE.</w:t>
      </w:r>
      <w:r>
        <w:t xml:space="preserve"> </w:t>
      </w:r>
      <w:r>
        <w:t xml:space="preserve">Every SASE and Zero Trust access decision consumes the identity, the token and the attributes that ICAM supplies. Neither can be more accurate than the identity data behind it.</w:t>
      </w:r>
    </w:p>
    <w:bookmarkStart w:id="93" w:name="fig-ch02-zero-trust-dependency"/>
    <w:p>
      <w:pPr>
        <w:pStyle w:val="CaptionedFigure"/>
      </w:pPr>
      <w:r>
        <w:drawing>
          <wp:inline>
            <wp:extent cx="5334000" cy="2078691"/>
            <wp:effectExtent b="0" l="0" r="0" t="0"/>
            <wp:docPr descr="Why employee data accuracy matters more now: Zero Trust is the strategy (OMB M-22-09, NIST SP 800-207, CISA’s Zero Trust Maturity Model); SASE delivers it at the cloud edge under TIC 3.0; ICAM in Entra ID drives SASE’s decisions from a token and attributes; and those attributes come from employee data." title="" id="91" name="Picture"/>
            <a:graphic>
              <a:graphicData uri="http://schemas.openxmlformats.org/drawingml/2006/picture">
                <pic:pic>
                  <pic:nvPicPr>
                    <pic:cNvPr descr="/home/runner/work/modernization-workbook/modernization-workbook/docs/images/diagrams/b03-hr-identity/png/ch02-zero-trust-dependency.png" id="92" name="Picture"/>
                    <pic:cNvPicPr>
                      <a:picLocks noChangeArrowheads="1" noChangeAspect="1"/>
                    </pic:cNvPicPr>
                  </pic:nvPicPr>
                  <pic:blipFill>
                    <a:blip r:embed="rId90"/>
                    <a:stretch>
                      <a:fillRect/>
                    </a:stretch>
                  </pic:blipFill>
                  <pic:spPr bwMode="auto">
                    <a:xfrm>
                      <a:off x="0" y="0"/>
                      <a:ext cx="5334000" cy="2078691"/>
                    </a:xfrm>
                    <a:prstGeom prst="rect">
                      <a:avLst/>
                    </a:prstGeom>
                    <a:noFill/>
                    <a:ln w="9525">
                      <a:noFill/>
                      <a:headEnd/>
                      <a:tailEnd/>
                    </a:ln>
                  </pic:spPr>
                </pic:pic>
              </a:graphicData>
            </a:graphic>
          </wp:inline>
        </w:drawing>
      </w:r>
    </w:p>
    <w:p>
      <w:pPr>
        <w:pStyle w:val="ImageCaption"/>
      </w:pPr>
      <w:r>
        <w:t xml:space="preserve">Why employee data accuracy matters more now: Zero Trust is the strategy (OMB M-22-09, NIST SP 800-207, CISA’s Zero Trust Maturity Model); SASE delivers it at the cloud edge under TIC 3.0; ICAM in Entra ID drives SASE’s decisions from a token and attributes; and those attributes come from employee data.</w:t>
      </w:r>
    </w:p>
    <w:bookmarkEnd w:id="93"/>
    <w:p>
      <w:pPr>
        <w:pStyle w:val="BodyText"/>
      </w:pPr>
      <w:r>
        <w:t xml:space="preserve">In Entra ID that direction has a concrete shape. The user signs in with a PIV card or another phishing-resistant method and receives a token. Conditional Access and application roles decide what the token can reach, and the groups they read are dynamic groups computed from attributes (Chapter 10).</w:t>
      </w:r>
      <w:r>
        <w:rPr>
          <w:rStyle w:val="FootnoteReference"/>
        </w:rPr>
        <w:footnoteReference w:id="94"/>
      </w:r>
      <w:r>
        <w:t xml:space="preserve"> </w:t>
      </w:r>
      <w:r>
        <w:t xml:space="preserve">The attributes are employee data: organization, position, status and supervisor.</w:t>
      </w:r>
    </w:p>
    <w:p>
      <w:pPr>
        <w:pStyle w:val="TableCaption"/>
      </w:pPr>
      <w:r>
        <w:t xml:space="preserve">Why employee data accuracy matters more now than before</w:t>
      </w:r>
    </w:p>
    <w:tbl>
      <w:tblPr>
        <w:tblStyle w:val="Table"/>
        <w:tblW w:type="pct" w:w="5000"/>
        <w:tblLayout w:type="fixed"/>
        <w:tblLook w:firstRow="1" w:lastRow="0" w:firstColumn="0" w:lastColumn="0" w:noHBand="0" w:noVBand="0" w:val="0020"/>
        <w:tblCaption w:val="Why employee data accuracy matters more now than before"/>
      </w:tblPr>
      <w:tblGrid>
        <w:gridCol w:w="2640"/>
        <w:gridCol w:w="2640"/>
        <w:gridCol w:w="2640"/>
      </w:tblGrid>
      <w:tr>
        <w:trPr>
          <w:tblHeader w:val="on"/>
        </w:trPr>
        <w:tc>
          <w:tcPr/>
          <w:p>
            <w:pPr>
              <w:pStyle w:val="Compact"/>
            </w:pPr>
          </w:p>
        </w:tc>
        <w:tc>
          <w:tcPr/>
          <w:p>
            <w:pPr>
              <w:pStyle w:val="Compact"/>
            </w:pPr>
            <w:r>
              <w:t xml:space="preserve">Perimeter era</w:t>
            </w:r>
          </w:p>
        </w:tc>
        <w:tc>
          <w:tcPr/>
          <w:p>
            <w:pPr>
              <w:pStyle w:val="Compact"/>
            </w:pPr>
            <w:r>
              <w:t xml:space="preserve">Zero Trust, delivered through SASE</w:t>
            </w:r>
          </w:p>
        </w:tc>
      </w:tr>
      <w:tr>
        <w:tc>
          <w:tcPr/>
          <w:p>
            <w:pPr>
              <w:pStyle w:val="Compact"/>
            </w:pPr>
            <w:r>
              <w:t xml:space="preserve">What decides access</w:t>
            </w:r>
          </w:p>
        </w:tc>
        <w:tc>
          <w:tcPr/>
          <w:p>
            <w:pPr>
              <w:pStyle w:val="Compact"/>
            </w:pPr>
            <w:r>
              <w:t xml:space="preserve">Network location, then static groups</w:t>
            </w:r>
          </w:p>
        </w:tc>
        <w:tc>
          <w:tcPr/>
          <w:p>
            <w:pPr>
              <w:pStyle w:val="Compact"/>
            </w:pPr>
            <w:r>
              <w:t xml:space="preserve">A token evaluated at the cloud edge against attributes and dynamic groups, per session</w:t>
            </w:r>
          </w:p>
        </w:tc>
      </w:tr>
      <w:tr>
        <w:tc>
          <w:tcPr/>
          <w:p>
            <w:pPr>
              <w:pStyle w:val="Compact"/>
            </w:pPr>
            <w:r>
              <w:t xml:space="preserve">Where the user’s facts live</w:t>
            </w:r>
          </w:p>
        </w:tc>
        <w:tc>
          <w:tcPr/>
          <w:p>
            <w:pPr>
              <w:pStyle w:val="Compact"/>
            </w:pPr>
            <w:r>
              <w:t xml:space="preserve">Typed into the directory by IT</w:t>
            </w:r>
          </w:p>
        </w:tc>
        <w:tc>
          <w:tcPr/>
          <w:p>
            <w:pPr>
              <w:pStyle w:val="Compact"/>
            </w:pPr>
            <w:r>
              <w:t xml:space="preserve">Projected from the HR record</w:t>
            </w:r>
          </w:p>
        </w:tc>
      </w:tr>
      <w:tr>
        <w:tc>
          <w:tcPr/>
          <w:p>
            <w:pPr>
              <w:pStyle w:val="Compact"/>
            </w:pPr>
            <w:r>
              <w:t xml:space="preserve">Cost of a wrong department</w:t>
            </w:r>
          </w:p>
        </w:tc>
        <w:tc>
          <w:tcPr/>
          <w:p>
            <w:pPr>
              <w:pStyle w:val="Compact"/>
            </w:pPr>
            <w:r>
              <w:t xml:space="preserve">A wrong phone-book entry</w:t>
            </w:r>
          </w:p>
        </w:tc>
        <w:tc>
          <w:tcPr/>
          <w:p>
            <w:pPr>
              <w:pStyle w:val="Compact"/>
            </w:pPr>
            <w:r>
              <w:t xml:space="preserve">The wrong dynamic groups, and therefore the wrong access</w:t>
            </w:r>
          </w:p>
        </w:tc>
      </w:tr>
      <w:tr>
        <w:tc>
          <w:tcPr/>
          <w:p>
            <w:pPr>
              <w:pStyle w:val="Compact"/>
            </w:pPr>
            <w:r>
              <w:t xml:space="preserve">Cost of a stale status</w:t>
            </w:r>
          </w:p>
        </w:tc>
        <w:tc>
          <w:tcPr/>
          <w:p>
            <w:pPr>
              <w:pStyle w:val="Compact"/>
            </w:pPr>
            <w:r>
              <w:t xml:space="preserve">An orphaned account: a standing security violation that can enable a breach</w:t>
            </w:r>
          </w:p>
        </w:tc>
        <w:tc>
          <w:tcPr/>
          <w:p>
            <w:pPr>
              <w:pStyle w:val="Compact"/>
            </w:pPr>
            <w:r>
              <w:t xml:space="preserve">A valid token for a separated person, usable from anywhere</w:t>
            </w:r>
          </w:p>
        </w:tc>
      </w:tr>
    </w:tbl>
    <w:p>
      <w:pPr>
        <w:pStyle w:val="BodyText"/>
      </w:pPr>
      <w:r>
        <w:t xml:space="preserve">That is the case for HR-driven identity in one line: when access decisions depend on authoritative identity attributes, the accuracy of employee data drives the accuracy of access — and only the HR system of record originates those facts.</w:t>
      </w:r>
    </w:p>
    <w:bookmarkEnd w:id="95"/>
    <w:bookmarkStart w:id="105" w:name="the-federal-policy-frame"/>
    <w:p>
      <w:pPr>
        <w:pStyle w:val="Heading2"/>
      </w:pPr>
      <w:bookmarkStart w:id="801" w:name="_Toc00000801"/>
      <w:r>
        <w:t xml:space="preserve">The federal policy frame</w:t>
      </w:r>
      <w:bookmarkEnd w:id="801"/>
    </w:p>
    <w:p>
      <w:pPr>
        <w:pStyle w:val="FirstParagraph"/>
      </w:pPr>
      <w:r>
        <w:t xml:space="preserve">Federal policy and guidance point the same way, though none of it names a product or mandates this architecture. OMB M-19-17 sets the enterprise ICAM policy framework.</w:t>
      </w:r>
      <w:r>
        <w:rPr>
          <w:rStyle w:val="FootnoteReference"/>
        </w:rPr>
        <w:footnoteReference w:id="96"/>
      </w:r>
      <w:r>
        <w:t xml:space="preserve"> </w:t>
      </w:r>
      <w:r>
        <w:t xml:space="preserve">The FICAM Identity Lifecycle Management Playbook — best practice, not policy — recommends that agencies</w:t>
      </w:r>
      <w:r>
        <w:t xml:space="preserve"> </w:t>
      </w:r>
      <w:r>
        <w:t xml:space="preserve">“designate HR systems as the authoritative source of truth for identity creation and termination,”</w:t>
      </w:r>
      <w:r>
        <w:rPr>
          <w:rStyle w:val="FootnoteReference"/>
        </w:rPr>
        <w:footnoteReference w:id="97"/>
      </w:r>
      <w:r>
        <w:t xml:space="preserve"> </w:t>
      </w:r>
      <w:r>
        <w:t xml:space="preserve">and the FICAM Architecture describes identity management as how an agency collects, verifies and manages attributes held in authoritative sources.</w:t>
      </w:r>
      <w:r>
        <w:rPr>
          <w:rStyle w:val="FootnoteReference"/>
        </w:rPr>
        <w:footnoteReference w:id="98"/>
      </w:r>
      <w:r>
        <w:t xml:space="preserve"> </w:t>
      </w:r>
      <w:r>
        <w:t xml:space="preserve">NIST SP 800-53 asks the same of account management, which is to be aligned</w:t>
      </w:r>
      <w:r>
        <w:t xml:space="preserve"> </w:t>
      </w:r>
      <w:r>
        <w:t xml:space="preserve">“with personnel termination and transfer processes”</w:t>
      </w:r>
      <w:r>
        <w:t xml:space="preserve"> </w:t>
      </w:r>
      <w:r>
        <w:t xml:space="preserve">(AC-2 l).</w:t>
      </w:r>
      <w:r>
        <w:rPr>
          <w:rStyle w:val="FootnoteReference"/>
        </w:rPr>
        <w:footnoteReference w:id="100"/>
      </w:r>
      <w:r>
        <w:t xml:space="preserve"> </w:t>
      </w:r>
      <w:r>
        <w:t xml:space="preserve">The Evidence Act (the Foundations for Evidence-Based Policymaking Act of 2018, enacted January 2019) and the Federal Data Strategy push agencies toward reliable, governed data with documented quality and provenance;</w:t>
      </w:r>
      <w:r>
        <w:rPr>
          <w:rStyle w:val="FootnoteReference"/>
        </w:rPr>
        <w:footnoteReference w:id="101"/>
      </w:r>
      <w:r>
        <w:rPr>
          <w:rStyle w:val="FootnoteReference"/>
        </w:rPr>
        <w:footnoteReference w:id="103"/>
      </w:r>
      <w:r>
        <w:t xml:space="preserve"> </w:t>
      </w:r>
      <w:r>
        <w:t xml:space="preserve">they don’t require one system of record for every data type, and this book doesn’t cite them that way. None of this is achieved by cleaning the fragments. It takes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105"/>
    <w:bookmarkStart w:id="107" w:name="why-this-cant-be-patched"/>
    <w:p>
      <w:pPr>
        <w:pStyle w:val="Heading2"/>
      </w:pPr>
      <w:bookmarkStart w:id="802" w:name="_Toc00000802"/>
      <w:r>
        <w:t xml:space="preserve">Why this can’t be patched</w:t>
      </w:r>
      <w:bookmarkEnd w:id="802"/>
    </w:p>
    <w:p>
      <w:pPr>
        <w:pStyle w:val="FirstParagraph"/>
      </w:pPr>
      <w:r>
        <w:t xml:space="preserve">Three remediation strategies are regularly proposed to fix fragmented identity truth without designating a source. Each fails for a structural reason:</w:t>
      </w:r>
    </w:p>
    <w:p>
      <w:pPr>
        <w:pStyle w:val="Compact"/>
        <w:numPr>
          <w:ilvl w:val="0"/>
          <w:numId w:val="1010"/>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w:t>
      </w:r>
    </w:p>
    <w:p>
      <w:pPr>
        <w:pStyle w:val="Compact"/>
        <w:numPr>
          <w:ilvl w:val="0"/>
          <w:numId w:val="1010"/>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10"/>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the verification layer of AC-2 j</w:t>
      </w:r>
      <w:r>
        <w:rPr>
          <w:rStyle w:val="FootnoteReference"/>
        </w:rPr>
        <w:footnoteReference w:id="106"/>
      </w:r>
      <w:r>
        <w:t xml:space="preserve"> </w:t>
      </w:r>
      <w:r>
        <w:t xml:space="preserve">and this architecture keeps them, sharper (Chapter 10);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107"/>
    <w:bookmarkStart w:id="109" w:name="what-hr-driven-provisioning-means"/>
    <w:p>
      <w:pPr>
        <w:pStyle w:val="Heading2"/>
      </w:pPr>
      <w:bookmarkStart w:id="803" w:name="_Toc00000803"/>
      <w:r>
        <w:t xml:space="preserve">What HR-driven provisioning means</w:t>
      </w:r>
      <w:bookmarkEnd w:id="803"/>
    </w:p>
    <w:p>
      <w:pPr>
        <w:pStyle w:val="FirstParagraph"/>
      </w:pPr>
      <w:r>
        <w:t xml:space="preserve">Microsoft’s name for the fix is</w:t>
      </w:r>
      <w:r>
        <w:t xml:space="preserve"> </w:t>
      </w:r>
      <w:r>
        <w:rPr>
          <w:b/>
          <w:bCs/>
        </w:rPr>
        <w:t xml:space="preserve">HR-driven provisioning</w:t>
      </w:r>
      <w:r>
        <w:t xml:space="preserve">:</w:t>
      </w:r>
      <w:r>
        <w:t xml:space="preserve"> </w:t>
      </w:r>
      <w:r>
        <w:t xml:space="preserve">“the process of creating digital identities based on a human resources system,”</w:t>
      </w:r>
      <w:r>
        <w:t xml:space="preserve"> </w:t>
      </w:r>
      <w:r>
        <w:t xml:space="preserve">in which the HR systems</w:t>
      </w:r>
      <w:r>
        <w:t xml:space="preserve"> </w:t>
      </w:r>
      <w:r>
        <w:t xml:space="preserve">“become the source of authority”</w:t>
      </w:r>
      <w:r>
        <w:t xml:space="preserve"> </w:t>
      </w:r>
      <w:r>
        <w:t xml:space="preserve">and are the starting point for the provisioning processes that follow. A hire in HR creates the account; a change in HR updates it; a termination in HR disables it; a rehire reactivates or reprovisions it.</w:t>
      </w:r>
      <w:r>
        <w:rPr>
          <w:rStyle w:val="FootnoteReference"/>
        </w:rPr>
        <w:footnoteReference w:id="108"/>
      </w:r>
      <w:r>
        <w:t xml:space="preserve"> </w:t>
      </w:r>
      <w:r>
        <w:t xml:space="preserve">In an agency where none of that happens today — where every one of those steps is a ticket — starting HR-driven provisioning is the single largest change to identity risk available, and the two migrations of Chapter 01 are when it costs least.</w:t>
      </w:r>
    </w:p>
    <w:bookmarkEnd w:id="109"/>
    <w:bookmarkStart w:id="110" w:name="X355c4f0e11de6c09e8ad84a660f994093450f78"/>
    <w:p>
      <w:pPr>
        <w:pStyle w:val="Heading2"/>
      </w:pPr>
      <w:bookmarkStart w:id="804" w:name="_Toc00000804"/>
      <w:r>
        <w:t xml:space="preserve">What HR provides, and what identity architecture must add</w:t>
      </w:r>
      <w:bookmarkEnd w:id="804"/>
    </w:p>
    <w:p>
      <w:pPr>
        <w:pStyle w:val="FirstParagraph"/>
      </w:pPr>
      <w:r>
        <w:t xml:space="preserve">The HR system of record supplies the authoritative origin:</w:t>
      </w:r>
    </w:p>
    <w:p>
      <w:pPr>
        <w:pStyle w:val="Compact"/>
        <w:numPr>
          <w:ilvl w:val="0"/>
          <w:numId w:val="1011"/>
        </w:numPr>
      </w:pPr>
      <w:r>
        <w:t xml:space="preserve">Authoritative employment status (joiner, mover, leaver)</w:t>
      </w:r>
    </w:p>
    <w:p>
      <w:pPr>
        <w:pStyle w:val="Compact"/>
        <w:numPr>
          <w:ilvl w:val="0"/>
          <w:numId w:val="1011"/>
        </w:numPr>
      </w:pPr>
      <w:r>
        <w:t xml:space="preserve">Organizational attributes (department, division, location, employee type)</w:t>
      </w:r>
    </w:p>
    <w:p>
      <w:pPr>
        <w:pStyle w:val="Compact"/>
        <w:numPr>
          <w:ilvl w:val="0"/>
          <w:numId w:val="1011"/>
        </w:numPr>
      </w:pPr>
      <w:r>
        <w:t xml:space="preserve">For federal employees, a consistent feed shape across agencies once Federal HR 2.0 consolidation completes, expressed in OPM’s standard data elements and personnel actions (Chapter 06). Contractors and vendors are outside HRIT and need a designated source of their own.</w:t>
      </w:r>
    </w:p>
    <w:p>
      <w:pPr>
        <w:pStyle w:val="FirstParagraph"/>
      </w:pPr>
      <w:r>
        <w:t xml:space="preserve">Identity architecture supplies everything that turns that origin into access:</w:t>
      </w:r>
    </w:p>
    <w:p>
      <w:pPr>
        <w:pStyle w:val="Compact"/>
        <w:numPr>
          <w:ilvl w:val="0"/>
          <w:numId w:val="1012"/>
        </w:numPr>
      </w:pPr>
      <w:r>
        <w:t xml:space="preserve">A governed workforce identity model that normalizes authoritative facts for downstream lifecycle and policy use (Chapter 06)</w:t>
      </w:r>
    </w:p>
    <w:p>
      <w:pPr>
        <w:pStyle w:val="Compact"/>
        <w:numPr>
          <w:ilvl w:val="0"/>
          <w:numId w:val="1012"/>
        </w:numPr>
      </w:pPr>
      <w:r>
        <w:t xml:space="preserve">Joiner/mover/leaver workflows that act only on HR events (Chapter 08)</w:t>
      </w:r>
    </w:p>
    <w:p>
      <w:pPr>
        <w:pStyle w:val="Compact"/>
        <w:numPr>
          <w:ilvl w:val="0"/>
          <w:numId w:val="1012"/>
        </w:numPr>
      </w:pPr>
      <w:r>
        <w:t xml:space="preserve">Credential and certificate lifecycle tied to the same events (Chapter 09)</w:t>
      </w:r>
    </w:p>
    <w:p>
      <w:pPr>
        <w:pStyle w:val="Compact"/>
        <w:numPr>
          <w:ilvl w:val="0"/>
          <w:numId w:val="1012"/>
        </w:numPr>
      </w:pPr>
      <w:r>
        <w:t xml:space="preserve">Population of the attributes policy reads, so that targeting stays deterministic (Chapter 10)</w:t>
      </w:r>
    </w:p>
    <w:p>
      <w:pPr>
        <w:pStyle w:val="Compact"/>
        <w:numPr>
          <w:ilvl w:val="0"/>
          <w:numId w:val="1012"/>
        </w:numPr>
      </w:pPr>
      <w:r>
        <w:t xml:space="preserve">Drift detection between HR state and directory state, and evidence that account-management controls can be continuously verified (Chapter 11)</w:t>
      </w:r>
    </w:p>
    <w:p>
      <w:pPr>
        <w:pStyle w:val="FirstParagraph"/>
      </w:pPr>
      <w:r>
        <w:t xml:space="preserve">The identity architecture doesn’t depend on the platform being Oracle Fusion Cloud HCM. It depends on the HR system remaining the authoritative source and on the records being normalizable to the governed workforce identity model. Neither half is sufficient alone.</w:t>
      </w:r>
    </w:p>
    <w:bookmarkEnd w:id="110"/>
    <w:bookmarkStart w:id="111" w:name="continue-the-book-1"/>
    <w:p>
      <w:pPr>
        <w:pStyle w:val="Heading2"/>
      </w:pPr>
      <w:bookmarkStart w:id="805" w:name="_Toc00000805"/>
      <w:r>
        <w:t xml:space="preserve">Continue the book</w:t>
      </w:r>
      <w:bookmarkEnd w:id="805"/>
    </w:p>
    <w:p>
      <w:pPr>
        <w:pStyle w:val="FirstParagraph"/>
      </w:pPr>
      <w:r>
        <w:t xml:space="preserve">← Previous: Chapter 01 — Overview and Applicability · Book index · Next: Chapter 03 — Federal HR 2.0 and the Core HCM Platform →</w:t>
      </w:r>
    </w:p>
    <w:bookmarkEnd w:id="111"/>
    <w:bookmarkEnd w:id="112"/>
    <w:bookmarkStart w:id="179" w:name="X4a87507c5c1a19632339bc656557f0ec9cb6842"/>
    <w:p>
      <w:pPr>
        <w:pStyle w:val="Heading1"/>
      </w:pPr>
      <w:bookmarkStart w:id="806" w:name="_Toc00000806"/>
      <w:r>
        <w:t xml:space="preserve">Chapter 03 — Federal HR 2.0 and the Core HCM Platform</w:t>
      </w:r>
      <w:bookmarkEnd w:id="806"/>
    </w:p>
    <w:p>
      <w:pPr>
        <w:pStyle w:val="FirstParagraph"/>
      </w:pPr>
      <w:r>
        <w:rPr>
          <w:i/>
          <w:iCs/>
        </w:rPr>
        <w:t xml:space="preserve">Federal HR 2.0 is not the project. It is the opening: the HR side is rebuilt anyway, and the identity side is left to the agency.</w:t>
      </w:r>
    </w:p>
    <w:bookmarkStart w:id="113" w:name="in-this-chapter-2"/>
    <w:p>
      <w:pPr>
        <w:pStyle w:val="Heading2"/>
      </w:pPr>
      <w:bookmarkStart w:id="807" w:name="_Toc00000807"/>
      <w:r>
        <w:t xml:space="preserve">In this chapter</w:t>
      </w:r>
      <w:bookmarkEnd w:id="807"/>
    </w:p>
    <w:p>
      <w:pPr>
        <w:pStyle w:val="FirstParagraph"/>
      </w:pPr>
      <w:r>
        <w:t xml:space="preserve">What OPM HRIT is and who OPM is in this story. Five decades of federal HR consolidation. The Federal HR 2.0 program facts and the wave clock, as of October 2026. Why Federal HR 2.0 is the opportunity to start HR-driven identity, and when the window closes. What OPM requires of the identity leg, and what it leaves to the agency.</w:t>
      </w:r>
    </w:p>
    <w:bookmarkEnd w:id="113"/>
    <w:bookmarkStart w:id="124" w:name="opm-hrit-and-federal-hr-2.0"/>
    <w:p>
      <w:pPr>
        <w:pStyle w:val="Heading2"/>
      </w:pPr>
      <w:bookmarkStart w:id="808" w:name="_Toc00000808"/>
      <w:r>
        <w:t xml:space="preserve">OPM HRIT and Federal HR 2.0</w:t>
      </w:r>
      <w:bookmarkEnd w:id="808"/>
    </w:p>
    <w:p>
      <w:pPr>
        <w:pStyle w:val="FirstParagraph"/>
      </w:pPr>
      <w:r>
        <w:t xml:space="preserve">In this book, OPM HRIT means the Office of Personnel Management’s government-wide human resources information technology — the systems and data services through which OPM supports HR across the federal government: personnel action processing (the SF-50 pipeline), the electronic Official Personnel Folder (eOPF), and the government-wide HR data backbone, Enterprise Human Resources Integration (EHRI).</w:t>
      </w:r>
      <w:r>
        <w:rPr>
          <w:rStyle w:val="FootnoteReference"/>
        </w:rPr>
        <w:footnoteReference w:id="114"/>
      </w:r>
      <w:r>
        <w:t xml:space="preserve"> </w:t>
      </w:r>
      <w:r>
        <w:t xml:space="preserve">Since December 2025 it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The memo moves the government’s</w:t>
      </w:r>
      <w:r>
        <w:t xml:space="preserve"> </w:t>
      </w:r>
      <w:r>
        <w:t xml:space="preserve">“more than 100 unique Core HCM software systems”</w:t>
      </w:r>
      <w:r>
        <w:t xml:space="preserve"> </w:t>
      </w:r>
      <w:r>
        <w:t xml:space="preserve">onto one government-wide platform and — significant for integration planning — says that the single Core HCM system will eventually make eOPF and EHRI</w:t>
      </w:r>
      <w:r>
        <w:t xml:space="preserve"> </w:t>
      </w:r>
      <w:r>
        <w:rPr>
          <w:b/>
          <w:bCs/>
        </w:rPr>
        <w:t xml:space="preserve">redundant</w:t>
      </w:r>
      <w:r>
        <w:t xml:space="preserve">,</w:t>
      </w:r>
      <w:r>
        <w:t xml:space="preserve"> </w:t>
      </w:r>
      <w:r>
        <w:t xml:space="preserve">“and allow for their decommissioning and elimination.”</w:t>
      </w:r>
      <w:r>
        <w:rPr>
          <w:rStyle w:val="FootnoteReference"/>
        </w:rPr>
        <w:footnoteReference w:id="116"/>
      </w:r>
      <w:r>
        <w:t xml:space="preserve"> </w:t>
      </w:r>
      <w:r>
        <w:t xml:space="preserve">Anything built against the EHRI/eOPF feed shapes is building against systems the program already expects to retire; the durable integration surface is the Core HCM platform’s own (federation, SCIM provisioning, extracts and event feeds).</w:t>
      </w:r>
    </w:p>
    <w:bookmarkStart w:id="123" w:name="who-opm-is-in-this-story"/>
    <w:p>
      <w:pPr>
        <w:pStyle w:val="Heading3"/>
      </w:pPr>
      <w:r>
        <w:t xml:space="preserve">Who OPM is in this story</w:t>
      </w:r>
    </w:p>
    <w:p>
      <w:pPr>
        <w:pStyle w:val="FirstParagraph"/>
      </w:pPr>
      <w:r>
        <w:t xml:space="preserve">Not just a policy shop. OMB M-19-16 (</w:t>
      </w:r>
      <w:r>
        <w:rPr>
          <w:i/>
          <w:iCs/>
        </w:rPr>
        <w:t xml:space="preserve">Centralized Mission Support Capabilities for the Federal Government</w:t>
      </w:r>
      <w:r>
        <w:t xml:space="preserve">, April 2019) set up Quality Services Management Offices (QSMOs): government-wide owners of standards and a marketplace of solutions for a mission-support function. Once a QSMO is designated for a function, agencies may not issue new solicitations for new or modernized technology for that function without a business case approved by the QSMO and OMB.</w:t>
      </w:r>
      <w:r>
        <w:rPr>
          <w:rStyle w:val="FootnoteReference"/>
        </w:rPr>
        <w:footnoteReference w:id="117"/>
      </w:r>
      <w:r>
        <w:t xml:space="preserve"> </w:t>
      </w:r>
      <w:r>
        <w:t xml:space="preserve">The human resources role first went to GSA; in 2022 OMB moved it to OPM, which now serves as the</w:t>
      </w:r>
      <w:r>
        <w:t xml:space="preserve"> </w:t>
      </w:r>
      <w:r>
        <w:rPr>
          <w:b/>
          <w:bCs/>
        </w:rPr>
        <w:t xml:space="preserve">HR Quality Services Management Office (HR QSMO)</w:t>
      </w:r>
      <w:r>
        <w:t xml:space="preserve"> </w:t>
      </w:r>
      <w:r>
        <w:t xml:space="preserve">— the standards owner and storefront for HR IT.</w:t>
      </w:r>
      <w:r>
        <w:rPr>
          <w:rStyle w:val="FootnoteReference"/>
        </w:rPr>
        <w:footnoteReference w:id="119"/>
      </w:r>
      <w:r>
        <w:rPr>
          <w:rStyle w:val="FootnoteReference"/>
        </w:rPr>
        <w:footnoteReference w:id="121"/>
      </w:r>
      <w:r>
        <w:t xml:space="preserve"> </w:t>
      </w:r>
      <w:r>
        <w:t xml:space="preserve">The policy direction is explicit: agencies buy HR technology against the QSMO’s standards and marketplace rather than building bespoke systems.</w:t>
      </w:r>
    </w:p>
    <w:bookmarkEnd w:id="123"/>
    <w:bookmarkEnd w:id="124"/>
    <w:bookmarkStart w:id="149" w:name="fifty-years-of-consolidation"/>
    <w:p>
      <w:pPr>
        <w:pStyle w:val="Heading2"/>
      </w:pPr>
      <w:bookmarkStart w:id="809" w:name="_Toc00000809"/>
      <w:r>
        <w:t xml:space="preserve">Fifty years of consolidation</w:t>
      </w:r>
      <w:bookmarkEnd w:id="809"/>
    </w:p>
    <w:p>
      <w:pPr>
        <w:pStyle w:val="FirstParagraph"/>
      </w:pPr>
      <w:r>
        <w:t xml:space="preserve">Every milestone in the program’s history moves the same direction: fewer systems, more authoritative data, shared delivery. The modernization approach in this workbook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government-wide personnel statistics database</w:t>
            </w:r>
            <w:r>
              <w:rPr>
                <w:rStyle w:val="FootnoteReference"/>
              </w:rPr>
              <w:footnoteReference w:id="125"/>
            </w:r>
          </w:p>
        </w:tc>
      </w:tr>
      <w:tr>
        <w:tc>
          <w:tcPr/>
          <w:p>
            <w:pPr>
              <w:pStyle w:val="Compact"/>
            </w:pPr>
            <w:r>
              <w:t xml:space="preserve">2002–2009</w:t>
            </w:r>
          </w:p>
        </w:tc>
        <w:tc>
          <w:tcPr/>
          <w:p>
            <w:pPr>
              <w:pStyle w:val="Compact"/>
            </w:pPr>
            <w:r>
              <w:rPr>
                <w:b/>
                <w:bCs/>
              </w:rPr>
              <w:t xml:space="preserve">e-Gov era</w:t>
            </w:r>
          </w:p>
        </w:tc>
        <w:tc>
          <w:tcPr/>
          <w:p>
            <w:pPr>
              <w:pStyle w:val="Compact"/>
            </w:pPr>
            <w:r>
              <w:t xml:space="preserve">e-Payroll consolidates 26 executive branch payroll providers to 4, a migration completed in 2009; eOPF begins replacing the paper personnel folder</w:t>
            </w:r>
            <w:r>
              <w:rPr>
                <w:rStyle w:val="FootnoteReference"/>
              </w:rPr>
              <w:footnoteReference w:id="127"/>
            </w:r>
            <w:r>
              <w:rPr>
                <w:rStyle w:val="FootnoteReference"/>
              </w:rPr>
              <w:footnoteReference w:id="129"/>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inter-agency program; the federal HR business reference model; agency HR moves toward shared service centers</w:t>
            </w:r>
            <w:r>
              <w:rPr>
                <w:rStyle w:val="FootnoteReference"/>
              </w:rPr>
              <w:footnoteReference w:id="131"/>
            </w:r>
          </w:p>
        </w:tc>
      </w:tr>
      <w:tr>
        <w:tc>
          <w:tcPr/>
          <w:p>
            <w:pPr>
              <w:pStyle w:val="Compact"/>
            </w:pPr>
            <w:r>
              <w:t xml:space="preserve">2000s</w:t>
            </w:r>
          </w:p>
        </w:tc>
        <w:tc>
          <w:tcPr/>
          <w:p>
            <w:pPr>
              <w:pStyle w:val="Compact"/>
            </w:pPr>
            <w:r>
              <w:rPr>
                <w:b/>
                <w:bCs/>
              </w:rPr>
              <w:t xml:space="preserve">EHRI</w:t>
            </w:r>
          </w:p>
        </w:tc>
        <w:tc>
          <w:tcPr/>
          <w:p>
            <w:pPr>
              <w:pStyle w:val="Compact"/>
            </w:pPr>
            <w:r>
              <w:t xml:space="preserve">Enterprise Human Resources Integration, an OPM e-Gov initiative, becomes the government-wide HR data source and steward of eOPF; CPDF is its precursor</w:t>
            </w:r>
            <w:r>
              <w:rPr>
                <w:rStyle w:val="FootnoteReference"/>
              </w:rPr>
              <w:footnoteReference w:id="133"/>
            </w:r>
            <w:r>
              <w:rPr>
                <w:rStyle w:val="FootnoteReference"/>
              </w:rPr>
              <w:footnoteReference w:id="134"/>
            </w:r>
          </w:p>
        </w:tc>
      </w:tr>
      <w:tr>
        <w:tc>
          <w:tcPr/>
          <w:p>
            <w:pPr>
              <w:pStyle w:val="Compact"/>
            </w:pPr>
            <w:r>
              <w:t xml:space="preserve">2019</w:t>
            </w:r>
          </w:p>
        </w:tc>
        <w:tc>
          <w:tcPr/>
          <w:p>
            <w:pPr>
              <w:pStyle w:val="Compact"/>
            </w:pPr>
            <w:r>
              <w:rPr>
                <w:b/>
                <w:bCs/>
              </w:rPr>
              <w:t xml:space="preserve">QSMO framework</w:t>
            </w:r>
          </w:p>
        </w:tc>
        <w:tc>
          <w:tcPr/>
          <w:p>
            <w:pPr>
              <w:pStyle w:val="Compact"/>
            </w:pPr>
            <w:r>
              <w:t xml:space="preserve">OMB M-19-16 establishes Quality Services Management Offices for mission-support functions</w:t>
            </w:r>
            <w:r>
              <w:rPr>
                <w:rStyle w:val="FootnoteReference"/>
              </w:rPr>
              <w:footnoteReference w:id="136"/>
            </w:r>
          </w:p>
        </w:tc>
      </w:tr>
      <w:tr>
        <w:tc>
          <w:tcPr/>
          <w:p>
            <w:pPr>
              <w:pStyle w:val="Compact"/>
            </w:pPr>
            <w:r>
              <w:t xml:space="preserve">2022</w:t>
            </w:r>
          </w:p>
        </w:tc>
        <w:tc>
          <w:tcPr/>
          <w:p>
            <w:pPr>
              <w:pStyle w:val="Compact"/>
            </w:pPr>
            <w:r>
              <w:rPr>
                <w:b/>
                <w:bCs/>
              </w:rPr>
              <w:t xml:space="preserve">HR QSMO</w:t>
            </w:r>
          </w:p>
        </w:tc>
        <w:tc>
          <w:tcPr/>
          <w:p>
            <w:pPr>
              <w:pStyle w:val="Compact"/>
            </w:pPr>
            <w:r>
              <w:t xml:space="preserve">OMB designates OPM the HR Quality Services Management Office, taking the role over from GSA</w:t>
            </w:r>
            <w:r>
              <w:rPr>
                <w:rStyle w:val="FootnoteReference"/>
              </w:rPr>
              <w:footnoteReference w:id="137"/>
            </w:r>
          </w:p>
        </w:tc>
      </w:tr>
      <w:tr>
        <w:tc>
          <w:tcPr/>
          <w:p>
            <w:pPr>
              <w:pStyle w:val="Compact"/>
            </w:pPr>
            <w:r>
              <w:t xml:space="preserve">2024</w:t>
            </w:r>
          </w:p>
        </w:tc>
        <w:tc>
          <w:tcPr/>
          <w:p>
            <w:pPr>
              <w:pStyle w:val="Compact"/>
            </w:pPr>
            <w:r>
              <w:rPr>
                <w:b/>
                <w:bCs/>
              </w:rPr>
              <w:t xml:space="preserve">HR Marketplace</w:t>
            </w:r>
          </w:p>
        </w:tc>
        <w:tc>
          <w:tcPr/>
          <w:p>
            <w:pPr>
              <w:pStyle w:val="Compact"/>
            </w:pPr>
            <w:r>
              <w:t xml:space="preserve">OPM’s HR QSMO opens its HR Marketplace; agencies steered to standards-aligned shared solutions</w:t>
            </w:r>
            <w:r>
              <w:rPr>
                <w:rStyle w:val="FootnoteReference"/>
              </w:rPr>
              <w:footnoteReference w:id="138"/>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procurement and modernization</w:t>
            </w:r>
            <w:r>
              <w:rPr>
                <w:rStyle w:val="FootnoteReference"/>
              </w:rPr>
              <w:footnoteReference w:id="140"/>
            </w:r>
          </w:p>
        </w:tc>
      </w:tr>
      <w:tr>
        <w:tc>
          <w:tcPr/>
          <w:p>
            <w:pPr>
              <w:pStyle w:val="Compact"/>
            </w:pPr>
            <w:r>
              <w:t xml:space="preserve">2026</w:t>
            </w:r>
          </w:p>
        </w:tc>
        <w:tc>
          <w:tcPr/>
          <w:p>
            <w:pPr>
              <w:pStyle w:val="Compact"/>
            </w:pPr>
            <w:r>
              <w:rPr>
                <w:b/>
                <w:bCs/>
              </w:rPr>
              <w:t xml:space="preserve">Core HCM award</w:t>
            </w:r>
          </w:p>
        </w:tc>
        <w:tc>
          <w:tcPr/>
          <w:p>
            <w:pPr>
              <w:pStyle w:val="Compact"/>
            </w:pPr>
            <w:r>
              <w:t xml:space="preserve">OPM awards the Federal HRIT Modernization Core HCM contract to Oracle (June 10, 2026; announced by Oracle June 11) —</w:t>
            </w:r>
            <w:r>
              <w:t xml:space="preserve"> </w:t>
            </w:r>
            <w:r>
              <w:rPr>
                <w:b/>
                <w:bCs/>
              </w:rPr>
              <w:t xml:space="preserve">Oracle Fusion Cloud HCM</w:t>
            </w:r>
            <w:r>
              <w:t xml:space="preserve">, SaaS, the workforce platform this workbook uses for its principal implementation example</w:t>
            </w:r>
            <w:r>
              <w:rPr>
                <w:rStyle w:val="FootnoteReference"/>
              </w:rPr>
              <w:footnoteReference w:id="141"/>
            </w:r>
            <w:r>
              <w:rPr>
                <w:rStyle w:val="FootnoteReference"/>
              </w:rPr>
              <w:footnoteReference w:id="142"/>
            </w:r>
            <w:r>
              <w:rPr>
                <w:rStyle w:val="FootnoteReference"/>
              </w:rPr>
              <w:footnoteReference w:id="143"/>
            </w:r>
          </w:p>
        </w:tc>
      </w:tr>
      <w:tr>
        <w:tc>
          <w:tcPr/>
          <w:p>
            <w:pPr>
              <w:pStyle w:val="Compact"/>
            </w:pPr>
            <w:r>
              <w:t xml:space="preserve">2027</w:t>
            </w:r>
          </w:p>
        </w:tc>
        <w:tc>
          <w:tcPr/>
          <w:p>
            <w:pPr>
              <w:pStyle w:val="Compact"/>
            </w:pPr>
            <w:r>
              <w:rPr>
                <w:b/>
                <w:bCs/>
              </w:rPr>
              <w:t xml:space="preserve">Wave transitions</w:t>
            </w:r>
          </w:p>
        </w:tc>
        <w:tc>
          <w:tcPr/>
          <w:p>
            <w:pPr>
              <w:pStyle w:val="Compact"/>
            </w:pPr>
            <w:r>
              <w:t xml:space="preserve">First agencies onboard as FY 2027 begins; Wave 2 transitions during FY 2027; the sample onboarding timeline runs about 8 months with interconnections around month 5 (a planning assumption: confirm each agency’s milestones with the HR 2.0 program office)</w:t>
            </w:r>
            <w:r>
              <w:rPr>
                <w:rStyle w:val="FootnoteReference"/>
              </w:rPr>
              <w:footnoteReference w:id="145"/>
            </w:r>
            <w:r>
              <w:rPr>
                <w:rStyle w:val="FootnoteReference"/>
              </w:rPr>
              <w:footnoteReference w:id="146"/>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are eventually made redundant and decommissioned</w:t>
            </w:r>
            <w:r>
              <w:rPr>
                <w:rStyle w:val="FootnoteReference"/>
              </w:rPr>
              <w:footnoteReference w:id="148"/>
            </w:r>
          </w:p>
        </w:tc>
      </w:tr>
    </w:tbl>
    <w:bookmarkEnd w:id="149"/>
    <w:bookmarkStart w:id="166" w:name="the-program-facts"/>
    <w:p>
      <w:pPr>
        <w:pStyle w:val="Heading2"/>
      </w:pPr>
      <w:bookmarkStart w:id="810" w:name="_Toc00000810"/>
      <w:r>
        <w:t xml:space="preserve">The program facts</w:t>
      </w:r>
      <w:bookmarkEnd w:id="810"/>
    </w:p>
    <w:p>
      <w:pPr>
        <w:pStyle w:val="FirstParagraph"/>
      </w:pPr>
      <w:r>
        <w:t xml:space="preserve">These are the program facts as of October 20, 2026. They change; verify them at engagement time.</w:t>
      </w:r>
    </w:p>
    <w:p>
      <w:pPr>
        <w:pStyle w:val="TableCaption"/>
      </w:pPr>
      <w:r>
        <w:t xml:space="preserve">Federal HR 2.0 program facts, as of October 20, 2026</w:t>
      </w:r>
    </w:p>
    <w:tbl>
      <w:tblPr>
        <w:tblStyle w:val="Table"/>
        <w:tblW w:type="pct" w:w="5000"/>
        <w:tblLayout w:type="fixed"/>
        <w:tblLook w:firstRow="1" w:lastRow="0" w:firstColumn="0" w:lastColumn="0" w:noHBand="0" w:noVBand="0" w:val="0020"/>
        <w:tblCaption w:val="Federal HR 2.0 program facts, as of October 20, 2026"/>
      </w:tblPr>
      <w:tblGrid>
        <w:gridCol w:w="2640"/>
        <w:gridCol w:w="2640"/>
        <w:gridCol w:w="2640"/>
      </w:tblGrid>
      <w:tr>
        <w:trPr>
          <w:tblHeader w:val="on"/>
        </w:trPr>
        <w:tc>
          <w:tcPr/>
          <w:p>
            <w:pPr>
              <w:pStyle w:val="Compact"/>
            </w:pPr>
            <w:r>
              <w:t xml:space="preserve">Fact</w:t>
            </w:r>
          </w:p>
        </w:tc>
        <w:tc>
          <w:tcPr/>
          <w:p>
            <w:pPr>
              <w:pStyle w:val="Compact"/>
            </w:pPr>
            <w:r>
              <w:t xml:space="preserve">Value</w:t>
            </w:r>
          </w:p>
        </w:tc>
        <w:tc>
          <w:tcPr/>
          <w:p>
            <w:pPr>
              <w:pStyle w:val="Compact"/>
            </w:pPr>
            <w:r>
              <w:t xml:space="preserve">Source</w:t>
            </w:r>
          </w:p>
        </w:tc>
      </w:tr>
      <w:tr>
        <w:tc>
          <w:tcPr/>
          <w:p>
            <w:pPr>
              <w:pStyle w:val="Compact"/>
            </w:pPr>
            <w:r>
              <w:t xml:space="preserve">Directing instrument</w:t>
            </w:r>
          </w:p>
        </w:tc>
        <w:tc>
          <w:tcPr/>
          <w:p>
            <w:pPr>
              <w:pStyle w:val="Compact"/>
            </w:pPr>
            <w:r>
              <w:t xml:space="preserve">OMB/OPM memo,</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signed by the OMB and OPM Directors</w:t>
            </w:r>
          </w:p>
        </w:tc>
        <w:tc>
          <w:tcPr/>
          <w:p>
            <w:pPr>
              <w:pStyle w:val="Compact"/>
            </w:pPr>
            <w:r>
              <w:t xml:space="preserve">Dec 10, 2025</w:t>
            </w:r>
            <w:r>
              <w:rPr>
                <w:rStyle w:val="FootnoteReference"/>
              </w:rPr>
              <w:footnoteReference w:id="150"/>
            </w:r>
          </w:p>
        </w:tc>
      </w:tr>
      <w:tr>
        <w:tc>
          <w:tcPr/>
          <w:p>
            <w:pPr>
              <w:pStyle w:val="Compact"/>
            </w:pPr>
            <w:r>
              <w:t xml:space="preserve">Platform</w:t>
            </w:r>
          </w:p>
        </w:tc>
        <w:tc>
          <w:tcPr/>
          <w:p>
            <w:pPr>
              <w:pStyle w:val="Compact"/>
            </w:pPr>
            <w:r>
              <w:rPr>
                <w:b/>
                <w:bCs/>
              </w:rPr>
              <w:t xml:space="preserve">Oracle Fusion Cloud HCM</w:t>
            </w:r>
            <w:r>
              <w:t xml:space="preserve"> </w:t>
            </w:r>
            <w:r>
              <w:t xml:space="preserve">(SaaS), under the Federal HRIT Modernization Core HCM contract</w:t>
            </w:r>
          </w:p>
        </w:tc>
        <w:tc>
          <w:tcPr/>
          <w:p>
            <w:pPr>
              <w:pStyle w:val="Compact"/>
            </w:pPr>
            <w:r>
              <w:t xml:space="preserve">Awarded Jun 10, 2026; announced Jun 11, 2026</w:t>
            </w:r>
            <w:r>
              <w:rPr>
                <w:rStyle w:val="FootnoteReference"/>
              </w:rPr>
              <w:footnoteReference w:id="151"/>
            </w:r>
            <w:r>
              <w:rPr>
                <w:rStyle w:val="FootnoteReference"/>
              </w:rPr>
              <w:footnoteReference w:id="152"/>
            </w:r>
          </w:p>
        </w:tc>
      </w:tr>
      <w:tr>
        <w:tc>
          <w:tcPr/>
          <w:p>
            <w:pPr>
              <w:pStyle w:val="Compact"/>
            </w:pPr>
            <w:r>
              <w:t xml:space="preserve">Wave 1</w:t>
            </w:r>
          </w:p>
        </w:tc>
        <w:tc>
          <w:tcPr/>
          <w:p>
            <w:pPr>
              <w:pStyle w:val="Compact"/>
            </w:pPr>
            <w:r>
              <w:t xml:space="preserve">Agencies that volunteered for the initial wave (~900K FTE); planned to start in FY 2026 and conclude in FY 2027. Membership is listed in the memo’s Appendix A</w:t>
            </w:r>
          </w:p>
        </w:tc>
        <w:tc>
          <w:tcPr/>
          <w:p>
            <w:pPr>
              <w:pStyle w:val="Compact"/>
            </w:pPr>
            <w:r>
              <w:t xml:space="preserve">Memo, Appendix A</w:t>
            </w:r>
            <w:r>
              <w:rPr>
                <w:rStyle w:val="FootnoteReference"/>
              </w:rPr>
              <w:footnoteReference w:id="153"/>
            </w:r>
          </w:p>
        </w:tc>
      </w:tr>
      <w:tr>
        <w:tc>
          <w:tcPr/>
          <w:p>
            <w:pPr>
              <w:pStyle w:val="Compact"/>
            </w:pPr>
            <w:r>
              <w:t xml:space="preserve">Wave 2</w:t>
            </w:r>
          </w:p>
        </w:tc>
        <w:tc>
          <w:tcPr/>
          <w:p>
            <w:pPr>
              <w:pStyle w:val="Compact"/>
            </w:pPr>
            <w:r>
              <w:t xml:space="preserve">All remaining agencies (~1.1M FTE), transitioning fully in FY 2027</w:t>
            </w:r>
          </w:p>
        </w:tc>
        <w:tc>
          <w:tcPr/>
          <w:p>
            <w:pPr>
              <w:pStyle w:val="Compact"/>
            </w:pPr>
            <w:r>
              <w:t xml:space="preserve">Memo, Appendix A</w:t>
            </w:r>
            <w:r>
              <w:rPr>
                <w:rStyle w:val="FootnoteReference"/>
              </w:rPr>
              <w:footnoteReference w:id="154"/>
            </w:r>
          </w:p>
        </w:tc>
      </w:tr>
      <w:tr>
        <w:tc>
          <w:tcPr/>
          <w:p>
            <w:pPr>
              <w:pStyle w:val="Compact"/>
            </w:pPr>
            <w:r>
              <w:t xml:space="preserve">First onboarding and go-lives</w:t>
            </w:r>
          </w:p>
        </w:tc>
        <w:tc>
          <w:tcPr/>
          <w:p>
            <w:pPr>
              <w:pStyle w:val="Compact"/>
            </w:pPr>
            <w:r>
              <w:t xml:space="preserve">First agencies start moving onto the platform as FY 2027 begins; initial deployments reported as slated to go live between January and March 2027. The original July 2027 launch target was expected to slip after the award was delayed by bid protests</w:t>
            </w:r>
          </w:p>
        </w:tc>
        <w:tc>
          <w:tcPr/>
          <w:p>
            <w:pPr>
              <w:pStyle w:val="Compact"/>
            </w:pPr>
            <w:r>
              <w:t xml:space="preserve">OPM Director, Aug 31, 2026, as reported</w:t>
            </w:r>
            <w:r>
              <w:rPr>
                <w:rStyle w:val="FootnoteReference"/>
              </w:rPr>
              <w:footnoteReference w:id="155"/>
            </w:r>
            <w:r>
              <w:t xml:space="preserve">; award reporting</w:t>
            </w:r>
            <w:r>
              <w:rPr>
                <w:rStyle w:val="FootnoteReference"/>
              </w:rPr>
              <w:footnoteReference w:id="156"/>
            </w:r>
          </w:p>
        </w:tc>
      </w:tr>
      <w:tr>
        <w:tc>
          <w:tcPr/>
          <w:p>
            <w:pPr>
              <w:pStyle w:val="Compact"/>
            </w:pPr>
            <w:r>
              <w:t xml:space="preserve">Agency onboarding shape</w:t>
            </w:r>
          </w:p>
        </w:tc>
        <w:tc>
          <w:tcPr/>
          <w:p>
            <w:pPr>
              <w:pStyle w:val="Compact"/>
            </w:pPr>
            <w:r>
              <w:t xml:space="preserve">~8 months;</w:t>
            </w:r>
            <w:r>
              <w:t xml:space="preserve"> </w:t>
            </w:r>
            <w:r>
              <w:rPr>
                <w:b/>
                <w:bCs/>
              </w:rPr>
              <w:t xml:space="preserve">interconnection(s) go-live and production setup complete ≈ month 5</w:t>
            </w:r>
            <w:r>
              <w:t xml:space="preserve">; data migration and cutover at month 8, then legacy systems replaced by Core HCM are discontinued</w:t>
            </w:r>
          </w:p>
        </w:tc>
        <w:tc>
          <w:tcPr/>
          <w:p>
            <w:pPr>
              <w:pStyle w:val="Compact"/>
            </w:pPr>
            <w:r>
              <w:t xml:space="preserve">Memo, Appendix B (sample timeline)</w:t>
            </w:r>
            <w:r>
              <w:rPr>
                <w:rStyle w:val="FootnoteReference"/>
              </w:rPr>
              <w:footnoteReference w:id="157"/>
            </w:r>
          </w:p>
        </w:tc>
      </w:tr>
      <w:tr>
        <w:tc>
          <w:tcPr/>
          <w:p>
            <w:pPr>
              <w:pStyle w:val="Compact"/>
            </w:pPr>
            <w:r>
              <w:t xml:space="preserve">Government-wide adoption goal</w:t>
            </w:r>
          </w:p>
        </w:tc>
        <w:tc>
          <w:tcPr/>
          <w:p>
            <w:pPr>
              <w:pStyle w:val="Compact"/>
            </w:pPr>
            <w:r>
              <w:t xml:space="preserve">FY 2028</w:t>
            </w:r>
          </w:p>
        </w:tc>
        <w:tc>
          <w:tcPr/>
          <w:p>
            <w:pPr>
              <w:pStyle w:val="Compact"/>
            </w:pPr>
            <w:r>
              <w:t xml:space="preserve">Memo</w:t>
            </w:r>
            <w:r>
              <w:rPr>
                <w:rStyle w:val="FootnoteReference"/>
              </w:rPr>
              <w:footnoteReference w:id="158"/>
            </w:r>
          </w:p>
        </w:tc>
      </w:tr>
      <w:tr>
        <w:tc>
          <w:tcPr/>
          <w:p>
            <w:pPr>
              <w:pStyle w:val="Compact"/>
            </w:pPr>
            <w:r>
              <w:t xml:space="preserve">Standing systems</w:t>
            </w:r>
          </w:p>
        </w:tc>
        <w:tc>
          <w:tcPr/>
          <w:p>
            <w:pPr>
              <w:pStyle w:val="Compact"/>
            </w:pPr>
            <w:r>
              <w:t xml:space="preserve">OPM continues to transition agencies onto eOPF and EHRI; the Core HCM system will eventually make them</w:t>
            </w:r>
            <w:r>
              <w:t xml:space="preserve"> </w:t>
            </w:r>
            <w:r>
              <w:rPr>
                <w:b/>
                <w:bCs/>
              </w:rPr>
              <w:t xml:space="preserve">redundant</w:t>
            </w:r>
            <w:r>
              <w:t xml:space="preserve"> </w:t>
            </w:r>
            <w:r>
              <w:t xml:space="preserve">and allow their decommissioning</w:t>
            </w:r>
          </w:p>
        </w:tc>
        <w:tc>
          <w:tcPr/>
          <w:p>
            <w:pPr>
              <w:pStyle w:val="Compact"/>
            </w:pPr>
            <w:r>
              <w:t xml:space="preserve">Memo, §I</w:t>
            </w:r>
            <w:r>
              <w:rPr>
                <w:rStyle w:val="FootnoteReference"/>
              </w:rPr>
              <w:footnoteReference w:id="159"/>
            </w:r>
          </w:p>
        </w:tc>
      </w:tr>
      <w:tr>
        <w:tc>
          <w:tcPr/>
          <w:p>
            <w:pPr>
              <w:pStyle w:val="Compact"/>
            </w:pPr>
            <w:r>
              <w:t xml:space="preserve">Agency obligation now</w:t>
            </w:r>
          </w:p>
        </w:tc>
        <w:tc>
          <w:tcPr/>
          <w:p>
            <w:pPr>
              <w:pStyle w:val="Compact"/>
            </w:pPr>
            <w:r>
              <w:rPr>
                <w:b/>
                <w:bCs/>
              </w:rPr>
              <w:t xml:space="preserve">Pause own Core HCM procurement, development and related modernization</w:t>
            </w:r>
            <w:r>
              <w:t xml:space="preserve"> </w:t>
            </w:r>
            <w:r>
              <w:t xml:space="preserve">(exceptions only from the OMB and OPM Directors); execute the Appendix C preparation actions</w:t>
            </w:r>
          </w:p>
        </w:tc>
        <w:tc>
          <w:tcPr/>
          <w:p>
            <w:pPr>
              <w:pStyle w:val="Compact"/>
            </w:pPr>
            <w:r>
              <w:t xml:space="preserve">Memo, §II and Appendix C</w:t>
            </w:r>
            <w:r>
              <w:rPr>
                <w:rStyle w:val="FootnoteReference"/>
              </w:rPr>
              <w:footnoteReference w:id="160"/>
            </w:r>
          </w:p>
        </w:tc>
      </w:tr>
      <w:tr>
        <w:tc>
          <w:tcPr/>
          <w:p>
            <w:pPr>
              <w:pStyle w:val="Compact"/>
            </w:pPr>
            <w:r>
              <w:t xml:space="preserve">Interface requirement (procurement)</w:t>
            </w:r>
          </w:p>
        </w:tc>
        <w:tc>
          <w:tcPr/>
          <w:p>
            <w:pPr>
              <w:pStyle w:val="Compact"/>
            </w:pPr>
            <w:r>
              <w:t xml:space="preserve">PWS Appendix A, Functional Requirements Matrix, Req. 5:</w:t>
            </w:r>
            <w:r>
              <w:t xml:space="preserve"> </w:t>
            </w:r>
            <w:r>
              <w:rPr>
                <w:b/>
                <w:bCs/>
              </w:rPr>
              <w:t xml:space="preserve">SCIM 2.0 automated user provisioning from the Government’s identity provider into the contractor’s system</w:t>
            </w:r>
            <w:r>
              <w:t xml:space="preserve">, synchronized in near real time or within a defined SLA (for example, 15 minutes)</w:t>
            </w:r>
          </w:p>
        </w:tc>
        <w:tc>
          <w:tcPr/>
          <w:p>
            <w:pPr>
              <w:pStyle w:val="Compact"/>
            </w:pPr>
            <w:r>
              <w:t xml:space="preserve">Solicitation 24322626R0007, Amendment 4</w:t>
            </w:r>
            <w:r>
              <w:rPr>
                <w:rStyle w:val="FootnoteReference"/>
              </w:rPr>
              <w:footnoteReference w:id="161"/>
            </w:r>
          </w:p>
        </w:tc>
      </w:tr>
    </w:tbl>
    <w:p>
      <w:pPr>
        <w:pStyle w:val="BodyText"/>
      </w:pPr>
      <w:r>
        <w:t xml:space="preserve">Wave membership is set by the memo’s Appendix A and may change; this book doesn’t list it. Check the memo and OPM’s Core HCM page for an agency’s wave and dates.</w:t>
      </w:r>
      <w:r>
        <w:rPr>
          <w:rStyle w:val="FootnoteReference"/>
        </w:rPr>
        <w:footnoteReference w:id="163"/>
      </w:r>
      <w:r>
        <w:rPr>
          <w:rStyle w:val="FootnoteReference"/>
        </w:rPr>
        <w:footnoteReference w:id="164"/>
      </w:r>
    </w:p>
    <w:bookmarkEnd w:id="166"/>
    <w:bookmarkStart w:id="174" w:name="X30daed4e44046e260f83bfc62d80f4202094a1c"/>
    <w:p>
      <w:pPr>
        <w:pStyle w:val="Heading2"/>
      </w:pPr>
      <w:bookmarkStart w:id="811" w:name="_Toc00000811"/>
      <w:r>
        <w:t xml:space="preserve">Why this is the opportunity, not the project</w:t>
      </w:r>
      <w:bookmarkEnd w:id="811"/>
    </w:p>
    <w:p>
      <w:pPr>
        <w:pStyle w:val="FirstParagraph"/>
      </w:pPr>
      <w:r>
        <w:t xml:space="preserve">An agency doesn’t choose whether to implement Federal HR 2.0; the memo and the waves decide that. What the agency does choose is whether identity rides along. Four facts make HR 2.0 the cheapest moment it will get to start HR-driven identity:</w:t>
      </w:r>
    </w:p>
    <w:p>
      <w:pPr>
        <w:pStyle w:val="TableCaption"/>
      </w:pPr>
      <w:r>
        <w:t xml:space="preserve">What Federal HR 2.0 rebuilds anyway, and what that gives identity</w:t>
      </w:r>
    </w:p>
    <w:tbl>
      <w:tblPr>
        <w:tblStyle w:val="Table"/>
        <w:tblW w:type="pct" w:w="5000"/>
        <w:tblLayout w:type="fixed"/>
        <w:tblLook w:firstRow="1" w:lastRow="0" w:firstColumn="0" w:lastColumn="0" w:noHBand="0" w:noVBand="0" w:val="0020"/>
        <w:tblCaption w:val="What Federal HR 2.0 rebuilds anyway, and what that gives identity"/>
      </w:tblPr>
      <w:tblGrid>
        <w:gridCol w:w="3960"/>
        <w:gridCol w:w="3960"/>
      </w:tblGrid>
      <w:tr>
        <w:trPr>
          <w:tblHeader w:val="on"/>
        </w:trPr>
        <w:tc>
          <w:tcPr/>
          <w:p>
            <w:pPr>
              <w:pStyle w:val="Compact"/>
            </w:pPr>
            <w:r>
              <w:t xml:space="preserve">HR 2.0 rebuilds anyway</w:t>
            </w:r>
          </w:p>
        </w:tc>
        <w:tc>
          <w:tcPr/>
          <w:p>
            <w:pPr>
              <w:pStyle w:val="Compact"/>
            </w:pPr>
            <w:r>
              <w:t xml:space="preserve">What it gives identity</w:t>
            </w:r>
          </w:p>
        </w:tc>
      </w:tr>
      <w:tr>
        <w:tc>
          <w:tcPr/>
          <w:p>
            <w:pPr>
              <w:pStyle w:val="Compact"/>
            </w:pPr>
            <w:r>
              <w:t xml:space="preserve">New interconnections with the agency, designed during onboarding (Appendix C asks agencies to define integration points, identify interfacing systems and document data flows)</w:t>
            </w:r>
          </w:p>
        </w:tc>
        <w:tc>
          <w:tcPr/>
          <w:p>
            <w:pPr>
              <w:pStyle w:val="Compact"/>
            </w:pPr>
            <w:r>
              <w:t xml:space="preserve">An HR-driven identity feed can be designed in, not bolted on later</w:t>
            </w:r>
          </w:p>
        </w:tc>
      </w:tr>
      <w:tr>
        <w:tc>
          <w:tcPr/>
          <w:p>
            <w:pPr>
              <w:pStyle w:val="Compact"/>
            </w:pPr>
            <w:r>
              <w:t xml:space="preserve">HR data reviewed and migrated for the move</w:t>
            </w:r>
          </w:p>
        </w:tc>
        <w:tc>
          <w:tcPr/>
          <w:p>
            <w:pPr>
              <w:pStyle w:val="Compact"/>
            </w:pPr>
            <w:r>
              <w:t xml:space="preserve">Worker type, organization, duty station and supervisor fixed once, at the source</w:t>
            </w:r>
          </w:p>
        </w:tc>
      </w:tr>
      <w:tr>
        <w:tc>
          <w:tcPr/>
          <w:p>
            <w:pPr>
              <w:pStyle w:val="Compact"/>
            </w:pPr>
            <w:r>
              <w:t xml:space="preserve">One platform with one interface for every agency</w:t>
            </w:r>
          </w:p>
        </w:tc>
        <w:tc>
          <w:tcPr/>
          <w:p>
            <w:pPr>
              <w:pStyle w:val="Compact"/>
            </w:pPr>
            <w:r>
              <w:t xml:space="preserve">One standards-based crosswalk instead of one per HR provider</w:t>
            </w:r>
          </w:p>
        </w:tc>
      </w:tr>
      <w:tr>
        <w:tc>
          <w:tcPr/>
          <w:p>
            <w:pPr>
              <w:pStyle w:val="Compact"/>
            </w:pPr>
            <w:r>
              <w:t xml:space="preserve">A solicitation that already ties the platform to federal identity: SAML single sign-on through OPM’s identity provider, and SCIM 2.0 provisioning of the platform’s own users from the Government’s identity provider</w:t>
            </w:r>
          </w:p>
        </w:tc>
        <w:tc>
          <w:tcPr/>
          <w:p>
            <w:pPr>
              <w:pStyle w:val="Compact"/>
            </w:pPr>
            <w:r>
              <w:t xml:space="preserve">Identity is already at the integration table. The reverse direction — HR events driving Entra ID — is not in the solicitation; Microsoft documents it for Oracle Fusion Cloud HCM through API-driven inbound provisioning, which accepts SCIM-formatted payloads built from HCM Extracts or Atom feeds</w:t>
            </w:r>
            <w:r>
              <w:rPr>
                <w:rStyle w:val="FootnoteReference"/>
              </w:rPr>
              <w:footnoteReference w:id="167"/>
            </w:r>
            <w:r>
              <w:rPr>
                <w:rStyle w:val="FootnoteReference"/>
              </w:rPr>
              <w:footnoteReference w:id="168"/>
            </w:r>
          </w:p>
        </w:tc>
      </w:tr>
    </w:tbl>
    <w:p>
      <w:pPr>
        <w:pStyle w:val="BodyText"/>
      </w:pPr>
      <w:r>
        <w:t xml:space="preserve">One limit applies to all four: Federal HR 2.0 is a program for</w:t>
      </w:r>
      <w:r>
        <w:t xml:space="preserve"> </w:t>
      </w:r>
      <w:r>
        <w:rPr>
          <w:b/>
          <w:bCs/>
        </w:rPr>
        <w:t xml:space="preserve">federal employees</w:t>
      </w:r>
      <w:r>
        <w:t xml:space="preserve">. Contractors and vendors are not in it. Their source is a separate decision (Chapter 06), and the HR 2.0 onboarding is the right time to make it, because the contingent-worker capability of the same platform is one of the options.</w:t>
      </w:r>
    </w:p>
    <w:p>
      <w:pPr>
        <w:pStyle w:val="BodyText"/>
      </w:pPr>
      <w:r>
        <w:t xml:space="preserve">The agency’s own move from Active Directory to Entra ID is the second half of the opening (Chapter 05): the directory that HR will drive is being redesigned at the same time.</w:t>
      </w:r>
    </w:p>
    <w:bookmarkStart w:id="172" w:name="fig-ch03-hr20-window"/>
    <w:p>
      <w:pPr>
        <w:pStyle w:val="CaptionedFigure"/>
      </w:pPr>
      <w:r>
        <w:drawing>
          <wp:inline>
            <wp:extent cx="5334000" cy="1153115"/>
            <wp:effectExtent b="0" l="0" r="0" t="0"/>
            <wp:docPr descr="The window: Federal HR 2.0 decides the HR side on its own schedule; an HR-driven identity feed has to be designed in during onboarding, before the agency’s interconnection goes live." title="" id="170" name="Picture"/>
            <a:graphic>
              <a:graphicData uri="http://schemas.openxmlformats.org/drawingml/2006/picture">
                <pic:pic>
                  <pic:nvPicPr>
                    <pic:cNvPr descr="/home/runner/work/modernization-workbook/modernization-workbook/docs/images/diagrams/b03-hr-identity/png/ch03-hr20-window.png" id="171" name="Picture"/>
                    <pic:cNvPicPr>
                      <a:picLocks noChangeArrowheads="1" noChangeAspect="1"/>
                    </pic:cNvPicPr>
                  </pic:nvPicPr>
                  <pic:blipFill>
                    <a:blip r:embed="rId169"/>
                    <a:stretch>
                      <a:fillRect/>
                    </a:stretch>
                  </pic:blipFill>
                  <pic:spPr bwMode="auto">
                    <a:xfrm>
                      <a:off x="0" y="0"/>
                      <a:ext cx="5334000" cy="1153115"/>
                    </a:xfrm>
                    <a:prstGeom prst="rect">
                      <a:avLst/>
                    </a:prstGeom>
                    <a:noFill/>
                    <a:ln w="9525">
                      <a:noFill/>
                      <a:headEnd/>
                      <a:tailEnd/>
                    </a:ln>
                  </pic:spPr>
                </pic:pic>
              </a:graphicData>
            </a:graphic>
          </wp:inline>
        </w:drawing>
      </w:r>
    </w:p>
    <w:p>
      <w:pPr>
        <w:pStyle w:val="ImageCaption"/>
      </w:pPr>
      <w:r>
        <w:t xml:space="preserve">The window: Federal HR 2.0 decides the HR side on its own schedule; an HR-driven identity feed has to be designed in during onboarding, before the agency’s interconnection goes live.</w:t>
      </w:r>
    </w:p>
    <w:bookmarkEnd w:id="172"/>
    <w:p>
      <w:pPr>
        <w:pStyle w:val="BodyText"/>
      </w:pPr>
      <w:r>
        <w:t xml:space="preserve">Two consequences follow:</w:t>
      </w:r>
    </w:p>
    <w:p>
      <w:pPr>
        <w:pStyle w:val="Compact"/>
        <w:numPr>
          <w:ilvl w:val="0"/>
          <w:numId w:val="1013"/>
        </w:numPr>
      </w:pPr>
      <w:r>
        <w:rPr>
          <w:b/>
          <w:bCs/>
        </w:rPr>
        <w:t xml:space="preserve">The window closes at the interconnection.</w:t>
      </w:r>
      <w:r>
        <w:t xml:space="preserve"> </w:t>
      </w:r>
      <w:r>
        <w:t xml:space="preserve">The first agencies were expected to begin onboarding as FY 2027 began, with initial deployments reported for January to March 2027. The memo’s sample timeline puts interconnection go-live around month 5 of onboarding; treat that as a planning assumption, and confirm each agency’s milestones with the HR 2.0 program office. An HR-driven identity feed designed into that onboarding costs a fraction of one retrofitted after it.</w:t>
      </w:r>
    </w:p>
    <w:p>
      <w:pPr>
        <w:pStyle w:val="Compact"/>
        <w:numPr>
          <w:ilvl w:val="0"/>
          <w:numId w:val="1013"/>
        </w:numPr>
      </w:pPr>
      <w:r>
        <w:rPr>
          <w:b/>
          <w:bCs/>
        </w:rPr>
        <w:t xml:space="preserve">EHRI-shaped thinking has an expiry date.</w:t>
      </w:r>
      <w:r>
        <w:t xml:space="preserve"> </w:t>
      </w:r>
      <w:r>
        <w:t xml:space="preserve">Anything that treats the EHRI/eOPF feeds as the durable HR data interface is building against systems the memo expects the Core HCM platform to make redundant. The durable interface is the Core HCM platform’s own surface — HCM Extracts, Atom feeds, REST and SCIM APIs — carrying OPM’s standard data elements.</w:t>
      </w:r>
      <w:r>
        <w:rPr>
          <w:rStyle w:val="FootnoteReference"/>
        </w:rPr>
        <w:footnoteReference w:id="173"/>
      </w:r>
    </w:p>
    <w:bookmarkEnd w:id="174"/>
    <w:bookmarkStart w:id="177" w:name="Xdfea6ac0b1f1de37ca247e26f309fe6bd1ceb66"/>
    <w:p>
      <w:pPr>
        <w:pStyle w:val="Heading2"/>
      </w:pPr>
      <w:bookmarkStart w:id="812" w:name="_Toc00000812"/>
      <w:r>
        <w:t xml:space="preserve">What OPM requires, and what it leaves to the agency</w:t>
      </w:r>
      <w:bookmarkEnd w:id="812"/>
    </w:p>
    <w:p>
      <w:pPr>
        <w:pStyle w:val="FirstParagraph"/>
      </w:pPr>
      <w:r>
        <w:t xml:space="preserve">No OPM document mandates or specifies Entra ID integration — which is exactly why the agency has to propose it. The program fixes the HR side — the platform, the waves, the interface requirements in the solicitation — and leaves the identity side to each agency. The solicitation’s identity requirements point</w:t>
      </w:r>
      <w:r>
        <w:t xml:space="preserve"> </w:t>
      </w:r>
      <w:r>
        <w:rPr>
          <w:i/>
          <w:iCs/>
        </w:rPr>
        <w:t xml:space="preserve">into</w:t>
      </w:r>
      <w:r>
        <w:t xml:space="preserve"> </w:t>
      </w:r>
      <w:r>
        <w:t xml:space="preserve">the platform: its users sign in through OPM’s identity provider and are provisioned into it by SCIM from the Government’s identity provider.</w:t>
      </w:r>
      <w:r>
        <w:rPr>
          <w:rStyle w:val="FootnoteReference"/>
        </w:rPr>
        <w:footnoteReference w:id="175"/>
      </w:r>
      <w:r>
        <w:t xml:space="preserve"> </w:t>
      </w:r>
      <w:r>
        <w:t xml:space="preserve">Nothing in it makes the platform the source for the agency’s directory. The Entra-specific design in Chapters 05–10 is an agency implementation decision built on Microsoft’s own Oracle HCM integration guidance.</w:t>
      </w:r>
      <w:r>
        <w:rPr>
          <w:rStyle w:val="FootnoteReference"/>
        </w:rPr>
        <w:footnoteReference w:id="176"/>
      </w:r>
      <w:r>
        <w:t xml:space="preserve"> </w:t>
      </w:r>
      <w:r>
        <w:t xml:space="preserve">Until mid-2026 the HR side of this architecture had to be planned agnostically, because the government-wide vendor was undecided. The award removed that uncertainty without changing the architecture: the identity model is source-independent while each source contract remains explicit, so if the program changes again the source contract and boundary transformation change while the governed identity model and downstream lifecycle services remain stable.</w:t>
      </w:r>
    </w:p>
    <w:bookmarkEnd w:id="177"/>
    <w:bookmarkStart w:id="178" w:name="continue-the-book-2"/>
    <w:p>
      <w:pPr>
        <w:pStyle w:val="Heading2"/>
      </w:pPr>
      <w:bookmarkStart w:id="813" w:name="_Toc00000813"/>
      <w:r>
        <w:t xml:space="preserve">Continue the book</w:t>
      </w:r>
      <w:bookmarkEnd w:id="813"/>
    </w:p>
    <w:p>
      <w:pPr>
        <w:pStyle w:val="FirstParagraph"/>
      </w:pPr>
      <w:r>
        <w:t xml:space="preserve">← Previous: Chapter 02 — Why HR Is the Source of Authority · Book index · Next: Chapter 04 — Attribute Authority →</w:t>
      </w:r>
    </w:p>
    <w:bookmarkEnd w:id="178"/>
    <w:bookmarkEnd w:id="179"/>
    <w:bookmarkStart w:id="221" w:name="chapter-04-attribute-authority"/>
    <w:p>
      <w:pPr>
        <w:pStyle w:val="Heading1"/>
      </w:pPr>
      <w:bookmarkStart w:id="814" w:name="_Toc00000814"/>
      <w:r>
        <w:t xml:space="preserve">Chapter 04 — Attribute Authority</w:t>
      </w:r>
      <w:bookmarkEnd w:id="814"/>
    </w:p>
    <w:p>
      <w:pPr>
        <w:pStyle w:val="FirstParagraph"/>
      </w:pPr>
      <w:r>
        <w:rPr>
          <w:i/>
          <w:iCs/>
        </w:rPr>
        <w:t xml:space="preserve">Every attribute has exactly one master. The rest of the series depends on writing that down.</w:t>
      </w:r>
    </w:p>
    <w:bookmarkStart w:id="180" w:name="in-this-chapter-3"/>
    <w:p>
      <w:pPr>
        <w:pStyle w:val="Heading2"/>
      </w:pPr>
      <w:bookmarkStart w:id="815" w:name="_Toc00000815"/>
      <w:r>
        <w:t xml:space="preserve">In this chapter</w:t>
      </w:r>
      <w:bookmarkEnd w:id="815"/>
    </w:p>
    <w:p>
      <w:pPr>
        <w:pStyle w:val="FirstParagraph"/>
      </w:pPr>
      <w:r>
        <w:t xml:space="preserve">The four record families only the HR system can originate. The split between system of record and identity provider. Why effective dating makes proactive automation possible. The attribute authority map. The identifier layers and the identifier decision. Worker type as the attribute policy hangs from. Privacy: the disclosure basis for identity’s use of personnel records. The operating rules.</w:t>
      </w:r>
    </w:p>
    <w:bookmarkEnd w:id="180"/>
    <w:bookmarkStart w:id="188" w:name="Xa1873eb4a1167556c476690d08b815773990656"/>
    <w:p>
      <w:pPr>
        <w:pStyle w:val="Heading2"/>
      </w:pPr>
      <w:bookmarkStart w:id="816" w:name="_Toc00000816"/>
      <w:r>
        <w:t xml:space="preserve">What a human capital system actually owns</w:t>
      </w:r>
      <w:bookmarkEnd w:id="816"/>
    </w:p>
    <w:p>
      <w:pPr>
        <w:pStyle w:val="FirstParagraph"/>
      </w:pPr>
      <w:r>
        <w:t xml:space="preserve">The human capital system of record — Oracle Fusion Cloud HCM for agencies on Federal HR 2.0, delivered as SaaS under the provider’s own FedRAMP authorization</w:t>
      </w:r>
      <w:r>
        <w:rPr>
          <w:rStyle w:val="FootnoteReference"/>
        </w:rPr>
        <w:footnoteReference w:id="181"/>
      </w:r>
      <w:r>
        <w:rPr>
          <w:rStyle w:val="FootnoteReference"/>
        </w:rPr>
        <w:footnoteReference w:id="182"/>
      </w:r>
      <w:r>
        <w:t xml:space="preserve"> </w:t>
      </w:r>
      <w:r>
        <w:t xml:space="preserve">— isn’t</w:t>
      </w:r>
      <w:r>
        <w:t xml:space="preserve"> </w:t>
      </w:r>
      <w:r>
        <w:t xml:space="preserve">“the payroll system.”</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r>
              <w:rPr>
                <w:rStyle w:val="FootnoteReference"/>
              </w:rPr>
              <w:footnoteReference w:id="184"/>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r>
              <w:rPr>
                <w:rStyle w:val="FootnoteReference"/>
              </w:rPr>
              <w:footnoteReference w:id="186"/>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188"/>
    <w:bookmarkStart w:id="189" w:name="X17bf277d61e417a8e524d3b739426d6661fbac8"/>
    <w:p>
      <w:pPr>
        <w:pStyle w:val="Heading2"/>
      </w:pPr>
      <w:bookmarkStart w:id="817" w:name="_Toc00000817"/>
      <w:r>
        <w:t xml:space="preserve">System of record versus identity provider</w:t>
      </w:r>
      <w:bookmarkEnd w:id="817"/>
    </w:p>
    <w:p>
      <w:pPr>
        <w:pStyle w:val="FirstParagraph"/>
      </w:pPr>
      <w:r>
        <w:t xml:space="preserve">Naming the HCM as the source of authority for identity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bookmarkEnd w:id="189"/>
    <w:bookmarkStart w:id="192" w:name="effective-dating-truth-with-a-timeline"/>
    <w:p>
      <w:pPr>
        <w:pStyle w:val="Heading2"/>
      </w:pPr>
      <w:bookmarkStart w:id="818" w:name="_Toc00000818"/>
      <w:r>
        <w:t xml:space="preserve">Effective dating: truth with a timeline</w:t>
      </w:r>
      <w:bookmarkEnd w:id="818"/>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 Oracle defines its date-effective objects the same way: each record has effective start and end dates, one record is current, and future changes can be entered ahead of time.</w:t>
      </w:r>
      <w:r>
        <w:rPr>
          <w:rStyle w:val="FootnoteReference"/>
        </w:rPr>
        <w:footnoteReference w:id="190"/>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192"/>
    <w:bookmarkStart w:id="196" w:name="authoritative-versus-derived-attributes"/>
    <w:p>
      <w:pPr>
        <w:pStyle w:val="Heading2"/>
      </w:pPr>
      <w:bookmarkStart w:id="819" w:name="_Toc00000819"/>
      <w:r>
        <w:t xml:space="preserve">Authoritative versus derived attributes</w:t>
      </w:r>
      <w:bookmarkEnd w:id="819"/>
    </w:p>
    <w:p>
      <w:pPr>
        <w:pStyle w:val="FirstParagraph"/>
      </w:pPr>
      <w:r>
        <w:t xml:space="preserve">The discipline that makes the source of authority operable is a written, governed answer to one question per attribute:</w:t>
      </w:r>
      <w:r>
        <w:t xml:space="preserve"> </w:t>
      </w:r>
      <w:r>
        <w:rPr>
          <w:i/>
          <w:iCs/>
        </w:rPr>
        <w:t xml:space="preserve">which system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CaptionedFigure"/>
      </w:pPr>
      <w:r>
        <w:drawing>
          <wp:inline>
            <wp:extent cx="5334000" cy="2254207"/>
            <wp:effectExtent b="0" l="0" r="0" t="0"/>
            <wp:docPr descr="The authority map: the HR system of record, the identity platform, and card management and PKI each own one class of fact; consumers only derive." title="" id="194" name="Picture"/>
            <a:graphic>
              <a:graphicData uri="http://schemas.openxmlformats.org/drawingml/2006/picture">
                <pic:pic>
                  <pic:nvPicPr>
                    <pic:cNvPr descr="/home/runner/work/modernization-workbook/modernization-workbook/docs/images/diagrams/b03-hr-identity/png/ch04-authority-map.png" id="195" name="Picture"/>
                    <pic:cNvPicPr>
                      <a:picLocks noChangeArrowheads="1" noChangeAspect="1"/>
                    </pic:cNvPicPr>
                  </pic:nvPicPr>
                  <pic:blipFill>
                    <a:blip r:embed="rId193"/>
                    <a:stretch>
                      <a:fillRect/>
                    </a:stretch>
                  </pic:blipFill>
                  <pic:spPr bwMode="auto">
                    <a:xfrm>
                      <a:off x="0" y="0"/>
                      <a:ext cx="5334000" cy="2254207"/>
                    </a:xfrm>
                    <a:prstGeom prst="rect">
                      <a:avLst/>
                    </a:prstGeom>
                    <a:noFill/>
                    <a:ln w="9525">
                      <a:noFill/>
                      <a:headEnd/>
                      <a:tailEnd/>
                    </a:ln>
                  </pic:spPr>
                </pic:pic>
              </a:graphicData>
            </a:graphic>
          </wp:inline>
        </w:drawing>
      </w:r>
    </w:p>
    <w:p>
      <w:pPr>
        <w:pStyle w:val="ImageCaption"/>
      </w:pPr>
      <w:r>
        <w:t xml:space="preserve">The authority map: the HR system of record, the identity platform, and card management and PKI each own one class of fact; consumers only derive.</w:t>
      </w:r>
    </w:p>
    <w:p>
      <w:pPr>
        <w:pStyle w:val="TableCaption"/>
      </w:pPr>
      <w:r>
        <w:t xml:space="preserve">The attribute authority map — which system owns which fact</w:t>
      </w:r>
    </w:p>
    <w:tbl>
      <w:tblPr>
        <w:tblStyle w:val="Table"/>
        <w:tblW w:type="pct" w:w="5000"/>
        <w:tblLayout w:type="fixed"/>
        <w:tblLook w:firstRow="1" w:lastRow="0" w:firstColumn="0" w:lastColumn="0" w:noHBand="0" w:noVBand="0" w:val="0020"/>
        <w:tblCaption w:val="The attribute authority map — which system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system</w:t>
            </w:r>
          </w:p>
        </w:tc>
        <w:tc>
          <w:tcPr/>
          <w:p>
            <w:pPr>
              <w:pStyle w:val="Compact"/>
            </w:pPr>
            <w:r>
              <w:t xml:space="preserve">Derived consumers</w:t>
            </w:r>
          </w:p>
        </w:tc>
      </w:tr>
      <w:tr>
        <w:tc>
          <w:tcPr/>
          <w:p>
            <w:pPr>
              <w:pStyle w:val="Compact"/>
            </w:pPr>
            <w:r>
              <w:t xml:space="preserve">Person and affiliation identifiers (enterprise person key; source person number, projected to</w:t>
            </w:r>
            <w:r>
              <w:t xml:space="preserve"> </w:t>
            </w:r>
            <w:r>
              <w:rPr>
                <w:rStyle w:val="VerbatimChar"/>
              </w:rPr>
              <w:t xml:space="preserve">employeeId</w:t>
            </w:r>
            <w:r>
              <w:t xml:space="preserve">)</w:t>
            </w:r>
          </w:p>
        </w:tc>
        <w:tc>
          <w:tcPr/>
          <w:p>
            <w:pPr>
              <w:pStyle w:val="Compact"/>
            </w:pPr>
            <w:r>
              <w:t xml:space="preserve">HR system of record for the source keys; the agency’s identifier decision for the enterprise person key</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Population scoping, expected-location analysis, physical-access integration, E911 records, and exception routing; current sign-in signals remain the enforcement input for network-location policy</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and certificates</w:t>
            </w:r>
          </w:p>
        </w:tc>
        <w:tc>
          <w:tcPr/>
          <w:p>
            <w:pPr>
              <w:pStyle w:val="Compact"/>
            </w:pPr>
            <w:r>
              <w:t xml:space="preserve">Device management and PKI (Chapter 09)</w:t>
            </w:r>
          </w:p>
        </w:tc>
        <w:tc>
          <w:tcPr/>
          <w:p>
            <w:pPr>
              <w:pStyle w:val="Compact"/>
            </w:pPr>
            <w:r>
              <w:t xml:space="preserve">Network admission, workload identity, TLS</w:t>
            </w:r>
          </w:p>
        </w:tc>
      </w:tr>
      <w:tr>
        <w:tc>
          <w:tcPr/>
          <w:p>
            <w:pPr>
              <w:pStyle w:val="Compact"/>
            </w:pPr>
            <w:r>
              <w:t xml:space="preserve">Credential strength, token claims format</w:t>
            </w:r>
          </w:p>
        </w:tc>
        <w:tc>
          <w:tcPr/>
          <w:p>
            <w:pPr>
              <w:pStyle w:val="Compact"/>
            </w:pPr>
            <w:r>
              <w:t xml:space="preserve">Identity platform</w:t>
            </w:r>
          </w:p>
        </w:tc>
        <w:tc>
          <w:tcPr/>
          <w:p>
            <w:pPr>
              <w:pStyle w:val="Compact"/>
            </w:pPr>
            <w:r>
              <w:t xml:space="preserve">Conditional Access, applications</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(Chapter 02).</w:t>
      </w:r>
    </w:p>
    <w:bookmarkEnd w:id="196"/>
    <w:bookmarkStart w:id="207" w:name="one-person-layered-identifiers"/>
    <w:p>
      <w:pPr>
        <w:pStyle w:val="Heading2"/>
      </w:pPr>
      <w:bookmarkStart w:id="820" w:name="_Toc00000820"/>
      <w:r>
        <w:t xml:space="preserve">One person, layered identifiers</w:t>
      </w:r>
      <w:bookmarkEnd w:id="820"/>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w:t>
      </w:r>
      <w:r>
        <w:rPr>
          <w:rStyle w:val="FootnoteReference"/>
        </w:rPr>
        <w:footnoteReference w:id="197"/>
      </w:r>
      <w:r>
        <w:t xml:space="preserve"> </w:t>
      </w:r>
      <w:r>
        <w:t xml:space="preserve">The enterprise discipline this architecture implements is stricter and simpler:</w:t>
      </w:r>
      <w:r>
        <w:t xml:space="preserve"> </w:t>
      </w:r>
      <w:r>
        <w:rPr>
          <w:b/>
          <w:bCs/>
        </w:rPr>
        <w:t xml:space="preserve">one governed person record, explicit affiliation records, and stable correlation keys appropriate to each lifecycle.</w:t>
      </w:r>
    </w:p>
    <w:p>
      <w:pPr>
        <w:pStyle w:val="BodyText"/>
      </w:pPr>
      <w:r>
        <w:t xml:space="preserve">That takes more than one identifier, because each layer has its own lifecycle:</w:t>
      </w:r>
    </w:p>
    <w:p>
      <w:pPr>
        <w:pStyle w:val="CaptionedFigure"/>
      </w:pPr>
      <w:r>
        <w:drawing>
          <wp:inline>
            <wp:extent cx="5334000" cy="1621916"/>
            <wp:effectExtent b="0" l="0" r="0" t="0"/>
            <wp:docPr descr="Layered identifiers: one enterprise person key the agency controls, with source, affiliation, directory and credential keys mapped to it." title="" id="200" name="Picture"/>
            <a:graphic>
              <a:graphicData uri="http://schemas.openxmlformats.org/drawingml/2006/picture">
                <pic:pic>
                  <pic:nvPicPr>
                    <pic:cNvPr descr="/home/runner/work/modernization-workbook/modernization-workbook/docs/images/diagrams/b03-hr-identity/png/ch04-identifier-layers.png" id="201" name="Picture"/>
                    <pic:cNvPicPr>
                      <a:picLocks noChangeArrowheads="1" noChangeAspect="1"/>
                    </pic:cNvPicPr>
                  </pic:nvPicPr>
                  <pic:blipFill>
                    <a:blip r:embed="rId199"/>
                    <a:stretch>
                      <a:fillRect/>
                    </a:stretch>
                  </pic:blipFill>
                  <pic:spPr bwMode="auto">
                    <a:xfrm>
                      <a:off x="0" y="0"/>
                      <a:ext cx="5334000" cy="1621916"/>
                    </a:xfrm>
                    <a:prstGeom prst="rect">
                      <a:avLst/>
                    </a:prstGeom>
                    <a:noFill/>
                    <a:ln w="9525">
                      <a:noFill/>
                      <a:headEnd/>
                      <a:tailEnd/>
                    </a:ln>
                  </pic:spPr>
                </pic:pic>
              </a:graphicData>
            </a:graphic>
          </wp:inline>
        </w:drawing>
      </w:r>
    </w:p>
    <w:p>
      <w:pPr>
        <w:pStyle w:val="ImageCaption"/>
      </w:pPr>
      <w:r>
        <w:t xml:space="preserve">Layered identifiers: one enterprise person key the agency controls, with source, affiliation, directory and credential keys mapped to it.</w:t>
      </w:r>
    </w:p>
    <w:p>
      <w:pPr>
        <w:pStyle w:val="TableCaption"/>
      </w:pPr>
      <w:r>
        <w:t xml:space="preserve">The identifier layers</w:t>
      </w:r>
    </w:p>
    <w:tbl>
      <w:tblPr>
        <w:tblStyle w:val="Table"/>
        <w:tblW w:type="pct" w:w="5000"/>
        <w:tblLayout w:type="fixed"/>
        <w:tblLook w:firstRow="1" w:lastRow="0" w:firstColumn="0" w:lastColumn="0" w:noHBand="0" w:noVBand="0" w:val="0020"/>
        <w:tblCaption w:val="The identifier layers"/>
      </w:tblPr>
      <w:tblGrid>
        <w:gridCol w:w="1980"/>
        <w:gridCol w:w="1980"/>
        <w:gridCol w:w="1980"/>
        <w:gridCol w:w="1980"/>
      </w:tblGrid>
      <w:tr>
        <w:trPr>
          <w:tblHeader w:val="on"/>
        </w:trPr>
        <w:tc>
          <w:tcPr/>
          <w:p>
            <w:pPr>
              <w:pStyle w:val="Compact"/>
            </w:pPr>
            <w:r>
              <w:t xml:space="preserve">Key</w:t>
            </w:r>
          </w:p>
        </w:tc>
        <w:tc>
          <w:tcPr/>
          <w:p>
            <w:pPr>
              <w:pStyle w:val="Compact"/>
            </w:pPr>
            <w:r>
              <w:t xml:space="preserve">Identifies</w:t>
            </w:r>
          </w:p>
        </w:tc>
        <w:tc>
          <w:tcPr/>
          <w:p>
            <w:pPr>
              <w:pStyle w:val="Compact"/>
            </w:pPr>
            <w:r>
              <w:t xml:space="preserve">Assigned by</w:t>
            </w:r>
          </w:p>
        </w:tc>
        <w:tc>
          <w:tcPr/>
          <w:p>
            <w:pPr>
              <w:pStyle w:val="Compact"/>
            </w:pPr>
            <w:r>
              <w:t xml:space="preserve">Changes when</w:t>
            </w:r>
          </w:p>
        </w:tc>
      </w:tr>
      <w:tr>
        <w:tc>
          <w:tcPr/>
          <w:p>
            <w:pPr>
              <w:pStyle w:val="Compact"/>
            </w:pPr>
            <w:r>
              <w:t xml:space="preserve">Enterprise person key</w:t>
            </w:r>
          </w:p>
        </w:tc>
        <w:tc>
          <w:tcPr/>
          <w:p>
            <w:pPr>
              <w:pStyle w:val="Compact"/>
            </w:pPr>
            <w:r>
              <w:t xml:space="preserve">The person, across every affiliation</w:t>
            </w:r>
          </w:p>
        </w:tc>
        <w:tc>
          <w:tcPr/>
          <w:p>
            <w:pPr>
              <w:pStyle w:val="Compact"/>
            </w:pPr>
            <w:r>
              <w:t xml:space="preserve">The agency’s identifier decision (below)</w:t>
            </w:r>
          </w:p>
        </w:tc>
        <w:tc>
          <w:tcPr/>
          <w:p>
            <w:pPr>
              <w:pStyle w:val="Compact"/>
            </w:pPr>
            <w:r>
              <w:t xml:space="preserve">Never, once assigned</w:t>
            </w:r>
          </w:p>
        </w:tc>
      </w:tr>
      <w:tr>
        <w:tc>
          <w:tcPr/>
          <w:p>
            <w:pPr>
              <w:pStyle w:val="Compact"/>
            </w:pPr>
            <w:r>
              <w:t xml:space="preserve">Source person key (Oracle</w:t>
            </w:r>
            <w:r>
              <w:t xml:space="preserve"> </w:t>
            </w:r>
            <w:r>
              <w:rPr>
                <w:rStyle w:val="VerbatimChar"/>
              </w:rPr>
              <w:t xml:space="preserve">PersonNumber</w:t>
            </w:r>
            <w:r>
              <w:t xml:space="preserve"> </w:t>
            </w:r>
            <w:r>
              <w:t xml:space="preserve">today)</w:t>
            </w:r>
          </w:p>
        </w:tc>
        <w:tc>
          <w:tcPr/>
          <w:p>
            <w:pPr>
              <w:pStyle w:val="Compact"/>
            </w:pPr>
            <w:r>
              <w:t xml:space="preserve">The person in one HR source</w:t>
            </w:r>
          </w:p>
        </w:tc>
        <w:tc>
          <w:tcPr/>
          <w:p>
            <w:pPr>
              <w:pStyle w:val="Compact"/>
            </w:pPr>
            <w:r>
              <w:t xml:space="preserve">The HR system</w:t>
            </w:r>
          </w:p>
        </w:tc>
        <w:tc>
          <w:tcPr/>
          <w:p>
            <w:pPr>
              <w:pStyle w:val="Compact"/>
            </w:pPr>
            <w:r>
              <w:t xml:space="preserve">The source system changes</w:t>
            </w:r>
          </w:p>
        </w:tc>
      </w:tr>
      <w:tr>
        <w:tc>
          <w:tcPr/>
          <w:p>
            <w:pPr>
              <w:pStyle w:val="Compact"/>
            </w:pPr>
            <w:r>
              <w:t xml:space="preserve">Affiliation or assignment key</w:t>
            </w:r>
          </w:p>
        </w:tc>
        <w:tc>
          <w:tcPr/>
          <w:p>
            <w:pPr>
              <w:pStyle w:val="Compact"/>
            </w:pPr>
            <w:r>
              <w:t xml:space="preserve">One employment, contract or appointment</w:t>
            </w:r>
          </w:p>
        </w:tc>
        <w:tc>
          <w:tcPr/>
          <w:p>
            <w:pPr>
              <w:pStyle w:val="Compact"/>
            </w:pPr>
            <w:r>
              <w:t xml:space="preserve">The HR system</w:t>
            </w:r>
          </w:p>
        </w:tc>
        <w:tc>
          <w:tcPr/>
          <w:p>
            <w:pPr>
              <w:pStyle w:val="Compact"/>
            </w:pPr>
            <w:r>
              <w:t xml:space="preserve">A new affiliation begins</w:t>
            </w:r>
          </w:p>
        </w:tc>
      </w:tr>
      <w:tr>
        <w:tc>
          <w:tcPr/>
          <w:p>
            <w:pPr>
              <w:pStyle w:val="Compact"/>
            </w:pPr>
            <w:r>
              <w:t xml:space="preserve">Directory object ID</w:t>
            </w:r>
          </w:p>
        </w:tc>
        <w:tc>
          <w:tcPr/>
          <w:p>
            <w:pPr>
              <w:pStyle w:val="Compact"/>
            </w:pPr>
            <w:r>
              <w:t xml:space="preserve">One account in one directory</w:t>
            </w:r>
          </w:p>
        </w:tc>
        <w:tc>
          <w:tcPr/>
          <w:p>
            <w:pPr>
              <w:pStyle w:val="Compact"/>
            </w:pPr>
            <w:r>
              <w:t xml:space="preserve">The directory</w:t>
            </w:r>
          </w:p>
        </w:tc>
        <w:tc>
          <w:tcPr/>
          <w:p>
            <w:pPr>
              <w:pStyle w:val="Compact"/>
            </w:pPr>
            <w:r>
              <w:t xml:space="preserve">The account is recreated</w:t>
            </w:r>
          </w:p>
        </w:tc>
      </w:tr>
      <w:tr>
        <w:tc>
          <w:tcPr/>
          <w:p>
            <w:pPr>
              <w:pStyle w:val="Compact"/>
            </w:pPr>
            <w:r>
              <w:t xml:space="preserve">Credential identifiers (PIV FASC-N and card UUID, certificate SKI)</w:t>
            </w:r>
          </w:p>
        </w:tc>
        <w:tc>
          <w:tcPr/>
          <w:p>
            <w:pPr>
              <w:pStyle w:val="Compact"/>
            </w:pPr>
            <w:r>
              <w:t xml:space="preserve">One authenticator</w:t>
            </w:r>
          </w:p>
        </w:tc>
        <w:tc>
          <w:tcPr/>
          <w:p>
            <w:pPr>
              <w:pStyle w:val="Compact"/>
            </w:pPr>
            <w:r>
              <w:t xml:space="preserve">The credentialing system or CA</w:t>
            </w:r>
          </w:p>
        </w:tc>
        <w:tc>
          <w:tcPr/>
          <w:p>
            <w:pPr>
              <w:pStyle w:val="Compact"/>
            </w:pPr>
            <w:r>
              <w:t xml:space="preserve">The credential is reissued</w:t>
            </w:r>
            <w:r>
              <w:rPr>
                <w:rStyle w:val="FootnoteReference"/>
              </w:rPr>
              <w:footnoteReference w:id="202"/>
            </w:r>
          </w:p>
        </w:tc>
      </w:tr>
    </w:tbl>
    <w:p>
      <w:pPr>
        <w:pStyle w:val="BodyText"/>
      </w:pPr>
      <w:r>
        <w:t xml:space="preserve">FIPS 201-3 also allows an optional cardholder UUID on the PIV card: a persistent identifier of the cardholder rather than the card.</w:t>
      </w:r>
      <w:r>
        <w:rPr>
          <w:rStyle w:val="FootnoteReference"/>
        </w:rPr>
        <w:footnoteReference w:id="204"/>
      </w:r>
      <w:r>
        <w:t xml:space="preserve"> </w:t>
      </w:r>
      <w:r>
        <w:t xml:space="preserve">Where an agency populates it, map it to the enterprise person key like any other credential key. It can’t replace the enterprise key, because only people who hold a PIV card have one.</w:t>
      </w:r>
    </w:p>
    <w:p>
      <w:pPr>
        <w:pStyle w:val="BodyText"/>
      </w:pPr>
      <w:r>
        <w:rPr>
          <w:b/>
          <w:bCs/>
        </w:rPr>
        <w:t xml:space="preserve">The identifier decision.</w:t>
      </w:r>
      <w:r>
        <w:t xml:space="preserve"> </w:t>
      </w:r>
      <w:r>
        <w:t xml:space="preserve">Before Phase 1 closes (Chapter 12), the agency decides which key is the enterprise person key and how it is projected into the directory. The implementation in this series projects the source person number into</w:t>
      </w:r>
      <w:r>
        <w:t xml:space="preserve"> </w:t>
      </w:r>
      <w:r>
        <w:rPr>
          <w:rStyle w:val="VerbatimChar"/>
        </w:rPr>
        <w:t xml:space="preserve">employeeId</w:t>
      </w:r>
      <w:r>
        <w:t xml:space="preserve"> </w:t>
      </w:r>
      <w:r>
        <w:t xml:space="preserve">as the source correlation key (Chapter 06). That works while there is one source and the source never reassigns numbers. If the source changes — Core HCM cutover is the obvious case — or contractors come from a separate source, the enterprise person key has to be one the agency controls, with the source keys mapped to it. Many agencies already have one. A long-standing enterprise identifier, for example a</w:t>
      </w:r>
      <w:r>
        <w:t xml:space="preserve"> </w:t>
      </w:r>
      <w:r>
        <w:t xml:space="preserve">“Mainframe PIN”</w:t>
      </w:r>
      <w:r>
        <w:t xml:space="preserve"> </w:t>
      </w:r>
      <w:r>
        <w:t xml:space="preserve">that already serves as both the person ID and the employee ID, is the natural candidate: confirm it as the enterprise person key, carry it in</w:t>
      </w:r>
      <w:r>
        <w:t xml:space="preserve"> </w:t>
      </w:r>
      <w:r>
        <w:rPr>
          <w:rStyle w:val="VerbatimChar"/>
        </w:rPr>
        <w:t xml:space="preserve">employeeId</w:t>
      </w:r>
      <w:r>
        <w:t xml:space="preserve"> </w:t>
      </w:r>
      <w:r>
        <w:t xml:space="preserve">in both directories, and map Core HCM’s</w:t>
      </w:r>
      <w:r>
        <w:t xml:space="preserve"> </w:t>
      </w:r>
      <w:r>
        <w:rPr>
          <w:rStyle w:val="VerbatimChar"/>
        </w:rPr>
        <w:t xml:space="preserve">PersonNumber</w:t>
      </w:r>
      <w:r>
        <w:t xml:space="preserve"> </w:t>
      </w:r>
      <w:r>
        <w:t xml:space="preserve">and every directory and credential key to it. Whatever key is chosen has to fit its carrier: Entra ID’s</w:t>
      </w:r>
      <w:r>
        <w:t xml:space="preserve"> </w:t>
      </w:r>
      <w:r>
        <w:rPr>
          <w:rStyle w:val="VerbatimChar"/>
        </w:rPr>
        <w:t xml:space="preserve">employeeId</w:t>
      </w:r>
      <w:r>
        <w:t xml:space="preserve"> </w:t>
      </w:r>
      <w:r>
        <w:t xml:space="preserve">holds at most 16 characters.</w:t>
      </w:r>
      <w:r>
        <w:rPr>
          <w:rStyle w:val="FootnoteReference"/>
        </w:rPr>
        <w:footnoteReference w:id="205"/>
      </w:r>
      <w:r>
        <w:t xml:space="preserve"> </w:t>
      </w:r>
      <w:r>
        <w:t xml:space="preserve">Then the move to Core HCM changes only the source key, and nothing downstream has to. Where that key is already issued to contractors too, for example alongside their PIV credential, contractors are keyed exactly like employees, and a contractor who converts to federal employment keeps the same key. Either way, the enterprise key doesn’t change with name, position, region, or worker type; every account that belongs to the person can be linked to it; and when the person returns after a break in service, the rehire event re-links the</w:t>
      </w:r>
      <w:r>
        <w:t xml:space="preserve"> </w:t>
      </w:r>
      <w:r>
        <w:rPr>
          <w:i/>
          <w:iCs/>
        </w:rPr>
        <w:t xml:space="preserve">same</w:t>
      </w:r>
      <w:r>
        <w:t xml:space="preserve"> </w:t>
      </w:r>
      <w:r>
        <w:t xml:space="preserve">person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system, projected downward.</w:t>
      </w:r>
    </w:p>
    <w:p>
      <w:pPr>
        <w:pStyle w:val="BodyText"/>
      </w:pPr>
      <w:r>
        <w:t xml:space="preserve">The enterprise person key is what makes audit joins possible at all: the token event in the SIEM, the database login, the badge swipe, and the personnel action resolve to one person only because one key threads them.</w:t>
      </w:r>
    </w:p>
    <w:bookmarkEnd w:id="207"/>
    <w:bookmarkStart w:id="211" w:name="the-worker-type-boundary"/>
    <w:p>
      <w:pPr>
        <w:pStyle w:val="Heading2"/>
      </w:pPr>
      <w:bookmarkStart w:id="821" w:name="_Toc00000821"/>
      <w:r>
        <w:t xml:space="preserve">The worker-type boundary</w:t>
      </w:r>
      <w:bookmarkEnd w:id="821"/>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Core HCM supports the conversion directly: its Change Worker Type process converts a contingent worker to an employee in one guided transaction, instead of terminating one work relationship and keying a new one by hand.</w:t>
      </w:r>
      <w:r>
        <w:rPr>
          <w:rStyle w:val="FootnoteReference"/>
        </w:rPr>
        <w:footnoteReference w:id="208"/>
      </w:r>
      <w:r>
        <w:t xml:space="preserve"> </w:t>
      </w:r>
      <w:r>
        <w:t xml:space="preserve">IA-4(4)’s status characterization (identifying each individual by status, for example as a contractor)</w:t>
      </w:r>
      <w:r>
        <w:rPr>
          <w:rStyle w:val="FootnoteReference"/>
        </w:rPr>
        <w:footnoteReference w:id="210"/>
      </w:r>
      <w:r>
        <w:t xml:space="preserve"> </w:t>
      </w:r>
      <w:r>
        <w:t xml:space="preserve">falls out of the same attribute for free: the characteristic is asserted by the system that classifies workers as a business act, not annotated by an administrator who heard about it.</w:t>
      </w:r>
    </w:p>
    <w:bookmarkEnd w:id="211"/>
    <w:bookmarkStart w:id="218" w:name="Xbc731464f983d3c4b337238bac67b7c9feadf4e"/>
    <w:p>
      <w:pPr>
        <w:pStyle w:val="Heading2"/>
      </w:pPr>
      <w:bookmarkStart w:id="822" w:name="_Toc00000822"/>
      <w:r>
        <w:t xml:space="preserve">Privacy: the disclosure basis for identity</w:t>
      </w:r>
      <w:bookmarkEnd w:id="822"/>
    </w:p>
    <w:p>
      <w:pPr>
        <w:pStyle w:val="FirstParagraph"/>
      </w:pPr>
      <w:r>
        <w:t xml:space="preserve">The HR system is a Privacy Act system of records, and moving its data into a directory needs a disclosure basis like any other use of it. Which basis applies depends on where the records go. Inside the agency that maintains them, the Privacy Act permits disclosure to the agency’s own officers and employees who need the record in the performance of their duties;</w:t>
      </w:r>
      <w:r>
        <w:rPr>
          <w:rStyle w:val="FootnoteReference"/>
        </w:rPr>
        <w:footnoteReference w:id="212"/>
      </w:r>
      <w:r>
        <w:t xml:space="preserve"> </w:t>
      </w:r>
      <w:r>
        <w:t xml:space="preserve">an identity platform the agency runs for its own access decisions normally rests on that need-to-know provision. A routine use is a different thing: a disclosure</w:t>
      </w:r>
      <w:r>
        <w:t xml:space="preserve"> </w:t>
      </w:r>
      <w:r>
        <w:rPr>
          <w:i/>
          <w:iCs/>
        </w:rPr>
        <w:t xml:space="preserve">outside</w:t>
      </w:r>
      <w:r>
        <w:t xml:space="preserve"> </w:t>
      </w:r>
      <w:r>
        <w:t xml:space="preserve">the agency maintaining the system of records, for a purpose compatible with the one the records were collected for, published in the system-of-records notice.</w:t>
      </w:r>
      <w:r>
        <w:rPr>
          <w:rStyle w:val="FootnoteReference"/>
        </w:rPr>
        <w:footnoteReference w:id="214"/>
      </w:r>
      <w:r>
        <w:t xml:space="preserve"> </w:t>
      </w:r>
      <w:r>
        <w:t xml:space="preserve">It applies when the records leave the agency, for example to a shared-service provider or another agency. For general personnel records the governing notice is OPM/GOVT-1, plus the agency’s own.</w:t>
      </w:r>
      <w:r>
        <w:rPr>
          <w:rStyle w:val="FootnoteReference"/>
        </w:rPr>
        <w:footnoteReference w:id="216"/>
      </w:r>
      <w:r>
        <w:t xml:space="preserve"> </w:t>
      </w:r>
      <w:r>
        <w:t xml:space="preserve">The privacy office makes the determination for each flow, not the identity team. Whatever the basis, the flow also needs an updated privacy impact assessment and minimization — only the attributes an identity decision actually reads, as codes rather than narrative. The SSN is not a join key; the layered identifiers above exist so that it never has to be. Appendix B sets out the full data-flow assessment.</w:t>
      </w:r>
    </w:p>
    <w:bookmarkEnd w:id="218"/>
    <w:bookmarkStart w:id="219" w:name="operating-rules"/>
    <w:p>
      <w:pPr>
        <w:pStyle w:val="Heading2"/>
      </w:pPr>
      <w:bookmarkStart w:id="823" w:name="_Toc00000823"/>
      <w:r>
        <w:t xml:space="preserve">Operating rules</w:t>
      </w:r>
      <w:bookmarkEnd w:id="823"/>
    </w:p>
    <w:p>
      <w:pPr>
        <w:pStyle w:val="Compact"/>
        <w:numPr>
          <w:ilvl w:val="0"/>
          <w:numId w:val="1014"/>
        </w:numPr>
      </w:pPr>
      <w:r>
        <w:rPr>
          <w:b/>
          <w:bCs/>
        </w:rPr>
        <w:t xml:space="preserve">One master per attribute.</w:t>
      </w:r>
      <w:r>
        <w:t xml:space="preserve"> </w:t>
      </w:r>
      <w:r>
        <w:t xml:space="preserve">An attribute is authoritative in exactly one system. Writeback, if used, carries only identity-platform-mastered values (username, work email, work phone) to HR for display; it never touches an HR-mastered fact, and no attribute is writable in both directions.</w:t>
      </w:r>
    </w:p>
    <w:p>
      <w:pPr>
        <w:pStyle w:val="Compact"/>
        <w:numPr>
          <w:ilvl w:val="0"/>
          <w:numId w:val="1014"/>
        </w:numPr>
      </w:pPr>
      <w:r>
        <w:rPr>
          <w:b/>
          <w:bCs/>
        </w:rPr>
        <w:t xml:space="preserve">No manual edits to HR-derived attributes.</w:t>
      </w:r>
      <w:r>
        <w:t xml:space="preserve"> </w:t>
      </w:r>
      <w:r>
        <w:t xml:space="preserve">Any IT-originated write to an attribute the HR feed owns is a drift event (Chapter 11).</w:t>
      </w:r>
    </w:p>
    <w:p>
      <w:pPr>
        <w:pStyle w:val="Compact"/>
        <w:numPr>
          <w:ilvl w:val="0"/>
          <w:numId w:val="1014"/>
        </w:numPr>
      </w:pPr>
      <w:r>
        <w:rPr>
          <w:b/>
          <w:bCs/>
        </w:rPr>
        <w:t xml:space="preserve">Corrections flow upstream.</w:t>
      </w:r>
      <w:r>
        <w:t xml:space="preserve"> </w:t>
      </w:r>
      <w:r>
        <w:t xml:space="preserve">A wrong value is fixed in the HR record or in the mapping rule, never in the directory.</w:t>
      </w:r>
    </w:p>
    <w:p>
      <w:pPr>
        <w:pStyle w:val="Compact"/>
        <w:numPr>
          <w:ilvl w:val="0"/>
          <w:numId w:val="1014"/>
        </w:numPr>
      </w:pPr>
      <w:r>
        <w:rPr>
          <w:b/>
          <w:bCs/>
        </w:rPr>
        <w:t xml:space="preserve">Every event produces a provenance record.</w:t>
      </w:r>
      <w:r>
        <w:t xml:space="preserve"> </w:t>
      </w:r>
      <w:r>
        <w:t xml:space="preserve">No record, no verifiable outcome.</w:t>
      </w:r>
    </w:p>
    <w:bookmarkEnd w:id="219"/>
    <w:bookmarkStart w:id="220" w:name="continue-the-book-3"/>
    <w:p>
      <w:pPr>
        <w:pStyle w:val="Heading2"/>
      </w:pPr>
      <w:bookmarkStart w:id="824" w:name="_Toc00000824"/>
      <w:r>
        <w:t xml:space="preserve">Continue the book</w:t>
      </w:r>
      <w:bookmarkEnd w:id="824"/>
    </w:p>
    <w:p>
      <w:pPr>
        <w:pStyle w:val="FirstParagraph"/>
      </w:pPr>
      <w:r>
        <w:t xml:space="preserve">← Previous: Chapter 03 — Federal HR 2.0 and the Core HCM Platform · Book index · Next: Chapter 05 — Provisioning Services →</w:t>
      </w:r>
    </w:p>
    <w:bookmarkEnd w:id="220"/>
    <w:bookmarkEnd w:id="221"/>
    <w:bookmarkStart w:id="290" w:name="chapter-05-provisioning-services"/>
    <w:p>
      <w:pPr>
        <w:pStyle w:val="Heading1"/>
      </w:pPr>
      <w:bookmarkStart w:id="825" w:name="_Toc00000825"/>
      <w:r>
        <w:t xml:space="preserve">Chapter 05 — Provisioning Services</w:t>
      </w:r>
      <w:bookmarkEnd w:id="825"/>
    </w:p>
    <w:p>
      <w:pPr>
        <w:pStyle w:val="FirstParagraph"/>
      </w:pPr>
      <w:r>
        <w:rPr>
          <w:i/>
          <w:iCs/>
        </w:rPr>
        <w:t xml:space="preserve">One door into the directory, so there is exactly one door to instrument.</w:t>
      </w:r>
    </w:p>
    <w:bookmarkStart w:id="222" w:name="in-this-chapter-4"/>
    <w:p>
      <w:pPr>
        <w:pStyle w:val="Heading2"/>
      </w:pPr>
      <w:bookmarkStart w:id="826" w:name="_Toc00000826"/>
      <w:r>
        <w:t xml:space="preserve">In this chapter</w:t>
      </w:r>
      <w:bookmarkEnd w:id="826"/>
    </w:p>
    <w:p>
      <w:pPr>
        <w:pStyle w:val="FirstParagraph"/>
      </w:pPr>
      <w:r>
        <w:t xml:space="preserve">The logical architecture and its Microsoft realization: where provisioning sits between the governed identity model and the directories, and why API-driven inbound provisioning is the Microsoft implementation. The Oracle HCM source surfaces. What the middleware must do for every event, including reconciliation. The</w:t>
      </w:r>
      <w:r>
        <w:t xml:space="preserve"> </w:t>
      </w:r>
      <w:r>
        <w:rPr>
          <w:rStyle w:val="VerbatimChar"/>
        </w:rPr>
        <w:t xml:space="preserve">bulkUpload</w:t>
      </w:r>
      <w:r>
        <w:t xml:space="preserve"> </w:t>
      </w:r>
      <w:r>
        <w:t xml:space="preserve">contract and its limits. The two landing zones and what each one does with structure. Native connectors and writeback.</w:t>
      </w:r>
    </w:p>
    <w:bookmarkEnd w:id="222"/>
    <w:bookmarkStart w:id="228" w:name="X2b1bab292a56fb90c953e270ee25f4c6dc1bf82"/>
    <w:p>
      <w:pPr>
        <w:pStyle w:val="Heading2"/>
      </w:pPr>
      <w:bookmarkStart w:id="827" w:name="_Toc00000827"/>
      <w:r>
        <w:t xml:space="preserve">Logical architecture and Microsoft realization</w:t>
      </w:r>
      <w:bookmarkEnd w:id="827"/>
    </w:p>
    <w:p>
      <w:pPr>
        <w:pStyle w:val="FirstParagraph"/>
      </w:pPr>
      <w:r>
        <w:rPr>
          <w:b/>
          <w:bCs/>
        </w:rPr>
        <w:t xml:space="preserve">The logical architecture is stable:</w:t>
      </w:r>
    </w:p>
    <w:p>
      <w:pPr>
        <w:pStyle w:val="BlockText"/>
      </w:pPr>
      <w:r>
        <w:rPr>
          <w:b/>
          <w:bCs/>
        </w:rPr>
        <w:t xml:space="preserve">Authoritative workforce source → boundary transformation → governed workforce identity model → provisioning service → target services</w:t>
      </w:r>
    </w:p>
    <w:p>
      <w:pPr>
        <w:pStyle w:val="FirstParagraph"/>
      </w:pPr>
      <w:r>
        <w:t xml:space="preserve">The governed workforce identity model (Chapter 06) is the stable center: everything to its left is source-specific, everything to its right is delivery.</w:t>
      </w:r>
    </w:p>
    <w:p>
      <w:pPr>
        <w:pStyle w:val="BodyText"/>
      </w:pPr>
      <w:r>
        <w:rPr>
          <w:b/>
          <w:bCs/>
        </w:rPr>
        <w:t xml:space="preserve">The Microsoft realization is replaceable:</w:t>
      </w:r>
    </w:p>
    <w:p>
      <w:pPr>
        <w:pStyle w:val="BlockText"/>
      </w:pPr>
      <w:r>
        <w:rPr>
          <w:b/>
          <w:bCs/>
        </w:rPr>
        <w:t xml:space="preserve">Oracle Core HCM → integration middleware (Azure Functions or Logic Apps) → Microsoft Graph</w:t>
      </w:r>
      <w:r>
        <w:rPr>
          <w:b/>
          <w:bCs/>
        </w:rPr>
        <w:t xml:space="preserve"> </w:t>
      </w:r>
      <w:r>
        <w:rPr>
          <w:rStyle w:val="VerbatimChar"/>
          <w:b/>
          <w:bCs/>
        </w:rPr>
        <w:t xml:space="preserve">/bulkUpload</w:t>
      </w:r>
      <w:r>
        <w:rPr>
          <w:b/>
          <w:bCs/>
        </w:rPr>
        <w:t xml:space="preserve"> </w:t>
      </w:r>
      <w:r>
        <w:rPr>
          <w:b/>
          <w:bCs/>
        </w:rPr>
        <w:t xml:space="preserve">→ Entra provisioning service → Entra ID or on-premises Active Directory</w:t>
      </w:r>
    </w:p>
    <w:p>
      <w:pPr>
        <w:pStyle w:val="CaptionedFigure"/>
      </w:pPr>
      <w:r>
        <w:drawing>
          <wp:inline>
            <wp:extent cx="5334000" cy="1802851"/>
            <wp:effectExtent b="0" l="0" r="0" t="0"/>
            <wp:docPr descr="Provisioning services: Core HCM through a replaceable boundary transformation and a middleware with five duties per event, into Graph /bulkUpload, landing in Active Directory or Entra ID, with provenance in an evidence store." title="" id="224" name="Picture"/>
            <a:graphic>
              <a:graphicData uri="http://schemas.openxmlformats.org/drawingml/2006/picture">
                <pic:pic>
                  <pic:nvPicPr>
                    <pic:cNvPr descr="/home/runner/work/modernization-workbook/modernization-workbook/docs/images/diagrams/b03-hr-identity/png/ch05-provisioning-services.png" id="225" name="Picture"/>
                    <pic:cNvPicPr>
                      <a:picLocks noChangeArrowheads="1" noChangeAspect="1"/>
                    </pic:cNvPicPr>
                  </pic:nvPicPr>
                  <pic:blipFill>
                    <a:blip r:embed="rId223"/>
                    <a:stretch>
                      <a:fillRect/>
                    </a:stretch>
                  </pic:blipFill>
                  <pic:spPr bwMode="auto">
                    <a:xfrm>
                      <a:off x="0" y="0"/>
                      <a:ext cx="5334000" cy="1802851"/>
                    </a:xfrm>
                    <a:prstGeom prst="rect">
                      <a:avLst/>
                    </a:prstGeom>
                    <a:noFill/>
                    <a:ln w="9525">
                      <a:noFill/>
                      <a:headEnd/>
                      <a:tailEnd/>
                    </a:ln>
                  </pic:spPr>
                </pic:pic>
              </a:graphicData>
            </a:graphic>
          </wp:inline>
        </w:drawing>
      </w:r>
    </w:p>
    <w:p>
      <w:pPr>
        <w:pStyle w:val="ImageCaption"/>
      </w:pPr>
      <w:r>
        <w:t xml:space="preserve">Provisioning services: Core HCM through a replaceable boundary transformation and a middleware with five duties per event, into Graph /bulkUpload, landing in Active Directory or Entra ID, with provenance in an evidence store.</w:t>
      </w:r>
    </w:p>
    <w:p>
      <w:pPr>
        <w:pStyle w:val="BodyText"/>
      </w:pPr>
      <w:r>
        <w:t xml:space="preserve">The API client reads identity data from the authoritative source and posts it to the provisioning app’s</w:t>
      </w:r>
      <w:r>
        <w:t xml:space="preserve"> </w:t>
      </w:r>
      <w:r>
        <w:rPr>
          <w:rStyle w:val="VerbatimChar"/>
        </w:rPr>
        <w:t xml:space="preserve">/bulkUpload</w:t>
      </w:r>
      <w:r>
        <w:t xml:space="preserve"> </w:t>
      </w:r>
      <w:r>
        <w:t xml:space="preserve">endpoint as a SCIM bulk request. It doesn’t compare source and target values to decide whether to create, update, enable or disable; the provisioning service does that, applies the attribute mappings the administrator configured, and writes the user to on-premises AD (hybrid users) or to Entra ID (cloud-only users). The endpoint answers</w:t>
      </w:r>
      <w:r>
        <w:t xml:space="preserve"> </w:t>
      </w:r>
      <w:r>
        <w:rPr>
          <w:rStyle w:val="VerbatimChar"/>
        </w:rPr>
        <w:t xml:space="preserve">202 Accepted</w:t>
      </w:r>
      <w:r>
        <w:t xml:space="preserve"> </w:t>
      </w:r>
      <w:r>
        <w:t xml:space="preserve">and processes asynchronously; the client reads the provisioning logs API for the per-record result and applies bounded, idempotent retry for transient failures. Permanent failures become reconciled exceptions with an owner and alternate completion path.</w:t>
      </w:r>
      <w:r>
        <w:rPr>
          <w:rStyle w:val="FootnoteReference"/>
        </w:rPr>
        <w:footnoteReference w:id="226"/>
      </w:r>
    </w:p>
    <w:bookmarkEnd w:id="228"/>
    <w:bookmarkStart w:id="232" w:name="why-api-driven-inbound-provisioning"/>
    <w:p>
      <w:pPr>
        <w:pStyle w:val="Heading2"/>
      </w:pPr>
      <w:bookmarkStart w:id="828" w:name="_Toc00000828"/>
      <w:r>
        <w:t xml:space="preserve">Why API-driven inbound provisioning</w:t>
      </w:r>
      <w:bookmarkEnd w:id="828"/>
    </w:p>
    <w:p>
      <w:pPr>
        <w:pStyle w:val="Compact"/>
        <w:numPr>
          <w:ilvl w:val="0"/>
          <w:numId w:val="1015"/>
        </w:numPr>
      </w:pPr>
      <w:r>
        <w:rPr>
          <w:b/>
          <w:bCs/>
        </w:rPr>
        <w:t xml:space="preserve">Oracle Fusion Cloud HCM has no native Entra connector.</w:t>
      </w:r>
      <w:r>
        <w:t xml:space="preserve"> </w:t>
      </w:r>
      <w:r>
        <w:t xml:space="preserve">Entra’s prebuilt HR connectors are for Workday and SAP SuccessFactors.</w:t>
      </w:r>
      <w:r>
        <w:rPr>
          <w:rStyle w:val="FootnoteReference"/>
        </w:rPr>
        <w:footnoteReference w:id="229"/>
      </w:r>
      <w:r>
        <w:t xml:space="preserve"> </w:t>
      </w:r>
      <w:r>
        <w:t xml:space="preserve">Microsoft’s own Oracle HCM integration guidance</w:t>
      </w:r>
      <w:r>
        <w:t xml:space="preserve"> </w:t>
      </w:r>
      <w:r>
        <w:rPr>
          <w:i/>
          <w:iCs/>
        </w:rPr>
        <w:t xml:space="preserve">is</w:t>
      </w:r>
      <w:r>
        <w:t xml:space="preserve"> </w:t>
      </w:r>
      <w:r>
        <w:t xml:space="preserve">the API-driven pattern: CSV extracts for the initial load, ATOM feeds or HCM Extracts for deltas (or Oracle Integration Cloud where the agency subscribes to it), and optional writeback through Oracle’s SCIM APIs.</w:t>
      </w:r>
      <w:r>
        <w:rPr>
          <w:rStyle w:val="FootnoteReference"/>
        </w:rPr>
        <w:footnoteReference w:id="231"/>
      </w:r>
    </w:p>
    <w:p>
      <w:pPr>
        <w:pStyle w:val="Compact"/>
        <w:numPr>
          <w:ilvl w:val="0"/>
          <w:numId w:val="1015"/>
        </w:numPr>
      </w:pPr>
      <w:r>
        <w:rPr>
          <w:b/>
          <w:bCs/>
        </w:rPr>
        <w:t xml:space="preserve">The governed identity model is source-independent; each deployed source has an explicit contract and transformation.</w:t>
      </w:r>
      <w:r>
        <w:t xml:space="preserve"> </w:t>
      </w:r>
      <w:r>
        <w:t xml:space="preserve">The middleware normalizes any HR export into the same SCIM payload, so the</w:t>
      </w:r>
      <w:r>
        <w:t xml:space="preserve"> </w:t>
      </w:r>
      <w:r>
        <w:rPr>
          <w:rStyle w:val="VerbatimChar"/>
        </w:rPr>
        <w:t xml:space="preserve">/bulkUpload</w:t>
      </w:r>
      <w:r>
        <w:t xml:space="preserve"> </w:t>
      </w:r>
      <w:r>
        <w:t xml:space="preserve">call is identical whatever the source. If the source changes, the source contract and boundary transformation change; the governed identity model and downstream lifecycle policy remain stable.</w:t>
      </w:r>
    </w:p>
    <w:p>
      <w:pPr>
        <w:pStyle w:val="Compact"/>
        <w:numPr>
          <w:ilvl w:val="0"/>
          <w:numId w:val="1015"/>
        </w:numPr>
      </w:pPr>
      <w:r>
        <w:rPr>
          <w:b/>
          <w:bCs/>
        </w:rPr>
        <w:t xml:space="preserve">One entry point gives one provenance stream.</w:t>
      </w:r>
      <w:r>
        <w:t xml:space="preserve"> </w:t>
      </w:r>
      <w:r>
        <w:t xml:space="preserve">All inbound identity writes pass through a single provisioning surface, which is what makes lineage and drift detection tractable (Chapter 11).</w:t>
      </w:r>
    </w:p>
    <w:p>
      <w:pPr>
        <w:pStyle w:val="Compact"/>
        <w:numPr>
          <w:ilvl w:val="0"/>
          <w:numId w:val="1015"/>
        </w:numPr>
      </w:pPr>
      <w:r>
        <w:rPr>
          <w:b/>
          <w:bCs/>
        </w:rPr>
        <w:t xml:space="preserve">The procurement points the same way.</w:t>
      </w:r>
      <w:r>
        <w:t xml:space="preserve"> </w:t>
      </w:r>
      <w:r>
        <w:t xml:space="preserve">As Chapter 03 records from the solicitation, the Core HCM requirements checklist asks for SCIM 2.0 near-real-time provisioning, the protocol this pattern uses.</w:t>
      </w:r>
    </w:p>
    <w:p>
      <w:pPr>
        <w:pStyle w:val="FirstParagraph"/>
      </w:pPr>
      <w:r>
        <w:t xml:space="preserve">If Microsoft later ships a native Oracle HCM connector, it becomes an optimization inside this architecture, not a replacement for it.</w:t>
      </w:r>
    </w:p>
    <w:bookmarkEnd w:id="232"/>
    <w:bookmarkStart w:id="240" w:name="the-source-oracle-fusion-cloud-hcm"/>
    <w:p>
      <w:pPr>
        <w:pStyle w:val="Heading2"/>
      </w:pPr>
      <w:bookmarkStart w:id="829" w:name="_Toc00000829"/>
      <w:r>
        <w:t xml:space="preserve">The source: Oracle Fusion Cloud HCM</w:t>
      </w:r>
      <w:bookmarkEnd w:id="829"/>
    </w:p>
    <w:p>
      <w:pPr>
        <w:pStyle w:val="TableCaption"/>
      </w:pPr>
      <w:r>
        <w:t xml:space="preserve">Oracle HCM source surfaces</w:t>
      </w:r>
    </w:p>
    <w:tbl>
      <w:tblPr>
        <w:tblStyle w:val="Table"/>
        <w:tblW w:type="pct" w:w="5000"/>
        <w:tblLayout w:type="fixed"/>
        <w:tblLook w:firstRow="1" w:lastRow="0" w:firstColumn="0" w:lastColumn="0" w:noHBand="0" w:noVBand="0" w:val="0020"/>
        <w:tblCaption w:val="Oracle HCM source surfaces"/>
      </w:tblPr>
      <w:tblGrid>
        <w:gridCol w:w="2640"/>
        <w:gridCol w:w="2640"/>
        <w:gridCol w:w="2640"/>
      </w:tblGrid>
      <w:tr>
        <w:trPr>
          <w:tblHeader w:val="on"/>
        </w:trPr>
        <w:tc>
          <w:tcPr/>
          <w:p>
            <w:pPr>
              <w:pStyle w:val="Compact"/>
            </w:pPr>
            <w:r>
              <w:t xml:space="preserve">Sync</w:t>
            </w:r>
          </w:p>
        </w:tc>
        <w:tc>
          <w:tcPr/>
          <w:p>
            <w:pPr>
              <w:pStyle w:val="Compact"/>
            </w:pPr>
            <w:r>
              <w:t xml:space="preserve">Mechanism</w:t>
            </w:r>
          </w:p>
        </w:tc>
        <w:tc>
          <w:tcPr/>
          <w:p>
            <w:pPr>
              <w:pStyle w:val="Compact"/>
            </w:pPr>
            <w:r>
              <w:t xml:space="preserve">Notes</w:t>
            </w:r>
          </w:p>
        </w:tc>
      </w:tr>
      <w:tr>
        <w:tc>
          <w:tcPr/>
          <w:p>
            <w:pPr>
              <w:pStyle w:val="Compact"/>
            </w:pPr>
            <w:r>
              <w:t xml:space="preserve">Initial / full</w:t>
            </w:r>
          </w:p>
        </w:tc>
        <w:tc>
          <w:tcPr/>
          <w:p>
            <w:pPr>
              <w:pStyle w:val="Compact"/>
            </w:pPr>
            <w:r>
              <w:t xml:space="preserve">HCM Extracts (or BI Publisher) to CSV</w:t>
            </w:r>
            <w:r>
              <w:rPr>
                <w:rStyle w:val="FootnoteReference"/>
              </w:rPr>
              <w:footnoteReference w:id="233"/>
            </w:r>
          </w:p>
        </w:tc>
        <w:tc>
          <w:tcPr/>
          <w:p>
            <w:pPr>
              <w:pStyle w:val="Compact"/>
            </w:pPr>
            <w:r>
              <w:t xml:space="preserve">Full worker population, scoped by the filter rules of Chapter 12, Phase 1</w:t>
            </w:r>
          </w:p>
        </w:tc>
      </w:tr>
      <w:tr>
        <w:tc>
          <w:tcPr/>
          <w:p>
            <w:pPr>
              <w:pStyle w:val="Compact"/>
            </w:pPr>
            <w:r>
              <w:t xml:space="preserve">Delta</w:t>
            </w:r>
          </w:p>
        </w:tc>
        <w:tc>
          <w:tcPr/>
          <w:p>
            <w:pPr>
              <w:pStyle w:val="Compact"/>
            </w:pPr>
            <w:r>
              <w:t xml:space="preserve">ATOM feeds:</w:t>
            </w:r>
            <w:r>
              <w:t xml:space="preserve"> </w:t>
            </w:r>
            <w:r>
              <w:rPr>
                <w:rStyle w:val="VerbatimChar"/>
              </w:rPr>
              <w:t xml:space="preserve">newhire</w:t>
            </w:r>
            <w:r>
              <w:t xml:space="preserve">,</w:t>
            </w:r>
            <w:r>
              <w:t xml:space="preserve"> </w:t>
            </w:r>
            <w:r>
              <w:rPr>
                <w:rStyle w:val="VerbatimChar"/>
              </w:rPr>
              <w:t xml:space="preserve">empassignment</w:t>
            </w:r>
            <w:r>
              <w:t xml:space="preserve">,</w:t>
            </w:r>
            <w:r>
              <w:t xml:space="preserve"> </w:t>
            </w:r>
            <w:r>
              <w:rPr>
                <w:rStyle w:val="VerbatimChar"/>
              </w:rPr>
              <w:t xml:space="preserve">empupdate</w:t>
            </w:r>
            <w:r>
              <w:t xml:space="preserve">,</w:t>
            </w:r>
            <w:r>
              <w:t xml:space="preserve"> </w:t>
            </w:r>
            <w:r>
              <w:rPr>
                <w:rStyle w:val="VerbatimChar"/>
              </w:rPr>
              <w:t xml:space="preserve">termination</w:t>
            </w:r>
            <w:r>
              <w:t xml:space="preserve">,</w:t>
            </w:r>
            <w:r>
              <w:t xml:space="preserve"> </w:t>
            </w:r>
            <w:r>
              <w:rPr>
                <w:rStyle w:val="VerbatimChar"/>
              </w:rPr>
              <w:t xml:space="preserve">cancelworkrelship</w:t>
            </w:r>
            <w:r>
              <w:t xml:space="preserve">,</w:t>
            </w:r>
            <w:r>
              <w:t xml:space="preserve"> </w:t>
            </w:r>
            <w:r>
              <w:rPr>
                <w:rStyle w:val="VerbatimChar"/>
              </w:rPr>
              <w:t xml:space="preserve">workrelshipupdate</w:t>
            </w:r>
            <w:r>
              <w:rPr>
                <w:rStyle w:val="FootnoteReference"/>
              </w:rPr>
              <w:footnoteReference w:id="235"/>
            </w:r>
          </w:p>
        </w:tc>
        <w:tc>
          <w:tcPr/>
          <w:p>
            <w:pPr>
              <w:pStyle w:val="Compact"/>
            </w:pPr>
            <w:r>
              <w:t xml:space="preserve">Turn on immediately after the initial sync; a gap loses changes</w:t>
            </w:r>
            <w:r>
              <w:rPr>
                <w:rStyle w:val="FootnoteReference"/>
              </w:rPr>
              <w:footnoteReference w:id="236"/>
            </w:r>
          </w:p>
        </w:tc>
      </w:tr>
      <w:tr>
        <w:tc>
          <w:tcPr/>
          <w:p>
            <w:pPr>
              <w:pStyle w:val="Compact"/>
            </w:pPr>
            <w:r>
              <w:t xml:space="preserve">Delta (alternative)</w:t>
            </w:r>
          </w:p>
        </w:tc>
        <w:tc>
          <w:tcPr/>
          <w:p>
            <w:pPr>
              <w:pStyle w:val="Compact"/>
            </w:pPr>
            <w:r>
              <w:t xml:space="preserve">Periodic HCM Extract deltas</w:t>
            </w:r>
          </w:p>
        </w:tc>
        <w:tc>
          <w:tcPr/>
          <w:p>
            <w:pPr>
              <w:pStyle w:val="Compact"/>
            </w:pPr>
            <w:r>
              <w:t xml:space="preserve">Simpler; latency equals the extract cadence</w:t>
            </w:r>
          </w:p>
        </w:tc>
      </w:tr>
      <w:tr>
        <w:tc>
          <w:tcPr/>
          <w:p>
            <w:pPr>
              <w:pStyle w:val="Compact"/>
            </w:pPr>
            <w:r>
              <w:t xml:space="preserve">Enrichment</w:t>
            </w:r>
          </w:p>
        </w:tc>
        <w:tc>
          <w:tcPr/>
          <w:p>
            <w:pPr>
              <w:pStyle w:val="Compact"/>
            </w:pPr>
            <w:r>
              <w:rPr>
                <w:rStyle w:val="VerbatimChar"/>
              </w:rPr>
              <w:t xml:space="preserve">workers</w:t>
            </w:r>
            <w:r>
              <w:t xml:space="preserve"> </w:t>
            </w:r>
            <w:r>
              <w:t xml:space="preserve">REST resource</w:t>
            </w:r>
          </w:p>
        </w:tc>
        <w:tc>
          <w:tcPr/>
          <w:p>
            <w:pPr>
              <w:pStyle w:val="Compact"/>
            </w:pPr>
            <w:r>
              <w:t xml:space="preserve">When a feed event doesn’t carry an attribute the payload needs. Microsoft’s guide also names the</w:t>
            </w:r>
            <w:r>
              <w:t xml:space="preserve"> </w:t>
            </w:r>
            <w:r>
              <w:rPr>
                <w:rStyle w:val="VerbatimChar"/>
              </w:rPr>
              <w:t xml:space="preserve">employees</w:t>
            </w:r>
            <w:r>
              <w:t xml:space="preserve"> </w:t>
            </w:r>
            <w:r>
              <w:t xml:space="preserve">(</w:t>
            </w:r>
            <w:r>
              <w:rPr>
                <w:rStyle w:val="VerbatimChar"/>
              </w:rPr>
              <w:t xml:space="preserve">emps</w:t>
            </w:r>
            <w:r>
              <w:t xml:space="preserve">) resource, but Oracle marks it for future deprecation and advises the</w:t>
            </w:r>
            <w:r>
              <w:t xml:space="preserve"> </w:t>
            </w:r>
            <w:r>
              <w:rPr>
                <w:rStyle w:val="VerbatimChar"/>
              </w:rPr>
              <w:t xml:space="preserve">workers</w:t>
            </w:r>
            <w:r>
              <w:t xml:space="preserve"> </w:t>
            </w:r>
            <w:r>
              <w:t xml:space="preserve">resource for new integrations</w:t>
            </w:r>
            <w:r>
              <w:rPr>
                <w:rStyle w:val="FootnoteReference"/>
              </w:rPr>
              <w:footnoteReference w:id="237"/>
            </w:r>
          </w:p>
        </w:tc>
      </w:tr>
    </w:tbl>
    <w:p>
      <w:pPr>
        <w:pStyle w:val="BodyText"/>
      </w:pPr>
      <w:r>
        <w:rPr>
          <w:b/>
          <w:bCs/>
        </w:rPr>
        <w:t xml:space="preserve">Source correlation key:</w:t>
      </w:r>
      <w:r>
        <w:t xml:space="preserve"> </w:t>
      </w:r>
      <w:r>
        <w:t xml:space="preserve">Oracle</w:t>
      </w:r>
      <w:r>
        <w:t xml:space="preserve"> </w:t>
      </w:r>
      <w:r>
        <w:rPr>
          <w:rStyle w:val="VerbatimChar"/>
        </w:rPr>
        <w:t xml:space="preserve">PersonNumber</w:t>
      </w:r>
      <w:r>
        <w:t xml:space="preserve"> </w:t>
      </w:r>
      <w:r>
        <w:t xml:space="preserve">to</w:t>
      </w:r>
      <w:r>
        <w:t xml:space="preserve"> </w:t>
      </w:r>
      <w:r>
        <w:rPr>
          <w:rStyle w:val="VerbatimChar"/>
        </w:rPr>
        <w:t xml:space="preserve">employeeId</w:t>
      </w:r>
      <w:r>
        <w:t xml:space="preserve"> </w:t>
      </w:r>
      <w:r>
        <w:t xml:space="preserve">in Entra ID and AD, subject to the enterprise identifier decision in Chapter 04. The employee ID must be populated on existing accounts</w:t>
      </w:r>
      <w:r>
        <w:t xml:space="preserve"> </w:t>
      </w:r>
      <w:r>
        <w:rPr>
          <w:b/>
          <w:bCs/>
        </w:rPr>
        <w:t xml:space="preserve">before</w:t>
      </w:r>
      <w:r>
        <w:t xml:space="preserve"> </w:t>
      </w:r>
      <w:r>
        <w:t xml:space="preserve">the first full sync; matching is what prevents duplicate identities at go-live.</w:t>
      </w:r>
    </w:p>
    <w:bookmarkEnd w:id="240"/>
    <w:bookmarkStart w:id="246" w:name="the-middleware-five-duties-per-event"/>
    <w:p>
      <w:pPr>
        <w:pStyle w:val="Heading2"/>
      </w:pPr>
      <w:bookmarkStart w:id="830" w:name="_Toc00000830"/>
      <w:r>
        <w:t xml:space="preserve">The middleware: five duties per event</w:t>
      </w:r>
      <w:bookmarkEnd w:id="830"/>
    </w:p>
    <w:p>
      <w:pPr>
        <w:pStyle w:val="FirstParagraph"/>
      </w:pPr>
      <w:r>
        <w:t xml:space="preserve">Azure Functions or Logic Apps, inside the agency’s authorization boundary, doing five things for every event:</w:t>
      </w:r>
    </w:p>
    <w:p>
      <w:pPr>
        <w:pStyle w:val="Compact"/>
        <w:numPr>
          <w:ilvl w:val="0"/>
          <w:numId w:val="1016"/>
        </w:numPr>
      </w:pPr>
      <w:r>
        <w:rPr>
          <w:b/>
          <w:bCs/>
        </w:rPr>
        <w:t xml:space="preserve">Validate.</w:t>
      </w:r>
      <w:r>
        <w:t xml:space="preserve"> </w:t>
      </w:r>
      <w:r>
        <w:t xml:space="preserve">Required attributes present; unknown worker types refused. Fail closed.</w:t>
      </w:r>
    </w:p>
    <w:p>
      <w:pPr>
        <w:pStyle w:val="Compact"/>
        <w:numPr>
          <w:ilvl w:val="0"/>
          <w:numId w:val="1016"/>
        </w:numPr>
      </w:pPr>
      <w:r>
        <w:rPr>
          <w:b/>
          <w:bCs/>
        </w:rPr>
        <w:t xml:space="preserve">Sequence and retry.</w:t>
      </w:r>
      <w:r>
        <w:t xml:space="preserve"> </w:t>
      </w:r>
      <w:r>
        <w:t xml:space="preserve">Apply feed events in order and handle failures explicitly. An out-of-order mover/leaver pair is a correctness bug and a dropped event is a silent drift source. A failed transform retries and is recorded, never skipped.</w:t>
      </w:r>
    </w:p>
    <w:p>
      <w:pPr>
        <w:pStyle w:val="Compact"/>
        <w:numPr>
          <w:ilvl w:val="0"/>
          <w:numId w:val="1016"/>
        </w:numPr>
      </w:pPr>
      <w:r>
        <w:rPr>
          <w:b/>
          <w:bCs/>
        </w:rPr>
        <w:t xml:space="preserve">Normalize to SCIM.</w:t>
      </w:r>
      <w:r>
        <w:t xml:space="preserve"> </w:t>
      </w:r>
      <w:r>
        <w:t xml:space="preserve">Build the bulk request (</w:t>
      </w:r>
      <w:r>
        <w:rPr>
          <w:rStyle w:val="VerbatimChar"/>
        </w:rPr>
        <w:t xml:space="preserve">urn:ietf:params:scim:api:messages:2.0:BulkRequest</w:t>
      </w:r>
      <w:r>
        <w:t xml:space="preserve">) with the core and enterprise user schemas, plus a schema extension for any attribute the core schemas don’t carry.</w:t>
      </w:r>
      <w:r>
        <w:rPr>
          <w:rStyle w:val="FootnoteReference"/>
        </w:rPr>
        <w:footnoteReference w:id="241"/>
      </w:r>
      <w:r>
        <w:rPr>
          <w:rStyle w:val="FootnoteReference"/>
        </w:rPr>
        <w:footnoteReference w:id="242"/>
      </w:r>
      <w:r>
        <w:t xml:space="preserve"> </w:t>
      </w:r>
      <w:r>
        <w:t xml:space="preserve">The canonical payload is defined in Chapter 06.</w:t>
      </w:r>
    </w:p>
    <w:p>
      <w:pPr>
        <w:pStyle w:val="Compact"/>
        <w:numPr>
          <w:ilvl w:val="0"/>
          <w:numId w:val="1016"/>
        </w:numPr>
      </w:pPr>
      <w:r>
        <w:rPr>
          <w:b/>
          <w:bCs/>
        </w:rPr>
        <w:t xml:space="preserve">Write provenance.</w:t>
      </w:r>
      <w:r>
        <w:t xml:space="preserve"> </w:t>
      </w:r>
      <w:r>
        <w:t xml:space="preserve">One record per event (source event ID, payload hash, derivation inputs, outcome) to the agency’s evidence store, before the Graph call returns. No record, no verifiable outcome.</w:t>
      </w:r>
    </w:p>
    <w:p>
      <w:pPr>
        <w:pStyle w:val="Compact"/>
        <w:numPr>
          <w:ilvl w:val="0"/>
          <w:numId w:val="1016"/>
        </w:numPr>
      </w:pPr>
      <w:r>
        <w:rPr>
          <w:b/>
          <w:bCs/>
        </w:rPr>
        <w:t xml:space="preserve">Reconcile.</w:t>
      </w:r>
      <w:r>
        <w:t xml:space="preserve"> </w:t>
      </w:r>
      <w:r>
        <w:t xml:space="preserve">Read the provisioning logs for each submitted record and match the result to the source event. Transient failures retry with bounded, idempotent backoff; permanent failures become exceptions with an owner and an alternate completion path, and stay open until the directory reflects the source. A scheduled comparison of the HR population with the directories catches anything the per-event check missed (Chapter 11).</w:t>
      </w:r>
    </w:p>
    <w:p>
      <w:pPr>
        <w:pStyle w:val="FirstParagraph"/>
      </w:pPr>
      <w:r>
        <w:t xml:space="preserve">The middleware never writes back to the HR system’s HR-mastered facts. Send the complete user record in every request, for full and delta syncs alike: if clearing attribute values (a preview feature) is enabled, an omitted or null mapped attribute can clear the target value.</w:t>
      </w:r>
      <w:r>
        <w:rPr>
          <w:rStyle w:val="FootnoteReference"/>
        </w:rPr>
        <w:footnoteReference w:id="245"/>
      </w:r>
    </w:p>
    <w:bookmarkEnd w:id="246"/>
    <w:bookmarkStart w:id="258" w:name="the-bulkupload-contract"/>
    <w:p>
      <w:pPr>
        <w:pStyle w:val="Heading2"/>
      </w:pPr>
      <w:bookmarkStart w:id="831" w:name="_Toc00000831"/>
      <w:r>
        <w:t xml:space="preserve">The</w:t>
      </w:r>
      <w:r>
        <w:t xml:space="preserve"> </w:t>
      </w:r>
      <w:r>
        <w:rPr>
          <w:rStyle w:val="VerbatimChar"/>
        </w:rPr>
        <w:t xml:space="preserve">/bulkUpload</w:t>
      </w:r>
      <w:r>
        <w:t xml:space="preserve"> </w:t>
      </w:r>
      <w:r>
        <w:t xml:space="preserve">contract</w:t>
      </w:r>
      <w:bookmarkEnd w:id="831"/>
    </w:p>
    <w:p>
      <w:pPr>
        <w:pStyle w:val="TableCaption"/>
      </w:pPr>
      <w:r>
        <w:t xml:space="preserve">The</w:t>
      </w:r>
      <w:r>
        <w:t xml:space="preserve"> </w:t>
      </w:r>
      <w:r>
        <w:rPr>
          <w:rStyle w:val="VerbatimChar"/>
        </w:rPr>
        <w:t xml:space="preserve">/bulkUpload</w:t>
      </w:r>
      <w:r>
        <w:t xml:space="preserve"> </w:t>
      </w:r>
      <w:r>
        <w:t xml:space="preserve">envelope</w:t>
      </w:r>
      <w:r>
        <w:rPr>
          <w:rStyle w:val="FootnoteReference"/>
        </w:rPr>
        <w:footnoteReference w:id="247"/>
      </w:r>
    </w:p>
    <w:tbl>
      <w:tblPr>
        <w:tblStyle w:val="Table"/>
        <w:tblW w:type="pct" w:w="5000"/>
        <w:tblLayout w:type="fixed"/>
        <w:tblLook w:firstRow="1" w:lastRow="0" w:firstColumn="0" w:lastColumn="0" w:noHBand="0" w:noVBand="0" w:val="0020"/>
        <w:tblCaption w:val="The /bulkUpload envelope"/>
      </w:tblPr>
      <w:tblGrid>
        <w:gridCol w:w="3960"/>
        <w:gridCol w:w="3960"/>
      </w:tblGrid>
      <w:tr>
        <w:trPr>
          <w:tblHeader w:val="on"/>
        </w:trPr>
        <w:tc>
          <w:tcPr/>
          <w:p>
            <w:pPr>
              <w:pStyle w:val="Compact"/>
            </w:pPr>
            <w:r>
              <w:t xml:space="preserve">Property</w:t>
            </w:r>
          </w:p>
        </w:tc>
        <w:tc>
          <w:tcPr/>
          <w:p>
            <w:pPr>
              <w:pStyle w:val="Compact"/>
            </w:pPr>
            <w:r>
              <w:t xml:space="preserve">Value</w:t>
            </w:r>
          </w:p>
        </w:tc>
      </w:tr>
      <w:tr>
        <w:tc>
          <w:tcPr/>
          <w:p>
            <w:pPr>
              <w:pStyle w:val="Compact"/>
            </w:pPr>
            <w:r>
              <w:t xml:space="preserve">Endpoint</w:t>
            </w:r>
          </w:p>
        </w:tc>
        <w:tc>
          <w:tcPr/>
          <w:p>
            <w:pPr>
              <w:pStyle w:val="Compact"/>
            </w:pPr>
            <w:r>
              <w:t xml:space="preserve">Microsoft Graph, worldwide endpoint</w:t>
            </w:r>
            <w:r>
              <w:t xml:space="preserve"> </w:t>
            </w:r>
            <w:r>
              <w:rPr>
                <w:rStyle w:val="VerbatimChar"/>
              </w:rPr>
              <w:t xml:space="preserve">graph.microsoft.com</w:t>
            </w:r>
            <w:r>
              <w:t xml:space="preserve"> </w:t>
            </w:r>
            <w:r>
              <w:t xml:space="preserve">(Microsoft 365 GCC tenants use the worldwide endpoints)</w:t>
            </w:r>
            <w:r>
              <w:rPr>
                <w:rStyle w:val="FootnoteReference"/>
              </w:rPr>
              <w:footnoteReference w:id="248"/>
            </w:r>
          </w:p>
        </w:tc>
      </w:tr>
      <w:tr>
        <w:tc>
          <w:tcPr/>
          <w:p>
            <w:pPr>
              <w:pStyle w:val="Compact"/>
            </w:pPr>
            <w:r>
              <w:t xml:space="preserve">Payload</w:t>
            </w:r>
          </w:p>
        </w:tc>
        <w:tc>
          <w:tcPr/>
          <w:p>
            <w:pPr>
              <w:pStyle w:val="Compact"/>
            </w:pPr>
            <w:r>
              <w:t xml:space="preserve">SCIM bulk request; up to 50 operations per call</w:t>
            </w:r>
          </w:p>
        </w:tc>
      </w:tr>
      <w:tr>
        <w:tc>
          <w:tcPr/>
          <w:p>
            <w:pPr>
              <w:pStyle w:val="Compact"/>
            </w:pPr>
            <w:r>
              <w:t xml:space="preserve">Throttling</w:t>
            </w:r>
          </w:p>
        </w:tc>
        <w:tc>
          <w:tcPr/>
          <w:p>
            <w:pPr>
              <w:pStyle w:val="Compact"/>
            </w:pPr>
            <w:r>
              <w:t xml:space="preserve">40 calls in any 5-second window, HTTP 429 beyond it, per the Entra concepts page; the Graph API reference states 40 requests per second.</w:t>
            </w:r>
            <w:r>
              <w:rPr>
                <w:rStyle w:val="FootnoteReference"/>
              </w:rPr>
              <w:footnoteReference w:id="250"/>
            </w:r>
            <w:r>
              <w:t xml:space="preserve"> </w:t>
            </w:r>
            <w:r>
              <w:t xml:space="preserve">The two Microsoft pages disagree, so pace the client to the stricter figure and handle 429 responses</w:t>
            </w:r>
          </w:p>
        </w:tc>
      </w:tr>
      <w:tr>
        <w:tc>
          <w:tcPr/>
          <w:p>
            <w:pPr>
              <w:pStyle w:val="Compact"/>
            </w:pPr>
            <w:r>
              <w:t xml:space="preserve">Tenant daily cap</w:t>
            </w:r>
          </w:p>
        </w:tc>
        <w:tc>
          <w:tcPr/>
          <w:p>
            <w:pPr>
              <w:pStyle w:val="Compact"/>
            </w:pPr>
            <w:r>
              <w:t xml:space="preserve">2,000 calls per 24 hours with Entra ID P1/P2; 6,000 with Entra ID Governance</w:t>
            </w:r>
          </w:p>
        </w:tc>
      </w:tr>
      <w:tr>
        <w:tc>
          <w:tcPr/>
          <w:p>
            <w:pPr>
              <w:pStyle w:val="Compact"/>
            </w:pPr>
            <w:r>
              <w:t xml:space="preserve">Graph permissions for the client</w:t>
            </w:r>
          </w:p>
        </w:tc>
        <w:tc>
          <w:tcPr/>
          <w:p>
            <w:pPr>
              <w:pStyle w:val="Compact"/>
            </w:pPr>
            <w:r>
              <w:rPr>
                <w:rStyle w:val="VerbatimChar"/>
              </w:rPr>
              <w:t xml:space="preserve">SynchronizationData-User.Upload</w:t>
            </w:r>
            <w:r>
              <w:t xml:space="preserve"> </w:t>
            </w:r>
            <w:r>
              <w:t xml:space="preserve">(Microsoft’s standard setup) or the least-privileged</w:t>
            </w:r>
            <w:r>
              <w:t xml:space="preserve"> </w:t>
            </w:r>
            <w:r>
              <w:rPr>
                <w:rStyle w:val="VerbatimChar"/>
              </w:rPr>
              <w:t xml:space="preserve">SynchronizationData-User.Upload.OwnedBy</w:t>
            </w:r>
            <w:r>
              <w:t xml:space="preserve">, which limits uploads to provisioning apps the client’s identity owns;</w:t>
            </w:r>
            <w:r>
              <w:rPr>
                <w:rStyle w:val="FootnoteReference"/>
              </w:rPr>
              <w:footnoteReference w:id="252"/>
            </w:r>
            <w:r>
              <w:rPr>
                <w:rStyle w:val="FootnoteReference"/>
              </w:rPr>
              <w:footnoteReference w:id="253"/>
            </w:r>
            <w:r>
              <w:t xml:space="preserve"> </w:t>
            </w:r>
            <w:r>
              <w:rPr>
                <w:rStyle w:val="VerbatimChar"/>
              </w:rPr>
              <w:t xml:space="preserve">ProvisioningLog.Read.All</w:t>
            </w:r>
            <w:r>
              <w:t xml:space="preserve"> </w:t>
            </w:r>
            <w:r>
              <w:t xml:space="preserve">for the component that reads per-record results</w:t>
            </w:r>
          </w:p>
        </w:tc>
      </w:tr>
      <w:tr>
        <w:tc>
          <w:tcPr/>
          <w:p>
            <w:pPr>
              <w:pStyle w:val="Compact"/>
            </w:pPr>
            <w:r>
              <w:t xml:space="preserve">Licensing floor</w:t>
            </w:r>
          </w:p>
        </w:tc>
        <w:tc>
          <w:tcPr/>
          <w:p>
            <w:pPr>
              <w:pStyle w:val="Compact"/>
            </w:pPr>
            <w:r>
              <w:t xml:space="preserve">Entra ID P1; Entra ID Governance for Lifecycle Workflows</w:t>
            </w:r>
          </w:p>
        </w:tc>
      </w:tr>
    </w:tbl>
    <w:p>
      <w:pPr>
        <w:pStyle w:val="BodyText"/>
      </w:pPr>
      <w:r>
        <w:t xml:space="preserve">Each endpoint belongs to one provisioning app, and an agency with several sources (HR for employees, a contractor system, a badging system that only updates attributes) creates one app per source.</w:t>
      </w:r>
      <w:r>
        <w:rPr>
          <w:rStyle w:val="FootnoteReference"/>
        </w:rPr>
        <w:footnoteReference w:id="255"/>
      </w:r>
      <w:r>
        <w:rPr>
          <w:rStyle w:val="FootnoteReference"/>
        </w:rPr>
        <w:footnoteReference w:id="256"/>
      </w:r>
    </w:p>
    <w:bookmarkEnd w:id="258"/>
    <w:bookmarkStart w:id="282" w:name="two-landing-zones"/>
    <w:p>
      <w:pPr>
        <w:pStyle w:val="Heading2"/>
      </w:pPr>
      <w:bookmarkStart w:id="832" w:name="_Toc00000832"/>
      <w:r>
        <w:t xml:space="preserve">Two landing zones</w:t>
      </w:r>
      <w:bookmarkEnd w:id="832"/>
    </w:p>
    <w:p>
      <w:pPr>
        <w:pStyle w:val="FirstParagraph"/>
      </w:pPr>
      <w:r>
        <w:t xml:space="preserve">The same HR feed can land in two places, separately or at the same time — and which one a population uses changes as the agency moves from Active Directory to Entra ID:</w:t>
      </w:r>
    </w:p>
    <w:p>
      <w:pPr>
        <w:pStyle w:val="CaptionedFigure"/>
      </w:pPr>
      <w:r>
        <w:drawing>
          <wp:inline>
            <wp:extent cx="5334000" cy="2726064"/>
            <wp:effectExtent b="0" l="0" r="0" t="0"/>
            <wp:docPr descr="Two landing patterns across the Entra ID migration: while AD is the source of authority, HR lands users in AD and they sync to Entra ID; once a population’s source of authority moves to the cloud, HR lands users in Entra ID and any AD account an application still needs is provisioned from Entra ID." title="" id="260" name="Picture"/>
            <a:graphic>
              <a:graphicData uri="http://schemas.openxmlformats.org/drawingml/2006/picture">
                <pic:pic>
                  <pic:nvPicPr>
                    <pic:cNvPr descr="/home/runner/work/modernization-workbook/modernization-workbook/docs/images/diagrams/b03-hr-identity/png/ch05-two-patterns.png" id="261" name="Picture"/>
                    <pic:cNvPicPr>
                      <a:picLocks noChangeArrowheads="1" noChangeAspect="1"/>
                    </pic:cNvPicPr>
                  </pic:nvPicPr>
                  <pic:blipFill>
                    <a:blip r:embed="rId259"/>
                    <a:stretch>
                      <a:fillRect/>
                    </a:stretch>
                  </pic:blipFill>
                  <pic:spPr bwMode="auto">
                    <a:xfrm>
                      <a:off x="0" y="0"/>
                      <a:ext cx="5334000" cy="2726064"/>
                    </a:xfrm>
                    <a:prstGeom prst="rect">
                      <a:avLst/>
                    </a:prstGeom>
                    <a:noFill/>
                    <a:ln w="9525">
                      <a:noFill/>
                      <a:headEnd/>
                      <a:tailEnd/>
                    </a:ln>
                  </pic:spPr>
                </pic:pic>
              </a:graphicData>
            </a:graphic>
          </wp:inline>
        </w:drawing>
      </w:r>
    </w:p>
    <w:p>
      <w:pPr>
        <w:pStyle w:val="ImageCaption"/>
      </w:pPr>
      <w:r>
        <w:t xml:space="preserve">Two landing patterns across the Entra ID migration: while AD is the source of authority, HR lands users in AD and they sync to Entra ID; once a population’s source of authority moves to the cloud, HR lands users in Entra ID and any AD account an application still needs is provisioned from Entra ID.</w:t>
      </w:r>
    </w:p>
    <w:p>
      <w:pPr>
        <w:pStyle w:val="Compact"/>
        <w:numPr>
          <w:ilvl w:val="0"/>
          <w:numId w:val="1017"/>
        </w:numPr>
      </w:pPr>
      <w:r>
        <w:rPr>
          <w:b/>
          <w:bCs/>
        </w:rPr>
        <w:t xml:space="preserve">API-driven inbound provisioning to Microsoft Entra ID</w:t>
      </w:r>
      <w:r>
        <w:t xml:space="preserve"> </w:t>
      </w:r>
      <w:r>
        <w:t xml:space="preserve">creates cloud-only users directly.</w:t>
      </w:r>
    </w:p>
    <w:p>
      <w:pPr>
        <w:pStyle w:val="Compact"/>
        <w:numPr>
          <w:ilvl w:val="0"/>
          <w:numId w:val="1017"/>
        </w:numPr>
      </w:pPr>
      <w:r>
        <w:rPr>
          <w:b/>
          <w:bCs/>
        </w:rPr>
        <w:t xml:space="preserve">API-driven inbound provisioning to on-premises Active Directory</w:t>
      </w:r>
      <w:r>
        <w:t xml:space="preserve"> </w:t>
      </w:r>
      <w:r>
        <w:t xml:space="preserve">delivers the same payloads through the Microsoft Entra provisioning agent, which writes to AD DS from inside the agency network; Entra Connect Sync or Cloud Sync then projects the user to the cloud.</w:t>
      </w:r>
      <w:r>
        <w:rPr>
          <w:rStyle w:val="FootnoteReference"/>
        </w:rPr>
        <w:footnoteReference w:id="262"/>
      </w:r>
      <w:r>
        <w:rPr>
          <w:rStyle w:val="FootnoteReference"/>
        </w:rPr>
        <w:footnoteReference w:id="263"/>
      </w:r>
    </w:p>
    <w:bookmarkStart w:id="272" w:name="landing-in-active-directory"/>
    <w:p>
      <w:pPr>
        <w:pStyle w:val="Heading3"/>
      </w:pPr>
      <w:r>
        <w:t xml:space="preserve">Landing in Active Directory</w:t>
      </w:r>
    </w:p>
    <w:p>
      <w:pPr>
        <w:pStyle w:val="Compact"/>
        <w:numPr>
          <w:ilvl w:val="0"/>
          <w:numId w:val="1018"/>
        </w:numPr>
      </w:pPr>
      <w:r>
        <w:rPr>
          <w:b/>
          <w:bCs/>
        </w:rPr>
        <w:t xml:space="preserve">The OU is computed, not hand-picked.</w:t>
      </w:r>
      <w:r>
        <w:t xml:space="preserve"> </w:t>
      </w:r>
      <w:r>
        <w:t xml:space="preserve">An expression mapping on</w:t>
      </w:r>
      <w:r>
        <w:t xml:space="preserve"> </w:t>
      </w:r>
      <w:r>
        <w:rPr>
          <w:rStyle w:val="VerbatimChar"/>
        </w:rPr>
        <w:t xml:space="preserve">parentDistinguishedName</w:t>
      </w:r>
      <w:r>
        <w:t xml:space="preserve"> </w:t>
      </w:r>
      <w:r>
        <w:t xml:space="preserve">derives the destination domain and OU from HR attributes.</w:t>
      </w:r>
      <w:r>
        <w:rPr>
          <w:rStyle w:val="FootnoteReference"/>
        </w:rPr>
        <w:footnoteReference w:id="264"/>
      </w:r>
    </w:p>
    <w:p>
      <w:pPr>
        <w:pStyle w:val="Compact"/>
        <w:numPr>
          <w:ilvl w:val="0"/>
          <w:numId w:val="1018"/>
        </w:numPr>
      </w:pPr>
      <w:r>
        <w:rPr>
          <w:b/>
          <w:bCs/>
        </w:rPr>
        <w:t xml:space="preserve">The reporting line becomes a reference.</w:t>
      </w:r>
      <w:r>
        <w:t xml:space="preserve"> </w:t>
      </w:r>
      <w:r>
        <w:t xml:space="preserve">The provisioning service writes AD’s</w:t>
      </w:r>
      <w:r>
        <w:t xml:space="preserve"> </w:t>
      </w:r>
      <w:r>
        <w:rPr>
          <w:rStyle w:val="VerbatimChar"/>
        </w:rPr>
        <w:t xml:space="preserve">manager</w:t>
      </w:r>
      <w:r>
        <w:t xml:space="preserve"> </w:t>
      </w:r>
      <w:r>
        <w:t xml:space="preserve">attribute as a DN reference to the already-provisioned supervisor; for managers in another domain, Microsoft’s topologies either enable referral chasing on the provisioning agent (one app for the forest) or add a separate app that updates only</w:t>
      </w:r>
      <w:r>
        <w:t xml:space="preserve"> </w:t>
      </w:r>
      <w:r>
        <w:rPr>
          <w:rStyle w:val="VerbatimChar"/>
        </w:rPr>
        <w:t xml:space="preserve">manager</w:t>
      </w:r>
      <w:r>
        <w:t xml:space="preserve"> </w:t>
      </w:r>
      <w:r>
        <w:t xml:space="preserve">(one app per domain).</w:t>
      </w:r>
      <w:r>
        <w:rPr>
          <w:rStyle w:val="FootnoteReference"/>
        </w:rPr>
        <w:footnoteReference w:id="265"/>
      </w:r>
    </w:p>
    <w:p>
      <w:pPr>
        <w:pStyle w:val="Compact"/>
        <w:numPr>
          <w:ilvl w:val="0"/>
          <w:numId w:val="1018"/>
        </w:numPr>
      </w:pPr>
      <w:r>
        <w:rPr>
          <w:b/>
          <w:bCs/>
        </w:rPr>
        <w:t xml:space="preserve">High availability.</w:t>
      </w:r>
      <w:r>
        <w:t xml:space="preserve"> </w:t>
      </w:r>
      <w:r>
        <w:t xml:space="preserve">Deploy at least two provisioning agents, on servers with line of sight to the domain controllers;</w:t>
      </w:r>
      <w:r>
        <w:rPr>
          <w:rStyle w:val="FootnoteReference"/>
        </w:rPr>
        <w:footnoteReference w:id="266"/>
      </w:r>
      <w:r>
        <w:t xml:space="preserve"> </w:t>
      </w:r>
      <w:r>
        <w:t xml:space="preserve">Microsoft’s Cloud Sync prerequisites now recommend three active agents, on servers hardened as Tier 0 (control plane) assets.</w:t>
      </w:r>
      <w:r>
        <w:rPr>
          <w:rStyle w:val="FootnoteReference"/>
        </w:rPr>
        <w:footnoteReference w:id="267"/>
      </w:r>
      <w:r>
        <w:t xml:space="preserve"> </w:t>
      </w:r>
      <w:r>
        <w:t xml:space="preserve">The agent service runs as a group managed service account (gMSA); Domain or Enterprise Administrator credentials are needed once, to create it, not to run the agent.</w:t>
      </w:r>
      <w:r>
        <w:rPr>
          <w:rStyle w:val="FootnoteReference"/>
        </w:rPr>
        <w:footnoteReference w:id="269"/>
      </w:r>
      <w:r>
        <w:t xml:space="preserve"> </w:t>
      </w:r>
      <w:r>
        <w:t xml:space="preserve">Delegate the gMSA rights to the target OUs only.</w:t>
      </w:r>
    </w:p>
    <w:p>
      <w:pPr>
        <w:pStyle w:val="Compact"/>
        <w:numPr>
          <w:ilvl w:val="0"/>
          <w:numId w:val="1018"/>
        </w:numPr>
      </w:pPr>
      <w:r>
        <w:rPr>
          <w:b/>
          <w:bCs/>
        </w:rPr>
        <w:t xml:space="preserve">Termination reaches the domain controller.</w:t>
      </w:r>
      <w:r>
        <w:t xml:space="preserve"> </w:t>
      </w:r>
      <w:r>
        <w:t xml:space="preserve">The SCIM</w:t>
      </w:r>
      <w:r>
        <w:t xml:space="preserve"> </w:t>
      </w:r>
      <w:r>
        <w:rPr>
          <w:rStyle w:val="VerbatimChar"/>
        </w:rPr>
        <w:t xml:space="preserve">active</w:t>
      </w:r>
      <w:r>
        <w:t xml:space="preserve"> </w:t>
      </w:r>
      <w:r>
        <w:t xml:space="preserve">value maps to AD’s</w:t>
      </w:r>
      <w:r>
        <w:t xml:space="preserve"> </w:t>
      </w:r>
      <w:r>
        <w:rPr>
          <w:rStyle w:val="VerbatimChar"/>
        </w:rPr>
        <w:t xml:space="preserve">accountDisabled</w:t>
      </w:r>
      <w:r>
        <w:t xml:space="preserve">, so an HR termination disables the AD account, and the sync client carries that state to the cloud.</w:t>
      </w:r>
      <w:r>
        <w:rPr>
          <w:rStyle w:val="FootnoteReference"/>
        </w:rPr>
        <w:footnoteReference w:id="270"/>
      </w:r>
      <w:r>
        <w:rPr>
          <w:rStyle w:val="FootnoteReference"/>
        </w:rPr>
        <w:footnoteReference w:id="271"/>
      </w:r>
    </w:p>
    <w:p>
      <w:pPr>
        <w:pStyle w:val="FirstParagraph"/>
      </w:pPr>
      <w:r>
        <w:t xml:space="preserve">The caveat:</w:t>
      </w:r>
      <w:r>
        <w:t xml:space="preserve"> </w:t>
      </w:r>
      <w:r>
        <w:rPr>
          <w:b/>
          <w:bCs/>
        </w:rPr>
        <w:t xml:space="preserve">AD stores structure as place.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can’t make AD attribute-native.</w:t>
      </w:r>
    </w:p>
    <w:bookmarkEnd w:id="272"/>
    <w:bookmarkStart w:id="278" w:name="landing-in-entra-id"/>
    <w:p>
      <w:pPr>
        <w:pStyle w:val="Heading3"/>
      </w:pPr>
      <w:r>
        <w:t xml:space="preserve">Landing in Entra ID</w:t>
      </w:r>
    </w:p>
    <w:p>
      <w:pPr>
        <w:pStyle w:val="FirstParagraph"/>
      </w:pPr>
      <w:r>
        <w:t xml:space="preserve">Entra ID has no OUs. The worker record lands as attributes, and structure becomes data:</w:t>
      </w:r>
      <w:r>
        <w:t xml:space="preserve"> </w:t>
      </w:r>
      <w:r>
        <w:rPr>
          <w:rStyle w:val="VerbatimChar"/>
        </w:rPr>
        <w:t xml:space="preserve">manager</w:t>
      </w:r>
      <w:r>
        <w:t xml:space="preserve"> </w:t>
      </w:r>
      <w:r>
        <w:t xml:space="preserve">(a directory relationship that drives the org chart in Teams and Outlook</w:t>
      </w:r>
      <w:r>
        <w:rPr>
          <w:rStyle w:val="FootnoteReference"/>
        </w:rPr>
        <w:footnoteReference w:id="273"/>
      </w:r>
      <w:r>
        <w:t xml:space="preserve"> </w:t>
      </w:r>
      <w:r>
        <w:t xml:space="preserve">and approval routing),</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t>
      </w:r>
      <w:r>
        <w:rPr>
          <w:rStyle w:val="VerbatimChar"/>
        </w:rPr>
        <w:t xml:space="preserve">division</w:t>
      </w:r>
      <w:r>
        <w:t xml:space="preserve">,</w:t>
      </w:r>
      <w:r>
        <w:t xml:space="preserve"> </w:t>
      </w:r>
      <w:r>
        <w:rPr>
          <w:rStyle w:val="VerbatimChar"/>
        </w:rPr>
        <w:t xml:space="preserve">costCenter</w:t>
      </w:r>
      <w:r>
        <w:t xml:space="preserve">).</w:t>
      </w:r>
      <w:r>
        <w:rPr>
          <w:rStyle w:val="FootnoteReference"/>
        </w:rPr>
        <w:footnoteReference w:id="275"/>
      </w:r>
      <w:r>
        <w:t xml:space="preserve"> </w:t>
      </w:r>
      <w:r>
        <w:t xml:space="preserve">Chapter 06 fixes which of these the agency uses and for what; Chapter 10 shows how they become access.</w:t>
      </w:r>
    </w:p>
    <w:p>
      <w:pPr>
        <w:pStyle w:val="TableCaption"/>
      </w:pPr>
      <w:r>
        <w:t xml:space="preserve">How each directory absorbs organizational structure</w:t>
      </w:r>
    </w:p>
    <w:tbl>
      <w:tblPr>
        <w:tblStyle w:val="Table"/>
        <w:tblW w:type="pct" w:w="5000"/>
        <w:tblLayout w:type="fixed"/>
        <w:tblLook w:firstRow="1" w:lastRow="0" w:firstColumn="0" w:lastColumn="0" w:noHBand="0" w:noVBand="0" w:val="0020"/>
        <w:tblCaption w:val="How each directory absorbs organizational structure"/>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structure as place, which GPO reads</w:t>
            </w:r>
          </w:p>
        </w:tc>
        <w:tc>
          <w:tcPr/>
          <w:p>
            <w:pPr>
              <w:pStyle w:val="Compact"/>
            </w:pPr>
            <w:r>
              <w:t xml:space="preserve">None: structure as attributes, which policy reads through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w:t>
            </w:r>
          </w:p>
        </w:tc>
        <w:tc>
          <w:tcPr/>
          <w:p>
            <w:pPr>
              <w:pStyle w:val="Compact"/>
            </w:pPr>
            <w:r>
              <w:rPr>
                <w:rStyle w:val="VerbatimChar"/>
              </w:rPr>
              <w:t xml:space="preserve">manager</w:t>
            </w:r>
            <w:r>
              <w:t xml:space="preserve"> </w:t>
            </w:r>
            <w:r>
              <w:t xml:space="preserve">relationship</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department</w:t>
            </w:r>
            <w:r>
              <w:t xml:space="preserve">,</w:t>
            </w:r>
            <w:r>
              <w:t xml:space="preserve"> </w:t>
            </w:r>
            <w:r>
              <w:rPr>
                <w:rStyle w:val="VerbatimChar"/>
              </w:rPr>
              <w:t xml:space="preserve">employeeOrgData</w:t>
            </w:r>
            <w:r>
              <w:t xml:space="preserve">, stamped</w:t>
            </w:r>
          </w:p>
        </w:tc>
      </w:tr>
      <w:tr>
        <w:tc>
          <w:tcPr/>
          <w:p>
            <w:pPr>
              <w:pStyle w:val="Compact"/>
            </w:pPr>
            <w:r>
              <w:t xml:space="preserve">Membership</w:t>
            </w:r>
          </w:p>
        </w:tc>
        <w:tc>
          <w:tcPr/>
          <w:p>
            <w:pPr>
              <w:pStyle w:val="Compact"/>
            </w:pPr>
            <w:r>
              <w:t xml:space="preserve">Static groups, manual or scripted</w:t>
            </w:r>
          </w:p>
        </w:tc>
        <w:tc>
          <w:tcPr/>
          <w:p>
            <w:pPr>
              <w:pStyle w:val="Compact"/>
            </w:pPr>
            <w:r>
              <w:t xml:space="preserve">Rules for dynamic membership, evaluated by the service</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 (flat; they can’t be nested)</w:t>
            </w:r>
            <w:r>
              <w:rPr>
                <w:rStyle w:val="FootnoteReference"/>
              </w:rPr>
              <w:footnoteReference w:id="276"/>
            </w:r>
          </w:p>
        </w:tc>
      </w:tr>
      <w:tr>
        <w:tc>
          <w:tcPr/>
          <w:p>
            <w:pPr>
              <w:pStyle w:val="Compact"/>
            </w:pPr>
            <w:r>
              <w:t xml:space="preserve">Reorganization cost</w:t>
            </w:r>
          </w:p>
        </w:tc>
        <w:tc>
          <w:tcPr/>
          <w:p>
            <w:pPr>
              <w:pStyle w:val="Compact"/>
            </w:pPr>
            <w:r>
              <w:t xml:space="preserve">OU restructure and GPO re-link: a project</w:t>
            </w:r>
          </w:p>
        </w:tc>
        <w:tc>
          <w:tcPr/>
          <w:p>
            <w:pPr>
              <w:pStyle w:val="Compact"/>
            </w:pPr>
            <w:r>
              <w:t xml:space="preserve">Attribute re-stamp and rule re-evaluation: a data change</w:t>
            </w:r>
          </w:p>
        </w:tc>
      </w:tr>
    </w:tbl>
    <w:p>
      <w:pPr>
        <w:pStyle w:val="BodyText"/>
      </w:pPr>
      <w:r>
        <w:t xml:space="preserve">During coexistence, provision both zones, read structure from attributes, and retire OU-bound policy deliberately (Chapter 12, Phase 5).</w:t>
      </w:r>
    </w:p>
    <w:bookmarkEnd w:id="278"/>
    <w:bookmarkStart w:id="281" w:name="over-the-entra-id-migration"/>
    <w:p>
      <w:pPr>
        <w:pStyle w:val="Heading3"/>
      </w:pPr>
      <w:r>
        <w:t xml:space="preserve">Over the Entra ID migration</w:t>
      </w:r>
    </w:p>
    <w:p>
      <w:pPr>
        <w:pStyle w:val="FirstParagraph"/>
      </w:pPr>
      <w:r>
        <w:t xml:space="preserve">Microsoft’s path to the cloud moves users’</w:t>
      </w:r>
      <w:r>
        <w:t xml:space="preserve"> </w:t>
      </w:r>
      <w:r>
        <w:rPr>
          <w:b/>
          <w:bCs/>
        </w:rPr>
        <w:t xml:space="preserve">source of authority</w:t>
      </w:r>
      <w:r>
        <w:t xml:space="preserve"> </w:t>
      </w:r>
      <w:r>
        <w:t xml:space="preserve">from Active Directory to Entra ID, after which the user lifecycle is governed in the cloud with Entra ID Governance; for users who still need on-premises access, provisioning from Entra ID to Active Directory maintains the AD account while Entra ID remains the source of authority.</w:t>
      </w:r>
      <w:r>
        <w:rPr>
          <w:rStyle w:val="FootnoteReference"/>
        </w:rPr>
        <w:footnoteReference w:id="279"/>
      </w:r>
      <w:r>
        <w:t xml:space="preserve"> </w:t>
      </w:r>
      <w:r>
        <w:t xml:space="preserve">Microsoft’s migration guidance makes the same split for HR: new employees who use only Entra-integrated applications can be provisioned as cloud-only accounts, and hybrid accounts are provisioned only where applications still depend on AD.</w:t>
      </w:r>
      <w:r>
        <w:rPr>
          <w:rStyle w:val="FootnoteReference"/>
        </w:rPr>
        <w:footnoteReference w:id="280"/>
      </w:r>
      <w:r>
        <w:t xml:space="preserve"> </w:t>
      </w:r>
      <w:r>
        <w:t xml:space="preserve">HR-driven provisioning and the directory migration therefore converge on one design, population by population: HR is the source of authority, Entra ID is the identity platform it drives, and Active Directory becomes a downstream target that shrinks as applications move.</w:t>
      </w:r>
    </w:p>
    <w:bookmarkEnd w:id="281"/>
    <w:bookmarkEnd w:id="282"/>
    <w:bookmarkStart w:id="283" w:name="native-connectors"/>
    <w:p>
      <w:pPr>
        <w:pStyle w:val="Heading2"/>
      </w:pPr>
      <w:bookmarkStart w:id="833" w:name="_Toc00000833"/>
      <w:r>
        <w:t xml:space="preserve">Native connectors</w:t>
      </w:r>
      <w:bookmarkEnd w:id="833"/>
    </w:p>
    <w:p>
      <w:pPr>
        <w:pStyle w:val="FirstParagraph"/>
      </w:pPr>
      <w:r>
        <w:t xml:space="preserve">Where an HR source has a native connector (Workday, SAP SuccessFactors), it’s an acceptable accelerator. The API-driven pattern stays the reference implementation because it works for any source and because its middleware is where validation, provenance and reconciliation happen before the identity platform sees the record. A native connector bypasses that middleware, so those duties have to be supplied another way.</w:t>
      </w:r>
    </w:p>
    <w:bookmarkEnd w:id="283"/>
    <w:bookmarkStart w:id="288" w:name="X266d4d5a9494795d71b36e2d275e4c6bbec543b"/>
    <w:p>
      <w:pPr>
        <w:pStyle w:val="Heading2"/>
      </w:pPr>
      <w:bookmarkStart w:id="834" w:name="_Toc00000834"/>
      <w:r>
        <w:t xml:space="preserve">Writeback: optional and one-way per attribute</w:t>
      </w:r>
      <w:bookmarkEnd w:id="834"/>
    </w:p>
    <w:p>
      <w:pPr>
        <w:pStyle w:val="FirstParagraph"/>
      </w:pPr>
      <w:r>
        <w:t xml:space="preserve">Once inbound provisioning is proven, an optional outbound job can write identity-platform-mastered attributes the HR system wants to display (username, work email, work phone) back to Oracle HCM through its SCIM APIs.</w:t>
      </w:r>
      <w:r>
        <w:rPr>
          <w:rStyle w:val="FootnoteReference"/>
        </w:rPr>
        <w:footnoteReference w:id="284"/>
      </w:r>
      <w:r>
        <w:rPr>
          <w:rStyle w:val="FootnoteReference"/>
        </w:rPr>
        <w:footnoteReference w:id="285"/>
      </w:r>
      <w:r>
        <w:t xml:space="preserve"> </w:t>
      </w:r>
      <w:r>
        <w:t xml:space="preserve">Microsoft’s guide builds that job on the Oracle Fusion ERP gallery connector, limited to the Update action, with every attribute the agency doesn’t intend to write back removed from the mapping.</w:t>
      </w:r>
      <w:r>
        <w:rPr>
          <w:rStyle w:val="FootnoteReference"/>
        </w:rPr>
        <w:footnoteReference w:id="287"/>
      </w:r>
      <w:r>
        <w:t xml:space="preserve"> </w:t>
      </w:r>
      <w:r>
        <w:t xml:space="preserve">Two rules keep it safe: no attribute is writable in both directions (Chapter 04), and nothing in the plan depends on writeback.</w:t>
      </w:r>
    </w:p>
    <w:bookmarkEnd w:id="288"/>
    <w:bookmarkStart w:id="289" w:name="continue-the-book-4"/>
    <w:p>
      <w:pPr>
        <w:pStyle w:val="Heading2"/>
      </w:pPr>
      <w:bookmarkStart w:id="835" w:name="_Toc00000835"/>
      <w:r>
        <w:t xml:space="preserve">Continue the book</w:t>
      </w:r>
      <w:bookmarkEnd w:id="835"/>
    </w:p>
    <w:p>
      <w:pPr>
        <w:pStyle w:val="FirstParagraph"/>
      </w:pPr>
      <w:r>
        <w:t xml:space="preserve">← Previous: Chapter 04 — Attribute Authority · Book index · Next: Chapter 06 — The Canonical Workforce Identity Model →</w:t>
      </w:r>
    </w:p>
    <w:bookmarkEnd w:id="289"/>
    <w:bookmarkEnd w:id="290"/>
    <w:bookmarkStart w:id="332" w:name="Xc654f6dd0e1bf44b41677ad4baa03c94347334c"/>
    <w:p>
      <w:pPr>
        <w:pStyle w:val="Heading1"/>
      </w:pPr>
      <w:bookmarkStart w:id="836" w:name="_Toc00000836"/>
      <w:r>
        <w:t xml:space="preserve">Chapter 06 — The Canonical Workforce Identity Model</w:t>
      </w:r>
      <w:bookmarkEnd w:id="836"/>
    </w:p>
    <w:p>
      <w:pPr>
        <w:pStyle w:val="FirstParagraph"/>
      </w:pPr>
      <w:r>
        <w:rPr>
          <w:i/>
          <w:iCs/>
        </w:rPr>
        <w:t xml:space="preserve">OPM’s standard attributes are the contract. Native attributes first. A small, coded set of extension attributes for access. Nothing hand-edited.</w:t>
      </w:r>
    </w:p>
    <w:bookmarkStart w:id="291" w:name="in-this-chapter-5"/>
    <w:p>
      <w:pPr>
        <w:pStyle w:val="Heading2"/>
      </w:pPr>
      <w:bookmarkStart w:id="837" w:name="_Toc00000837"/>
      <w:r>
        <w:t xml:space="preserve">In this chapter</w:t>
      </w:r>
      <w:bookmarkEnd w:id="837"/>
    </w:p>
    <w:p>
      <w:pPr>
        <w:pStyle w:val="FirstParagraph"/>
      </w:pPr>
      <w:r>
        <w:t xml:space="preserve">The standard-attribute layer: why OPM’s data standards, not vendor fields, are the contract for federal employees. Contractors and vendors, whom HRIT doesn’t cover: where to source them, and how to split authority among those sources. The design rules behind the schema. The implementation crosswalk, which every other page on this site links to instead of repeating. Why three extension attributes, and why they hold codes. How the hire and leave dates reach Entra ID from each landing zone. Who is allowed to write any of it.</w:t>
      </w:r>
    </w:p>
    <w:bookmarkEnd w:id="291"/>
    <w:bookmarkStart w:id="302" w:name="the-standard-attribute-layer"/>
    <w:p>
      <w:pPr>
        <w:pStyle w:val="Heading2"/>
      </w:pPr>
      <w:bookmarkStart w:id="838" w:name="_Toc00000838"/>
      <w:r>
        <w:t xml:space="preserve">The standard-attribute layer</w:t>
      </w:r>
      <w:bookmarkEnd w:id="838"/>
    </w:p>
    <w:p>
      <w:pPr>
        <w:pStyle w:val="FirstParagraph"/>
      </w:pPr>
      <w:r>
        <w:t xml:space="preserve">The schema below names Oracle fields because Oracle Fusion Cloud HCM is the Core HCM platform. But the durable contract is one level up:</w:t>
      </w:r>
      <w:r>
        <w:t xml:space="preserve"> </w:t>
      </w:r>
      <w:r>
        <w:rPr>
          <w:b/>
          <w:bCs/>
        </w:rPr>
        <w:t xml:space="preserve">OPM’s standard personnel data.</w:t>
      </w:r>
      <w:r>
        <w:t xml:space="preserve"> </w:t>
      </w:r>
      <w:r>
        <w:t xml:space="preserve">Every agency on the platform records the same data elements with the same codes and meanings, defined by OPM’s data standards (formerly published as the</w:t>
      </w:r>
      <w:r>
        <w:t xml:space="preserve"> </w:t>
      </w:r>
      <w:r>
        <w:rPr>
          <w:i/>
          <w:iCs/>
        </w:rPr>
        <w:t xml:space="preserve">Guide to Data Standards</w:t>
      </w:r>
      <w:r>
        <w:t xml:space="preserve">, now maintained in OPM’s online metadata repository),</w:t>
      </w:r>
      <w:r>
        <w:rPr>
          <w:rStyle w:val="FootnoteReference"/>
        </w:rPr>
        <w:footnoteReference w:id="292"/>
      </w:r>
      <w:r>
        <w:rPr>
          <w:rStyle w:val="FootnoteReference"/>
        </w:rPr>
        <w:footnoteReference w:id="294"/>
      </w:r>
      <w:r>
        <w:t xml:space="preserve"> </w:t>
      </w:r>
      <w:r>
        <w:t xml:space="preserve">and every personnel action carries a nature-of-action code from the same standards (Chapter 08).</w:t>
      </w:r>
      <w:r>
        <w:rPr>
          <w:rStyle w:val="FootnoteReference"/>
        </w:rPr>
        <w:footnoteReference w:id="296"/>
      </w:r>
      <w:r>
        <w:t xml:space="preserve"> </w:t>
      </w:r>
      <w:r>
        <w:t xml:space="preserve">For federal employees, mapping identity to the standard rather than to vendor fields means one crosswalk serves every employee population, survives the next vendor change, and can be reused by any agency on the platform. The standard stops at federal employees, though; contractors and vendors are covered in the next section.</w:t>
      </w:r>
    </w:p>
    <w:p>
      <w:pPr>
        <w:pStyle w:val="CaptionedFigure"/>
      </w:pPr>
      <w:r>
        <w:drawing>
          <wp:inline>
            <wp:extent cx="5334000" cy="3628478"/>
            <wp:effectExtent b="0" l="0" r="0" t="0"/>
            <wp:docPr descr="The standard-attribute layer: OPM standard data elements are the contract; one governed crosswalk maps them into the canonical model; Entra ID and Active Directory receive coded projections." title="" id="299" name="Picture"/>
            <a:graphic>
              <a:graphicData uri="http://schemas.openxmlformats.org/drawingml/2006/picture">
                <pic:pic>
                  <pic:nvPicPr>
                    <pic:cNvPr descr="/home/runner/work/modernization-workbook/modernization-workbook/docs/images/diagrams/b03-hr-identity/png/ch06-standard-attribute-layer.png" id="300" name="Picture"/>
                    <pic:cNvPicPr>
                      <a:picLocks noChangeArrowheads="1" noChangeAspect="1"/>
                    </pic:cNvPicPr>
                  </pic:nvPicPr>
                  <pic:blipFill>
                    <a:blip r:embed="rId298"/>
                    <a:stretch>
                      <a:fillRect/>
                    </a:stretch>
                  </pic:blipFill>
                  <pic:spPr bwMode="auto">
                    <a:xfrm>
                      <a:off x="0" y="0"/>
                      <a:ext cx="5334000" cy="3628478"/>
                    </a:xfrm>
                    <a:prstGeom prst="rect">
                      <a:avLst/>
                    </a:prstGeom>
                    <a:noFill/>
                    <a:ln w="9525">
                      <a:noFill/>
                      <a:headEnd/>
                      <a:tailEnd/>
                    </a:ln>
                  </pic:spPr>
                </pic:pic>
              </a:graphicData>
            </a:graphic>
          </wp:inline>
        </w:drawing>
      </w:r>
    </w:p>
    <w:p>
      <w:pPr>
        <w:pStyle w:val="ImageCaption"/>
      </w:pPr>
      <w:r>
        <w:t xml:space="preserve">The standard-attribute layer: OPM standard data elements are the contract; one governed crosswalk maps them into the canonical model; Entra ID and Active Directory receive coded projections.</w:t>
      </w:r>
    </w:p>
    <w:p>
      <w:pPr>
        <w:pStyle w:val="TableCaption"/>
      </w:pPr>
      <w:r>
        <w:t xml:space="preserve">OPM standard data elements and what identity does with them</w:t>
      </w:r>
    </w:p>
    <w:tbl>
      <w:tblPr>
        <w:tblStyle w:val="Table"/>
        <w:tblW w:type="pct" w:w="5000"/>
        <w:tblLayout w:type="fixed"/>
        <w:tblLook w:firstRow="1" w:lastRow="0" w:firstColumn="0" w:lastColumn="0" w:noHBand="0" w:noVBand="0" w:val="0020"/>
        <w:tblCaption w:val="OPM standard data elements and what identity does with them"/>
      </w:tblPr>
      <w:tblGrid>
        <w:gridCol w:w="2640"/>
        <w:gridCol w:w="2640"/>
        <w:gridCol w:w="2640"/>
      </w:tblGrid>
      <w:tr>
        <w:trPr>
          <w:tblHeader w:val="on"/>
        </w:trPr>
        <w:tc>
          <w:tcPr/>
          <w:p>
            <w:pPr>
              <w:pStyle w:val="Compact"/>
            </w:pPr>
            <w:r>
              <w:t xml:space="preserve">OPM standard data element</w:t>
            </w:r>
          </w:p>
        </w:tc>
        <w:tc>
          <w:tcPr/>
          <w:p>
            <w:pPr>
              <w:pStyle w:val="Compact"/>
            </w:pPr>
            <w:r>
              <w:t xml:space="preserve">Identity use</w:t>
            </w:r>
          </w:p>
        </w:tc>
        <w:tc>
          <w:tcPr/>
          <w:p>
            <w:pPr>
              <w:pStyle w:val="Compact"/>
            </w:pPr>
            <w:r>
              <w:t xml:space="preserve">Lands as (crosswalk below)</w:t>
            </w:r>
          </w:p>
        </w:tc>
      </w:tr>
      <w:tr>
        <w:tc>
          <w:tcPr/>
          <w:p>
            <w:pPr>
              <w:pStyle w:val="Compact"/>
            </w:pPr>
            <w:r>
              <w:t xml:space="preserve">Agency / subelement</w:t>
            </w:r>
          </w:p>
        </w:tc>
        <w:tc>
          <w:tcPr/>
          <w:p>
            <w:pPr>
              <w:pStyle w:val="Compact"/>
            </w:pPr>
            <w:r>
              <w:t xml:space="preserve">Legal employer and component scope</w:t>
            </w:r>
          </w:p>
        </w:tc>
        <w:tc>
          <w:tcPr/>
          <w:p>
            <w:pPr>
              <w:pStyle w:val="Compact"/>
            </w:pPr>
            <w:r>
              <w:rPr>
                <w:rStyle w:val="VerbatimChar"/>
              </w:rPr>
              <w:t xml:space="preserve">companyName</w:t>
            </w:r>
            <w:r>
              <w:t xml:space="preserve">; organization code</w:t>
            </w:r>
          </w:p>
        </w:tc>
      </w:tr>
      <w:tr>
        <w:tc>
          <w:tcPr/>
          <w:p>
            <w:pPr>
              <w:pStyle w:val="Compact"/>
            </w:pPr>
            <w:r>
              <w:t xml:space="preserve">Personnel office identifier</w:t>
            </w:r>
          </w:p>
        </w:tc>
        <w:tc>
          <w:tcPr/>
          <w:p>
            <w:pPr>
              <w:pStyle w:val="Compact"/>
            </w:pPr>
            <w:r>
              <w:t xml:space="preserve">Servicing HR office; delegated administration scope</w:t>
            </w:r>
          </w:p>
        </w:tc>
        <w:tc>
          <w:tcPr/>
          <w:p>
            <w:pPr>
              <w:pStyle w:val="Compact"/>
            </w:pPr>
            <w:r>
              <w:t xml:space="preserve">Administrative-unit rule input</w:t>
            </w:r>
          </w:p>
        </w:tc>
      </w:tr>
      <w:tr>
        <w:tc>
          <w:tcPr/>
          <w:p>
            <w:pPr>
              <w:pStyle w:val="Compact"/>
            </w:pPr>
            <w:r>
              <w:t xml:space="preserve">Duty station</w:t>
            </w:r>
          </w:p>
        </w:tc>
        <w:tc>
          <w:tcPr/>
          <w:p>
            <w:pPr>
              <w:pStyle w:val="Compact"/>
            </w:pPr>
            <w:r>
              <w:t xml:space="preserve">Location of record; location-based scoping; physical-access integration</w:t>
            </w:r>
          </w:p>
        </w:tc>
        <w:tc>
          <w:tcPr/>
          <w:p>
            <w:pPr>
              <w:pStyle w:val="Compact"/>
            </w:pPr>
            <w:r>
              <w:t xml:space="preserve">Location code;</w:t>
            </w:r>
            <w:r>
              <w:t xml:space="preserve"> </w:t>
            </w:r>
            <w:r>
              <w:rPr>
                <w:rStyle w:val="VerbatimChar"/>
              </w:rPr>
              <w:t xml:space="preserve">usageLocation</w:t>
            </w:r>
            <w:r>
              <w:t xml:space="preserve"> </w:t>
            </w:r>
            <w:r>
              <w:t xml:space="preserve">source</w:t>
            </w:r>
          </w:p>
        </w:tc>
      </w:tr>
      <w:tr>
        <w:tc>
          <w:tcPr/>
          <w:p>
            <w:pPr>
              <w:pStyle w:val="Compact"/>
            </w:pPr>
            <w:r>
              <w:t xml:space="preserve">Occupational series, pay plan, grade</w:t>
            </w:r>
          </w:p>
        </w:tc>
        <w:tc>
          <w:tcPr/>
          <w:p>
            <w:pPr>
              <w:pStyle w:val="Compact"/>
            </w:pPr>
            <w:r>
              <w:t xml:space="preserve">Position category for role-eligible access packages</w:t>
            </w:r>
          </w:p>
        </w:tc>
        <w:tc>
          <w:tcPr/>
          <w:p>
            <w:pPr>
              <w:pStyle w:val="Compact"/>
            </w:pPr>
            <w:r>
              <w:t xml:space="preserve">Position category code</w:t>
            </w:r>
          </w:p>
        </w:tc>
      </w:tr>
      <w:tr>
        <w:tc>
          <w:tcPr/>
          <w:p>
            <w:pPr>
              <w:pStyle w:val="Compact"/>
            </w:pPr>
            <w:r>
              <w:t xml:space="preserve">Supervisory status</w:t>
            </w:r>
          </w:p>
        </w:tc>
        <w:tc>
          <w:tcPr/>
          <w:p>
            <w:pPr>
              <w:pStyle w:val="Compact"/>
            </w:pPr>
            <w:r>
              <w:t xml:space="preserve">Approver and reviewer eligibility; manager-chain integrity</w:t>
            </w:r>
          </w:p>
        </w:tc>
        <w:tc>
          <w:tcPr/>
          <w:p>
            <w:pPr>
              <w:pStyle w:val="Compact"/>
            </w:pPr>
            <w:r>
              <w:t xml:space="preserve">Supervisor group;</w:t>
            </w:r>
            <w:r>
              <w:t xml:space="preserve"> </w:t>
            </w:r>
            <w:r>
              <w:rPr>
                <w:rStyle w:val="VerbatimChar"/>
              </w:rPr>
              <w:t xml:space="preserve">manager</w:t>
            </w:r>
            <w:r>
              <w:t xml:space="preserve"> </w:t>
            </w:r>
            <w:r>
              <w:t xml:space="preserve">checks</w:t>
            </w:r>
          </w:p>
        </w:tc>
      </w:tr>
      <w:tr>
        <w:tc>
          <w:tcPr/>
          <w:p>
            <w:pPr>
              <w:pStyle w:val="Compact"/>
            </w:pPr>
            <w:r>
              <w:t xml:space="preserve">Tenure, type of appointment, work schedule</w:t>
            </w:r>
          </w:p>
        </w:tc>
        <w:tc>
          <w:tcPr/>
          <w:p>
            <w:pPr>
              <w:pStyle w:val="Compact"/>
            </w:pPr>
            <w:r>
              <w:t xml:space="preserve">Worker type and its lifecycle profile (pre-hire window, license, retention)</w:t>
            </w:r>
          </w:p>
        </w:tc>
        <w:tc>
          <w:tcPr/>
          <w:p>
            <w:pPr>
              <w:pStyle w:val="Compact"/>
            </w:pPr>
            <w:r>
              <w:rPr>
                <w:rStyle w:val="VerbatimChar"/>
              </w:rPr>
              <w:t xml:space="preserve">employeeType</w:t>
            </w:r>
            <w:r>
              <w:t xml:space="preserve">; worker-type code</w:t>
            </w:r>
          </w:p>
        </w:tc>
      </w:tr>
      <w:tr>
        <w:tc>
          <w:tcPr/>
          <w:p>
            <w:pPr>
              <w:pStyle w:val="Compact"/>
            </w:pPr>
            <w:r>
              <w:t xml:space="preserve">Nature of action + effective date</w:t>
            </w:r>
          </w:p>
        </w:tc>
        <w:tc>
          <w:tcPr/>
          <w:p>
            <w:pPr>
              <w:pStyle w:val="Compact"/>
            </w:pPr>
            <w:r>
              <w:t xml:space="preserve">Lifecycle trigger: joiner, mover, conversion, leave, return, leaver, correction</w:t>
            </w:r>
          </w:p>
        </w:tc>
        <w:tc>
          <w:tcPr/>
          <w:p>
            <w:pPr>
              <w:pStyle w:val="Compact"/>
            </w:pPr>
            <w:r>
              <w:t xml:space="preserve">Hire and leave dates; account state</w:t>
            </w:r>
          </w:p>
        </w:tc>
      </w:tr>
    </w:tbl>
    <w:p>
      <w:pPr>
        <w:pStyle w:val="BodyText"/>
      </w:pPr>
      <w:r>
        <w:t xml:space="preserve">Confirm each element’s current name, values and how Core HCM exposes it against OPM’s current standards at engagement time (Chapter 12, verification register). OPM requires that the coded blocks of the SF-50 use only codes listed in the EHRI Data Standards,</w:t>
      </w:r>
      <w:r>
        <w:rPr>
          <w:rStyle w:val="FootnoteReference"/>
        </w:rPr>
        <w:footnoteReference w:id="301"/>
      </w:r>
      <w:r>
        <w:t xml:space="preserve"> </w:t>
      </w:r>
      <w:r>
        <w:t xml:space="preserve">which is what makes them dependable as access inputs. Where an access decision needs a code that a standard element supplies, the code is the standard’s — not a locally invented list.</w:t>
      </w:r>
    </w:p>
    <w:bookmarkEnd w:id="302"/>
    <w:bookmarkStart w:id="313" w:name="X926bca154b6b6890f95b707da01b326ae46efa3"/>
    <w:p>
      <w:pPr>
        <w:pStyle w:val="Heading2"/>
      </w:pPr>
      <w:bookmarkStart w:id="839" w:name="_Toc00000839"/>
      <w:r>
        <w:t xml:space="preserve">Contractors and vendors: the population HRIT doesn’t cover</w:t>
      </w:r>
      <w:bookmarkEnd w:id="839"/>
    </w:p>
    <w:p>
      <w:pPr>
        <w:pStyle w:val="FirstParagraph"/>
      </w:pPr>
      <w:r>
        <w:t xml:space="preserve">OPM’s data standards and nature-of-action codes describe</w:t>
      </w:r>
      <w:r>
        <w:t xml:space="preserve"> </w:t>
      </w:r>
      <w:r>
        <w:rPr>
          <w:b/>
          <w:bCs/>
        </w:rPr>
        <w:t xml:space="preserve">federal employees</w:t>
      </w:r>
      <w:r>
        <w:t xml:space="preserve">. Federal HR 2.0 moves federal employees. Contractors and vendors — often a large share of an agency’s accounts, and the share most likely to be orphaned — are in neither. In most agencies they are tracked today in contracting officer’s representative (COR) spreadsheets: a sponsor, a contract or task order, a start date and an end date that nobody is obliged to keep current. A spreadsheet can’t be a source of authority, so these workers need one, mapped into the same canonical model as employees.</w:t>
      </w:r>
    </w:p>
    <w:p>
      <w:pPr>
        <w:pStyle w:val="TableCaption"/>
      </w:pPr>
      <w:r>
        <w:t xml:space="preserve">Where contractors and vendors can be sourced from</w:t>
      </w:r>
    </w:p>
    <w:tbl>
      <w:tblPr>
        <w:tblStyle w:val="Table"/>
        <w:tblW w:type="pct" w:w="5000"/>
        <w:tblLayout w:type="fixed"/>
        <w:tblLook w:firstRow="1" w:lastRow="0" w:firstColumn="0" w:lastColumn="0" w:noHBand="0" w:noVBand="0" w:val="0020"/>
        <w:tblCaption w:val="Where contractors and vendors can be sourced from"/>
      </w:tblPr>
      <w:tblGrid>
        <w:gridCol w:w="2640"/>
        <w:gridCol w:w="2640"/>
        <w:gridCol w:w="2640"/>
      </w:tblGrid>
      <w:tr>
        <w:trPr>
          <w:tblHeader w:val="on"/>
        </w:trPr>
        <w:tc>
          <w:tcPr/>
          <w:p>
            <w:pPr>
              <w:pStyle w:val="Compact"/>
            </w:pPr>
            <w:r>
              <w:t xml:space="preserve">Option</w:t>
            </w:r>
          </w:p>
        </w:tc>
        <w:tc>
          <w:tcPr/>
          <w:p>
            <w:pPr>
              <w:pStyle w:val="Compact"/>
            </w:pPr>
            <w:r>
              <w:t xml:space="preserve">What it gives</w:t>
            </w:r>
          </w:p>
        </w:tc>
        <w:tc>
          <w:tcPr/>
          <w:p>
            <w:pPr>
              <w:pStyle w:val="Compact"/>
            </w:pPr>
            <w:r>
              <w:t xml:space="preserve">What it lacks</w:t>
            </w:r>
          </w:p>
        </w:tc>
      </w:tr>
      <w:tr>
        <w:tc>
          <w:tcPr/>
          <w:p>
            <w:pPr>
              <w:pStyle w:val="Compact"/>
            </w:pPr>
            <w:r>
              <w:rPr>
                <w:b/>
                <w:bCs/>
              </w:rPr>
              <w:t xml:space="preserve">Core HCM Contingent Worker</w:t>
            </w:r>
            <w:r>
              <w:t xml:space="preserve"> </w:t>
            </w:r>
            <w:r>
              <w:t xml:space="preserve">(best fit)</w:t>
            </w:r>
          </w:p>
        </w:tc>
        <w:tc>
          <w:tcPr/>
          <w:p>
            <w:pPr>
              <w:pStyle w:val="Compact"/>
            </w:pPr>
            <w:r>
              <w:t xml:space="preserve">Oracle Fusion Cloud HCM treats contractors as a full worker type, the contingent worker: a person record, an assignment, a place in the organization and a lifecycle much like an employee’s, with add, renew and convert actions and the same interfaces</w:t>
            </w:r>
            <w:r>
              <w:rPr>
                <w:rStyle w:val="FootnoteReference"/>
              </w:rPr>
              <w:footnoteReference w:id="303"/>
            </w:r>
            <w:r>
              <w:rPr>
                <w:rStyle w:val="FootnoteReference"/>
              </w:rPr>
              <w:footnoteReference w:id="305"/>
            </w:r>
            <w:r>
              <w:rPr>
                <w:rStyle w:val="FootnoteReference"/>
              </w:rPr>
              <w:footnoteReference w:id="307"/>
            </w:r>
          </w:p>
        </w:tc>
        <w:tc>
          <w:tcPr/>
          <w:p>
            <w:pPr>
              <w:pStyle w:val="Compact"/>
            </w:pPr>
            <w:r>
              <w:t xml:space="preserve">No vendor-management system and no non-employee governance layer: sponsorship, contract linkage and end-date attestation still need an owner and a process. Confirm that the agency’s Core HCM configuration will record contingent workers</w:t>
            </w:r>
          </w:p>
        </w:tc>
      </w:tr>
      <w:tr>
        <w:tc>
          <w:tcPr/>
          <w:p>
            <w:pPr>
              <w:pStyle w:val="Compact"/>
            </w:pPr>
            <w:r>
              <w:rPr>
                <w:b/>
                <w:bCs/>
              </w:rPr>
              <w:t xml:space="preserve">PIV credential and sponsorship system</w:t>
            </w:r>
          </w:p>
        </w:tc>
        <w:tc>
          <w:tcPr/>
          <w:p>
            <w:pPr>
              <w:pStyle w:val="Compact"/>
            </w:pPr>
            <w:r>
              <w:t xml:space="preserve">Sponsorship, adjudication, the sponsoring office and an expiry already exist for every badged contractor: FIPS 201-3 requires a background investigation and favorable adjudication before issuance, and caps a PIV card’s validity at six years</w:t>
            </w:r>
            <w:r>
              <w:rPr>
                <w:rStyle w:val="FootnoteReference"/>
              </w:rPr>
              <w:footnoteReference w:id="308"/>
            </w:r>
          </w:p>
        </w:tc>
        <w:tc>
          <w:tcPr/>
          <w:p>
            <w:pPr>
              <w:pStyle w:val="Compact"/>
            </w:pPr>
            <w:r>
              <w:t xml:space="preserve">Covers only people who get a PIV credential; vendors and short-term workers without one need another path</w:t>
            </w:r>
          </w:p>
        </w:tc>
      </w:tr>
      <w:tr>
        <w:tc>
          <w:tcPr/>
          <w:p>
            <w:pPr>
              <w:pStyle w:val="Compact"/>
            </w:pPr>
            <w:r>
              <w:rPr>
                <w:b/>
                <w:bCs/>
              </w:rPr>
              <w:t xml:space="preserve">Contractor suitability register</w:t>
            </w:r>
          </w:p>
        </w:tc>
        <w:tc>
          <w:tcPr/>
          <w:p>
            <w:pPr>
              <w:pStyle w:val="Compact"/>
            </w:pPr>
            <w:r>
              <w:t xml:space="preserve">Many agencies already keep one, under personnel security or contracting: each contractor tied to the agency contract they work on, with the suitability determination and its date. It is often the only existing record that links a person to a contract under agency authority</w:t>
            </w:r>
          </w:p>
        </w:tc>
        <w:tc>
          <w:tcPr/>
          <w:p>
            <w:pPr>
              <w:pStyle w:val="Compact"/>
            </w:pPr>
            <w:r>
              <w:t xml:space="preserve">Often records the vetting decision, not the end of the engagement. Owner, interface and update timing vary, and a register keyed by hand from COR spreadsheets inherits their lag</w:t>
            </w:r>
          </w:p>
        </w:tc>
      </w:tr>
      <w:tr>
        <w:tc>
          <w:tcPr/>
          <w:p>
            <w:pPr>
              <w:pStyle w:val="Compact"/>
            </w:pPr>
            <w:r>
              <w:rPr>
                <w:b/>
                <w:bCs/>
              </w:rPr>
              <w:t xml:space="preserve">A non-employee lifecycle service</w:t>
            </w:r>
            <w:r>
              <w:t xml:space="preserve"> </w:t>
            </w:r>
            <w:r>
              <w:t xml:space="preserve">(complement)</w:t>
            </w:r>
          </w:p>
        </w:tc>
        <w:tc>
          <w:tcPr/>
          <w:p>
            <w:pPr>
              <w:pStyle w:val="Compact"/>
            </w:pPr>
            <w:r>
              <w:t xml:space="preserve">Sponsor workflows, contract and vendor records, periodic attestation</w:t>
            </w:r>
          </w:p>
        </w:tc>
        <w:tc>
          <w:tcPr/>
          <w:p>
            <w:pPr>
              <w:pStyle w:val="Compact"/>
            </w:pPr>
            <w:r>
              <w:t xml:space="preserve">A third source to integrate and govern; usually layered on one of the two options above rather than replacing them</w:t>
            </w:r>
          </w:p>
        </w:tc>
      </w:tr>
    </w:tbl>
    <w:p>
      <w:pPr>
        <w:pStyle w:val="BodyText"/>
      </w:pPr>
      <w:r>
        <w:t xml:space="preserve">Whichever source the agency chooses, the rules are the same:</w:t>
      </w:r>
    </w:p>
    <w:p>
      <w:pPr>
        <w:pStyle w:val="Compact"/>
        <w:numPr>
          <w:ilvl w:val="0"/>
          <w:numId w:val="1019"/>
        </w:numPr>
      </w:pPr>
      <w:r>
        <w:rPr>
          <w:b/>
          <w:bCs/>
        </w:rPr>
        <w:t xml:space="preserve">One model.</w:t>
      </w:r>
      <w:r>
        <w:t xml:space="preserve"> </w:t>
      </w:r>
      <w:r>
        <w:t xml:space="preserve">Contractors map into the same canonical model, with worker type set to contractor and their own enterprise person key (Chapter 04). In the proposed canonical model, conversion between contractor and employee creates a new affiliation for the same person, joining the two sources on that key, so a converting person never gets a second identity.</w:t>
      </w:r>
    </w:p>
    <w:p>
      <w:pPr>
        <w:pStyle w:val="Compact"/>
        <w:numPr>
          <w:ilvl w:val="0"/>
          <w:numId w:val="1019"/>
        </w:numPr>
      </w:pPr>
      <w:r>
        <w:rPr>
          <w:b/>
          <w:bCs/>
        </w:rPr>
        <w:t xml:space="preserve">Different triggers.</w:t>
      </w:r>
      <w:r>
        <w:t xml:space="preserve"> </w:t>
      </w:r>
      <w:r>
        <w:t xml:space="preserve">Contractors have no SF-50. Their joiner and leaver events are the contract or sponsorship start and end dates, and a sponsor’s withdrawal is a leaver event (Chapter 08).</w:t>
      </w:r>
    </w:p>
    <w:p>
      <w:pPr>
        <w:pStyle w:val="Compact"/>
        <w:numPr>
          <w:ilvl w:val="0"/>
          <w:numId w:val="1019"/>
        </w:numPr>
      </w:pPr>
      <w:r>
        <w:rPr>
          <w:b/>
          <w:bCs/>
        </w:rPr>
        <w:t xml:space="preserve">Map what applies.</w:t>
      </w:r>
      <w:r>
        <w:t xml:space="preserve"> </w:t>
      </w:r>
      <w:r>
        <w:t xml:space="preserve">Organization code, duty station and sponsor (as</w:t>
      </w:r>
      <w:r>
        <w:t xml:space="preserve"> </w:t>
      </w:r>
      <w:r>
        <w:rPr>
          <w:rStyle w:val="VerbatimChar"/>
        </w:rPr>
        <w:t xml:space="preserve">manager</w:t>
      </w:r>
      <w:r>
        <w:t xml:space="preserve">) carry over; employee-only elements such as pay plan and grade don’t. Add a contract or task-order reference so access can be scoped to the contract and reviewed with it.</w:t>
      </w:r>
    </w:p>
    <w:p>
      <w:pPr>
        <w:pStyle w:val="Compact"/>
        <w:numPr>
          <w:ilvl w:val="0"/>
          <w:numId w:val="1019"/>
        </w:numPr>
      </w:pPr>
      <w:r>
        <w:rPr>
          <w:b/>
          <w:bCs/>
        </w:rPr>
        <w:t xml:space="preserve">Expiry is enforced, not trusted.</w:t>
      </w:r>
      <w:r>
        <w:t xml:space="preserve"> </w:t>
      </w:r>
      <w:r>
        <w:t xml:space="preserve">An end date that passes without renewal ends access on that date, whatever the spreadsheet says.</w:t>
      </w:r>
    </w:p>
    <w:bookmarkStart w:id="310" w:name="one-fact-one-authority"/>
    <w:p>
      <w:pPr>
        <w:pStyle w:val="Heading3"/>
      </w:pPr>
      <w:r>
        <w:t xml:space="preserve">One fact, one authority</w:t>
      </w:r>
    </w:p>
    <w:p>
      <w:pPr>
        <w:pStyle w:val="FirstParagraph"/>
      </w:pPr>
      <w:r>
        <w:t xml:space="preserve">No single option is complete. The contingent worker record has no contract or vetting data, the PIV system manages a card rather than an identity, and a suitability register may not know when an engagement ends. So don’t pick one: give each fact identity needs one authoritative source, and hang the whole record on an accountable federal sponsor.</w:t>
      </w:r>
    </w:p>
    <w:p>
      <w:pPr>
        <w:pStyle w:val="TableCaption"/>
      </w:pPr>
      <w:r>
        <w:t xml:space="preserve">One authority per contractor fact</w:t>
      </w:r>
    </w:p>
    <w:tbl>
      <w:tblPr>
        <w:tblStyle w:val="Table"/>
        <w:tblW w:type="pct" w:w="5000"/>
        <w:tblLayout w:type="fixed"/>
        <w:tblLook w:firstRow="1" w:lastRow="0" w:firstColumn="0" w:lastColumn="0" w:noHBand="0" w:noVBand="0" w:val="0020"/>
        <w:tblCaption w:val="One authority per contractor fact"/>
      </w:tblPr>
      <w:tblGrid>
        <w:gridCol w:w="3960"/>
        <w:gridCol w:w="3960"/>
      </w:tblGrid>
      <w:tr>
        <w:trPr>
          <w:tblHeader w:val="on"/>
        </w:trPr>
        <w:tc>
          <w:tcPr/>
          <w:p>
            <w:pPr>
              <w:pStyle w:val="Compact"/>
            </w:pPr>
            <w:r>
              <w:t xml:space="preserve">Fact identity needs</w:t>
            </w:r>
          </w:p>
        </w:tc>
        <w:tc>
          <w:tcPr/>
          <w:p>
            <w:pPr>
              <w:pStyle w:val="Compact"/>
            </w:pPr>
            <w:r>
              <w:t xml:space="preserve">Authority</w:t>
            </w:r>
          </w:p>
        </w:tc>
      </w:tr>
      <w:tr>
        <w:tc>
          <w:tcPr/>
          <w:p>
            <w:pPr>
              <w:pStyle w:val="Compact"/>
            </w:pPr>
            <w:r>
              <w:t xml:space="preserve">Existence and contract link</w:t>
            </w:r>
          </w:p>
        </w:tc>
        <w:tc>
          <w:tcPr/>
          <w:p>
            <w:pPr>
              <w:pStyle w:val="Compact"/>
            </w:pPr>
            <w:r>
              <w:t xml:space="preserve">The contractor suitability register, or the Core HCM contingent worker record once it is configured</w:t>
            </w:r>
          </w:p>
        </w:tc>
      </w:tr>
      <w:tr>
        <w:tc>
          <w:tcPr/>
          <w:p>
            <w:pPr>
              <w:pStyle w:val="Compact"/>
            </w:pPr>
            <w:r>
              <w:t xml:space="preserve">End of engagement</w:t>
            </w:r>
          </w:p>
        </w:tc>
        <w:tc>
          <w:tcPr/>
          <w:p>
            <w:pPr>
              <w:pStyle w:val="Compact"/>
            </w:pPr>
            <w:r>
              <w:t xml:space="preserve">The contract record. Confirm the register carries end dates; if it doesn’t, the sponsor attests them</w:t>
            </w:r>
          </w:p>
        </w:tc>
      </w:tr>
      <w:tr>
        <w:tc>
          <w:tcPr/>
          <w:p>
            <w:pPr>
              <w:pStyle w:val="Compact"/>
            </w:pPr>
            <w:r>
              <w:t xml:space="preserve">Suitability</w:t>
            </w:r>
          </w:p>
        </w:tc>
        <w:tc>
          <w:tcPr/>
          <w:p>
            <w:pPr>
              <w:pStyle w:val="Compact"/>
            </w:pPr>
            <w:r>
              <w:t xml:space="preserve">The contractor suitability register</w:t>
            </w:r>
          </w:p>
        </w:tc>
      </w:tr>
      <w:tr>
        <w:tc>
          <w:tcPr/>
          <w:p>
            <w:pPr>
              <w:pStyle w:val="Compact"/>
            </w:pPr>
            <w:r>
              <w:t xml:space="preserve">Identity proofing and credential status</w:t>
            </w:r>
          </w:p>
        </w:tc>
        <w:tc>
          <w:tcPr/>
          <w:p>
            <w:pPr>
              <w:pStyle w:val="Compact"/>
            </w:pPr>
            <w:r>
              <w:t xml:space="preserve">The PIV enrollment and card management system, whose identity proofing and registration FIPS 201-3 sets at IAL3</w:t>
            </w:r>
            <w:r>
              <w:rPr>
                <w:rStyle w:val="FootnoteReference"/>
              </w:rPr>
              <w:footnoteReference w:id="309"/>
            </w:r>
          </w:p>
        </w:tc>
      </w:tr>
      <w:tr>
        <w:tc>
          <w:tcPr/>
          <w:p>
            <w:pPr>
              <w:pStyle w:val="Compact"/>
            </w:pPr>
            <w:r>
              <w:t xml:space="preserve">Accountable sponsor</w:t>
            </w:r>
          </w:p>
        </w:tc>
        <w:tc>
          <w:tcPr/>
          <w:p>
            <w:pPr>
              <w:pStyle w:val="Compact"/>
            </w:pPr>
            <w:r>
              <w:t xml:space="preserve">The COR or another federal employee, mastered in HR</w:t>
            </w:r>
          </w:p>
        </w:tc>
      </w:tr>
      <w:tr>
        <w:tc>
          <w:tcPr/>
          <w:p>
            <w:pPr>
              <w:pStyle w:val="Compact"/>
            </w:pPr>
            <w:r>
              <w:t xml:space="preserve">Organization placement</w:t>
            </w:r>
          </w:p>
        </w:tc>
        <w:tc>
          <w:tcPr/>
          <w:p>
            <w:pPr>
              <w:pStyle w:val="Compact"/>
            </w:pPr>
            <w:r>
              <w:t xml:space="preserve">Derived from the sponsor, so it follows accountability; an explicit override needs a justification</w:t>
            </w:r>
          </w:p>
        </w:tc>
      </w:tr>
      <w:tr>
        <w:tc>
          <w:tcPr/>
          <w:p>
            <w:pPr>
              <w:pStyle w:val="Compact"/>
            </w:pPr>
            <w:r>
              <w:t xml:space="preserve">Person key</w:t>
            </w:r>
          </w:p>
        </w:tc>
        <w:tc>
          <w:tcPr/>
          <w:p>
            <w:pPr>
              <w:pStyle w:val="Compact"/>
            </w:pPr>
            <w:r>
              <w:t xml:space="preserve">The enterprise person key (Chapter 04). Where the agency already issues it to contractors with their PIV credential, as an agency-wide</w:t>
            </w:r>
            <w:r>
              <w:t xml:space="preserve"> </w:t>
            </w:r>
            <w:r>
              <w:t xml:space="preserve">“Mainframe PIN”</w:t>
            </w:r>
            <w:r>
              <w:t xml:space="preserve"> </w:t>
            </w:r>
            <w:r>
              <w:t xml:space="preserve">often is, contractors are keyed exactly like employees</w:t>
            </w:r>
          </w:p>
        </w:tc>
      </w:tr>
    </w:tbl>
    <w:p>
      <w:pPr>
        <w:pStyle w:val="BodyText"/>
      </w:pPr>
      <w:r>
        <w:t xml:space="preserve">A contractor’s access ends at the</w:t>
      </w:r>
      <w:r>
        <w:t xml:space="preserve"> </w:t>
      </w:r>
      <w:r>
        <w:rPr>
          <w:b/>
          <w:bCs/>
        </w:rPr>
        <w:t xml:space="preserve">earliest</w:t>
      </w:r>
      <w:r>
        <w:t xml:space="preserve"> </w:t>
      </w:r>
      <w:r>
        <w:t xml:space="preserve">of: the contract end date passing; suitability withdrawn; the PIV credential revoked; the sponsor leaving with no one taking over within a short grace period (for example 14 days); or the sponsor missing a periodic recertification (for example every 180 days). The last two close the gap that free-text sponsor fields leave open, because the sponsor is a live reference into HR, not a name on a form. Reconcile in both directions: a badge with no contractor record, and a contractor record with no badge, are both drift findings (Chapter 11).</w:t>
      </w:r>
    </w:p>
    <w:bookmarkEnd w:id="310"/>
    <w:bookmarkStart w:id="311" w:name="before-a-register-becomes-an-authority"/>
    <w:p>
      <w:pPr>
        <w:pStyle w:val="Heading3"/>
      </w:pPr>
      <w:r>
        <w:t xml:space="preserve">Before a register becomes an authority</w:t>
      </w:r>
    </w:p>
    <w:p>
      <w:pPr>
        <w:pStyle w:val="FirstParagraph"/>
      </w:pPr>
      <w:r>
        <w:t xml:space="preserve">Settle six things with the register’s owner first. The first two decide whether it can be the leaver signal at all.</w:t>
      </w:r>
    </w:p>
    <w:p>
      <w:pPr>
        <w:pStyle w:val="Compact"/>
        <w:numPr>
          <w:ilvl w:val="0"/>
          <w:numId w:val="1020"/>
        </w:numPr>
      </w:pPr>
      <w:r>
        <w:rPr>
          <w:b/>
          <w:bCs/>
        </w:rPr>
        <w:t xml:space="preserve">Owner.</w:t>
      </w:r>
      <w:r>
        <w:t xml:space="preserve"> </w:t>
      </w:r>
      <w:r>
        <w:t xml:space="preserve">Contracting or personnel security? The owner has to accept identity as a named consumer, just as HR does.</w:t>
      </w:r>
    </w:p>
    <w:p>
      <w:pPr>
        <w:pStyle w:val="Compact"/>
        <w:numPr>
          <w:ilvl w:val="0"/>
          <w:numId w:val="1020"/>
        </w:numPr>
      </w:pPr>
      <w:r>
        <w:rPr>
          <w:b/>
          <w:bCs/>
        </w:rPr>
        <w:t xml:space="preserve">Content.</w:t>
      </w:r>
      <w:r>
        <w:t xml:space="preserve"> </w:t>
      </w:r>
      <w:r>
        <w:t xml:space="preserve">Does it hold contract end dates and departures, or only the suitability decision? A register with only the decision is a vetting source, not a lifecycle source.</w:t>
      </w:r>
    </w:p>
    <w:p>
      <w:pPr>
        <w:pStyle w:val="Compact"/>
        <w:numPr>
          <w:ilvl w:val="0"/>
          <w:numId w:val="1020"/>
        </w:numPr>
      </w:pPr>
      <w:r>
        <w:rPr>
          <w:b/>
          <w:bCs/>
        </w:rPr>
        <w:t xml:space="preserve">Freshness.</w:t>
      </w:r>
      <w:r>
        <w:t xml:space="preserve"> </w:t>
      </w:r>
      <w:r>
        <w:t xml:space="preserve">How fast is a departure recorded?</w:t>
      </w:r>
    </w:p>
    <w:p>
      <w:pPr>
        <w:pStyle w:val="Compact"/>
        <w:numPr>
          <w:ilvl w:val="0"/>
          <w:numId w:val="1020"/>
        </w:numPr>
      </w:pPr>
      <w:r>
        <w:rPr>
          <w:b/>
          <w:bCs/>
        </w:rPr>
        <w:t xml:space="preserve">Privacy basis.</w:t>
      </w:r>
      <w:r>
        <w:t xml:space="preserve"> </w:t>
      </w:r>
      <w:r>
        <w:t xml:space="preserve">Which system-of-records notice covers the register, and what is the basis for disclosing it to identity systems? Within the agency that maintains it, that is normally the Privacy Act’s need-to-know provision; a routine use is needed only if the records leave the agency, for example to a shared-service provider (Chapter 04, Appendix B). The privacy office decides.</w:t>
      </w:r>
    </w:p>
    <w:p>
      <w:pPr>
        <w:pStyle w:val="Compact"/>
        <w:numPr>
          <w:ilvl w:val="0"/>
          <w:numId w:val="1020"/>
        </w:numPr>
      </w:pPr>
      <w:r>
        <w:rPr>
          <w:b/>
          <w:bCs/>
        </w:rPr>
        <w:t xml:space="preserve">Join key.</w:t>
      </w:r>
      <w:r>
        <w:t xml:space="preserve"> </w:t>
      </w:r>
      <w:r>
        <w:t xml:space="preserve">Does it record the enterprise person key? If it does, the register, PIV enrollment and the directories join on one key. If not, the first job is a crosswalk to it.</w:t>
      </w:r>
    </w:p>
    <w:p>
      <w:pPr>
        <w:pStyle w:val="Compact"/>
        <w:numPr>
          <w:ilvl w:val="0"/>
          <w:numId w:val="1020"/>
        </w:numPr>
      </w:pPr>
      <w:r>
        <w:rPr>
          <w:b/>
          <w:bCs/>
        </w:rPr>
        <w:t xml:space="preserve">Coverage.</w:t>
      </w:r>
      <w:r>
        <w:t xml:space="preserve"> </w:t>
      </w:r>
      <w:r>
        <w:t xml:space="preserve">Who isn’t in it: short-term, remote or vendor-support staff without a PIV credential? They still need a sponsor-only path.</w:t>
      </w:r>
    </w:p>
    <w:bookmarkEnd w:id="311"/>
    <w:bookmarkStart w:id="312" w:name="sequence-start-with-what-already-exists"/>
    <w:p>
      <w:pPr>
        <w:pStyle w:val="Heading3"/>
      </w:pPr>
      <w:r>
        <w:t xml:space="preserve">Sequence: start with what already exists</w:t>
      </w:r>
    </w:p>
    <w:p>
      <w:pPr>
        <w:pStyle w:val="Compact"/>
        <w:numPr>
          <w:ilvl w:val="0"/>
          <w:numId w:val="1021"/>
        </w:numPr>
      </w:pPr>
      <w:r>
        <w:rPr>
          <w:b/>
          <w:bCs/>
        </w:rPr>
        <w:t xml:space="preserve">Read only.</w:t>
      </w:r>
      <w:r>
        <w:t xml:space="preserve"> </w:t>
      </w:r>
      <w:r>
        <w:t xml:space="preserve">Reconcile the register and PIV enrollment against the contractor accounts in AD and Entra ID, joined on the enterprise person key. Report orphans and expired engagements, and write nothing to any directory. This measures the problem before anyone is asked to change a process.</w:t>
      </w:r>
    </w:p>
    <w:p>
      <w:pPr>
        <w:pStyle w:val="Compact"/>
        <w:numPr>
          <w:ilvl w:val="0"/>
          <w:numId w:val="1021"/>
        </w:numPr>
      </w:pPr>
      <w:r>
        <w:rPr>
          <w:b/>
          <w:bCs/>
        </w:rPr>
        <w:t xml:space="preserve">Before Core HCM.</w:t>
      </w:r>
      <w:r>
        <w:t xml:space="preserve"> </w:t>
      </w:r>
      <w:r>
        <w:t xml:space="preserve">The register plus sponsor attestation become the contractor source. Ship the leaver trigger first, then the joiner.</w:t>
      </w:r>
    </w:p>
    <w:p>
      <w:pPr>
        <w:pStyle w:val="Compact"/>
        <w:numPr>
          <w:ilvl w:val="0"/>
          <w:numId w:val="1021"/>
        </w:numPr>
      </w:pPr>
      <w:r>
        <w:rPr>
          <w:b/>
          <w:bCs/>
        </w:rPr>
        <w:t xml:space="preserve">At Core HCM go-live.</w:t>
      </w:r>
      <w:r>
        <w:t xml:space="preserve"> </w:t>
      </w:r>
      <w:r>
        <w:t xml:space="preserve">Decide whether to configure the contingent worker type. If the agency adopts it, it holds the person and the assignment, and the register stays the authority for the contract and suitability. Either way the identity pipeline doesn’t change: it reads one canonical record, whatever the source.</w:t>
      </w:r>
    </w:p>
    <w:bookmarkEnd w:id="312"/>
    <w:bookmarkEnd w:id="313"/>
    <w:bookmarkStart w:id="317" w:name="design-rules"/>
    <w:p>
      <w:pPr>
        <w:pStyle w:val="Heading2"/>
      </w:pPr>
      <w:bookmarkStart w:id="840" w:name="_Toc00000840"/>
      <w:r>
        <w:t xml:space="preserve">Design rules</w:t>
      </w:r>
      <w:bookmarkEnd w:id="840"/>
    </w:p>
    <w:p>
      <w:pPr>
        <w:pStyle w:val="Compact"/>
        <w:numPr>
          <w:ilvl w:val="0"/>
          <w:numId w:val="1022"/>
        </w:numPr>
      </w:pPr>
      <w:r>
        <w:rPr>
          <w:b/>
          <w:bCs/>
        </w:rPr>
        <w:t xml:space="preserve">Use a native Entra attribute wherever one exists.</w:t>
      </w:r>
      <w:r>
        <w:t xml:space="preserve"> </w:t>
      </w:r>
      <w:r>
        <w:rPr>
          <w:rStyle w:val="VerbatimChar"/>
        </w:rPr>
        <w:t xml:space="preserve">employeeId</w:t>
      </w:r>
      <w:r>
        <w:t xml:space="preserve">,</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r>
        <w:t xml:space="preserve">,</w:t>
      </w:r>
      <w:r>
        <w:t xml:space="preserve"> </w:t>
      </w:r>
      <w:r>
        <w:rPr>
          <w:rStyle w:val="VerbatimChar"/>
        </w:rPr>
        <w:t xml:space="preserve">manager</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and</w:t>
      </w:r>
      <w:r>
        <w:t xml:space="preserve"> </w:t>
      </w:r>
      <w:r>
        <w:rPr>
          <w:rStyle w:val="VerbatimChar"/>
        </w:rPr>
        <w:t xml:space="preserve">employeeOrgData</w:t>
      </w:r>
      <w:r>
        <w:t xml:space="preserve"> </w:t>
      </w:r>
      <w:r>
        <w:t xml:space="preserve">already mean what the HR record means. Other Microsoft features (the org chart, Lifecycle Workflows, access-package approvals) read them directly.</w:t>
      </w:r>
    </w:p>
    <w:p>
      <w:pPr>
        <w:pStyle w:val="Compact"/>
        <w:numPr>
          <w:ilvl w:val="0"/>
          <w:numId w:val="1022"/>
        </w:numPr>
      </w:pPr>
      <w:r>
        <w:rPr>
          <w:b/>
          <w:bCs/>
        </w:rPr>
        <w:t xml:space="preserve">Add an extension attribute only where access needs a value a rule can’t read natively.</w:t>
      </w:r>
      <w:r>
        <w:t xml:space="preserve"> </w:t>
      </w:r>
      <w:r>
        <w:t xml:space="preserve">Rules for dynamic membership support a fixed list of user properties. That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 </w:t>
      </w:r>
      <w:r>
        <w:t xml:space="preserve">and</w:t>
      </w:r>
      <w:r>
        <w:t xml:space="preserve"> </w:t>
      </w:r>
      <w:r>
        <w:rPr>
          <w:rStyle w:val="VerbatimChar"/>
        </w:rPr>
        <w:t xml:space="preserve">accountEnabled</w:t>
      </w:r>
      <w:r>
        <w:t xml:space="preserve">, plus</w:t>
      </w:r>
      <w:r>
        <w:t xml:space="preserve"> </w:t>
      </w:r>
      <w:r>
        <w:rPr>
          <w:rStyle w:val="VerbatimChar"/>
        </w:rPr>
        <w:t xml:space="preserve">extensionAttribute1</w:t>
      </w:r>
      <w:r>
        <w:t xml:space="preserve">–</w:t>
      </w:r>
      <w:r>
        <w:rPr>
          <w:rStyle w:val="VerbatimChar"/>
        </w:rPr>
        <w:t xml:space="preserve">15</w:t>
      </w:r>
      <w:r>
        <w:t xml:space="preserve"> </w:t>
      </w:r>
      <w:r>
        <w:t xml:space="preserve">and directory extension properties. It doesn’t include</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t>
      </w:r>
      <w:r>
        <w:t xml:space="preserve">(direct-reports groups use a separate rule form).</w:t>
      </w:r>
      <w:r>
        <w:rPr>
          <w:rStyle w:val="FootnoteReference"/>
        </w:rPr>
        <w:footnoteReference w:id="314"/>
      </w:r>
      <w:r>
        <w:t xml:space="preserve"> </w:t>
      </w:r>
      <w:r>
        <w:t xml:space="preserve">Three attributes cover the gap.</w:t>
      </w:r>
    </w:p>
    <w:p>
      <w:pPr>
        <w:pStyle w:val="Compact"/>
        <w:numPr>
          <w:ilvl w:val="0"/>
          <w:numId w:val="1022"/>
        </w:numPr>
      </w:pPr>
      <w:r>
        <w:rPr>
          <w:b/>
          <w:bCs/>
        </w:rPr>
        <w:t xml:space="preserve">Put codes in access attributes, never display strings.</w:t>
      </w:r>
      <w:r>
        <w:t xml:space="preserve"> </w:t>
      </w:r>
      <w:r>
        <w:t xml:space="preserve">An organization code changes only when the business fact changes; a display name changes whenever someone retypes it.</w:t>
      </w:r>
    </w:p>
    <w:p>
      <w:pPr>
        <w:pStyle w:val="Compact"/>
        <w:numPr>
          <w:ilvl w:val="0"/>
          <w:numId w:val="1022"/>
        </w:numPr>
      </w:pPr>
      <w:r>
        <w:rPr>
          <w:b/>
          <w:bCs/>
        </w:rPr>
        <w:t xml:space="preserve">Use the same carrier in both landing zones.</w:t>
      </w:r>
      <w:r>
        <w:t xml:space="preserve"> </w:t>
      </w:r>
      <w:r>
        <w:rPr>
          <w:rStyle w:val="VerbatimChar"/>
        </w:rPr>
        <w:t xml:space="preserve">extensionAttribute1</w:t>
      </w:r>
      <w:r>
        <w:t xml:space="preserve">–</w:t>
      </w:r>
      <w:r>
        <w:rPr>
          <w:rStyle w:val="VerbatimChar"/>
        </w:rPr>
        <w:t xml:space="preserve">15</w:t>
      </w:r>
      <w:r>
        <w:t xml:space="preserve"> </w:t>
      </w:r>
      <w:r>
        <w:t xml:space="preserve">exist in on-premises AD and in Entra ID. For synced users, AD is the source and the Entra values are read-only; for cloud-only users they can be set when the user is created or updated.</w:t>
      </w:r>
      <w:r>
        <w:rPr>
          <w:rStyle w:val="FootnoteReference"/>
        </w:rPr>
        <w:footnoteReference w:id="315"/>
      </w:r>
      <w:r>
        <w:t xml:space="preserve"> </w:t>
      </w:r>
      <w:r>
        <w:t xml:space="preserve">A rule written against</w:t>
      </w:r>
      <w:r>
        <w:t xml:space="preserve"> </w:t>
      </w:r>
      <w:r>
        <w:rPr>
          <w:rStyle w:val="VerbatimChar"/>
        </w:rPr>
        <w:t xml:space="preserve">user.extensionAttribute10</w:t>
      </w:r>
      <w:r>
        <w:t xml:space="preserve"> </w:t>
      </w:r>
      <w:r>
        <w:t xml:space="preserve">works the same for a hybrid user and a cloud-mastered one, which matters during the years of coexistence.</w:t>
      </w:r>
    </w:p>
    <w:p>
      <w:pPr>
        <w:pStyle w:val="Compact"/>
        <w:numPr>
          <w:ilvl w:val="0"/>
          <w:numId w:val="1022"/>
        </w:numPr>
      </w:pPr>
      <w:r>
        <w:rPr>
          <w:b/>
          <w:bCs/>
        </w:rPr>
        <w:t xml:space="preserve">Don’t build an organizational hierarchy into attributes.</w:t>
      </w:r>
      <w:r>
        <w:t xml:space="preserve"> </w:t>
      </w:r>
      <w:r>
        <w:t xml:space="preserve">The reporting line is the</w:t>
      </w:r>
      <w:r>
        <w:t xml:space="preserve"> </w:t>
      </w:r>
      <w:r>
        <w:rPr>
          <w:rStyle w:val="VerbatimChar"/>
        </w:rPr>
        <w:t xml:space="preserve">manager</w:t>
      </w:r>
      <w:r>
        <w:t xml:space="preserve"> </w:t>
      </w:r>
      <w:r>
        <w:t xml:space="preserve">relationship; organizational placement is</w:t>
      </w:r>
      <w:r>
        <w:t xml:space="preserve"> </w:t>
      </w:r>
      <w:r>
        <w:rPr>
          <w:rStyle w:val="VerbatimChar"/>
        </w:rPr>
        <w:t xml:space="preserve">department</w:t>
      </w:r>
      <w:r>
        <w:t xml:space="preserve">,</w:t>
      </w:r>
      <w:r>
        <w:t xml:space="preserve"> </w:t>
      </w:r>
      <w:r>
        <w:rPr>
          <w:rStyle w:val="VerbatimChar"/>
        </w:rPr>
        <w:t xml:space="preserve">employeeOrgData</w:t>
      </w:r>
      <w:r>
        <w:t xml:space="preserve"> </w:t>
      </w:r>
      <w:r>
        <w:t xml:space="preserve">and one organization code. There’s no encoded path, tree or composite key to maintain.</w:t>
      </w:r>
    </w:p>
    <w:bookmarkEnd w:id="317"/>
    <w:bookmarkStart w:id="327" w:name="the-schema"/>
    <w:p>
      <w:pPr>
        <w:pStyle w:val="Heading2"/>
      </w:pPr>
      <w:bookmarkStart w:id="841" w:name="_Toc00000841"/>
      <w:r>
        <w:t xml:space="preserve">The schema</w:t>
      </w:r>
      <w:bookmarkEnd w:id="841"/>
    </w:p>
    <w:p>
      <w:pPr>
        <w:pStyle w:val="TableCaption"/>
      </w:pPr>
      <w:r>
        <w:t xml:space="preserve">The target crosswalk for the governed workforce identity model</w:t>
      </w:r>
    </w:p>
    <w:tbl>
      <w:tblPr>
        <w:tblStyle w:val="Table"/>
        <w:tblW w:type="pct" w:w="5000"/>
        <w:tblLayout w:type="fixed"/>
        <w:tblLook w:firstRow="1" w:lastRow="0" w:firstColumn="0" w:lastColumn="0" w:noHBand="0" w:noVBand="0" w:val="0020"/>
        <w:tblCaption w:val="The target crosswalk for the governed workforce identity model"/>
      </w:tblPr>
      <w:tblGrid>
        <w:gridCol w:w="1131"/>
        <w:gridCol w:w="1131"/>
        <w:gridCol w:w="1131"/>
        <w:gridCol w:w="1131"/>
        <w:gridCol w:w="1131"/>
        <w:gridCol w:w="1131"/>
        <w:gridCol w:w="1131"/>
      </w:tblGrid>
      <w:tr>
        <w:trPr>
          <w:tblHeader w:val="on"/>
        </w:trPr>
        <w:tc>
          <w:tcPr/>
          <w:p>
            <w:pPr>
              <w:pStyle w:val="Compact"/>
            </w:pPr>
            <w:r>
              <w:t xml:space="preserve">Canonical field</w:t>
            </w:r>
          </w:p>
        </w:tc>
        <w:tc>
          <w:tcPr/>
          <w:p>
            <w:pPr>
              <w:pStyle w:val="Compact"/>
            </w:pPr>
            <w:r>
              <w:t xml:space="preserve">Oracle HCM source</w:t>
            </w:r>
          </w:p>
        </w:tc>
        <w:tc>
          <w:tcPr/>
          <w:p>
            <w:pPr>
              <w:pStyle w:val="Compact"/>
            </w:pPr>
            <w:r>
              <w:t xml:space="preserve">SCIM attribute</w:t>
            </w:r>
          </w:p>
        </w:tc>
        <w:tc>
          <w:tcPr/>
          <w:p>
            <w:pPr>
              <w:pStyle w:val="Compact"/>
            </w:pPr>
            <w:r>
              <w:t xml:space="preserve">On-premises AD</w:t>
            </w:r>
          </w:p>
        </w:tc>
        <w:tc>
          <w:tcPr/>
          <w:p>
            <w:pPr>
              <w:pStyle w:val="Compact"/>
            </w:pPr>
            <w:r>
              <w:t xml:space="preserve">Entra ID</w:t>
            </w:r>
          </w:p>
        </w:tc>
        <w:tc>
          <w:tcPr/>
          <w:p>
            <w:pPr>
              <w:pStyle w:val="Compact"/>
            </w:pPr>
            <w:r>
              <w:t xml:space="preserve">Rule can read it</w:t>
            </w:r>
          </w:p>
        </w:tc>
        <w:tc>
          <w:tcPr/>
          <w:p>
            <w:pPr>
              <w:pStyle w:val="Compact"/>
            </w:pPr>
            <w:r>
              <w:t xml:space="preserve">Used for</w:t>
            </w:r>
          </w:p>
        </w:tc>
      </w:tr>
      <w:tr>
        <w:tc>
          <w:tcPr/>
          <w:p>
            <w:pPr>
              <w:pStyle w:val="Compact"/>
            </w:pPr>
            <w:r>
              <w:t xml:space="preserve">Person number</w:t>
            </w:r>
          </w:p>
        </w:tc>
        <w:tc>
          <w:tcPr/>
          <w:p>
            <w:pPr>
              <w:pStyle w:val="Compact"/>
            </w:pPr>
            <w:r>
              <w:rPr>
                <w:rStyle w:val="VerbatimChar"/>
              </w:rPr>
              <w:t xml:space="preserve">workers.PersonNumber</w:t>
            </w:r>
          </w:p>
        </w:tc>
        <w:tc>
          <w:tcPr/>
          <w:p>
            <w:pPr>
              <w:pStyle w:val="Compact"/>
            </w:pPr>
            <w:r>
              <w:rPr>
                <w:rStyle w:val="VerbatimChar"/>
              </w:rPr>
              <w:t xml:space="preserve">externalId</w:t>
            </w:r>
          </w:p>
        </w:tc>
        <w:tc>
          <w:tcPr/>
          <w:p>
            <w:pPr>
              <w:pStyle w:val="Compact"/>
            </w:pPr>
            <w:r>
              <w:rPr>
                <w:rStyle w:val="VerbatimChar"/>
              </w:rPr>
              <w:t xml:space="preserve">employeeID</w:t>
            </w:r>
          </w:p>
        </w:tc>
        <w:tc>
          <w:tcPr/>
          <w:p>
            <w:pPr>
              <w:pStyle w:val="Compact"/>
            </w:pPr>
            <w:r>
              <w:rPr>
                <w:rStyle w:val="VerbatimChar"/>
              </w:rPr>
              <w:t xml:space="preserve">employeeId</w:t>
            </w:r>
          </w:p>
        </w:tc>
        <w:tc>
          <w:tcPr/>
          <w:p>
            <w:pPr>
              <w:pStyle w:val="Compact"/>
            </w:pPr>
            <w:r>
              <w:t xml:space="preserve">Yes</w:t>
            </w:r>
          </w:p>
        </w:tc>
        <w:tc>
          <w:tcPr/>
          <w:p>
            <w:pPr>
              <w:pStyle w:val="Compact"/>
            </w:pPr>
            <w:r>
              <w:rPr>
                <w:b/>
                <w:bCs/>
              </w:rPr>
              <w:t xml:space="preserve">Source correlation key</w:t>
            </w:r>
            <w:r>
              <w:t xml:space="preserve">, subject to the enterprise identifier decision in Chapter 04 (where the agency already has an enterprise ID, such as a Mainframe PIN,</w:t>
            </w:r>
            <w:r>
              <w:t xml:space="preserve"> </w:t>
            </w:r>
            <w:r>
              <w:rPr>
                <w:rStyle w:val="VerbatimChar"/>
              </w:rPr>
              <w:t xml:space="preserve">employeeId</w:t>
            </w:r>
            <w:r>
              <w:t xml:space="preserve"> </w:t>
            </w:r>
            <w:r>
              <w:t xml:space="preserve">carries that instead and</w:t>
            </w:r>
            <w:r>
              <w:t xml:space="preserve"> </w:t>
            </w:r>
            <w:r>
              <w:rPr>
                <w:rStyle w:val="VerbatimChar"/>
              </w:rPr>
              <w:t xml:space="preserve">PersonNumber</w:t>
            </w:r>
            <w:r>
              <w:t xml:space="preserve"> </w:t>
            </w:r>
            <w:r>
              <w:t xml:space="preserve">maps to it)</w:t>
            </w:r>
          </w:p>
        </w:tc>
      </w:tr>
      <w:tr>
        <w:tc>
          <w:tcPr/>
          <w:p>
            <w:pPr>
              <w:pStyle w:val="Compact"/>
            </w:pPr>
            <w:r>
              <w:t xml:space="preserve">Employment active</w:t>
            </w:r>
          </w:p>
        </w:tc>
        <w:tc>
          <w:tcPr/>
          <w:p>
            <w:pPr>
              <w:pStyle w:val="Compact"/>
            </w:pPr>
            <w:r>
              <w:t xml:space="preserve">Assignment status</w:t>
            </w:r>
          </w:p>
        </w:tc>
        <w:tc>
          <w:tcPr/>
          <w:p>
            <w:pPr>
              <w:pStyle w:val="Compact"/>
            </w:pPr>
            <w:r>
              <w:rPr>
                <w:rStyle w:val="VerbatimChar"/>
              </w:rPr>
              <w:t xml:space="preserve">active</w:t>
            </w:r>
          </w:p>
        </w:tc>
        <w:tc>
          <w:tcPr/>
          <w:p>
            <w:pPr>
              <w:pStyle w:val="Compact"/>
            </w:pPr>
            <w:r>
              <w:rPr>
                <w:rStyle w:val="VerbatimChar"/>
              </w:rPr>
              <w:t xml:space="preserve">accountDisabled</w:t>
            </w:r>
          </w:p>
        </w:tc>
        <w:tc>
          <w:tcPr/>
          <w:p>
            <w:pPr>
              <w:pStyle w:val="Compact"/>
            </w:pPr>
            <w:r>
              <w:rPr>
                <w:rStyle w:val="VerbatimChar"/>
              </w:rPr>
              <w:t xml:space="preserve">accountEnabled</w:t>
            </w:r>
          </w:p>
        </w:tc>
        <w:tc>
          <w:tcPr/>
          <w:p>
            <w:pPr>
              <w:pStyle w:val="Compact"/>
            </w:pPr>
            <w:r>
              <w:t xml:space="preserve">Yes</w:t>
            </w:r>
          </w:p>
        </w:tc>
        <w:tc>
          <w:tcPr/>
          <w:p>
            <w:pPr>
              <w:pStyle w:val="Compact"/>
            </w:pPr>
            <w:r>
              <w:t xml:space="preserve">Joiner and leaver state</w:t>
            </w:r>
          </w:p>
        </w:tc>
      </w:tr>
      <w:tr>
        <w:tc>
          <w:tcPr/>
          <w:p>
            <w:pPr>
              <w:pStyle w:val="Compact"/>
            </w:pPr>
            <w:r>
              <w:t xml:space="preserve">Given name / surname</w:t>
            </w:r>
          </w:p>
        </w:tc>
        <w:tc>
          <w:tcPr/>
          <w:p>
            <w:pPr>
              <w:pStyle w:val="Compact"/>
            </w:pPr>
            <w:r>
              <w:rPr>
                <w:rStyle w:val="VerbatimChar"/>
              </w:rPr>
              <w:t xml:space="preserve">workers.names</w:t>
            </w:r>
          </w:p>
        </w:tc>
        <w:tc>
          <w:tcPr/>
          <w:p>
            <w:pPr>
              <w:pStyle w:val="Compact"/>
            </w:pPr>
            <w:r>
              <w:rPr>
                <w:rStyle w:val="VerbatimChar"/>
              </w:rPr>
              <w:t xml:space="preserve">name.givenName</w:t>
            </w:r>
            <w:r>
              <w:t xml:space="preserve"> </w:t>
            </w:r>
            <w:r>
              <w:t xml:space="preserve">/</w:t>
            </w:r>
            <w:r>
              <w:t xml:space="preserve"> </w:t>
            </w:r>
            <w:r>
              <w:rPr>
                <w:rStyle w:val="VerbatimChar"/>
              </w:rPr>
              <w:t xml:space="preserve">name.familyName</w:t>
            </w:r>
          </w:p>
        </w:tc>
        <w:tc>
          <w:tcPr/>
          <w:p>
            <w:pPr>
              <w:pStyle w:val="Compact"/>
            </w:pPr>
            <w:r>
              <w:rPr>
                <w:rStyle w:val="VerbatimChar"/>
              </w:rPr>
              <w:t xml:space="preserve">givenName</w:t>
            </w:r>
            <w:r>
              <w:t xml:space="preserve"> </w:t>
            </w:r>
            <w:r>
              <w:t xml:space="preserve">/</w:t>
            </w:r>
            <w:r>
              <w:t xml:space="preserve"> </w:t>
            </w:r>
            <w:r>
              <w:rPr>
                <w:rStyle w:val="VerbatimChar"/>
              </w:rPr>
              <w:t xml:space="preserve">sn</w:t>
            </w:r>
          </w:p>
        </w:tc>
        <w:tc>
          <w:tcPr/>
          <w:p>
            <w:pPr>
              <w:pStyle w:val="Compact"/>
            </w:pPr>
            <w:r>
              <w:rPr>
                <w:rStyle w:val="VerbatimChar"/>
              </w:rPr>
              <w:t xml:space="preserve">givenName</w:t>
            </w:r>
            <w:r>
              <w:t xml:space="preserve"> </w:t>
            </w:r>
            <w:r>
              <w:t xml:space="preserve">/</w:t>
            </w:r>
            <w:r>
              <w:t xml:space="preserve"> </w:t>
            </w:r>
            <w:r>
              <w:rPr>
                <w:rStyle w:val="VerbatimChar"/>
              </w:rPr>
              <w:t xml:space="preserve">surname</w:t>
            </w:r>
          </w:p>
        </w:tc>
        <w:tc>
          <w:tcPr/>
          <w:p>
            <w:pPr>
              <w:pStyle w:val="Compact"/>
            </w:pPr>
            <w:r>
              <w:t xml:space="preserve">Yes</w:t>
            </w:r>
          </w:p>
        </w:tc>
        <w:tc>
          <w:tcPr/>
          <w:p>
            <w:pPr>
              <w:pStyle w:val="Compact"/>
            </w:pPr>
            <w:r>
              <w:t xml:space="preserve">Display, UPN rules</w:t>
            </w:r>
          </w:p>
        </w:tc>
      </w:tr>
      <w:tr>
        <w:tc>
          <w:tcPr/>
          <w:p>
            <w:pPr>
              <w:pStyle w:val="Compact"/>
            </w:pPr>
            <w:r>
              <w:t xml:space="preserve">Display name</w:t>
            </w:r>
          </w:p>
        </w:tc>
        <w:tc>
          <w:tcPr/>
          <w:p>
            <w:pPr>
              <w:pStyle w:val="Compact"/>
            </w:pPr>
            <w:r>
              <w:rPr>
                <w:rStyle w:val="VerbatimChar"/>
              </w:rPr>
              <w:t xml:space="preserve">workers.DisplayName</w:t>
            </w:r>
          </w:p>
        </w:tc>
        <w:tc>
          <w:tcPr/>
          <w:p>
            <w:pPr>
              <w:pStyle w:val="Compact"/>
            </w:pPr>
            <w:r>
              <w:rPr>
                <w:rStyle w:val="VerbatimChar"/>
              </w:rPr>
              <w:t xml:space="preserve">displayName</w:t>
            </w:r>
          </w:p>
        </w:tc>
        <w:tc>
          <w:tcPr/>
          <w:p>
            <w:pPr>
              <w:pStyle w:val="Compact"/>
            </w:pPr>
            <w:r>
              <w:rPr>
                <w:rStyle w:val="VerbatimChar"/>
              </w:rPr>
              <w:t xml:space="preserve">cn</w:t>
            </w:r>
          </w:p>
        </w:tc>
        <w:tc>
          <w:tcPr/>
          <w:p>
            <w:pPr>
              <w:pStyle w:val="Compact"/>
            </w:pPr>
            <w:r>
              <w:rPr>
                <w:rStyle w:val="VerbatimChar"/>
              </w:rPr>
              <w:t xml:space="preserve">displayName</w:t>
            </w:r>
          </w:p>
        </w:tc>
        <w:tc>
          <w:tcPr/>
          <w:p>
            <w:pPr>
              <w:pStyle w:val="Compact"/>
            </w:pPr>
            <w:r>
              <w:t xml:space="preserve">Yes</w:t>
            </w:r>
          </w:p>
        </w:tc>
        <w:tc>
          <w:tcPr/>
          <w:p>
            <w:pPr>
              <w:pStyle w:val="Compact"/>
            </w:pPr>
            <w:r>
              <w:t xml:space="preserve">Display only, never access</w:t>
            </w:r>
          </w:p>
        </w:tc>
      </w:tr>
      <w:tr>
        <w:tc>
          <w:tcPr/>
          <w:p>
            <w:pPr>
              <w:pStyle w:val="Compact"/>
            </w:pPr>
            <w:r>
              <w:t xml:space="preserve">Department</w:t>
            </w:r>
          </w:p>
        </w:tc>
        <w:tc>
          <w:tcPr/>
          <w:p>
            <w:pPr>
              <w:pStyle w:val="Compact"/>
            </w:pPr>
            <w:r>
              <w:t xml:space="preserve">Department name</w:t>
            </w:r>
          </w:p>
        </w:tc>
        <w:tc>
          <w:tcPr/>
          <w:p>
            <w:pPr>
              <w:pStyle w:val="Compact"/>
            </w:pPr>
            <w:r>
              <w:t xml:space="preserve">enterprise</w:t>
            </w:r>
            <w:r>
              <w:t xml:space="preserve"> </w:t>
            </w:r>
            <w:r>
              <w:rPr>
                <w:rStyle w:val="VerbatimChar"/>
              </w:rPr>
              <w:t xml:space="preserve">department</w:t>
            </w:r>
          </w:p>
        </w:tc>
        <w:tc>
          <w:tcPr/>
          <w:p>
            <w:pPr>
              <w:pStyle w:val="Compact"/>
            </w:pPr>
            <w:r>
              <w:rPr>
                <w:rStyle w:val="VerbatimChar"/>
              </w:rPr>
              <w:t xml:space="preserve">department</w:t>
            </w:r>
          </w:p>
        </w:tc>
        <w:tc>
          <w:tcPr/>
          <w:p>
            <w:pPr>
              <w:pStyle w:val="Compact"/>
            </w:pPr>
            <w:r>
              <w:rPr>
                <w:rStyle w:val="VerbatimChar"/>
              </w:rPr>
              <w:t xml:space="preserve">department</w:t>
            </w:r>
          </w:p>
        </w:tc>
        <w:tc>
          <w:tcPr/>
          <w:p>
            <w:pPr>
              <w:pStyle w:val="Compact"/>
            </w:pPr>
            <w:r>
              <w:t xml:space="preserve">Yes</w:t>
            </w:r>
          </w:p>
        </w:tc>
        <w:tc>
          <w:tcPr/>
          <w:p>
            <w:pPr>
              <w:pStyle w:val="Compact"/>
            </w:pPr>
            <w:r>
              <w:t xml:space="preserve">Display, address book, coarse scoping</w:t>
            </w:r>
          </w:p>
        </w:tc>
      </w:tr>
      <w:tr>
        <w:tc>
          <w:tcPr/>
          <w:p>
            <w:pPr>
              <w:pStyle w:val="Compact"/>
            </w:pPr>
            <w:r>
              <w:t xml:space="preserve">Division</w:t>
            </w:r>
          </w:p>
        </w:tc>
        <w:tc>
          <w:tcPr/>
          <w:p>
            <w:pPr>
              <w:pStyle w:val="Compact"/>
            </w:pPr>
            <w:r>
              <w:t xml:space="preserve">Business unit</w:t>
            </w:r>
          </w:p>
        </w:tc>
        <w:tc>
          <w:tcPr/>
          <w:p>
            <w:pPr>
              <w:pStyle w:val="Compact"/>
            </w:pPr>
            <w:r>
              <w:t xml:space="preserve">enterprise</w:t>
            </w:r>
            <w:r>
              <w:t xml:space="preserve"> </w:t>
            </w:r>
            <w:r>
              <w:rPr>
                <w:rStyle w:val="VerbatimChar"/>
              </w:rPr>
              <w:t xml:space="preserve">division</w:t>
            </w:r>
          </w:p>
        </w:tc>
        <w:tc>
          <w:tcPr/>
          <w:p>
            <w:pPr>
              <w:pStyle w:val="Compact"/>
            </w:pPr>
            <w:r>
              <w:rPr>
                <w:rStyle w:val="VerbatimChar"/>
              </w:rPr>
              <w:t xml:space="preserve">division</w:t>
            </w:r>
          </w:p>
        </w:tc>
        <w:tc>
          <w:tcPr/>
          <w:p>
            <w:pPr>
              <w:pStyle w:val="Compact"/>
            </w:pPr>
            <w:r>
              <w:rPr>
                <w:rStyle w:val="VerbatimChar"/>
              </w:rPr>
              <w:t xml:space="preserve">employeeOrgData.division</w:t>
            </w:r>
          </w:p>
        </w:tc>
        <w:tc>
          <w:tcPr/>
          <w:p>
            <w:pPr>
              <w:pStyle w:val="Compact"/>
            </w:pPr>
            <w:r>
              <w:t xml:space="preserve">No</w:t>
            </w:r>
          </w:p>
        </w:tc>
        <w:tc>
          <w:tcPr/>
          <w:p>
            <w:pPr>
              <w:pStyle w:val="Compact"/>
            </w:pPr>
            <w:r>
              <w:t xml:space="preserve">Reporting, profile card</w:t>
            </w:r>
          </w:p>
        </w:tc>
      </w:tr>
      <w:tr>
        <w:tc>
          <w:tcPr/>
          <w:p>
            <w:pPr>
              <w:pStyle w:val="Compact"/>
            </w:pPr>
            <w:r>
              <w:t xml:space="preserve">Cost center</w:t>
            </w:r>
          </w:p>
        </w:tc>
        <w:tc>
          <w:tcPr/>
          <w:p>
            <w:pPr>
              <w:pStyle w:val="Compact"/>
            </w:pPr>
            <w:r>
              <w:t xml:space="preserve">Cost center</w:t>
            </w:r>
          </w:p>
        </w:tc>
        <w:tc>
          <w:tcPr/>
          <w:p>
            <w:pPr>
              <w:pStyle w:val="Compact"/>
            </w:pPr>
            <w:r>
              <w:t xml:space="preserve">enterprise</w:t>
            </w:r>
            <w:r>
              <w:t xml:space="preserve"> </w:t>
            </w:r>
            <w:r>
              <w:rPr>
                <w:rStyle w:val="VerbatimChar"/>
              </w:rPr>
              <w:t xml:space="preserve">costCenter</w:t>
            </w:r>
          </w:p>
        </w:tc>
        <w:tc>
          <w:tcPr/>
          <w:p>
            <w:pPr>
              <w:pStyle w:val="Compact"/>
            </w:pPr>
            <w:r>
              <w:t xml:space="preserve">—</w:t>
            </w:r>
          </w:p>
        </w:tc>
        <w:tc>
          <w:tcPr/>
          <w:p>
            <w:pPr>
              <w:pStyle w:val="Compact"/>
            </w:pPr>
            <w:r>
              <w:rPr>
                <w:rStyle w:val="VerbatimChar"/>
              </w:rPr>
              <w:t xml:space="preserve">employeeOrgData.costCenter</w:t>
            </w:r>
          </w:p>
        </w:tc>
        <w:tc>
          <w:tcPr/>
          <w:p>
            <w:pPr>
              <w:pStyle w:val="Compact"/>
            </w:pPr>
            <w:r>
              <w:t xml:space="preserve">No</w:t>
            </w:r>
          </w:p>
        </w:tc>
        <w:tc>
          <w:tcPr/>
          <w:p>
            <w:pPr>
              <w:pStyle w:val="Compact"/>
            </w:pPr>
            <w:r>
              <w:t xml:space="preserve">Chargeback, reporting</w:t>
            </w:r>
          </w:p>
        </w:tc>
      </w:tr>
      <w:tr>
        <w:tc>
          <w:tcPr/>
          <w:p>
            <w:pPr>
              <w:pStyle w:val="Compact"/>
            </w:pPr>
            <w:r>
              <w:t xml:space="preserve">Legal employer</w:t>
            </w:r>
          </w:p>
        </w:tc>
        <w:tc>
          <w:tcPr/>
          <w:p>
            <w:pPr>
              <w:pStyle w:val="Compact"/>
            </w:pPr>
            <w:r>
              <w:t xml:space="preserve">Legal employer</w:t>
            </w:r>
          </w:p>
        </w:tc>
        <w:tc>
          <w:tcPr/>
          <w:p>
            <w:pPr>
              <w:pStyle w:val="Compact"/>
            </w:pPr>
            <w:r>
              <w:t xml:space="preserve">enterprise</w:t>
            </w:r>
            <w:r>
              <w:t xml:space="preserve"> </w:t>
            </w:r>
            <w:r>
              <w:rPr>
                <w:rStyle w:val="VerbatimChar"/>
              </w:rPr>
              <w:t xml:space="preserve">organization</w:t>
            </w:r>
          </w:p>
        </w:tc>
        <w:tc>
          <w:tcPr/>
          <w:p>
            <w:pPr>
              <w:pStyle w:val="Compact"/>
            </w:pPr>
            <w:r>
              <w:rPr>
                <w:rStyle w:val="VerbatimChar"/>
              </w:rPr>
              <w:t xml:space="preserve">company</w:t>
            </w:r>
          </w:p>
        </w:tc>
        <w:tc>
          <w:tcPr/>
          <w:p>
            <w:pPr>
              <w:pStyle w:val="Compact"/>
            </w:pPr>
            <w:r>
              <w:rPr>
                <w:rStyle w:val="VerbatimChar"/>
              </w:rPr>
              <w:t xml:space="preserve">companyName</w:t>
            </w:r>
          </w:p>
        </w:tc>
        <w:tc>
          <w:tcPr/>
          <w:p>
            <w:pPr>
              <w:pStyle w:val="Compact"/>
            </w:pPr>
            <w:r>
              <w:t xml:space="preserve">Yes</w:t>
            </w:r>
          </w:p>
        </w:tc>
        <w:tc>
          <w:tcPr/>
          <w:p>
            <w:pPr>
              <w:pStyle w:val="Compact"/>
            </w:pPr>
            <w:r>
              <w:t xml:space="preserve">Agency or component</w:t>
            </w:r>
          </w:p>
        </w:tc>
      </w:tr>
      <w:tr>
        <w:tc>
          <w:tcPr/>
          <w:p>
            <w:pPr>
              <w:pStyle w:val="Compact"/>
            </w:pPr>
            <w:r>
              <w:t xml:space="preserve">Manager</w:t>
            </w:r>
          </w:p>
        </w:tc>
        <w:tc>
          <w:tcPr/>
          <w:p>
            <w:pPr>
              <w:pStyle w:val="Compact"/>
            </w:pPr>
            <w:r>
              <w:t xml:space="preserve">Manager’s person number</w:t>
            </w:r>
          </w:p>
        </w:tc>
        <w:tc>
          <w:tcPr/>
          <w:p>
            <w:pPr>
              <w:pStyle w:val="Compact"/>
            </w:pPr>
            <w:r>
              <w:t xml:space="preserve">enterprise</w:t>
            </w:r>
            <w:r>
              <w:t xml:space="preserve"> </w:t>
            </w:r>
            <w:r>
              <w:rPr>
                <w:rStyle w:val="VerbatimChar"/>
              </w:rPr>
              <w:t xml:space="preserve">manager</w:t>
            </w:r>
          </w:p>
        </w:tc>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p>
        </w:tc>
        <w:tc>
          <w:tcPr/>
          <w:p>
            <w:pPr>
              <w:pStyle w:val="Compact"/>
            </w:pPr>
            <w:r>
              <w:t xml:space="preserve">Direct-reports rule only</w:t>
            </w:r>
          </w:p>
        </w:tc>
        <w:tc>
          <w:tcPr/>
          <w:p>
            <w:pPr>
              <w:pStyle w:val="Compact"/>
            </w:pPr>
            <w:r>
              <w:t xml:space="preserve">Supervisory chain, approvals, reviewers</w:t>
            </w:r>
          </w:p>
        </w:tc>
      </w:tr>
      <w:tr>
        <w:tc>
          <w:tcPr/>
          <w:p>
            <w:pPr>
              <w:pStyle w:val="Compact"/>
            </w:pPr>
            <w:r>
              <w:t xml:space="preserve">Job title</w:t>
            </w:r>
          </w:p>
        </w:tc>
        <w:tc>
          <w:tcPr/>
          <w:p>
            <w:pPr>
              <w:pStyle w:val="Compact"/>
            </w:pPr>
            <w:r>
              <w:rPr>
                <w:rStyle w:val="VerbatimChar"/>
              </w:rPr>
              <w:t xml:space="preserve">JobName</w:t>
            </w:r>
          </w:p>
        </w:tc>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rPr>
                <w:rStyle w:val="VerbatimChar"/>
              </w:rPr>
              <w:t xml:space="preserve">jobTitle</w:t>
            </w:r>
          </w:p>
        </w:tc>
        <w:tc>
          <w:tcPr/>
          <w:p>
            <w:pPr>
              <w:pStyle w:val="Compact"/>
            </w:pPr>
            <w:r>
              <w:t xml:space="preserve">Yes</w:t>
            </w:r>
          </w:p>
        </w:tc>
        <w:tc>
          <w:tcPr/>
          <w:p>
            <w:pPr>
              <w:pStyle w:val="Compact"/>
            </w:pPr>
            <w:r>
              <w:t xml:space="preserve">Display; not an access input</w:t>
            </w:r>
          </w:p>
        </w:tc>
      </w:tr>
      <w:tr>
        <w:tc>
          <w:tcPr/>
          <w:p>
            <w:pPr>
              <w:pStyle w:val="Compact"/>
            </w:pPr>
            <w:r>
              <w:t xml:space="preserve">Worker type</w:t>
            </w:r>
          </w:p>
        </w:tc>
        <w:tc>
          <w:tcPr/>
          <w:p>
            <w:pPr>
              <w:pStyle w:val="Compact"/>
            </w:pPr>
            <w:r>
              <w:t xml:space="preserve">Worker type / person type</w:t>
            </w:r>
          </w:p>
        </w:tc>
        <w:tc>
          <w:tcPr/>
          <w:p>
            <w:pPr>
              <w:pStyle w:val="Compact"/>
            </w:pPr>
            <w:r>
              <w:t xml:space="preserve">custom extension</w:t>
            </w:r>
            <w:r>
              <w:t xml:space="preserve"> </w:t>
            </w:r>
            <w:r>
              <w:rPr>
                <w:rStyle w:val="VerbatimChar"/>
              </w:rPr>
              <w:t xml:space="preserve">workerType</w:t>
            </w:r>
          </w:p>
        </w:tc>
        <w:tc>
          <w:tcPr/>
          <w:p>
            <w:pPr>
              <w:pStyle w:val="Compact"/>
            </w:pPr>
            <w:r>
              <w:rPr>
                <w:rStyle w:val="VerbatimChar"/>
              </w:rPr>
              <w:t xml:space="preserve">employeeType</w:t>
            </w:r>
          </w:p>
        </w:tc>
        <w:tc>
          <w:tcPr/>
          <w:p>
            <w:pPr>
              <w:pStyle w:val="Compact"/>
            </w:pPr>
            <w:r>
              <w:rPr>
                <w:rStyle w:val="VerbatimChar"/>
              </w:rPr>
              <w:t xml:space="preserve">employeeType</w:t>
            </w:r>
          </w:p>
        </w:tc>
        <w:tc>
          <w:tcPr/>
          <w:p>
            <w:pPr>
              <w:pStyle w:val="Compact"/>
            </w:pPr>
            <w:r>
              <w:t xml:space="preserve">No</w:t>
            </w:r>
          </w:p>
        </w:tc>
        <w:tc>
          <w:tcPr/>
          <w:p>
            <w:pPr>
              <w:pStyle w:val="Compact"/>
            </w:pPr>
            <w:r>
              <w:t xml:space="preserve">Employee, contractor, intern, volunteer</w:t>
            </w:r>
          </w:p>
        </w:tc>
      </w:tr>
      <w:tr>
        <w:tc>
          <w:tcPr/>
          <w:p>
            <w:pPr>
              <w:pStyle w:val="Compact"/>
            </w:pPr>
            <w:r>
              <w:t xml:space="preserve">Hire date</w:t>
            </w:r>
          </w:p>
        </w:tc>
        <w:tc>
          <w:tcPr/>
          <w:p>
            <w:pPr>
              <w:pStyle w:val="Compact"/>
            </w:pPr>
            <w:r>
              <w:t xml:space="preserve">Effective start date</w:t>
            </w:r>
          </w:p>
        </w:tc>
        <w:tc>
          <w:tcPr/>
          <w:p>
            <w:pPr>
              <w:pStyle w:val="Compact"/>
            </w:pPr>
            <w:r>
              <w:t xml:space="preserve">custom extension</w:t>
            </w:r>
            <w:r>
              <w:t xml:space="preserve"> </w:t>
            </w:r>
            <w:r>
              <w:rPr>
                <w:rStyle w:val="VerbatimChar"/>
              </w:rPr>
              <w:t xml:space="preserve">HireDate</w:t>
            </w:r>
          </w:p>
        </w:tc>
        <w:tc>
          <w:tcPr/>
          <w:p>
            <w:pPr>
              <w:pStyle w:val="Compact"/>
            </w:pPr>
            <w:r>
              <w:rPr>
                <w:rStyle w:val="VerbatimChar"/>
              </w:rPr>
              <w:t xml:space="preserve">extensionAttribute2</w:t>
            </w:r>
          </w:p>
        </w:tc>
        <w:tc>
          <w:tcPr/>
          <w:p>
            <w:pPr>
              <w:pStyle w:val="Compact"/>
            </w:pPr>
            <w:r>
              <w:rPr>
                <w:rStyle w:val="VerbatimChar"/>
              </w:rPr>
              <w:t xml:space="preserve">employeeHireDate</w:t>
            </w:r>
          </w:p>
        </w:tc>
        <w:tc>
          <w:tcPr/>
          <w:p>
            <w:pPr>
              <w:pStyle w:val="Compact"/>
            </w:pPr>
            <w:r>
              <w:t xml:space="preserve">Yes (preview)</w:t>
            </w:r>
          </w:p>
        </w:tc>
        <w:tc>
          <w:tcPr/>
          <w:p>
            <w:pPr>
              <w:pStyle w:val="Compact"/>
            </w:pPr>
            <w:r>
              <w:t xml:space="preserve">Joiner workflow trigger</w:t>
            </w:r>
          </w:p>
        </w:tc>
      </w:tr>
      <w:tr>
        <w:tc>
          <w:tcPr/>
          <w:p>
            <w:pPr>
              <w:pStyle w:val="Compact"/>
            </w:pPr>
            <w:r>
              <w:t xml:space="preserve">Leave date</w:t>
            </w:r>
          </w:p>
        </w:tc>
        <w:tc>
          <w:tcPr/>
          <w:p>
            <w:pPr>
              <w:pStyle w:val="Compact"/>
            </w:pPr>
            <w:r>
              <w:t xml:space="preserve">Termination effective date</w:t>
            </w:r>
          </w:p>
        </w:tc>
        <w:tc>
          <w:tcPr/>
          <w:p>
            <w:pPr>
              <w:pStyle w:val="Compact"/>
            </w:pPr>
            <w:r>
              <w:t xml:space="preserve">custom extension</w:t>
            </w:r>
            <w:r>
              <w:t xml:space="preserve"> </w:t>
            </w:r>
            <w:r>
              <w:rPr>
                <w:rStyle w:val="VerbatimChar"/>
              </w:rPr>
              <w:t xml:space="preserve">TermDate</w:t>
            </w:r>
          </w:p>
        </w:tc>
        <w:tc>
          <w:tcPr/>
          <w:p>
            <w:pPr>
              <w:pStyle w:val="Compact"/>
            </w:pPr>
            <w:r>
              <w:rPr>
                <w:rStyle w:val="VerbatimChar"/>
              </w:rPr>
              <w:t xml:space="preserve">extensionAttribute3</w:t>
            </w:r>
          </w:p>
        </w:tc>
        <w:tc>
          <w:tcPr/>
          <w:p>
            <w:pPr>
              <w:pStyle w:val="Compact"/>
            </w:pPr>
            <w:r>
              <w:rPr>
                <w:rStyle w:val="VerbatimChar"/>
              </w:rPr>
              <w:t xml:space="preserve">employeeLeaveDateTime</w:t>
            </w:r>
          </w:p>
        </w:tc>
        <w:tc>
          <w:tcPr/>
          <w:p>
            <w:pPr>
              <w:pStyle w:val="Compact"/>
            </w:pPr>
            <w:r>
              <w:t xml:space="preserve">No</w:t>
            </w:r>
          </w:p>
        </w:tc>
        <w:tc>
          <w:tcPr/>
          <w:p>
            <w:pPr>
              <w:pStyle w:val="Compact"/>
            </w:pPr>
            <w:r>
              <w:t xml:space="preserve">Leaver workflow trigger</w:t>
            </w:r>
          </w:p>
        </w:tc>
      </w:tr>
      <w:tr>
        <w:tc>
          <w:tcPr/>
          <w:p>
            <w:pPr>
              <w:pStyle w:val="Compact"/>
            </w:pPr>
            <w:r>
              <w:t xml:space="preserve">Work country</w:t>
            </w:r>
          </w:p>
        </w:tc>
        <w:tc>
          <w:tcPr/>
          <w:p>
            <w:pPr>
              <w:pStyle w:val="Compact"/>
            </w:pPr>
            <w:r>
              <w:t xml:space="preserve">Work address country</w:t>
            </w:r>
          </w:p>
        </w:tc>
        <w:tc>
          <w:tcPr/>
          <w:p>
            <w:pPr>
              <w:pStyle w:val="Compact"/>
            </w:pPr>
            <w:r>
              <w:rPr>
                <w:rStyle w:val="VerbatimChar"/>
              </w:rPr>
              <w:t xml:space="preserve">addresses[type eq "work"].country</w:t>
            </w:r>
          </w:p>
        </w:tc>
        <w:tc>
          <w:tcPr/>
          <w:p>
            <w:pPr>
              <w:pStyle w:val="Compact"/>
            </w:pPr>
            <w:r>
              <w:rPr>
                <w:rStyle w:val="VerbatimChar"/>
              </w:rPr>
              <w:t xml:space="preserve">co</w:t>
            </w:r>
          </w:p>
        </w:tc>
        <w:tc>
          <w:tcPr/>
          <w:p>
            <w:pPr>
              <w:pStyle w:val="Compact"/>
            </w:pPr>
            <w:r>
              <w:rPr>
                <w:rStyle w:val="VerbatimChar"/>
              </w:rPr>
              <w:t xml:space="preserve">country</w:t>
            </w:r>
          </w:p>
        </w:tc>
        <w:tc>
          <w:tcPr/>
          <w:p>
            <w:pPr>
              <w:pStyle w:val="Compact"/>
            </w:pPr>
            <w:r>
              <w:t xml:space="preserve">Yes</w:t>
            </w:r>
          </w:p>
        </w:tc>
        <w:tc>
          <w:tcPr/>
          <w:p>
            <w:pPr>
              <w:pStyle w:val="Compact"/>
            </w:pPr>
            <w:r>
              <w:t xml:space="preserve">Address; source for the</w:t>
            </w:r>
            <w:r>
              <w:t xml:space="preserve"> </w:t>
            </w:r>
            <w:r>
              <w:rPr>
                <w:rStyle w:val="VerbatimChar"/>
              </w:rPr>
              <w:t xml:space="preserve">usageLocation</w:t>
            </w:r>
            <w:r>
              <w:t xml:space="preserve"> </w:t>
            </w:r>
            <w:r>
              <w:t xml:space="preserve">expression that licensing needs</w:t>
            </w:r>
          </w:p>
        </w:tc>
      </w:tr>
      <w:tr>
        <w:tc>
          <w:tcPr/>
          <w:p>
            <w:pPr>
              <w:pStyle w:val="Compact"/>
            </w:pPr>
            <w:r>
              <w:rPr>
                <w:b/>
                <w:bCs/>
              </w:rPr>
              <w:t xml:space="preserve">Organization code</w:t>
            </w:r>
          </w:p>
        </w:tc>
        <w:tc>
          <w:tcPr/>
          <w:p>
            <w:pPr>
              <w:pStyle w:val="Compact"/>
            </w:pPr>
            <w:r>
              <w:t xml:space="preserve">Department ID (code)</w:t>
            </w:r>
          </w:p>
        </w:tc>
        <w:tc>
          <w:tcPr/>
          <w:p>
            <w:pPr>
              <w:pStyle w:val="Compact"/>
            </w:pPr>
            <w:r>
              <w:t xml:space="preserve">custom extension</w:t>
            </w:r>
            <w:r>
              <w:t xml:space="preserve"> </w:t>
            </w:r>
            <w:r>
              <w:rPr>
                <w:rStyle w:val="VerbatimChar"/>
              </w:rPr>
              <w:t xml:space="preserve">orgCode</w:t>
            </w:r>
          </w:p>
        </w:tc>
        <w:tc>
          <w:tcPr/>
          <w:p>
            <w:pPr>
              <w:pStyle w:val="Compact"/>
            </w:pPr>
            <w:r>
              <w:rPr>
                <w:rStyle w:val="VerbatimChar"/>
              </w:rPr>
              <w:t xml:space="preserve">extensionAttribute10</w:t>
            </w:r>
          </w:p>
        </w:tc>
        <w:tc>
          <w:tcPr/>
          <w:p>
            <w:pPr>
              <w:pStyle w:val="Compact"/>
            </w:pPr>
            <w:r>
              <w:rPr>
                <w:rStyle w:val="VerbatimChar"/>
              </w:rPr>
              <w:t xml:space="preserve">extensionAttribute10</w:t>
            </w:r>
          </w:p>
        </w:tc>
        <w:tc>
          <w:tcPr/>
          <w:p>
            <w:pPr>
              <w:pStyle w:val="Compact"/>
            </w:pPr>
            <w:r>
              <w:t xml:space="preserve">Yes</w:t>
            </w:r>
          </w:p>
        </w:tc>
        <w:tc>
          <w:tcPr/>
          <w:p>
            <w:pPr>
              <w:pStyle w:val="Compact"/>
            </w:pPr>
            <w:r>
              <w:rPr>
                <w:b/>
                <w:bCs/>
              </w:rPr>
              <w:t xml:space="preserve">Access targeting</w:t>
            </w:r>
          </w:p>
        </w:tc>
      </w:tr>
      <w:tr>
        <w:tc>
          <w:tcPr/>
          <w:p>
            <w:pPr>
              <w:pStyle w:val="Compact"/>
            </w:pPr>
            <w:r>
              <w:rPr>
                <w:b/>
                <w:bCs/>
              </w:rPr>
              <w:t xml:space="preserve">Worker type code</w:t>
            </w:r>
          </w:p>
        </w:tc>
        <w:tc>
          <w:tcPr/>
          <w:p>
            <w:pPr>
              <w:pStyle w:val="Compact"/>
            </w:pPr>
            <w:r>
              <w:t xml:space="preserve">Worker type (code)</w:t>
            </w:r>
          </w:p>
        </w:tc>
        <w:tc>
          <w:tcPr/>
          <w:p>
            <w:pPr>
              <w:pStyle w:val="Compact"/>
            </w:pPr>
            <w:r>
              <w:t xml:space="preserve">custom extension</w:t>
            </w:r>
            <w:r>
              <w:t xml:space="preserve"> </w:t>
            </w:r>
            <w:r>
              <w:rPr>
                <w:rStyle w:val="VerbatimChar"/>
              </w:rPr>
              <w:t xml:space="preserve">workerTypeCode</w:t>
            </w:r>
          </w:p>
        </w:tc>
        <w:tc>
          <w:tcPr/>
          <w:p>
            <w:pPr>
              <w:pStyle w:val="Compact"/>
            </w:pPr>
            <w:r>
              <w:rPr>
                <w:rStyle w:val="VerbatimChar"/>
              </w:rPr>
              <w:t xml:space="preserve">extensionAttribute11</w:t>
            </w:r>
          </w:p>
        </w:tc>
        <w:tc>
          <w:tcPr/>
          <w:p>
            <w:pPr>
              <w:pStyle w:val="Compact"/>
            </w:pPr>
            <w:r>
              <w:rPr>
                <w:rStyle w:val="VerbatimChar"/>
              </w:rPr>
              <w:t xml:space="preserve">extensionAttribute11</w:t>
            </w:r>
          </w:p>
        </w:tc>
        <w:tc>
          <w:tcPr/>
          <w:p>
            <w:pPr>
              <w:pStyle w:val="Compact"/>
            </w:pPr>
            <w:r>
              <w:t xml:space="preserve">Yes</w:t>
            </w:r>
          </w:p>
        </w:tc>
        <w:tc>
          <w:tcPr/>
          <w:p>
            <w:pPr>
              <w:pStyle w:val="Compact"/>
            </w:pPr>
            <w:r>
              <w:rPr>
                <w:b/>
                <w:bCs/>
              </w:rPr>
              <w:t xml:space="preserve">Access targeting</w:t>
            </w:r>
            <w:r>
              <w:t xml:space="preserve">; mirrors</w:t>
            </w:r>
            <w:r>
              <w:t xml:space="preserve"> </w:t>
            </w:r>
            <w:r>
              <w:rPr>
                <w:rStyle w:val="VerbatimChar"/>
              </w:rPr>
              <w:t xml:space="preserve">employeeType</w:t>
            </w:r>
          </w:p>
        </w:tc>
      </w:tr>
      <w:tr>
        <w:tc>
          <w:tcPr/>
          <w:p>
            <w:pPr>
              <w:pStyle w:val="Compact"/>
            </w:pPr>
            <w:r>
              <w:rPr>
                <w:b/>
                <w:bCs/>
              </w:rPr>
              <w:t xml:space="preserve">Position category</w:t>
            </w:r>
          </w:p>
        </w:tc>
        <w:tc>
          <w:tcPr/>
          <w:p>
            <w:pPr>
              <w:pStyle w:val="Compact"/>
            </w:pPr>
            <w:r>
              <w:t xml:space="preserve">Job family or position category (code)</w:t>
            </w:r>
          </w:p>
        </w:tc>
        <w:tc>
          <w:tcPr/>
          <w:p>
            <w:pPr>
              <w:pStyle w:val="Compact"/>
            </w:pPr>
            <w:r>
              <w:t xml:space="preserve">custom extension</w:t>
            </w:r>
            <w:r>
              <w:t xml:space="preserve"> </w:t>
            </w:r>
            <w:r>
              <w:rPr>
                <w:rStyle w:val="VerbatimChar"/>
              </w:rPr>
              <w:t xml:space="preserve">positionCategory</w:t>
            </w:r>
          </w:p>
        </w:tc>
        <w:tc>
          <w:tcPr/>
          <w:p>
            <w:pPr>
              <w:pStyle w:val="Compact"/>
            </w:pPr>
            <w:r>
              <w:rPr>
                <w:rStyle w:val="VerbatimChar"/>
              </w:rPr>
              <w:t xml:space="preserve">extensionAttribute12</w:t>
            </w:r>
          </w:p>
        </w:tc>
        <w:tc>
          <w:tcPr/>
          <w:p>
            <w:pPr>
              <w:pStyle w:val="Compact"/>
            </w:pPr>
            <w:r>
              <w:rPr>
                <w:rStyle w:val="VerbatimChar"/>
              </w:rPr>
              <w:t xml:space="preserve">extensionAttribute12</w:t>
            </w:r>
          </w:p>
        </w:tc>
        <w:tc>
          <w:tcPr/>
          <w:p>
            <w:pPr>
              <w:pStyle w:val="Compact"/>
            </w:pPr>
            <w:r>
              <w:t xml:space="preserve">Yes</w:t>
            </w:r>
          </w:p>
        </w:tc>
        <w:tc>
          <w:tcPr/>
          <w:p>
            <w:pPr>
              <w:pStyle w:val="Compact"/>
            </w:pPr>
            <w:r>
              <w:rPr>
                <w:b/>
                <w:bCs/>
              </w:rPr>
              <w:t xml:space="preserve">Access targeting</w:t>
            </w:r>
          </w:p>
        </w:tc>
      </w:tr>
    </w:tbl>
    <w:p>
      <w:pPr>
        <w:pStyle w:val="BodyText"/>
      </w:pPr>
      <w:r>
        <w:t xml:space="preserve">Notes on the table:</w:t>
      </w:r>
    </w:p>
    <w:p>
      <w:pPr>
        <w:pStyle w:val="Compact"/>
        <w:numPr>
          <w:ilvl w:val="0"/>
          <w:numId w:val="1023"/>
        </w:numPr>
      </w:pPr>
      <w:r>
        <w:t xml:space="preserve">The SCIM mappings for both landing zones follow the example worksheets in Microsoft’s Oracle HCM integration guide, which also maps a custom</w:t>
      </w:r>
      <w:r>
        <w:t xml:space="preserve"> </w:t>
      </w:r>
      <w:r>
        <w:rPr>
          <w:rStyle w:val="VerbatimChar"/>
        </w:rPr>
        <w:t xml:space="preserve">JobCode</w:t>
      </w:r>
      <w:r>
        <w:t xml:space="preserve"> </w:t>
      </w:r>
      <w:r>
        <w:t xml:space="preserve">to</w:t>
      </w:r>
      <w:r>
        <w:t xml:space="preserve"> </w:t>
      </w:r>
      <w:r>
        <w:rPr>
          <w:rStyle w:val="VerbatimChar"/>
        </w:rPr>
        <w:t xml:space="preserve">extensionAttribute1</w:t>
      </w:r>
      <w:r>
        <w:t xml:space="preserve"> </w:t>
      </w:r>
      <w:r>
        <w:t xml:space="preserve">in both AD and Entra ID. Custom attributes are added to the provisioning app’s schema as SCIM schema extensions and then mapped.</w:t>
      </w:r>
      <w:r>
        <w:rPr>
          <w:rStyle w:val="FootnoteReference"/>
        </w:rPr>
        <w:footnoteReference w:id="318"/>
      </w:r>
      <w:r>
        <w:rPr>
          <w:rStyle w:val="FootnoteReference"/>
        </w:rPr>
        <w:footnoteReference w:id="319"/>
      </w:r>
      <w:r>
        <w:t xml:space="preserve"> </w:t>
      </w:r>
      <w:r>
        <w:t xml:space="preserve">For attributes with no AD equivalent, the same guide says to use</w:t>
      </w:r>
      <w:r>
        <w:t xml:space="preserve"> </w:t>
      </w:r>
      <w:r>
        <w:rPr>
          <w:rStyle w:val="VerbatimChar"/>
        </w:rPr>
        <w:t xml:space="preserve">extensionAttribute1</w:t>
      </w:r>
      <w:r>
        <w:t xml:space="preserve">–</w:t>
      </w:r>
      <w:r>
        <w:rPr>
          <w:rStyle w:val="VerbatimChar"/>
        </w:rPr>
        <w:t xml:space="preserve">15</w:t>
      </w:r>
      <w:r>
        <w:t xml:space="preserve"> </w:t>
      </w:r>
      <w:r>
        <w:t xml:space="preserve">or extend the AD schema.</w:t>
      </w:r>
      <w:r>
        <w:rPr>
          <w:rStyle w:val="FootnoteReference"/>
        </w:rPr>
        <w:footnoteReference w:id="321"/>
      </w:r>
    </w:p>
    <w:p>
      <w:pPr>
        <w:pStyle w:val="Compact"/>
        <w:numPr>
          <w:ilvl w:val="0"/>
          <w:numId w:val="1023"/>
        </w:numPr>
      </w:pPr>
      <w:r>
        <w:rPr>
          <w:b/>
          <w:bCs/>
        </w:rPr>
        <w:t xml:space="preserve">Neither date has a native AD attribute.</w:t>
      </w:r>
      <w:r>
        <w:t xml:space="preserve"> </w:t>
      </w:r>
      <w:r>
        <w:t xml:space="preserve">For AD-landed users, Microsoft’s Oracle HCM worksheet writes</w:t>
      </w:r>
      <w:r>
        <w:t xml:space="preserve"> </w:t>
      </w:r>
      <w:r>
        <w:rPr>
          <w:rStyle w:val="VerbatimChar"/>
        </w:rPr>
        <w:t xml:space="preserve">HireDate</w:t>
      </w:r>
      <w:r>
        <w:t xml:space="preserve"> </w:t>
      </w:r>
      <w:r>
        <w:t xml:space="preserve">and</w:t>
      </w:r>
      <w:r>
        <w:t xml:space="preserve"> </w:t>
      </w:r>
      <w:r>
        <w:rPr>
          <w:rStyle w:val="VerbatimChar"/>
        </w:rPr>
        <w:t xml:space="preserve">TermDate</w:t>
      </w:r>
      <w:r>
        <w:t xml:space="preserve"> </w:t>
      </w:r>
      <w:r>
        <w:t xml:space="preserve">to</w:t>
      </w:r>
      <w:r>
        <w:t xml:space="preserve"> </w:t>
      </w:r>
      <w:r>
        <w:rPr>
          <w:rStyle w:val="VerbatimChar"/>
        </w:rPr>
        <w:t xml:space="preserve">extensionAttribute2</w:t>
      </w:r>
      <w:r>
        <w:t xml:space="preserve"> </w:t>
      </w:r>
      <w:r>
        <w:t xml:space="preserve">and</w:t>
      </w:r>
      <w:r>
        <w:t xml:space="preserve"> </w:t>
      </w:r>
      <w:r>
        <w:rPr>
          <w:rStyle w:val="VerbatimChar"/>
        </w:rPr>
        <w:t xml:space="preserve">extensionAttribute3</w:t>
      </w:r>
      <w:r>
        <w:t xml:space="preserve">;</w:t>
      </w:r>
      <w:r>
        <w:rPr>
          <w:rStyle w:val="FootnoteReference"/>
        </w:rPr>
        <w:footnoteReference w:id="322"/>
      </w:r>
      <w:r>
        <w:t xml:space="preserve"> </w:t>
      </w:r>
      <w:r>
        <w:t xml:space="preserve">a sync rule then maps each one to</w:t>
      </w:r>
      <w:r>
        <w:t xml:space="preserve"> </w:t>
      </w:r>
      <w:r>
        <w:rPr>
          <w:rStyle w:val="VerbatimChar"/>
        </w:rPr>
        <w:t xml:space="preserve">employeeHireDate</w:t>
      </w:r>
      <w:r>
        <w:t xml:space="preserve"> </w:t>
      </w:r>
      <w:r>
        <w:t xml:space="preserve">or</w:t>
      </w:r>
      <w:r>
        <w:t xml:space="preserve"> </w:t>
      </w:r>
      <w:r>
        <w:rPr>
          <w:rStyle w:val="VerbatimChar"/>
        </w:rPr>
        <w:t xml:space="preserve">employeeLeaveDateTime</w:t>
      </w:r>
      <w:r>
        <w:t xml:space="preserve"> </w:t>
      </w:r>
      <w:r>
        <w:t xml:space="preserve">in Entra ID. The AD attribute must be a string, and the value must be converted to the format Entra expects, usually with a date-format expression. Inbound provisioning, Entra Connect cloud sync and Entra Connect Sync all support both target attributes.</w:t>
      </w:r>
      <w:r>
        <w:rPr>
          <w:rStyle w:val="FootnoteReference"/>
        </w:rPr>
        <w:footnoteReference w:id="323"/>
      </w:r>
    </w:p>
    <w:p>
      <w:pPr>
        <w:pStyle w:val="Compact"/>
        <w:numPr>
          <w:ilvl w:val="0"/>
          <w:numId w:val="1023"/>
        </w:numPr>
      </w:pPr>
      <w:r>
        <w:rPr>
          <w:b/>
          <w:bCs/>
        </w:rPr>
        <w:t xml:space="preserve">The choice of</w:t>
      </w:r>
      <w:r>
        <w:rPr>
          <w:b/>
          <w:bCs/>
        </w:rPr>
        <w:t xml:space="preserve"> </w:t>
      </w:r>
      <w:r>
        <w:rPr>
          <w:rStyle w:val="VerbatimChar"/>
          <w:b/>
          <w:bCs/>
        </w:rPr>
        <w:t xml:space="preserve">extensionAttribute10</w:t>
      </w:r>
      <w:r>
        <w:rPr>
          <w:b/>
          <w:bCs/>
        </w:rPr>
        <w:t xml:space="preserve">–</w:t>
      </w:r>
      <w:r>
        <w:rPr>
          <w:rStyle w:val="VerbatimChar"/>
          <w:b/>
          <w:bCs/>
        </w:rPr>
        <w:t xml:space="preserve">12</w:t>
      </w:r>
      <w:r>
        <w:rPr>
          <w:b/>
          <w:bCs/>
        </w:rPr>
        <w:t xml:space="preserve"> </w:t>
      </w:r>
      <w:r>
        <w:rPr>
          <w:b/>
          <w:bCs/>
        </w:rPr>
        <w:t xml:space="preserve">for access codes is this workbook’s proposed implementation choice</w:t>
      </w:r>
      <w:r>
        <w:t xml:space="preserve">, not a Microsoft default. Before Phase 1 closes, confirm that each one is in the provisioning app’s target attribute list and isn’t already used. Exchange calls</w:t>
      </w:r>
      <w:r>
        <w:t xml:space="preserve"> </w:t>
      </w:r>
      <w:r>
        <w:rPr>
          <w:rStyle w:val="VerbatimChar"/>
        </w:rPr>
        <w:t xml:space="preserve">extensionAttribute1</w:t>
      </w:r>
      <w:r>
        <w:t xml:space="preserve">–</w:t>
      </w:r>
      <w:r>
        <w:rPr>
          <w:rStyle w:val="VerbatimChar"/>
        </w:rPr>
        <w:t xml:space="preserve">15</w:t>
      </w:r>
      <w:r>
        <w:t xml:space="preserve"> </w:t>
      </w:r>
      <w:r>
        <w:t xml:space="preserve">custom attributes 1–15.</w:t>
      </w:r>
      <w:r>
        <w:rPr>
          <w:rStyle w:val="FootnoteReference"/>
        </w:rPr>
        <w:footnoteReference w:id="325"/>
      </w:r>
    </w:p>
    <w:p>
      <w:pPr>
        <w:pStyle w:val="Compact"/>
        <w:numPr>
          <w:ilvl w:val="0"/>
          <w:numId w:val="1023"/>
        </w:numPr>
      </w:pPr>
      <w:r>
        <w:t xml:space="preserve">Rules can’t use multi-value extension properties.</w:t>
      </w:r>
      <w:r>
        <w:rPr>
          <w:rStyle w:val="FootnoteReference"/>
        </w:rPr>
        <w:footnoteReference w:id="326"/>
      </w:r>
      <w:r>
        <w:t xml:space="preserve"> </w:t>
      </w:r>
      <w:r>
        <w:t xml:space="preserve">All three access attributes hold one code.</w:t>
      </w:r>
    </w:p>
    <w:bookmarkEnd w:id="327"/>
    <w:bookmarkStart w:id="329" w:name="writers"/>
    <w:p>
      <w:pPr>
        <w:pStyle w:val="Heading2"/>
      </w:pPr>
      <w:bookmarkStart w:id="842" w:name="_Toc00000842"/>
      <w:r>
        <w:t xml:space="preserve">Writers</w:t>
      </w:r>
      <w:bookmarkEnd w:id="842"/>
    </w:p>
    <w:p>
      <w:pPr>
        <w:pStyle w:val="FirstParagraph"/>
      </w:pPr>
      <w:r>
        <w:t xml:space="preserve">A dynamic membership rule moves the access decision to whoever can write the attribute it reads. Microsoft’s guidance is to check write permissions for every attribute a rule uses, in Entra ID and in any source directory, and to restrict self-service write access to attributes used in security-sensitive groups.</w:t>
      </w:r>
      <w:r>
        <w:rPr>
          <w:rStyle w:val="FootnoteReference"/>
        </w:rPr>
        <w:footnoteReference w:id="328"/>
      </w:r>
      <w:r>
        <w:t xml:space="preserve"> </w:t>
      </w:r>
      <w:r>
        <w:t xml:space="preserve">For this schema that means:</w:t>
      </w:r>
    </w:p>
    <w:p>
      <w:pPr>
        <w:pStyle w:val="Compact"/>
        <w:numPr>
          <w:ilvl w:val="0"/>
          <w:numId w:val="1024"/>
        </w:numPr>
      </w:pPr>
      <w:r>
        <w:t xml:space="preserve">The</w:t>
      </w:r>
      <w:r>
        <w:t xml:space="preserve"> </w:t>
      </w:r>
      <w:r>
        <w:rPr>
          <w:b/>
          <w:bCs/>
        </w:rPr>
        <w:t xml:space="preserve">only writer</w:t>
      </w:r>
      <w:r>
        <w:t xml:space="preserve"> </w:t>
      </w:r>
      <w:r>
        <w:t xml:space="preserve">of every field above is the provisioning service: the API-driven inbound app for cloud-mastered users, the provisioning agent plus Entra Connect for AD-mastered ones.</w:t>
      </w:r>
    </w:p>
    <w:p>
      <w:pPr>
        <w:pStyle w:val="Compact"/>
        <w:numPr>
          <w:ilvl w:val="0"/>
          <w:numId w:val="1024"/>
        </w:numPr>
      </w:pPr>
      <w:r>
        <w:t xml:space="preserve">Remove help-desk, self-service and Exchange-admin write paths to</w:t>
      </w:r>
      <w:r>
        <w:t xml:space="preserve"> </w:t>
      </w:r>
      <w:r>
        <w:rPr>
          <w:rStyle w:val="VerbatimChar"/>
        </w:rPr>
        <w:t xml:space="preserve">extensionAttribute10</w:t>
      </w:r>
      <w:r>
        <w:t xml:space="preserve">–</w:t>
      </w:r>
      <w:r>
        <w:rPr>
          <w:rStyle w:val="VerbatimChar"/>
        </w:rPr>
        <w:t xml:space="preserve">12</w:t>
      </w:r>
      <w:r>
        <w:t xml:space="preserve"> </w:t>
      </w:r>
      <w:r>
        <w:t xml:space="preserve">and to the two date carriers. In AD, review the ACLs on the target OUs; in Exchange, the custom-attribute cmdlets are a write path.</w:t>
      </w:r>
    </w:p>
    <w:p>
      <w:pPr>
        <w:pStyle w:val="Compact"/>
        <w:numPr>
          <w:ilvl w:val="0"/>
          <w:numId w:val="1024"/>
        </w:numPr>
      </w:pPr>
      <w:r>
        <w:t xml:space="preserve">Any write by another principal is a drift event (Chapter 11).</w:t>
      </w:r>
    </w:p>
    <w:bookmarkEnd w:id="329"/>
    <w:bookmarkStart w:id="330" w:name="how-other-pages-use-this-schema"/>
    <w:p>
      <w:pPr>
        <w:pStyle w:val="Heading2"/>
      </w:pPr>
      <w:bookmarkStart w:id="843" w:name="_Toc00000843"/>
      <w:r>
        <w:t xml:space="preserve">How other pages use this schema</w:t>
      </w:r>
      <w:bookmarkEnd w:id="843"/>
    </w:p>
    <w:p>
      <w:pPr>
        <w:pStyle w:val="FirstParagraph"/>
      </w:pPr>
      <w:r>
        <w:t xml:space="preserve">The SQL Server Identity Transformation series, Book 07 applies the same attribute-to-access discipline to SQL Server logins and database roles. Book 02, Chapter 09 — Building the Entra ID Target and the Conditional Access library link here rather than carrying their own attribute map.</w:t>
      </w:r>
    </w:p>
    <w:bookmarkEnd w:id="330"/>
    <w:bookmarkStart w:id="331" w:name="continue-the-book-5"/>
    <w:p>
      <w:pPr>
        <w:pStyle w:val="Heading2"/>
      </w:pPr>
      <w:bookmarkStart w:id="844" w:name="_Toc00000844"/>
      <w:r>
        <w:t xml:space="preserve">Continue the book</w:t>
      </w:r>
      <w:bookmarkEnd w:id="844"/>
    </w:p>
    <w:p>
      <w:pPr>
        <w:pStyle w:val="FirstParagraph"/>
      </w:pPr>
      <w:r>
        <w:t xml:space="preserve">← Previous: Chapter 05 — Provisioning Services · Book index · Next: Chapter 07 — Who Owns Workforce Identity →</w:t>
      </w:r>
    </w:p>
    <w:bookmarkEnd w:id="331"/>
    <w:bookmarkEnd w:id="332"/>
    <w:bookmarkStart w:id="393" w:name="chapter-07-who-owns-workforce-identity"/>
    <w:p>
      <w:pPr>
        <w:pStyle w:val="Heading1"/>
      </w:pPr>
      <w:bookmarkStart w:id="845" w:name="_Toc00000845"/>
      <w:r>
        <w:t xml:space="preserve">Chapter 07 — Who Owns Workforce Identity</w:t>
      </w:r>
      <w:bookmarkEnd w:id="845"/>
    </w:p>
    <w:p>
      <w:pPr>
        <w:pStyle w:val="FirstParagraph"/>
      </w:pPr>
      <w:r>
        <w:rPr>
          <w:i/>
          <w:iCs/>
        </w:rPr>
        <w:t xml:space="preserve">HR-driven identity is an organizational change before it is a technical one: every attribute needs one owner who can fix it, and every decision needs one person who can say no.</w:t>
      </w:r>
    </w:p>
    <w:bookmarkStart w:id="333" w:name="in-this-chapter-6"/>
    <w:p>
      <w:pPr>
        <w:pStyle w:val="Heading2"/>
      </w:pPr>
      <w:bookmarkStart w:id="846" w:name="_Toc00000846"/>
      <w:r>
        <w:t xml:space="preserve">In this chapter</w:t>
      </w:r>
      <w:bookmarkEnd w:id="846"/>
    </w:p>
    <w:p>
      <w:pPr>
        <w:pStyle w:val="FirstParagraph"/>
      </w:pPr>
      <w:r>
        <w:t xml:space="preserve">Who owns the workforce data, who uses it and who guards it. The data architect’s role: one name, one definition and one accountable owner per attribute, one logical model and one person key. A responsibility matrix for the decisions that HR-driven identity forces. The ways ownership usually fails, and what the program does about each.</w:t>
      </w:r>
    </w:p>
    <w:bookmarkEnd w:id="333"/>
    <w:p>
      <w:pPr>
        <w:pStyle w:val="BodyText"/>
      </w:pPr>
      <w:r>
        <w:t xml:space="preserve">Chapters 04 to 06 decided which</w:t>
      </w:r>
      <w:r>
        <w:t xml:space="preserve"> </w:t>
      </w:r>
      <w:r>
        <w:rPr>
          <w:i/>
          <w:iCs/>
        </w:rPr>
        <w:t xml:space="preserve">system</w:t>
      </w:r>
      <w:r>
        <w:t xml:space="preserve"> </w:t>
      </w:r>
      <w:r>
        <w:t xml:space="preserve">is authoritative for each fact. This chapter decides which</w:t>
      </w:r>
      <w:r>
        <w:t xml:space="preserve"> </w:t>
      </w:r>
      <w:r>
        <w:rPr>
          <w:i/>
          <w:iCs/>
        </w:rPr>
        <w:t xml:space="preserve">people</w:t>
      </w:r>
      <w:r>
        <w:t xml:space="preserve"> </w:t>
      </w:r>
      <w:r>
        <w:t xml:space="preserve">are. The two aren’t the same question. A system of record can be authoritative for worker type and still hold the wrong value for half the contractors, if no office accepts that keeping it right is its job. The Book 02 chapter on migration ownership covers the people who move the directory: the sponsor, the authorizing official, the CISO, identity engineering, the AD administrators and the help desk. This chapter doesn’t repeat those roles. It adds the people who own, guard and use the</w:t>
      </w:r>
      <w:r>
        <w:t xml:space="preserve"> </w:t>
      </w:r>
      <w:r>
        <w:rPr>
          <w:i/>
          <w:iCs/>
        </w:rPr>
        <w:t xml:space="preserve">data</w:t>
      </w:r>
      <w:r>
        <w:t xml:space="preserve"> </w:t>
      </w:r>
      <w:r>
        <w:t xml:space="preserve">the directory will be driven by, most of whom sit outside the CIO’s organization.</w:t>
      </w:r>
    </w:p>
    <w:p>
      <w:pPr>
        <w:pStyle w:val="BodyText"/>
      </w:pPr>
      <w:r>
        <w:t xml:space="preserve">Federal policy names most of these offices but leaves their relationship to the agency. OMB M-19-17 directs each agency to designate an integrated, agency-wide ICAM office, team or other governance structure, and says it should include personnel from the offices of the CIO, the CFO, Human Resources, General Counsel, the CISO, the Senior Agency Official for Privacy, the Chief Acquisition Officer and the officials responsible for physical security.</w:t>
      </w:r>
      <w:r>
        <w:rPr>
          <w:rStyle w:val="FootnoteReference"/>
        </w:rPr>
        <w:footnoteReference w:id="334"/>
      </w:r>
      <w:r>
        <w:t xml:space="preserve"> </w:t>
      </w:r>
      <w:r>
        <w:t xml:space="preserve">NIST’s Risk Management Framework defines the accountable roles, including the information owner or steward, the system owner, the system security officer and the authorizing official.</w:t>
      </w:r>
      <w:r>
        <w:rPr>
          <w:rStyle w:val="FootnoteReference"/>
        </w:rPr>
        <w:footnoteReference w:id="335"/>
      </w:r>
      <w:r>
        <w:t xml:space="preserve"> </w:t>
      </w:r>
      <w:r>
        <w:t xml:space="preserve">FIPS 201-3 and its companion guideline set out the PIV processes.</w:t>
      </w:r>
      <w:r>
        <w:rPr>
          <w:rStyle w:val="FootnoteReference"/>
        </w:rPr>
        <w:footnoteReference w:id="337"/>
      </w:r>
      <w:r>
        <w:rPr>
          <w:rStyle w:val="FootnoteReference"/>
        </w:rPr>
        <w:footnoteReference w:id="338"/>
      </w:r>
      <w:r>
        <w:t xml:space="preserve"> </w:t>
      </w:r>
      <w:r>
        <w:t xml:space="preserve">None of them says who decides what an organization code means, who may change the person key, or who is accountable when a contractor’s access outlives the contract. That’s the program’s recommended model, set out below as design.</w:t>
      </w:r>
    </w:p>
    <w:bookmarkStart w:id="343" w:name="fig-ch07-owners-users-guards"/>
    <w:p>
      <w:pPr>
        <w:pStyle w:val="CaptionedFigure"/>
      </w:pPr>
      <w:r>
        <w:drawing>
          <wp:inline>
            <wp:extent cx="5334000" cy="2487490"/>
            <wp:effectExtent b="0" l="0" r="0" t="0"/>
            <wp:docPr descr="Who owns workforce identity: HR, the OPM Federal HR 2.0 program and the contractor sources own the data; the data architect stewards one model and one key, with the privacy office, the PIV office and the ISSO and authorizing official guarding it; the CIO identity team, security, the help desk and application owners use it." title="" id="341" name="Picture"/>
            <a:graphic>
              <a:graphicData uri="http://schemas.openxmlformats.org/drawingml/2006/picture">
                <pic:pic>
                  <pic:nvPicPr>
                    <pic:cNvPr descr="/home/runner/work/modernization-workbook/modernization-workbook/docs/images/diagrams/b03-hr-identity/png/ch07-owners-users-guards.png" id="342" name="Picture"/>
                    <pic:cNvPicPr>
                      <a:picLocks noChangeArrowheads="1" noChangeAspect="1"/>
                    </pic:cNvPicPr>
                  </pic:nvPicPr>
                  <pic:blipFill>
                    <a:blip r:embed="rId340"/>
                    <a:stretch>
                      <a:fillRect/>
                    </a:stretch>
                  </pic:blipFill>
                  <pic:spPr bwMode="auto">
                    <a:xfrm>
                      <a:off x="0" y="0"/>
                      <a:ext cx="5334000" cy="2487490"/>
                    </a:xfrm>
                    <a:prstGeom prst="rect">
                      <a:avLst/>
                    </a:prstGeom>
                    <a:noFill/>
                    <a:ln w="9525">
                      <a:noFill/>
                      <a:headEnd/>
                      <a:tailEnd/>
                    </a:ln>
                  </pic:spPr>
                </pic:pic>
              </a:graphicData>
            </a:graphic>
          </wp:inline>
        </w:drawing>
      </w:r>
    </w:p>
    <w:p>
      <w:pPr>
        <w:pStyle w:val="ImageCaption"/>
      </w:pPr>
      <w:r>
        <w:t xml:space="preserve">Who owns workforce identity: HR, the OPM Federal HR 2.0 program and the contractor sources own the data; the data architect stewards one model and one key, with the privacy office, the PIV office and the ISSO and authorizing official guarding it; the CIO identity team, security, the help desk and application owners use it.</w:t>
      </w:r>
    </w:p>
    <w:bookmarkEnd w:id="343"/>
    <w:bookmarkStart w:id="352" w:name="who-owns-the-data"/>
    <w:p>
      <w:pPr>
        <w:pStyle w:val="Heading2"/>
      </w:pPr>
      <w:bookmarkStart w:id="847" w:name="_Toc00000847"/>
      <w:r>
        <w:t xml:space="preserve">Who owns the data</w:t>
      </w:r>
      <w:bookmarkEnd w:id="847"/>
    </w:p>
    <w:bookmarkStart w:id="346" w:name="X5225e0bb1e795c31e761f057713ff7d086b9b87"/>
    <w:p>
      <w:pPr>
        <w:pStyle w:val="Heading3"/>
      </w:pPr>
      <w:r>
        <w:t xml:space="preserve">HR owns personnel data and its quality, at the source</w:t>
      </w:r>
    </w:p>
    <w:p>
      <w:pPr>
        <w:pStyle w:val="FirstParagraph"/>
      </w:pPr>
      <w:r>
        <w:t xml:space="preserve">HR owns the facts that only a personnel action creates: that a person is a worker, of what type, in which position and organization, at which duty station, reporting to whom, from and until when (Chapter 04). Owning them means more than holding them. It means HR accepts a quality expectation for each attribute identity reads, and when a value is wrong it is fixed in HR, not patched in the directory. OPM already places that responsibility with the agency for the government-wide data it collects: its data-standards guidance is addressed to the agency officials who prepare, submit and</w:t>
      </w:r>
      <w:r>
        <w:t xml:space="preserve"> </w:t>
      </w:r>
      <w:r>
        <w:rPr>
          <w:i/>
          <w:iCs/>
        </w:rPr>
        <w:t xml:space="preserve">correct</w:t>
      </w:r>
      <w:r>
        <w:t xml:space="preserve"> </w:t>
      </w:r>
      <w:r>
        <w:t xml:space="preserve">HR, payroll and training data.</w:t>
      </w:r>
      <w:r>
        <w:rPr>
          <w:rStyle w:val="FootnoteReference"/>
        </w:rPr>
        <w:footnoteReference w:id="344"/>
      </w:r>
    </w:p>
    <w:p>
      <w:pPr>
        <w:pStyle w:val="BodyText"/>
      </w:pPr>
      <w:r>
        <w:t xml:space="preserve">In NIST’s terms HR is the</w:t>
      </w:r>
      <w:r>
        <w:t xml:space="preserve"> </w:t>
      </w:r>
      <w:r>
        <w:rPr>
          <w:b/>
          <w:bCs/>
        </w:rPr>
        <w:t xml:space="preserve">information owner</w:t>
      </w:r>
      <w:r>
        <w:t xml:space="preserve"> </w:t>
      </w:r>
      <w:r>
        <w:t xml:space="preserve">for personnel data: the official with statutory, management or operational authority for the information, responsible for the policies that govern its generation, collection, processing, dissemination and disposal. That responsibility doesn’t end when the data is shared. The information owner sets the rules for its appropriate use and keeps that responsibility when the information goes to other organizations.</w:t>
      </w:r>
      <w:r>
        <w:rPr>
          <w:rStyle w:val="FootnoteReference"/>
        </w:rPr>
        <w:footnoteReference w:id="345"/>
      </w:r>
      <w:r>
        <w:t xml:space="preserve"> </w:t>
      </w:r>
      <w:r>
        <w:t xml:space="preserve">An identity feed is one of those uses. HR doesn’t stop owning the department value because a dynamic group now reads it.</w:t>
      </w:r>
    </w:p>
    <w:p>
      <w:pPr>
        <w:pStyle w:val="BodyText"/>
      </w:pPr>
      <w:r>
        <w:t xml:space="preserve">The program asks three concrete things of HR: name an owner for each HR-mastered attribute the authority map lists, own the controlled code lists that access attributes carry (Chapter 10), and treat a reassignment of direct reports after a supervisor separates as HR work, not IT work (Appendix A).</w:t>
      </w:r>
    </w:p>
    <w:bookmarkEnd w:id="346"/>
    <w:bookmarkStart w:id="349" w:name="X6d5f7a0996350673ef20edfd5f4573e7405a910"/>
    <w:p>
      <w:pPr>
        <w:pStyle w:val="Heading3"/>
      </w:pPr>
      <w:r>
        <w:t xml:space="preserve">The OPM Federal HR 2.0 program owns the platform, the standards and the interconnection</w:t>
      </w:r>
    </w:p>
    <w:p>
      <w:pPr>
        <w:pStyle w:val="FirstParagraph"/>
      </w:pPr>
      <w:r>
        <w:t xml:space="preserve">OPM owns the government-wide definitions. Its data standards, now kept in an online metadata repository, define the personnel data elements and their codes, and changes go through OPM’s own data element request process.</w:t>
      </w:r>
      <w:r>
        <w:rPr>
          <w:rStyle w:val="FootnoteReference"/>
        </w:rPr>
        <w:footnoteReference w:id="347"/>
      </w:r>
      <w:r>
        <w:t xml:space="preserve"> </w:t>
      </w:r>
      <w:r>
        <w:t xml:space="preserve">An agency doesn’t change what a nature-of-action code means; it maps to it (Chapter 06). Under Federal HR 2.0, OPM and OMB also own the Core HCM platform and its rollout (Chapter 03). The December 10, 2025 memo asks each agency to name an integrated project team point of contact and points of contact for interagency working groups on policy, data, learning and super users, and to define integration points, identify interfacing systems and document data flows. It also says OMB and OPM will stand up a Federal HR 2.0 Advisory Board and use the government-wide councils, the Chief Data Officers Council among them, for updates on implementation.</w:t>
      </w:r>
      <w:r>
        <w:rPr>
          <w:rStyle w:val="FootnoteReference"/>
        </w:rPr>
        <w:footnoteReference w:id="348"/>
      </w:r>
    </w:p>
    <w:p>
      <w:pPr>
        <w:pStyle w:val="BodyText"/>
      </w:pPr>
      <w:r>
        <w:t xml:space="preserve">So the agency doesn’t own the HR platform, but it does own its side of the interconnection. The program’s position is that the identity feed is named in that inventory, as Chapter 12’s Phase 0 requires, and that the agency’s data working-group representative carries the identity view into those meetings. That’s how one identity standard can spread across agencies that share the same platform and the same data standards.</w:t>
      </w:r>
    </w:p>
    <w:bookmarkEnd w:id="349"/>
    <w:bookmarkStart w:id="351" w:name="X7f5e6e2902a38263b6587290bd5b0bb2fecf949"/>
    <w:p>
      <w:pPr>
        <w:pStyle w:val="Heading3"/>
      </w:pPr>
      <w:r>
        <w:t xml:space="preserve">Contractor sources own the people HR doesn’t cover</w:t>
      </w:r>
    </w:p>
    <w:p>
      <w:pPr>
        <w:pStyle w:val="FirstParagraph"/>
      </w:pPr>
      <w:r>
        <w:t xml:space="preserve">Federal HR 2.0 is a program for federal employees. Contractors and vendors need their own source, and Chapter 06 sets out the options and the rule: no single source is complete, so each fact identity needs has one authority, and the whole record hangs on an accountable federal sponsor. In ownership terms that means:</w:t>
      </w:r>
    </w:p>
    <w:p>
      <w:pPr>
        <w:pStyle w:val="Compact"/>
        <w:numPr>
          <w:ilvl w:val="0"/>
          <w:numId w:val="1025"/>
        </w:numPr>
      </w:pPr>
      <w:r>
        <w:t xml:space="preserve">The</w:t>
      </w:r>
      <w:r>
        <w:t xml:space="preserve"> </w:t>
      </w:r>
      <w:r>
        <w:rPr>
          <w:b/>
          <w:bCs/>
        </w:rPr>
        <w:t xml:space="preserve">contracting officer’s representative</w:t>
      </w:r>
      <w:r>
        <w:t xml:space="preserve"> </w:t>
      </w:r>
      <w:r>
        <w:t xml:space="preserve">(or another federal sponsor, mastered in HR) owns the engagement: that the contractor works on this contract, for this sponsor, until this date. The COR spreadsheet stops being the record; the sponsor becomes a live reference with a recertification cycle.</w:t>
      </w:r>
    </w:p>
    <w:p>
      <w:pPr>
        <w:pStyle w:val="Compact"/>
        <w:numPr>
          <w:ilvl w:val="0"/>
          <w:numId w:val="1025"/>
        </w:numPr>
      </w:pPr>
      <w:r>
        <w:rPr>
          <w:b/>
          <w:bCs/>
        </w:rPr>
        <w:t xml:space="preserve">Contracting or personnel security</w:t>
      </w:r>
      <w:r>
        <w:t xml:space="preserve">, whichever keeps the contractor suitability register, owns the contract link and the suitability determination.</w:t>
      </w:r>
    </w:p>
    <w:p>
      <w:pPr>
        <w:pStyle w:val="Compact"/>
        <w:numPr>
          <w:ilvl w:val="0"/>
          <w:numId w:val="1025"/>
        </w:numPr>
      </w:pPr>
      <w:r>
        <w:t xml:space="preserve">The</w:t>
      </w:r>
      <w:r>
        <w:t xml:space="preserve"> </w:t>
      </w:r>
      <w:r>
        <w:rPr>
          <w:b/>
          <w:bCs/>
        </w:rPr>
        <w:t xml:space="preserve">PIV office</w:t>
      </w:r>
      <w:r>
        <w:t xml:space="preserve"> </w:t>
      </w:r>
      <w:r>
        <w:t xml:space="preserve">owns sponsorship processing, identity proofing and credential status.</w:t>
      </w:r>
    </w:p>
    <w:p>
      <w:pPr>
        <w:pStyle w:val="Compact"/>
        <w:numPr>
          <w:ilvl w:val="0"/>
          <w:numId w:val="1025"/>
        </w:numPr>
      </w:pPr>
      <w:r>
        <w:t xml:space="preserve">If the agency configures the Core HCM</w:t>
      </w:r>
      <w:r>
        <w:t xml:space="preserve"> </w:t>
      </w:r>
      <w:r>
        <w:rPr>
          <w:b/>
          <w:bCs/>
        </w:rPr>
        <w:t xml:space="preserve">contingent worker</w:t>
      </w:r>
      <w:r>
        <w:t xml:space="preserve"> </w:t>
      </w:r>
      <w:r>
        <w:t xml:space="preserve">type, HR owns that record as it owns an employee’s, and the register stays the authority for the contract and suitability (Chapter 06).</w:t>
      </w:r>
    </w:p>
    <w:p>
      <w:pPr>
        <w:pStyle w:val="FirstParagraph"/>
      </w:pPr>
      <w:r>
        <w:t xml:space="preserve">Sponsorship is an ownership decision the agency can’t hand to a contractor. NIST’s guideline for authorizing PIV card issuers says only the organization can decide which of its employees and contractors must apply for a PIV card (sponsorship) and under what conditions the application is approved (adjudication), so those two functions can’t be outsourced.</w:t>
      </w:r>
      <w:r>
        <w:rPr>
          <w:rStyle w:val="FootnoteReference"/>
        </w:rPr>
        <w:footnoteReference w:id="350"/>
      </w:r>
    </w:p>
    <w:bookmarkEnd w:id="351"/>
    <w:bookmarkEnd w:id="352"/>
    <w:bookmarkStart w:id="360" w:name="who-uses-it"/>
    <w:p>
      <w:pPr>
        <w:pStyle w:val="Heading2"/>
      </w:pPr>
      <w:bookmarkStart w:id="848" w:name="_Toc00000848"/>
      <w:r>
        <w:t xml:space="preserve">Who uses it</w:t>
      </w:r>
      <w:bookmarkEnd w:id="848"/>
    </w:p>
    <w:p>
      <w:pPr>
        <w:pStyle w:val="FirstParagraph"/>
      </w:pPr>
      <w:r>
        <w:t xml:space="preserve">The users consume governed projections of the data. None of them owns the HR-mastered values, and none of them should be able to change one.</w:t>
      </w:r>
    </w:p>
    <w:p>
      <w:pPr>
        <w:pStyle w:val="Compact"/>
        <w:numPr>
          <w:ilvl w:val="0"/>
          <w:numId w:val="1026"/>
        </w:numPr>
      </w:pPr>
      <w:r>
        <w:rPr>
          <w:b/>
          <w:bCs/>
        </w:rPr>
        <w:t xml:space="preserve">The CIO’s identity team</w:t>
      </w:r>
      <w:r>
        <w:t xml:space="preserve"> </w:t>
      </w:r>
      <w:r>
        <w:t xml:space="preserve">runs Entra ID, Active Directory, the provisioning services and the access model built on them (Chapters 05, 08 and 10). It owns the identity-platform facts: accounts, UPNs, authentication, sessions, group membership by rule. In Entra ID, configuring an API-driven inbound provisioning app needs at least Application Administrator, plus Hybrid Identity Administrator when the target is on-premises AD.</w:t>
      </w:r>
      <w:r>
        <w:rPr>
          <w:rStyle w:val="FootnoteReference"/>
        </w:rPr>
        <w:footnoteReference w:id="353"/>
      </w:r>
      <w:r>
        <w:t xml:space="preserve"> </w:t>
      </w:r>
      <w:r>
        <w:t xml:space="preserve">Lifecycle Workflows Administrator and Identity Governance Administrator are both privileged roles.</w:t>
      </w:r>
      <w:r>
        <w:rPr>
          <w:rStyle w:val="FootnoteReference"/>
        </w:rPr>
        <w:footnoteReference w:id="355"/>
      </w:r>
      <w:r>
        <w:t xml:space="preserve"> </w:t>
      </w:r>
      <w:r>
        <w:t xml:space="preserve">The program assigns them through PIM, as Book 02 describes.</w:t>
      </w:r>
    </w:p>
    <w:p>
      <w:pPr>
        <w:pStyle w:val="Compact"/>
        <w:numPr>
          <w:ilvl w:val="0"/>
          <w:numId w:val="1026"/>
        </w:numPr>
      </w:pPr>
      <w:r>
        <w:rPr>
          <w:b/>
          <w:bCs/>
        </w:rPr>
        <w:t xml:space="preserve">Security</w:t>
      </w:r>
      <w:r>
        <w:t xml:space="preserve"> </w:t>
      </w:r>
      <w:r>
        <w:t xml:space="preserve">sets the Zero Trust policy that reads the attributes (Chapter 02) and owns the leaver path end to end: the block threshold, the order of the leaver sequence and completion of every revocation (Chapters 08 and 09). Revocation touches HR, identity, the PIV office and endpoint management, so a single owner of the outcome is what keeps it from stalling between them.</w:t>
      </w:r>
    </w:p>
    <w:p>
      <w:pPr>
        <w:pStyle w:val="Compact"/>
        <w:numPr>
          <w:ilvl w:val="0"/>
          <w:numId w:val="1026"/>
        </w:numPr>
      </w:pPr>
      <w:r>
        <w:rPr>
          <w:b/>
          <w:bCs/>
        </w:rPr>
        <w:t xml:space="preserve">The help desk</w:t>
      </w:r>
      <w:r>
        <w:t xml:space="preserve"> </w:t>
      </w:r>
      <w:r>
        <w:t xml:space="preserve">moves from routine joiner, mover and leaver tickets to exceptions: quarantined records, failed revocations and the people the pipeline can’t serve yet (Appendix A). It routes data errors to their owner; it doesn’t correct them. That boundary needs an Entra boundary to match. User Administrator can update most user properties for all users,</w:t>
      </w:r>
      <w:r>
        <w:rPr>
          <w:rStyle w:val="FootnoteReference"/>
        </w:rPr>
        <w:footnoteReference w:id="357"/>
      </w:r>
      <w:r>
        <w:t xml:space="preserve"> </w:t>
      </w:r>
      <w:r>
        <w:t xml:space="preserve">which would make the help desk a second writer of HR-mastered attributes. Helpdesk Administrator, by contrast, can reset passwords and invalidate refresh tokens, and can be scoped to an administrative unit.</w:t>
      </w:r>
      <w:r>
        <w:rPr>
          <w:rStyle w:val="FootnoteReference"/>
        </w:rPr>
        <w:footnoteReference w:id="358"/>
      </w:r>
    </w:p>
    <w:p>
      <w:pPr>
        <w:pStyle w:val="Compact"/>
        <w:numPr>
          <w:ilvl w:val="0"/>
          <w:numId w:val="1026"/>
        </w:numPr>
      </w:pPr>
      <w:r>
        <w:rPr>
          <w:b/>
          <w:bCs/>
        </w:rPr>
        <w:t xml:space="preserve">Application owners</w:t>
      </w:r>
      <w:r>
        <w:t xml:space="preserve"> </w:t>
      </w:r>
      <w:r>
        <w:t xml:space="preserve">decide which access their application grants and to whom, using the attributes the feed carries (Chapter 10). NIST notes that the decision about who may access specific information in a system may sit with the information owner rather than the system owner.</w:t>
      </w:r>
      <w:r>
        <w:rPr>
          <w:rStyle w:val="FootnoteReference"/>
        </w:rPr>
        <w:footnoteReference w:id="359"/>
      </w:r>
      <w:r>
        <w:t xml:space="preserve"> </w:t>
      </w:r>
      <w:r>
        <w:t xml:space="preserve">The program treats the application owner as the decider for access rules on that application and HR as the owner of the attribute values those rules read.</w:t>
      </w:r>
    </w:p>
    <w:bookmarkEnd w:id="360"/>
    <w:bookmarkStart w:id="379" w:name="who-guards-it"/>
    <w:p>
      <w:pPr>
        <w:pStyle w:val="Heading2"/>
      </w:pPr>
      <w:bookmarkStart w:id="849" w:name="_Toc00000849"/>
      <w:r>
        <w:t xml:space="preserve">Who guards it</w:t>
      </w:r>
      <w:bookmarkEnd w:id="849"/>
    </w:p>
    <w:bookmarkStart w:id="369" w:name="the-privacy-office"/>
    <w:p>
      <w:pPr>
        <w:pStyle w:val="Heading3"/>
      </w:pPr>
      <w:r>
        <w:t xml:space="preserve">The privacy office</w:t>
      </w:r>
    </w:p>
    <w:p>
      <w:pPr>
        <w:pStyle w:val="FirstParagraph"/>
      </w:pPr>
      <w:r>
        <w:t xml:space="preserve">HR records are a Privacy Act system of records, so moving them into identity systems is a disclosure that needs a basis (Appendix B). The Privacy Act lets an agency disclose a record to its own officers and employees who need it for their duties, and outside the agency for a</w:t>
      </w:r>
      <w:r>
        <w:t xml:space="preserve"> </w:t>
      </w:r>
      <w:r>
        <w:rPr>
          <w:b/>
          <w:bCs/>
        </w:rPr>
        <w:t xml:space="preserve">routine use</w:t>
      </w:r>
      <w:r>
        <w:t xml:space="preserve">, meaning a use compatible with the purpose for which the record was collected, described in the system-of-records notice.</w:t>
      </w:r>
      <w:r>
        <w:rPr>
          <w:rStyle w:val="FootnoteReference"/>
        </w:rPr>
        <w:footnoteReference w:id="361"/>
      </w:r>
      <w:r>
        <w:t xml:space="preserve"> </w:t>
      </w:r>
      <w:r>
        <w:t xml:space="preserve">OMB’s guidance on the Act describes a routine use as a disclosure outside the agency that maintains the system, says routine uses must be narrowly tailored, and says a new or significantly modified routine use can’t be relied on until at least 30 days after it is published in the Federal Register.</w:t>
      </w:r>
      <w:r>
        <w:rPr>
          <w:rStyle w:val="FootnoteReference"/>
        </w:rPr>
        <w:footnoteReference w:id="362"/>
      </w:r>
      <w:r>
        <w:t xml:space="preserve"> </w:t>
      </w:r>
      <w:r>
        <w:t xml:space="preserve">Which basis applies to the identity feed depends on who maintains the records and where the HR platform runs, which is why the decision belongs to the privacy office and not to the project.</w:t>
      </w:r>
    </w:p>
    <w:p>
      <w:pPr>
        <w:pStyle w:val="BodyText"/>
      </w:pPr>
      <w:r>
        <w:t xml:space="preserve">The Senior Agency Official for Privacy has agency-wide responsibility and accountability for the privacy program, and OMB Circular A-130 requires agencies to limit the collection, use and disclosure of PII to what is legally authorized, relevant and reasonably deemed necessary.</w:t>
      </w:r>
      <w:r>
        <w:rPr>
          <w:rStyle w:val="FootnoteReference"/>
        </w:rPr>
        <w:footnoteReference w:id="364"/>
      </w:r>
      <w:r>
        <w:t xml:space="preserve"> </w:t>
      </w:r>
      <w:r>
        <w:t xml:space="preserve">NIST’s RMF gives the same official the review and approval of privacy plans before a system is authorized.</w:t>
      </w:r>
      <w:r>
        <w:rPr>
          <w:rStyle w:val="FootnoteReference"/>
        </w:rPr>
        <w:footnoteReference w:id="366"/>
      </w:r>
      <w:r>
        <w:t xml:space="preserve"> </w:t>
      </w:r>
      <w:r>
        <w:t xml:space="preserve">OMB’s guidance on privacy impact assessments lists, among the changes that need a new or updated PIA, merging or matching databases that hold identifiable information and business-process changes that create significant new uses or disclosures.</w:t>
      </w:r>
      <w:r>
        <w:rPr>
          <w:rStyle w:val="FootnoteReference"/>
        </w:rPr>
        <w:footnoteReference w:id="367"/>
      </w:r>
      <w:r>
        <w:t xml:space="preserve"> </w:t>
      </w:r>
      <w:r>
        <w:t xml:space="preserve">An HR-to-directory feed does both. In the program’s model, the privacy office decides the basis, approves the minimized attribute set and the PIA, and is consulted on every schema change that adds an attribute. It is brought in at Phase 1 (Chapter 12), because the timelines above can’t be compressed at go-live.</w:t>
      </w:r>
    </w:p>
    <w:bookmarkEnd w:id="369"/>
    <w:bookmarkStart w:id="374" w:name="the-piv-and-credentialing-office"/>
    <w:p>
      <w:pPr>
        <w:pStyle w:val="Heading3"/>
      </w:pPr>
      <w:r>
        <w:t xml:space="preserve">The PIV and credentialing office</w:t>
      </w:r>
    </w:p>
    <w:p>
      <w:pPr>
        <w:pStyle w:val="FirstParagraph"/>
      </w:pPr>
      <w:r>
        <w:t xml:space="preserve">The PIV office runs the credential that most federal workforce users sign in with (Chapter 09). FIPS 201-3 requires that a credential be issued only after a proper authority has authorized it, the individual’s identity has been verified and the individual has been vetted, and that identity proofing, registration, issuance and reissuance follow the principle of separation of duties, so that no single individual can issue a PIV card without the cooperation of another authorized person.</w:t>
      </w:r>
      <w:r>
        <w:rPr>
          <w:rStyle w:val="FootnoteReference"/>
        </w:rPr>
        <w:footnoteReference w:id="370"/>
      </w:r>
      <w:r>
        <w:t xml:space="preserve"> </w:t>
      </w:r>
      <w:r>
        <w:t xml:space="preserve">NIST’s issuer guideline names the processes an issuer has to run: sponsorship, identity proofing and registration, adjudication, card production, activation and issuance, and maintenance.</w:t>
      </w:r>
      <w:r>
        <w:rPr>
          <w:rStyle w:val="FootnoteReference"/>
        </w:rPr>
        <w:footnoteReference w:id="371"/>
      </w:r>
      <w:r>
        <w:t xml:space="preserve"> </w:t>
      </w:r>
      <w:r>
        <w:t xml:space="preserve">Many agencies staff them as separate sponsor, registrar and issuer roles. That staffing is agency practice: FIPS 201-3 itself states a separation-of-duties requirement, not a list of named roles, and NIST’s issuer guideline expects the roles and responsibilities to be described in the issuer’s operations plan.</w:t>
      </w:r>
      <w:r>
        <w:rPr>
          <w:rStyle w:val="FootnoteReference"/>
        </w:rPr>
        <w:footnoteReference w:id="372"/>
      </w:r>
    </w:p>
    <w:p>
      <w:pPr>
        <w:pStyle w:val="BodyText"/>
      </w:pPr>
      <w:r>
        <w:t xml:space="preserve">The PIV office also owns termination. FIPS 201-3 requires termination when, for example, an employee separates or a contractor changes positions and no longer needs access, and requires the normal termination procedures for a card that can’t be collected to be completed within 18 hours of notification.</w:t>
      </w:r>
      <w:r>
        <w:rPr>
          <w:rStyle w:val="FootnoteReference"/>
        </w:rPr>
        <w:footnoteReference w:id="373"/>
      </w:r>
      <w:r>
        <w:t xml:space="preserve"> </w:t>
      </w:r>
      <w:r>
        <w:t xml:space="preserve">That clock starts with a notification, and in HR-driven identity the notification is the separation record. The PIV office decides how its card management system receives it; security owns the leaver sequence it is part of.</w:t>
      </w:r>
    </w:p>
    <w:bookmarkEnd w:id="374"/>
    <w:bookmarkStart w:id="378" w:name="the-isso-and-the-authorizing-official"/>
    <w:p>
      <w:pPr>
        <w:pStyle w:val="Heading3"/>
      </w:pPr>
      <w:r>
        <w:t xml:space="preserve">The ISSO and the authorizing official</w:t>
      </w:r>
    </w:p>
    <w:p>
      <w:pPr>
        <w:pStyle w:val="FirstParagraph"/>
      </w:pPr>
      <w:r>
        <w:t xml:space="preserve">The feed, the middleware and the directories sit inside an authorization boundary. The system security officer keeps that system’s security posture in place day to day and advises on its controls; the authorizing official is the only organizational official who can accept security and privacy risk on the organization’s behalf, and approves memorandums of agreement or understanding.</w:t>
      </w:r>
      <w:r>
        <w:rPr>
          <w:rStyle w:val="FootnoteReference"/>
        </w:rPr>
        <w:footnoteReference w:id="375"/>
      </w:r>
      <w:r>
        <w:t xml:space="preserve"> </w:t>
      </w:r>
      <w:r>
        <w:t xml:space="preserve">NIST SP 800-47 Rev. 1 covers the agreements that govern an information exchange between systems,</w:t>
      </w:r>
      <w:r>
        <w:rPr>
          <w:rStyle w:val="FootnoteReference"/>
        </w:rPr>
        <w:footnoteReference w:id="376"/>
      </w:r>
      <w:r>
        <w:t xml:space="preserve"> </w:t>
      </w:r>
      <w:r>
        <w:t xml:space="preserve">which is what the interconnection with Core HCM is. In the program’s model the ISSO owns the evidence (Chapter 11 and the Appendix B checklist) and the phase gates (Chapter 12), and the authorizing official decides the residual risks the program carries instead of removing: a population left on tickets, a leaver threshold looser than the policy, a contractor source still keyed by hand.</w:t>
      </w:r>
    </w:p>
    <w:bookmarkEnd w:id="378"/>
    <w:bookmarkEnd w:id="379"/>
    <w:bookmarkStart w:id="389" w:name="X2a48a441ecee36e52c99767f374c6d43bd4b7d2"/>
    <w:p>
      <w:pPr>
        <w:pStyle w:val="Heading2"/>
      </w:pPr>
      <w:bookmarkStart w:id="850" w:name="_Toc00000850"/>
      <w:r>
        <w:t xml:space="preserve">The data architect: one model, one key, one owner per attribute</w:t>
      </w:r>
      <w:bookmarkEnd w:id="850"/>
    </w:p>
    <w:p>
      <w:pPr>
        <w:pStyle w:val="FirstParagraph"/>
      </w:pPr>
      <w:r>
        <w:t xml:space="preserve">Every role above owns part of the picture. The</w:t>
      </w:r>
      <w:r>
        <w:t xml:space="preserve"> </w:t>
      </w:r>
      <w:r>
        <w:rPr>
          <w:b/>
          <w:bCs/>
        </w:rPr>
        <w:t xml:space="preserve">enterprise data architect</w:t>
      </w:r>
      <w:r>
        <w:t xml:space="preserve"> </w:t>
      </w:r>
      <w:r>
        <w:t xml:space="preserve">is the role that keeps the parts consistent: the steward of the canonical workforce identity model rather than the owner of any value in it. NIST describes enterprise architects as building a holistic view of the organization’s missions, processes, information and IT assets,</w:t>
      </w:r>
      <w:r>
        <w:rPr>
          <w:rStyle w:val="FootnoteReference"/>
        </w:rPr>
        <w:footnoteReference w:id="380"/>
      </w:r>
      <w:r>
        <w:t xml:space="preserve"> </w:t>
      </w:r>
      <w:r>
        <w:t xml:space="preserve">and OMB describes agency data governance as a shared activity among many data stewards, convened by the Chief Data Officer through the agency’s Data Governance Body.</w:t>
      </w:r>
      <w:r>
        <w:rPr>
          <w:rStyle w:val="FootnoteReference"/>
        </w:rPr>
        <w:footnoteReference w:id="381"/>
      </w:r>
      <w:r>
        <w:t xml:space="preserve"> </w:t>
      </w:r>
      <w:r>
        <w:t xml:space="preserve">The program places the workforce identity model under that body, so the person model and its attributes become a governed data asset like any other.</w:t>
      </w:r>
    </w:p>
    <w:p>
      <w:pPr>
        <w:pStyle w:val="BodyText"/>
      </w:pPr>
      <w:r>
        <w:t xml:space="preserve">The architect’s job reduces to four rules:</w:t>
      </w:r>
    </w:p>
    <w:p>
      <w:pPr>
        <w:pStyle w:val="Compact"/>
        <w:numPr>
          <w:ilvl w:val="0"/>
          <w:numId w:val="1027"/>
        </w:numPr>
      </w:pPr>
      <w:r>
        <w:rPr>
          <w:b/>
          <w:bCs/>
        </w:rPr>
        <w:t xml:space="preserve">One name.</w:t>
      </w:r>
      <w:r>
        <w:t xml:space="preserve"> </w:t>
      </w:r>
      <w:r>
        <w:t xml:space="preserve">Each attribute has one canonical name in the model and one mapped carrier in each system (Chapter 06).</w:t>
      </w:r>
      <w:r>
        <w:t xml:space="preserve"> </w:t>
      </w:r>
      <w:r>
        <w:t xml:space="preserve">“Org code,”</w:t>
      </w:r>
      <w:r>
        <w:t xml:space="preserve"> </w:t>
      </w:r>
      <w:r>
        <w:t xml:space="preserve">“department ID”</w:t>
      </w:r>
      <w:r>
        <w:t xml:space="preserve"> </w:t>
      </w:r>
      <w:r>
        <w:t xml:space="preserve">and</w:t>
      </w:r>
      <w:r>
        <w:t xml:space="preserve"> </w:t>
      </w:r>
      <w:r>
        <w:rPr>
          <w:rStyle w:val="VerbatimChar"/>
        </w:rPr>
        <w:t xml:space="preserve">extensionAttribute10</w:t>
      </w:r>
      <w:r>
        <w:t xml:space="preserve"> </w:t>
      </w:r>
      <w:r>
        <w:t xml:space="preserve">are one attribute, not three.</w:t>
      </w:r>
    </w:p>
    <w:p>
      <w:pPr>
        <w:pStyle w:val="Compact"/>
        <w:numPr>
          <w:ilvl w:val="0"/>
          <w:numId w:val="1027"/>
        </w:numPr>
      </w:pPr>
      <w:r>
        <w:rPr>
          <w:b/>
          <w:bCs/>
        </w:rPr>
        <w:t xml:space="preserve">One definition.</w:t>
      </w:r>
      <w:r>
        <w:t xml:space="preserve"> </w:t>
      </w:r>
      <w:r>
        <w:t xml:space="preserve">Each attribute has a written meaning, tied to the OPM standard element where one exists, with its allowed values.</w:t>
      </w:r>
    </w:p>
    <w:p>
      <w:pPr>
        <w:pStyle w:val="Compact"/>
        <w:numPr>
          <w:ilvl w:val="0"/>
          <w:numId w:val="1027"/>
        </w:numPr>
      </w:pPr>
      <w:r>
        <w:rPr>
          <w:b/>
          <w:bCs/>
        </w:rPr>
        <w:t xml:space="preserve">One accountable owner.</w:t>
      </w:r>
      <w:r>
        <w:t xml:space="preserve"> </w:t>
      </w:r>
      <w:r>
        <w:t xml:space="preserve">Each attribute has one office that can fix a wrong value, named by role so it survives turnover.</w:t>
      </w:r>
    </w:p>
    <w:p>
      <w:pPr>
        <w:pStyle w:val="Compact"/>
        <w:numPr>
          <w:ilvl w:val="0"/>
          <w:numId w:val="1027"/>
        </w:numPr>
      </w:pPr>
      <w:r>
        <w:rPr>
          <w:b/>
          <w:bCs/>
        </w:rPr>
        <w:t xml:space="preserve">One key.</w:t>
      </w:r>
      <w:r>
        <w:t xml:space="preserve"> </w:t>
      </w:r>
      <w:r>
        <w:t xml:space="preserve">The enterprise person key (Chapter 04) is the join for every source, account and credential. The architect keeps the identifier decision record; the ICAM governance body makes the decision.</w:t>
      </w:r>
    </w:p>
    <w:p>
      <w:pPr>
        <w:pStyle w:val="FirstParagraph"/>
      </w:pPr>
      <w:r>
        <w:t xml:space="preserve">Chapter 01 says no source field should drive access until the agency has approved its owner, meaning, values, quality expectations, correction path and permitted use. The architect turns that sentence into a record per attribute:</w:t>
      </w:r>
    </w:p>
    <w:p>
      <w:pPr>
        <w:pStyle w:val="TableCaption"/>
      </w:pPr>
      <w:r>
        <w:t xml:space="preserve">The ownership record for an attribute, with four examples (illustrative values)</w:t>
      </w:r>
    </w:p>
    <w:tbl>
      <w:tblPr>
        <w:tblStyle w:val="Table"/>
        <w:tblW w:type="pct" w:w="5000"/>
        <w:tblLayout w:type="fixed"/>
        <w:tblLook w:firstRow="1" w:lastRow="0" w:firstColumn="0" w:lastColumn="0" w:noHBand="0" w:noVBand="0" w:val="0020"/>
        <w:tblCaption w:val="The ownership record for an attribute, with four examples (illustrative values)"/>
      </w:tblPr>
      <w:tblGrid>
        <w:gridCol w:w="1584"/>
        <w:gridCol w:w="1584"/>
        <w:gridCol w:w="1584"/>
        <w:gridCol w:w="1584"/>
        <w:gridCol w:w="1584"/>
      </w:tblGrid>
      <w:tr>
        <w:trPr>
          <w:tblHeader w:val="on"/>
        </w:trPr>
        <w:tc>
          <w:tcPr/>
          <w:p>
            <w:pPr>
              <w:pStyle w:val="Compact"/>
            </w:pPr>
            <w:r>
              <w:t xml:space="preserve">Field</w:t>
            </w:r>
          </w:p>
        </w:tc>
        <w:tc>
          <w:tcPr/>
          <w:p>
            <w:pPr>
              <w:pStyle w:val="Compact"/>
            </w:pPr>
            <w:r>
              <w:t xml:space="preserve">Organization code</w:t>
            </w:r>
          </w:p>
        </w:tc>
        <w:tc>
          <w:tcPr/>
          <w:p>
            <w:pPr>
              <w:pStyle w:val="Compact"/>
            </w:pPr>
            <w:r>
              <w:t xml:space="preserve">Leave date</w:t>
            </w:r>
          </w:p>
        </w:tc>
        <w:tc>
          <w:tcPr/>
          <w:p>
            <w:pPr>
              <w:pStyle w:val="Compact"/>
            </w:pPr>
            <w:r>
              <w:t xml:space="preserve">Worker type</w:t>
            </w:r>
          </w:p>
        </w:tc>
        <w:tc>
          <w:tcPr/>
          <w:p>
            <w:pPr>
              <w:pStyle w:val="Compact"/>
            </w:pPr>
            <w:r>
              <w:t xml:space="preserve">Contractor sponsor</w:t>
            </w:r>
          </w:p>
        </w:tc>
      </w:tr>
      <w:tr>
        <w:tc>
          <w:tcPr/>
          <w:p>
            <w:pPr>
              <w:pStyle w:val="Compact"/>
            </w:pPr>
            <w:r>
              <w:t xml:space="preserve">Canonical name</w:t>
            </w:r>
          </w:p>
        </w:tc>
        <w:tc>
          <w:tcPr/>
          <w:p>
            <w:pPr>
              <w:pStyle w:val="Compact"/>
            </w:pPr>
            <w:r>
              <w:t xml:space="preserve">Organization code</w:t>
            </w:r>
          </w:p>
        </w:tc>
        <w:tc>
          <w:tcPr/>
          <w:p>
            <w:pPr>
              <w:pStyle w:val="Compact"/>
            </w:pPr>
            <w:r>
              <w:t xml:space="preserve">Leave date</w:t>
            </w:r>
          </w:p>
        </w:tc>
        <w:tc>
          <w:tcPr/>
          <w:p>
            <w:pPr>
              <w:pStyle w:val="Compact"/>
            </w:pPr>
            <w:r>
              <w:t xml:space="preserve">Worker type</w:t>
            </w:r>
          </w:p>
        </w:tc>
        <w:tc>
          <w:tcPr/>
          <w:p>
            <w:pPr>
              <w:pStyle w:val="Compact"/>
            </w:pPr>
            <w:r>
              <w:t xml:space="preserve">Accountable sponsor</w:t>
            </w:r>
          </w:p>
        </w:tc>
      </w:tr>
      <w:tr>
        <w:tc>
          <w:tcPr/>
          <w:p>
            <w:pPr>
              <w:pStyle w:val="Compact"/>
            </w:pPr>
            <w:r>
              <w:t xml:space="preserve">Definition and values</w:t>
            </w:r>
          </w:p>
        </w:tc>
        <w:tc>
          <w:tcPr/>
          <w:p>
            <w:pPr>
              <w:pStyle w:val="Compact"/>
            </w:pPr>
            <w:r>
              <w:t xml:space="preserve">The OPM-standard organizational code for the assignment; HR’s code list</w:t>
            </w:r>
          </w:p>
        </w:tc>
        <w:tc>
          <w:tcPr/>
          <w:p>
            <w:pPr>
              <w:pStyle w:val="Compact"/>
            </w:pPr>
            <w:r>
              <w:t xml:space="preserve">Effective date and time of separation or engagement end</w:t>
            </w:r>
          </w:p>
        </w:tc>
        <w:tc>
          <w:tcPr/>
          <w:p>
            <w:pPr>
              <w:pStyle w:val="Compact"/>
            </w:pPr>
            <w:r>
              <w:t xml:space="preserve">Employee, contractor, intern, volunteer, vendor, external; the agency’s taxonomy</w:t>
            </w:r>
          </w:p>
        </w:tc>
        <w:tc>
          <w:tcPr/>
          <w:p>
            <w:pPr>
              <w:pStyle w:val="Compact"/>
            </w:pPr>
            <w:r>
              <w:t xml:space="preserve">The federal employee accountable for the engagement</w:t>
            </w:r>
          </w:p>
        </w:tc>
      </w:tr>
      <w:tr>
        <w:tc>
          <w:tcPr/>
          <w:p>
            <w:pPr>
              <w:pStyle w:val="Compact"/>
            </w:pPr>
            <w:r>
              <w:t xml:space="preserve">Authoritative source</w:t>
            </w:r>
          </w:p>
        </w:tc>
        <w:tc>
          <w:tcPr/>
          <w:p>
            <w:pPr>
              <w:pStyle w:val="Compact"/>
            </w:pPr>
            <w:r>
              <w:t xml:space="preserve">Core HCM assignment</w:t>
            </w:r>
          </w:p>
        </w:tc>
        <w:tc>
          <w:tcPr/>
          <w:p>
            <w:pPr>
              <w:pStyle w:val="Compact"/>
            </w:pPr>
            <w:r>
              <w:t xml:space="preserve">Core HCM separation action; contract record for contractors</w:t>
            </w:r>
          </w:p>
        </w:tc>
        <w:tc>
          <w:tcPr/>
          <w:p>
            <w:pPr>
              <w:pStyle w:val="Compact"/>
            </w:pPr>
            <w:r>
              <w:t xml:space="preserve">Core HCM worker record; contractor source</w:t>
            </w:r>
          </w:p>
        </w:tc>
        <w:tc>
          <w:tcPr/>
          <w:p>
            <w:pPr>
              <w:pStyle w:val="Compact"/>
            </w:pPr>
            <w:r>
              <w:t xml:space="preserve">Contractor source, as a reference into HR</w:t>
            </w:r>
          </w:p>
        </w:tc>
      </w:tr>
      <w:tr>
        <w:tc>
          <w:tcPr/>
          <w:p>
            <w:pPr>
              <w:pStyle w:val="Compact"/>
            </w:pPr>
            <w:r>
              <w:t xml:space="preserve">Owner (fixes it)</w:t>
            </w:r>
          </w:p>
        </w:tc>
        <w:tc>
          <w:tcPr/>
          <w:p>
            <w:pPr>
              <w:pStyle w:val="Compact"/>
            </w:pPr>
            <w:r>
              <w:t xml:space="preserve">HR</w:t>
            </w:r>
          </w:p>
        </w:tc>
        <w:tc>
          <w:tcPr/>
          <w:p>
            <w:pPr>
              <w:pStyle w:val="Compact"/>
            </w:pPr>
            <w:r>
              <w:t xml:space="preserve">HR; contracting for contractors</w:t>
            </w:r>
          </w:p>
        </w:tc>
        <w:tc>
          <w:tcPr/>
          <w:p>
            <w:pPr>
              <w:pStyle w:val="Compact"/>
            </w:pPr>
            <w:r>
              <w:t xml:space="preserve">HR; contracting for contractors</w:t>
            </w:r>
          </w:p>
        </w:tc>
        <w:tc>
          <w:tcPr/>
          <w:p>
            <w:pPr>
              <w:pStyle w:val="Compact"/>
            </w:pPr>
            <w:r>
              <w:t xml:space="preserve">Contracting (the COR)</w:t>
            </w:r>
          </w:p>
        </w:tc>
      </w:tr>
      <w:tr>
        <w:tc>
          <w:tcPr/>
          <w:p>
            <w:pPr>
              <w:pStyle w:val="Compact"/>
            </w:pPr>
            <w:r>
              <w:t xml:space="preserve">Quality expectation</w:t>
            </w:r>
          </w:p>
        </w:tc>
        <w:tc>
          <w:tcPr/>
          <w:p>
            <w:pPr>
              <w:pStyle w:val="Compact"/>
            </w:pPr>
            <w:r>
              <w:t xml:space="preserve">Matches the assignment of record</w:t>
            </w:r>
          </w:p>
        </w:tc>
        <w:tc>
          <w:tcPr/>
          <w:p>
            <w:pPr>
              <w:pStyle w:val="Compact"/>
            </w:pPr>
            <w:r>
              <w:t xml:space="preserve">Recorded before the effective date</w:t>
            </w:r>
          </w:p>
        </w:tc>
        <w:tc>
          <w:tcPr/>
          <w:p>
            <w:pPr>
              <w:pStyle w:val="Compact"/>
            </w:pPr>
            <w:r>
              <w:t xml:space="preserve">Matches the appointment or contract</w:t>
            </w:r>
          </w:p>
        </w:tc>
        <w:tc>
          <w:tcPr/>
          <w:p>
            <w:pPr>
              <w:pStyle w:val="Compact"/>
            </w:pPr>
            <w:r>
              <w:t xml:space="preserve">Recertified on the agreed cycle</w:t>
            </w:r>
          </w:p>
        </w:tc>
      </w:tr>
      <w:tr>
        <w:tc>
          <w:tcPr/>
          <w:p>
            <w:pPr>
              <w:pStyle w:val="Compact"/>
            </w:pPr>
            <w:r>
              <w:t xml:space="preserve">Writer in Entra ID and AD</w:t>
            </w:r>
          </w:p>
        </w:tc>
        <w:tc>
          <w:tcPr/>
          <w:p>
            <w:pPr>
              <w:pStyle w:val="Compact"/>
            </w:pPr>
            <w:r>
              <w:t xml:space="preserve">Provisioning service only</w:t>
            </w:r>
          </w:p>
        </w:tc>
        <w:tc>
          <w:tcPr/>
          <w:p>
            <w:pPr>
              <w:pStyle w:val="Compact"/>
            </w:pPr>
            <w:r>
              <w:t xml:space="preserve">Provisioning service only</w:t>
            </w:r>
          </w:p>
        </w:tc>
        <w:tc>
          <w:tcPr/>
          <w:p>
            <w:pPr>
              <w:pStyle w:val="Compact"/>
            </w:pPr>
            <w:r>
              <w:t xml:space="preserve">Provisioning service only</w:t>
            </w:r>
          </w:p>
        </w:tc>
        <w:tc>
          <w:tcPr/>
          <w:p>
            <w:pPr>
              <w:pStyle w:val="Compact"/>
            </w:pPr>
            <w:r>
              <w:t xml:space="preserve">Provisioning service only (as</w:t>
            </w:r>
            <w:r>
              <w:t xml:space="preserve"> </w:t>
            </w:r>
            <w:r>
              <w:rPr>
                <w:rStyle w:val="VerbatimChar"/>
              </w:rPr>
              <w:t xml:space="preserve">manager</w:t>
            </w:r>
            <w:r>
              <w:t xml:space="preserve">)</w:t>
            </w:r>
          </w:p>
        </w:tc>
      </w:tr>
      <w:tr>
        <w:tc>
          <w:tcPr/>
          <w:p>
            <w:pPr>
              <w:pStyle w:val="Compact"/>
            </w:pPr>
            <w:r>
              <w:t xml:space="preserve">Permitted use</w:t>
            </w:r>
          </w:p>
        </w:tc>
        <w:tc>
          <w:tcPr/>
          <w:p>
            <w:pPr>
              <w:pStyle w:val="Compact"/>
            </w:pPr>
            <w:r>
              <w:t xml:space="preserve">Access targeting, scoping, reporting</w:t>
            </w:r>
          </w:p>
        </w:tc>
        <w:tc>
          <w:tcPr/>
          <w:p>
            <w:pPr>
              <w:pStyle w:val="Compact"/>
            </w:pPr>
            <w:r>
              <w:t xml:space="preserve">Leaver workflow trigger</w:t>
            </w:r>
          </w:p>
        </w:tc>
        <w:tc>
          <w:tcPr/>
          <w:p>
            <w:pPr>
              <w:pStyle w:val="Compact"/>
            </w:pPr>
            <w:r>
              <w:t xml:space="preserve">Policy baseline, license, access ceiling</w:t>
            </w:r>
          </w:p>
        </w:tc>
        <w:tc>
          <w:tcPr/>
          <w:p>
            <w:pPr>
              <w:pStyle w:val="Compact"/>
            </w:pPr>
            <w:r>
              <w:t xml:space="preserve">Approvals, reviews, recertification</w:t>
            </w:r>
          </w:p>
        </w:tc>
      </w:tr>
      <w:tr>
        <w:tc>
          <w:tcPr/>
          <w:p>
            <w:pPr>
              <w:pStyle w:val="Compact"/>
            </w:pPr>
            <w:r>
              <w:t xml:space="preserve">Privacy approval</w:t>
            </w:r>
          </w:p>
        </w:tc>
        <w:tc>
          <w:tcPr/>
          <w:p>
            <w:pPr>
              <w:pStyle w:val="Compact"/>
            </w:pPr>
            <w:r>
              <w:t xml:space="preserve">In the minimized set</w:t>
            </w:r>
          </w:p>
        </w:tc>
        <w:tc>
          <w:tcPr/>
          <w:p>
            <w:pPr>
              <w:pStyle w:val="Compact"/>
            </w:pPr>
            <w:r>
              <w:t xml:space="preserve">In the minimized set</w:t>
            </w:r>
          </w:p>
        </w:tc>
        <w:tc>
          <w:tcPr/>
          <w:p>
            <w:pPr>
              <w:pStyle w:val="Compact"/>
            </w:pPr>
            <w:r>
              <w:t xml:space="preserve">In the minimized set</w:t>
            </w:r>
          </w:p>
        </w:tc>
        <w:tc>
          <w:tcPr/>
          <w:p>
            <w:pPr>
              <w:pStyle w:val="Compact"/>
            </w:pPr>
            <w:r>
              <w:t xml:space="preserve">In the minimized set</w:t>
            </w:r>
          </w:p>
        </w:tc>
      </w:tr>
    </w:tbl>
    <w:bookmarkStart w:id="386" w:name="fig-ch07-attribute-ownership-chain"/>
    <w:p>
      <w:pPr>
        <w:pStyle w:val="CaptionedFigure"/>
      </w:pPr>
      <w:r>
        <w:drawing>
          <wp:inline>
            <wp:extent cx="3609725" cy="5687472"/>
            <wp:effectExtent b="0" l="0" r="0" t="0"/>
            <wp:docPr descr="The ownership chain for one attribute: the OPM standard defines the element, HR owns each person’s value and its quality, the data architect stewards the name and definition, the provisioning service is the only writer, and consumers only read; corrections flow back to the owner." title="" id="384" name="Picture"/>
            <a:graphic>
              <a:graphicData uri="http://schemas.openxmlformats.org/drawingml/2006/picture">
                <pic:pic>
                  <pic:nvPicPr>
                    <pic:cNvPr descr="/home/runner/work/modernization-workbook/modernization-workbook/docs/images/diagrams/b03-hr-identity/png/ch07-attribute-ownership-chain.png" id="385" name="Picture"/>
                    <pic:cNvPicPr>
                      <a:picLocks noChangeArrowheads="1" noChangeAspect="1"/>
                    </pic:cNvPicPr>
                  </pic:nvPicPr>
                  <pic:blipFill>
                    <a:blip r:embed="rId383"/>
                    <a:stretch>
                      <a:fillRect/>
                    </a:stretch>
                  </pic:blipFill>
                  <pic:spPr bwMode="auto">
                    <a:xfrm>
                      <a:off x="0" y="0"/>
                      <a:ext cx="3609725" cy="5687472"/>
                    </a:xfrm>
                    <a:prstGeom prst="rect">
                      <a:avLst/>
                    </a:prstGeom>
                    <a:noFill/>
                    <a:ln w="9525">
                      <a:noFill/>
                      <a:headEnd/>
                      <a:tailEnd/>
                    </a:ln>
                  </pic:spPr>
                </pic:pic>
              </a:graphicData>
            </a:graphic>
          </wp:inline>
        </w:drawing>
      </w:r>
    </w:p>
    <w:p>
      <w:pPr>
        <w:pStyle w:val="ImageCaption"/>
      </w:pPr>
      <w:r>
        <w:t xml:space="preserve">The ownership chain for one attribute: the OPM standard defines the element, HR owns each person’s value and its quality, the data architect stewards the name and definition, the provisioning service is the only writer, and consumers only read; corrections flow back to the owner.</w:t>
      </w:r>
    </w:p>
    <w:bookmarkEnd w:id="386"/>
    <w:p>
      <w:pPr>
        <w:pStyle w:val="BodyText"/>
      </w:pPr>
      <w:r>
        <w:t xml:space="preserve">The record is what makes the operating rules of Chapter 04 enforceable.</w:t>
      </w:r>
      <w:r>
        <w:t xml:space="preserve"> </w:t>
      </w:r>
      <w:r>
        <w:t xml:space="preserve">“Corrections flow upstream”</w:t>
      </w:r>
      <w:r>
        <w:t xml:space="preserve"> </w:t>
      </w:r>
      <w:r>
        <w:t xml:space="preserve">needs an upstream with a name.</w:t>
      </w:r>
      <w:r>
        <w:t xml:space="preserve"> </w:t>
      </w:r>
      <w:r>
        <w:t xml:space="preserve">“No manual edits to HR-derived attributes”</w:t>
      </w:r>
      <w:r>
        <w:t xml:space="preserve"> </w:t>
      </w:r>
      <w:r>
        <w:t xml:space="preserve">needs a list of which attributes those are and who the one writer is. Microsoft’s guidance makes the same point from the other direction: before an attribute is used in a dynamic membership rule, review who can write it, in Entra ID and in any source directory, and restrict self-service write access to attributes used in security-sensitive groups.</w:t>
      </w:r>
      <w:r>
        <w:rPr>
          <w:rStyle w:val="FootnoteReference"/>
        </w:rPr>
        <w:footnoteReference w:id="387"/>
      </w:r>
    </w:p>
    <w:bookmarkEnd w:id="389"/>
    <w:bookmarkStart w:id="390" w:name="the-responsibility-matrix"/>
    <w:p>
      <w:pPr>
        <w:pStyle w:val="Heading2"/>
      </w:pPr>
      <w:bookmarkStart w:id="851" w:name="_Toc00000851"/>
      <w:r>
        <w:t xml:space="preserve">The responsibility matrix</w:t>
      </w:r>
      <w:bookmarkEnd w:id="851"/>
    </w:p>
    <w:p>
      <w:pPr>
        <w:pStyle w:val="FirstParagraph"/>
      </w:pPr>
      <w:r>
        <w:t xml:space="preserve">The matrix is the program’s recommended model, using the same convention as Book 02: each decision has exactly one decider. Adapt the columns to the agency’s structure, but keep that rule.</w:t>
      </w:r>
    </w:p>
    <w:p>
      <w:pPr>
        <w:pStyle w:val="BodyText"/>
      </w:pPr>
      <w:r>
        <w:t xml:space="preserve">D = decides (accountable) · R = does the work · C = consulted · blank = informed at most.</w:t>
      </w:r>
      <w:r>
        <w:t xml:space="preserve"> </w:t>
      </w:r>
      <w:r>
        <w:t xml:space="preserve">“Gov. body”</w:t>
      </w:r>
      <w:r>
        <w:t xml:space="preserve"> </w:t>
      </w:r>
      <w:r>
        <w:t xml:space="preserve">is the agency’s ICAM governance structure under OMB M-19-17, chaired by the program’s executive sponsor.</w:t>
      </w:r>
    </w:p>
    <w:p>
      <w:pPr>
        <w:pStyle w:val="TableCaption"/>
      </w:pPr>
      <w:r>
        <w:t xml:space="preserve">Who decides, who does the work and who is consulted</w:t>
      </w:r>
    </w:p>
    <w:tbl>
      <w:tblPr>
        <w:tblStyle w:val="Table"/>
        <w:tblW w:type="pct" w:w="5000"/>
        <w:tblLayout w:type="fixed"/>
        <w:tblLook w:firstRow="1" w:lastRow="0" w:firstColumn="0" w:lastColumn="0" w:noHBand="0" w:noVBand="0" w:val="0020"/>
        <w:tblCaption w:val="Who decides, who does the work and who is consulted"/>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Decision or work item</w:t>
            </w:r>
          </w:p>
        </w:tc>
        <w:tc>
          <w:tcPr/>
          <w:p>
            <w:pPr>
              <w:pStyle w:val="Compact"/>
            </w:pPr>
            <w:r>
              <w:t xml:space="preserve">Gov. body</w:t>
            </w:r>
          </w:p>
        </w:tc>
        <w:tc>
          <w:tcPr/>
          <w:p>
            <w:pPr>
              <w:pStyle w:val="Compact"/>
            </w:pPr>
            <w:r>
              <w:t xml:space="preserve">HR</w:t>
            </w:r>
          </w:p>
        </w:tc>
        <w:tc>
          <w:tcPr/>
          <w:p>
            <w:pPr>
              <w:pStyle w:val="Compact"/>
            </w:pPr>
            <w:r>
              <w:t xml:space="preserve">Data arch.</w:t>
            </w:r>
          </w:p>
        </w:tc>
        <w:tc>
          <w:tcPr/>
          <w:p>
            <w:pPr>
              <w:pStyle w:val="Compact"/>
            </w:pPr>
            <w:r>
              <w:t xml:space="preserve">Identity eng.</w:t>
            </w:r>
          </w:p>
        </w:tc>
        <w:tc>
          <w:tcPr/>
          <w:p>
            <w:pPr>
              <w:pStyle w:val="Compact"/>
            </w:pPr>
            <w:r>
              <w:t xml:space="preserve">Security</w:t>
            </w:r>
          </w:p>
        </w:tc>
        <w:tc>
          <w:tcPr/>
          <w:p>
            <w:pPr>
              <w:pStyle w:val="Compact"/>
            </w:pPr>
            <w:r>
              <w:t xml:space="preserve">Privacy</w:t>
            </w:r>
          </w:p>
        </w:tc>
        <w:tc>
          <w:tcPr/>
          <w:p>
            <w:pPr>
              <w:pStyle w:val="Compact"/>
            </w:pPr>
            <w:r>
              <w:t xml:space="preserve">PIV office</w:t>
            </w:r>
          </w:p>
        </w:tc>
        <w:tc>
          <w:tcPr/>
          <w:p>
            <w:pPr>
              <w:pStyle w:val="Compact"/>
            </w:pPr>
            <w:r>
              <w:t xml:space="preserve">Contracting</w:t>
            </w:r>
          </w:p>
        </w:tc>
        <w:tc>
          <w:tcPr/>
          <w:p>
            <w:pPr>
              <w:pStyle w:val="Compact"/>
            </w:pPr>
            <w:r>
              <w:t xml:space="preserve">ISSO</w:t>
            </w:r>
          </w:p>
        </w:tc>
        <w:tc>
          <w:tcPr/>
          <w:p>
            <w:pPr>
              <w:pStyle w:val="Compact"/>
            </w:pPr>
            <w:r>
              <w:t xml:space="preserve">AO</w:t>
            </w:r>
          </w:p>
        </w:tc>
        <w:tc>
          <w:tcPr/>
          <w:p>
            <w:pPr>
              <w:pStyle w:val="Compact"/>
            </w:pPr>
            <w:r>
              <w:t xml:space="preserve">Help desk</w:t>
            </w:r>
          </w:p>
        </w:tc>
        <w:tc>
          <w:tcPr/>
          <w:p>
            <w:pPr>
              <w:pStyle w:val="Compact"/>
            </w:pPr>
            <w:r>
              <w:t xml:space="preserve">App owners</w:t>
            </w:r>
          </w:p>
        </w:tc>
      </w:tr>
      <w:tr>
        <w:tc>
          <w:tcPr/>
          <w:p>
            <w:pPr>
              <w:pStyle w:val="Compact"/>
            </w:pPr>
            <w:r>
              <w:t xml:space="preserve">Who owns each attribute (the authority map)</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Meaning, values and code lists of an HR-mastered attribute</w:t>
            </w:r>
          </w:p>
        </w:tc>
        <w:tc>
          <w:tcPr/>
          <w:p>
            <w:pPr>
              <w:pStyle w:val="Compact"/>
            </w:pP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C</w:t>
            </w:r>
          </w:p>
        </w:tc>
      </w:tr>
      <w:tr>
        <w:tc>
          <w:tcPr/>
          <w:p>
            <w:pPr>
              <w:pStyle w:val="Compact"/>
            </w:pPr>
            <w:r>
              <w:t xml:space="preserve">Enterprise person key (the identifier decision)</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Canonical schema and crosswalk changes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Privacy basis, PIA and the minimized attribute set</w:t>
            </w: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Provisioning rules: scoping, matching, mappings, UPN generation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Write permissions on HR-mastered attributes</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Access rules for an application (dynamic groups, access packages)</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r>
      <w:tr>
        <w:tc>
          <w:tcPr/>
          <w:p>
            <w:pPr>
              <w:pStyle w:val="Compact"/>
            </w:pPr>
            <w:r>
              <w:t xml:space="preserve">Leaver timing: block threshold, schedule interval, grace periods</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Contractor source and one authority per fact</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Contractor sponsorship and end-date attestation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PIV issuance and termination procedures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Exception process and its service levels (quarantine, emergency termination)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p>
        </w:tc>
      </w:tr>
      <w:tr>
        <w:tc>
          <w:tcPr/>
          <w:p>
            <w:pPr>
              <w:pStyle w:val="Compact"/>
            </w:pPr>
            <w:r>
              <w:t xml:space="preserve">Fix a data error in an employee record</w:t>
            </w: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r>
      <w:tr>
        <w:tc>
          <w:tcPr/>
          <w:p>
            <w:pPr>
              <w:pStyle w:val="Compact"/>
            </w:pPr>
            <w:r>
              <w:t xml:space="preserve">Agency side of the Core HCM interconnection</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Authorize the feed and accept residual risk</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r>
    </w:tbl>
    <w:p>
      <w:pPr>
        <w:pStyle w:val="BodyText"/>
      </w:pPr>
      <w:r>
        <w:t xml:space="preserve">Four rows need comment. The authority map, the person key and the contractor source sit with the governance body because each one binds several offices at once, and no single office can impose it on the others. Schema changes sit with the data architect, but a change that adds an attribute also goes through the privacy row before it ships. Leaver timing sits with security because it is a security policy parameter, but the authorizing official is consulted, because a threshold looser than policy is a risk acceptance. And a data error in a contractor record follows the same pattern as the employee row, with contracting in HR’s place.</w:t>
      </w:r>
    </w:p>
    <w:p>
      <w:pPr>
        <w:pStyle w:val="BodyText"/>
      </w:pPr>
      <w:r>
        <w:t xml:space="preserve">The matrix sets decision rights. Chapter 12’s roles table lists who does each phase’s work, and the two should be read together.</w:t>
      </w:r>
    </w:p>
    <w:bookmarkEnd w:id="390"/>
    <w:bookmarkStart w:id="391" w:name="Xf9aa6c7c6189d71e6b929be4718af5e9057a848"/>
    <w:p>
      <w:pPr>
        <w:pStyle w:val="Heading2"/>
      </w:pPr>
      <w:bookmarkStart w:id="852" w:name="_Toc00000852"/>
      <w:r>
        <w:t xml:space="preserve">Where ownership fails, and how the program prevents it</w:t>
      </w:r>
      <w:bookmarkEnd w:id="852"/>
    </w:p>
    <w:p>
      <w:pPr>
        <w:pStyle w:val="TableCaption"/>
      </w:pPr>
      <w:r>
        <w:t xml:space="preserve">Common ownership failures and the program’s countermeasures</w:t>
      </w:r>
    </w:p>
    <w:tbl>
      <w:tblPr>
        <w:tblStyle w:val="Table"/>
        <w:tblW w:type="pct" w:w="5000"/>
        <w:tblLayout w:type="fixed"/>
        <w:tblLook w:firstRow="1" w:lastRow="0" w:firstColumn="0" w:lastColumn="0" w:noHBand="0" w:noVBand="0" w:val="0020"/>
        <w:tblCaption w:val="Common ownership failures and the program’s countermeasures"/>
      </w:tblPr>
      <w:tblGrid>
        <w:gridCol w:w="2640"/>
        <w:gridCol w:w="2640"/>
        <w:gridCol w:w="2640"/>
      </w:tblGrid>
      <w:tr>
        <w:trPr>
          <w:tblHeader w:val="on"/>
        </w:trPr>
        <w:tc>
          <w:tcPr/>
          <w:p>
            <w:pPr>
              <w:pStyle w:val="Compact"/>
            </w:pPr>
            <w:r>
              <w:t xml:space="preserve">How it fails</w:t>
            </w:r>
          </w:p>
        </w:tc>
        <w:tc>
          <w:tcPr/>
          <w:p>
            <w:pPr>
              <w:pStyle w:val="Compact"/>
            </w:pPr>
            <w:r>
              <w:t xml:space="preserve">What it looks like</w:t>
            </w:r>
          </w:p>
        </w:tc>
        <w:tc>
          <w:tcPr/>
          <w:p>
            <w:pPr>
              <w:pStyle w:val="Compact"/>
            </w:pPr>
            <w:r>
              <w:t xml:space="preserve">What the program does</w:t>
            </w:r>
          </w:p>
        </w:tc>
      </w:tr>
      <w:tr>
        <w:tc>
          <w:tcPr/>
          <w:p>
            <w:pPr>
              <w:pStyle w:val="Compact"/>
            </w:pPr>
            <w:r>
              <w:t xml:space="preserve">Ownership by console</w:t>
            </w:r>
          </w:p>
        </w:tc>
        <w:tc>
          <w:tcPr/>
          <w:p>
            <w:pPr>
              <w:pStyle w:val="Compact"/>
            </w:pPr>
            <w:r>
              <w:t xml:space="preserve">The directory team fixes a wrong title because it can; the HR record stays wrong and the next sync overwrites the fix, or doesn’t</w:t>
            </w:r>
          </w:p>
        </w:tc>
        <w:tc>
          <w:tcPr/>
          <w:p>
            <w:pPr>
              <w:pStyle w:val="Compact"/>
            </w:pPr>
            <w:r>
              <w:t xml:space="preserve">One writer per attribute; any other write is drift (Chapter 11); corrections go to the named owner</w:t>
            </w:r>
          </w:p>
        </w:tc>
      </w:tr>
      <w:tr>
        <w:tc>
          <w:tcPr/>
          <w:p>
            <w:pPr>
              <w:pStyle w:val="Compact"/>
            </w:pPr>
            <w:r>
              <w:t xml:space="preserve">An owner without the means</w:t>
            </w:r>
          </w:p>
        </w:tc>
        <w:tc>
          <w:tcPr/>
          <w:p>
            <w:pPr>
              <w:pStyle w:val="Compact"/>
            </w:pPr>
            <w:r>
              <w:t xml:space="preserve">The authority map names HR for duty station, but nobody in HR thinks keeping it current is their job</w:t>
            </w:r>
          </w:p>
        </w:tc>
        <w:tc>
          <w:tcPr/>
          <w:p>
            <w:pPr>
              <w:pStyle w:val="Compact"/>
            </w:pPr>
            <w:r>
              <w:t xml:space="preserve">The owner accepts a quality expectation per attribute in Phase 1 and signs the map; quality is baselined before automation (Chapter 12)</w:t>
            </w:r>
          </w:p>
        </w:tc>
      </w:tr>
      <w:tr>
        <w:tc>
          <w:tcPr/>
          <w:p>
            <w:pPr>
              <w:pStyle w:val="Compact"/>
            </w:pPr>
            <w:r>
              <w:t xml:space="preserve">Two masters</w:t>
            </w:r>
          </w:p>
        </w:tc>
        <w:tc>
          <w:tcPr/>
          <w:p>
            <w:pPr>
              <w:pStyle w:val="Compact"/>
            </w:pPr>
            <w:r>
              <w:t xml:space="preserve">Writeback sends a value to HR that HR also edits; neither side knows which is right</w:t>
            </w:r>
          </w:p>
        </w:tc>
        <w:tc>
          <w:tcPr/>
          <w:p>
            <w:pPr>
              <w:pStyle w:val="Compact"/>
            </w:pPr>
            <w:r>
              <w:t xml:space="preserve">No attribute is writable in both directions (Chapter 04)</w:t>
            </w:r>
          </w:p>
        </w:tc>
      </w:tr>
      <w:tr>
        <w:tc>
          <w:tcPr/>
          <w:p>
            <w:pPr>
              <w:pStyle w:val="Compact"/>
            </w:pPr>
            <w:r>
              <w:t xml:space="preserve">The help desk as a shadow source</w:t>
            </w:r>
          </w:p>
        </w:tc>
        <w:tc>
          <w:tcPr/>
          <w:p>
            <w:pPr>
              <w:pStyle w:val="Compact"/>
            </w:pPr>
            <w:r>
              <w:t xml:space="preserve">Tickets to</w:t>
            </w:r>
            <w:r>
              <w:t xml:space="preserve"> </w:t>
            </w:r>
            <w:r>
              <w:t xml:space="preserve">“update my department”</w:t>
            </w:r>
            <w:r>
              <w:t xml:space="preserve"> </w:t>
            </w:r>
            <w:r>
              <w:t xml:space="preserve">are worked in the directory</w:t>
            </w:r>
          </w:p>
        </w:tc>
        <w:tc>
          <w:tcPr/>
          <w:p>
            <w:pPr>
              <w:pStyle w:val="Compact"/>
            </w:pPr>
            <w:r>
              <w:t xml:space="preserve">The help desk routes data errors to the owner; no help desk role that can write user properties</w:t>
            </w:r>
          </w:p>
        </w:tc>
      </w:tr>
      <w:tr>
        <w:tc>
          <w:tcPr/>
          <w:p>
            <w:pPr>
              <w:pStyle w:val="Compact"/>
            </w:pPr>
            <w:r>
              <w:t xml:space="preserve">Contractors owned by nobody</w:t>
            </w:r>
          </w:p>
        </w:tc>
        <w:tc>
          <w:tcPr/>
          <w:p>
            <w:pPr>
              <w:pStyle w:val="Compact"/>
            </w:pPr>
            <w:r>
              <w:t xml:space="preserve">A COR spreadsheet with a start date and no end date; the contractor keeps access after the contract ends</w:t>
            </w:r>
          </w:p>
        </w:tc>
        <w:tc>
          <w:tcPr/>
          <w:p>
            <w:pPr>
              <w:pStyle w:val="Compact"/>
            </w:pPr>
            <w:r>
              <w:t xml:space="preserve">One authority per fact; a sponsor as a live reference; access ends at the earliest end condition (Chapter 06)</w:t>
            </w:r>
          </w:p>
        </w:tc>
      </w:tr>
      <w:tr>
        <w:tc>
          <w:tcPr/>
          <w:p>
            <w:pPr>
              <w:pStyle w:val="Compact"/>
            </w:pPr>
            <w:r>
              <w:t xml:space="preserve">A key owned by the source</w:t>
            </w:r>
          </w:p>
        </w:tc>
        <w:tc>
          <w:tcPr/>
          <w:p>
            <w:pPr>
              <w:pStyle w:val="Compact"/>
            </w:pPr>
            <w:r>
              <w:t xml:space="preserve">The source person number is the key, and the source changes at Core HCM cutover</w:t>
            </w:r>
          </w:p>
        </w:tc>
        <w:tc>
          <w:tcPr/>
          <w:p>
            <w:pPr>
              <w:pStyle w:val="Compact"/>
            </w:pPr>
            <w:r>
              <w:t xml:space="preserve">An enterprise person key the agency controls, decided by the governance body (Chapter 04)</w:t>
            </w:r>
          </w:p>
        </w:tc>
      </w:tr>
      <w:tr>
        <w:tc>
          <w:tcPr/>
          <w:p>
            <w:pPr>
              <w:pStyle w:val="Compact"/>
            </w:pPr>
            <w:r>
              <w:t xml:space="preserve">A leaver owned in pieces</w:t>
            </w:r>
          </w:p>
        </w:tc>
        <w:tc>
          <w:tcPr/>
          <w:p>
            <w:pPr>
              <w:pStyle w:val="Compact"/>
            </w:pPr>
            <w:r>
              <w:t xml:space="preserve">HR records it, IT disables the account, the PIV office revokes the card, and nobody owns completion</w:t>
            </w:r>
          </w:p>
        </w:tc>
        <w:tc>
          <w:tcPr/>
          <w:p>
            <w:pPr>
              <w:pStyle w:val="Compact"/>
            </w:pPr>
            <w:r>
              <w:t xml:space="preserve">Security owns the leaver path end to end; every step is reconciled and measured (Chapters 09 and 11)</w:t>
            </w:r>
          </w:p>
        </w:tc>
      </w:tr>
      <w:tr>
        <w:tc>
          <w:tcPr/>
          <w:p>
            <w:pPr>
              <w:pStyle w:val="Compact"/>
            </w:pPr>
            <w:r>
              <w:t xml:space="preserve">Privacy arrives late</w:t>
            </w:r>
          </w:p>
        </w:tc>
        <w:tc>
          <w:tcPr/>
          <w:p>
            <w:pPr>
              <w:pStyle w:val="Compact"/>
            </w:pPr>
            <w:r>
              <w:t xml:space="preserve">The privacy office first sees the feed at go-live, when a new routine use still needs publication and a waiting period</w:t>
            </w:r>
          </w:p>
        </w:tc>
        <w:tc>
          <w:tcPr/>
          <w:p>
            <w:pPr>
              <w:pStyle w:val="Compact"/>
            </w:pPr>
            <w:r>
              <w:t xml:space="preserve">Privacy basis, PIA and minimized set are Phase 1 gate items</w:t>
            </w:r>
          </w:p>
        </w:tc>
      </w:tr>
      <w:tr>
        <w:tc>
          <w:tcPr/>
          <w:p>
            <w:pPr>
              <w:pStyle w:val="Compact"/>
            </w:pPr>
            <w:r>
              <w:t xml:space="preserve">Local codes</w:t>
            </w:r>
          </w:p>
        </w:tc>
        <w:tc>
          <w:tcPr/>
          <w:p>
            <w:pPr>
              <w:pStyle w:val="Compact"/>
            </w:pPr>
            <w:r>
              <w:t xml:space="preserve">A team invents its own organization codes because the standard’s were inconvenient</w:t>
            </w:r>
          </w:p>
        </w:tc>
        <w:tc>
          <w:tcPr/>
          <w:p>
            <w:pPr>
              <w:pStyle w:val="Compact"/>
            </w:pPr>
            <w:r>
              <w:t xml:space="preserve">Codes for access are the standard’s, owned by HR (Chapters 06 and 10)</w:t>
            </w:r>
          </w:p>
        </w:tc>
      </w:tr>
      <w:tr>
        <w:tc>
          <w:tcPr/>
          <w:p>
            <w:pPr>
              <w:pStyle w:val="Compact"/>
            </w:pPr>
            <w:r>
              <w:t xml:space="preserve">Ownership decays</w:t>
            </w:r>
          </w:p>
        </w:tc>
        <w:tc>
          <w:tcPr/>
          <w:p>
            <w:pPr>
              <w:pStyle w:val="Compact"/>
            </w:pPr>
            <w:r>
              <w:t xml:space="preserve">The named owner leaves; a reorganization moves the function</w:t>
            </w:r>
          </w:p>
        </w:tc>
        <w:tc>
          <w:tcPr/>
          <w:p>
            <w:pPr>
              <w:pStyle w:val="Compact"/>
            </w:pPr>
            <w:r>
              <w:t xml:space="preserve">Owners named by role; the authority map, schema and register re-validated annually (Chapter 12, Phase 6)</w:t>
            </w:r>
          </w:p>
        </w:tc>
      </w:tr>
    </w:tbl>
    <w:p>
      <w:pPr>
        <w:pStyle w:val="BodyText"/>
      </w:pPr>
      <w:r>
        <w:t xml:space="preserve">Most of these failures have the same root: in a ticket-driven estate, whoever can make a change ends up owning the data by default. HR-driven identity reverses that. The office that creates a fact owns it, the office that guards it can stop its use, and the people who run the directory deliver it without editing it. Chapter 08 starts the How part of the book: the joiner, mover and leaver events that this ownership model makes possible.</w:t>
      </w:r>
    </w:p>
    <w:bookmarkEnd w:id="391"/>
    <w:bookmarkStart w:id="392" w:name="continue-the-book-6"/>
    <w:p>
      <w:pPr>
        <w:pStyle w:val="Heading2"/>
      </w:pPr>
      <w:bookmarkStart w:id="853" w:name="_Toc00000853"/>
      <w:r>
        <w:t xml:space="preserve">Continue the book</w:t>
      </w:r>
      <w:bookmarkEnd w:id="853"/>
    </w:p>
    <w:p>
      <w:pPr>
        <w:pStyle w:val="FirstParagraph"/>
      </w:pPr>
      <w:r>
        <w:t xml:space="preserve">← Previous: Chapter 06 — The Canonical Workforce Identity Model · Book index · Next: Chapter 08 — Joiner, Mover, Leaver →</w:t>
      </w:r>
    </w:p>
    <w:bookmarkEnd w:id="392"/>
    <w:bookmarkEnd w:id="393"/>
    <w:bookmarkStart w:id="447" w:name="chapter-08-joiner-mover-leaver"/>
    <w:p>
      <w:pPr>
        <w:pStyle w:val="Heading1"/>
      </w:pPr>
      <w:bookmarkStart w:id="854" w:name="_Toc00000854"/>
      <w:r>
        <w:t xml:space="preserve">Chapter 08 — Joiner, Mover, Leaver</w:t>
      </w:r>
      <w:bookmarkEnd w:id="854"/>
    </w:p>
    <w:p>
      <w:pPr>
        <w:pStyle w:val="FirstParagraph"/>
      </w:pPr>
      <w:r>
        <w:rPr>
          <w:i/>
          <w:iCs/>
        </w:rPr>
        <w:t xml:space="preserve">Nobody requests an account for a new hire. The hire causes it.</w:t>
      </w:r>
    </w:p>
    <w:bookmarkStart w:id="394" w:name="in-this-chapter-7"/>
    <w:p>
      <w:pPr>
        <w:pStyle w:val="Heading2"/>
      </w:pPr>
      <w:bookmarkStart w:id="855" w:name="_Toc00000855"/>
      <w:r>
        <w:t xml:space="preserve">In this chapter</w:t>
      </w:r>
      <w:bookmarkEnd w:id="855"/>
    </w:p>
    <w:p>
      <w:pPr>
        <w:pStyle w:val="FirstParagraph"/>
      </w:pPr>
      <w:r>
        <w:t xml:space="preserve">The five events a worker record goes through and what each one causes in the directory. The personnel-action codes that trigger them. The division of labor between inbound provisioning and Lifecycle Workflows. Triggers, schedules and built-in tasks. Emergency termination, rehire, conversion and deletion. The leaver sequence itself, including credentials, is in Chapter 09.</w:t>
      </w:r>
    </w:p>
    <w:bookmarkEnd w:id="394"/>
    <w:bookmarkStart w:id="396" w:name="the-lifecycle-is-an-event-stream"/>
    <w:p>
      <w:pPr>
        <w:pStyle w:val="Heading2"/>
      </w:pPr>
      <w:bookmarkStart w:id="856" w:name="_Toc00000856"/>
      <w:r>
        <w:t xml:space="preserve">The lifecycle is an event stream</w:t>
      </w:r>
      <w:bookmarkEnd w:id="856"/>
    </w:p>
    <w:p>
      <w:pPr>
        <w:pStyle w:val="FirstParagraph"/>
      </w:pPr>
      <w:r>
        <w:t xml:space="preserve">Joiner, mover and leaver, plus the two transitions estates forget until they hurt,</w:t>
      </w:r>
      <w:r>
        <w:t xml:space="preserve"> </w:t>
      </w:r>
      <w:r>
        <w:rPr>
          <w:b/>
          <w:bCs/>
        </w:rPr>
        <w:t xml:space="preserve">rehire</w:t>
      </w:r>
      <w:r>
        <w:t xml:space="preserve"> </w:t>
      </w:r>
      <w:r>
        <w:t xml:space="preserve">and</w:t>
      </w:r>
      <w:r>
        <w:t xml:space="preserve"> </w:t>
      </w:r>
      <w:r>
        <w:rPr>
          <w:b/>
          <w:bCs/>
        </w:rPr>
        <w:t xml:space="preserve">conversion</w:t>
      </w:r>
      <w:r>
        <w:t xml:space="preserve"> </w:t>
      </w:r>
      <w:r>
        <w:t xml:space="preserve">(contractor to employee), are the five state changes a worker record goes through. Each is recorded in the HR system as an effective-dated event, and each maps to a fixed set of identity actions:</w:t>
      </w:r>
    </w:p>
    <w:p>
      <w:pPr>
        <w:pStyle w:val="TableCaption"/>
      </w:pPr>
      <w:r>
        <w:t xml:space="preserve">The five lifecycle events and the identity actions they cause</w:t>
      </w:r>
    </w:p>
    <w:tbl>
      <w:tblPr>
        <w:tblStyle w:val="Table"/>
        <w:tblW w:type="pct" w:w="5000"/>
        <w:tblLayout w:type="fixed"/>
        <w:tblLook w:firstRow="1" w:lastRow="0" w:firstColumn="0" w:lastColumn="0" w:noHBand="0" w:noVBand="0" w:val="0020"/>
        <w:tblCaption w:val="The five lifecycle events and the identity actions they cause"/>
      </w:tblPr>
      <w:tblGrid>
        <w:gridCol w:w="2640"/>
        <w:gridCol w:w="2640"/>
        <w:gridCol w:w="2640"/>
      </w:tblGrid>
      <w:tr>
        <w:trPr>
          <w:tblHeader w:val="on"/>
        </w:trPr>
        <w:tc>
          <w:tcPr/>
          <w:p>
            <w:pPr>
              <w:pStyle w:val="Compact"/>
            </w:pPr>
            <w:r>
              <w:t xml:space="preserve">HR event</w:t>
            </w:r>
          </w:p>
        </w:tc>
        <w:tc>
          <w:tcPr/>
          <w:p>
            <w:pPr>
              <w:pStyle w:val="Compact"/>
            </w:pPr>
            <w:r>
              <w:t xml:space="preserve">Recorded fact</w:t>
            </w:r>
          </w:p>
        </w:tc>
        <w:tc>
          <w:tcPr/>
          <w:p>
            <w:pPr>
              <w:pStyle w:val="Compact"/>
            </w:pPr>
            <w:r>
              <w:t xml:space="preserve">Identity actions derived from it</w:t>
            </w:r>
          </w:p>
        </w:tc>
      </w:tr>
      <w:tr>
        <w:tc>
          <w:tcPr/>
          <w:p>
            <w:pPr>
              <w:pStyle w:val="Compact"/>
            </w:pPr>
            <w:r>
              <w:rPr>
                <w:b/>
                <w:bCs/>
              </w:rPr>
              <w:t xml:space="preserve">Joiner</w:t>
            </w:r>
          </w:p>
        </w:tc>
        <w:tc>
          <w:tcPr/>
          <w:p>
            <w:pPr>
              <w:pStyle w:val="Compact"/>
            </w:pPr>
            <w:r>
              <w:t xml:space="preserve">Future-dated hire: worker record and assignment created</w:t>
            </w:r>
          </w:p>
        </w:tc>
        <w:tc>
          <w:tcPr/>
          <w:p>
            <w:pPr>
              <w:pStyle w:val="Compact"/>
            </w:pPr>
            <w:r>
              <w:t xml:space="preserve">Account created ahead of the start date by provisioning; licenses and baseline access derived from attributes; credential enrollment queued for day one (Chapter 09)</w:t>
            </w:r>
          </w:p>
        </w:tc>
      </w:tr>
      <w:tr>
        <w:tc>
          <w:tcPr/>
          <w:p>
            <w:pPr>
              <w:pStyle w:val="Compact"/>
            </w:pPr>
            <w:r>
              <w:rPr>
                <w:b/>
                <w:bCs/>
              </w:rPr>
              <w:t xml:space="preserve">Mover</w:t>
            </w:r>
          </w:p>
        </w:tc>
        <w:tc>
          <w:tcPr/>
          <w:p>
            <w:pPr>
              <w:pStyle w:val="Compact"/>
            </w:pPr>
            <w:r>
              <w:t xml:space="preserve">Assignment change: new position, organization, location or supervisor</w:t>
            </w:r>
          </w:p>
        </w:tc>
        <w:tc>
          <w:tcPr/>
          <w:p>
            <w:pPr>
              <w:pStyle w:val="Compact"/>
            </w:pPr>
            <w:r>
              <w:t xml:space="preserve">Attributes re-stamped; dynamic memberships re-evaluated, so the old organization’s access leaves as the new one’s arrives; access review on what remains (PS-5); approvals follow the new supervisor of record</w:t>
            </w:r>
          </w:p>
        </w:tc>
      </w:tr>
      <w:tr>
        <w:tc>
          <w:tcPr/>
          <w:p>
            <w:pPr>
              <w:pStyle w:val="Compact"/>
            </w:pPr>
            <w:r>
              <w:rPr>
                <w:b/>
                <w:bCs/>
              </w:rPr>
              <w:t xml:space="preserve">Leaver</w:t>
            </w:r>
          </w:p>
        </w:tc>
        <w:tc>
          <w:tcPr/>
          <w:p>
            <w:pPr>
              <w:pStyle w:val="Compact"/>
            </w:pPr>
            <w:r>
              <w:t xml:space="preserve">Effective-dated separation</w:t>
            </w:r>
          </w:p>
        </w:tc>
        <w:tc>
          <w:tcPr/>
          <w:p>
            <w:pPr>
              <w:pStyle w:val="Compact"/>
            </w:pPr>
            <w:r>
              <w:t xml:space="preserve">The leaver sequence of Chapter 09: immediately block logical access, then reconcile credentials, devices, entitlements, application access, and later disposition — one workflow, one evidence trail (PS-4)</w:t>
            </w:r>
          </w:p>
        </w:tc>
      </w:tr>
      <w:tr>
        <w:tc>
          <w:tcPr/>
          <w:p>
            <w:pPr>
              <w:pStyle w:val="Compact"/>
            </w:pPr>
            <w:r>
              <w:rPr>
                <w:b/>
                <w:bCs/>
              </w:rPr>
              <w:t xml:space="preserve">Rehire</w:t>
            </w:r>
          </w:p>
        </w:tc>
        <w:tc>
          <w:tcPr/>
          <w:p>
            <w:pPr>
              <w:pStyle w:val="Compact"/>
            </w:pPr>
            <w:r>
              <w:t xml:space="preserve">Returning worker matched to the prior worker record</w:t>
            </w:r>
          </w:p>
        </w:tc>
        <w:tc>
          <w:tcPr/>
          <w:p>
            <w:pPr>
              <w:pStyle w:val="Compact"/>
            </w:pPr>
            <w:r>
              <w:t xml:space="preserve">Prior identifier re-linked; the person resumes an identity rather than getting a second one (IA-4)</w:t>
            </w:r>
          </w:p>
        </w:tc>
      </w:tr>
      <w:tr>
        <w:tc>
          <w:tcPr/>
          <w:p>
            <w:pPr>
              <w:pStyle w:val="Compact"/>
            </w:pPr>
            <w:r>
              <w:rPr>
                <w:b/>
                <w:bCs/>
              </w:rPr>
              <w:t xml:space="preserve">Conversion</w:t>
            </w:r>
          </w:p>
        </w:tc>
        <w:tc>
          <w:tcPr/>
          <w:p>
            <w:pPr>
              <w:pStyle w:val="Compact"/>
            </w:pPr>
            <w:r>
              <w:t xml:space="preserve">Worker type changes; affiliation continuous</w:t>
            </w:r>
          </w:p>
        </w:tc>
        <w:tc>
          <w:tcPr/>
          <w:p>
            <w:pPr>
              <w:pStyle w:val="Compact"/>
            </w:pPr>
            <w:r>
              <w:t xml:space="preserve">Same identifier, access re-derived from the new worker type; no duplicate identity</w:t>
            </w:r>
          </w:p>
        </w:tc>
      </w:tr>
    </w:tbl>
    <w:p>
      <w:pPr>
        <w:pStyle w:val="BodyText"/>
      </w:pPr>
      <w:r>
        <w:t xml:space="preserve">The property that matters is the direction of causation. Nobody</w:t>
      </w:r>
      <w:r>
        <w:t xml:space="preserve"> </w:t>
      </w:r>
      <w:r>
        <w:rPr>
          <w:i/>
          <w:iCs/>
        </w:rPr>
        <w:t xml:space="preserve">remembers</w:t>
      </w:r>
      <w:r>
        <w:t xml:space="preserve"> </w:t>
      </w:r>
      <w:r>
        <w:t xml:space="preserve">to disable a leaver; the separation record causes the disablement, on the effective date. Tickets survive only for exceptions, and every exception is visible as a deviation from a computed baseline.</w:t>
      </w:r>
    </w:p>
    <w:p>
      <w:pPr>
        <w:pStyle w:val="BodyText"/>
      </w:pPr>
      <w:r>
        <w:t xml:space="preserve">The controls in the table are NIST SP 800-53’s. PS-4 requires, on termination, disabling system access within an organization-defined period and terminating or revoking the person’s authenticators and credentials. PS-5 requires reviewing and confirming the need for existing logical and physical access when a person is reassigned or transferred, and modifying it to match. IA-4 requires preventing the reuse of identifiers for an organization-defined period.</w:t>
      </w:r>
      <w:r>
        <w:rPr>
          <w:rStyle w:val="FootnoteReference"/>
        </w:rPr>
        <w:footnoteReference w:id="395"/>
      </w:r>
    </w:p>
    <w:bookmarkEnd w:id="396"/>
    <w:bookmarkStart w:id="403" w:name="personnel-actions-are-the-triggers"/>
    <w:p>
      <w:pPr>
        <w:pStyle w:val="Heading2"/>
      </w:pPr>
      <w:bookmarkStart w:id="857" w:name="_Toc00000857"/>
      <w:r>
        <w:t xml:space="preserve">Personnel actions are the triggers</w:t>
      </w:r>
      <w:bookmarkEnd w:id="857"/>
    </w:p>
    <w:p>
      <w:pPr>
        <w:pStyle w:val="FirstParagraph"/>
      </w:pPr>
      <w:r>
        <w:t xml:space="preserve">For federal employees, every HR event above is recorded as a personnel action, and every personnel action carries a</w:t>
      </w:r>
      <w:r>
        <w:t xml:space="preserve"> </w:t>
      </w:r>
      <w:r>
        <w:rPr>
          <w:b/>
          <w:bCs/>
        </w:rPr>
        <w:t xml:space="preserve">nature-of-action (NOA) code</w:t>
      </w:r>
      <w:r>
        <w:t xml:space="preserve">. The first digit of the code sets the family (1 for appointments, 3 for separations, 5 for conversions, 7 for position and miscellaneous changes, and so on); OPM’s</w:t>
      </w:r>
      <w:r>
        <w:t xml:space="preserve"> </w:t>
      </w:r>
      <w:r>
        <w:rPr>
          <w:i/>
          <w:iCs/>
        </w:rPr>
        <w:t xml:space="preserve">Guide to Processing Personnel Actions</w:t>
      </w:r>
      <w:r>
        <w:t xml:space="preserve"> </w:t>
      </w:r>
      <w:r>
        <w:t xml:space="preserve">organizes its chapters around those codes.</w:t>
      </w:r>
      <w:r>
        <w:rPr>
          <w:rStyle w:val="FootnoteReference"/>
        </w:rPr>
        <w:footnoteReference w:id="397"/>
      </w:r>
      <w:r>
        <w:t xml:space="preserve"> </w:t>
      </w:r>
      <w:r>
        <w:t xml:space="preserve">That gives HR-driven identity a standard, government-wide trigger vocabulary instead of a locally invented one. Every accession, conversion and separation, and every correction or cancellation of one, must be documented on an SF-50, the Notification of Personnel Action. A few action types don’t need an SF-50; realignment is one of them, so a mover feed can’t assume one.</w:t>
      </w:r>
      <w:r>
        <w:rPr>
          <w:rStyle w:val="FootnoteReference"/>
        </w:rPr>
        <w:footnoteReference w:id="398"/>
      </w:r>
    </w:p>
    <w:p>
      <w:pPr>
        <w:pStyle w:val="CaptionedFigure"/>
      </w:pPr>
      <w:r>
        <w:drawing>
          <wp:inline>
            <wp:extent cx="5026806" cy="6108766"/>
            <wp:effectExtent b="0" l="0" r="0" t="0"/>
            <wp:docPr descr="Personnel actions drive the lifecycle: the nature-of-action family on each SF-50 classifies the HR event into one identity event." title="" id="400" name="Picture"/>
            <a:graphic>
              <a:graphicData uri="http://schemas.openxmlformats.org/drawingml/2006/picture">
                <pic:pic>
                  <pic:nvPicPr>
                    <pic:cNvPr descr="/home/runner/work/modernization-workbook/modernization-workbook/docs/images/diagrams/b03-hr-identity/png/ch08-personnel-action-lifecycle.png" id="401" name="Picture"/>
                    <pic:cNvPicPr>
                      <a:picLocks noChangeArrowheads="1" noChangeAspect="1"/>
                    </pic:cNvPicPr>
                  </pic:nvPicPr>
                  <pic:blipFill>
                    <a:blip r:embed="rId399"/>
                    <a:stretch>
                      <a:fillRect/>
                    </a:stretch>
                  </pic:blipFill>
                  <pic:spPr bwMode="auto">
                    <a:xfrm>
                      <a:off x="0" y="0"/>
                      <a:ext cx="5026806" cy="6108766"/>
                    </a:xfrm>
                    <a:prstGeom prst="rect">
                      <a:avLst/>
                    </a:prstGeom>
                    <a:noFill/>
                    <a:ln w="9525">
                      <a:noFill/>
                      <a:headEnd/>
                      <a:tailEnd/>
                    </a:ln>
                  </pic:spPr>
                </pic:pic>
              </a:graphicData>
            </a:graphic>
          </wp:inline>
        </w:drawing>
      </w:r>
    </w:p>
    <w:p>
      <w:pPr>
        <w:pStyle w:val="ImageCaption"/>
      </w:pPr>
      <w:r>
        <w:t xml:space="preserve">Personnel actions drive the lifecycle: the nature-of-action family on each SF-50 classifies the HR event into one identity event.</w:t>
      </w:r>
    </w:p>
    <w:p>
      <w:pPr>
        <w:pStyle w:val="TableCaption"/>
      </w:pPr>
      <w:r>
        <w:t xml:space="preserve">Proposed identity interpretation of OPM nature-of-action families</w:t>
      </w:r>
      <w:r>
        <w:rPr>
          <w:rStyle w:val="FootnoteReference"/>
        </w:rPr>
        <w:footnoteReference w:id="402"/>
      </w:r>
    </w:p>
    <w:tbl>
      <w:tblPr>
        <w:tblStyle w:val="Table"/>
        <w:tblW w:type="pct" w:w="5000"/>
        <w:tblLayout w:type="fixed"/>
        <w:tblLook w:firstRow="1" w:lastRow="0" w:firstColumn="0" w:lastColumn="0" w:noHBand="0" w:noVBand="0" w:val="0020"/>
        <w:tblCaption w:val="Proposed identity interpretation of OPM nature-of-action families"/>
      </w:tblPr>
      <w:tblGrid>
        <w:gridCol w:w="2640"/>
        <w:gridCol w:w="2640"/>
        <w:gridCol w:w="2640"/>
      </w:tblGrid>
      <w:tr>
        <w:trPr>
          <w:tblHeader w:val="on"/>
        </w:trPr>
        <w:tc>
          <w:tcPr/>
          <w:p>
            <w:pPr>
              <w:pStyle w:val="Compact"/>
            </w:pPr>
            <w:r>
              <w:t xml:space="preserve">NOA family (GPPA chapters)</w:t>
            </w:r>
          </w:p>
        </w:tc>
        <w:tc>
          <w:tcPr/>
          <w:p>
            <w:pPr>
              <w:pStyle w:val="Compact"/>
            </w:pPr>
            <w:r>
              <w:t xml:space="preserve">Examples</w:t>
            </w:r>
          </w:p>
        </w:tc>
        <w:tc>
          <w:tcPr/>
          <w:p>
            <w:pPr>
              <w:pStyle w:val="Compact"/>
            </w:pPr>
            <w:r>
              <w:t xml:space="preserve">Identity event</w:t>
            </w:r>
          </w:p>
        </w:tc>
      </w:tr>
      <w:tr>
        <w:tc>
          <w:tcPr/>
          <w:p>
            <w:pPr>
              <w:pStyle w:val="Compact"/>
            </w:pPr>
            <w:r>
              <w:t xml:space="preserve">Accessions — 1xx (Ch 9–11, 13)</w:t>
            </w:r>
          </w:p>
        </w:tc>
        <w:tc>
          <w:tcPr/>
          <w:p>
            <w:pPr>
              <w:pStyle w:val="Compact"/>
            </w:pPr>
            <w:r>
              <w:t xml:space="preserve">100, 101, 130, 140, 141, 170, 171</w:t>
            </w:r>
          </w:p>
        </w:tc>
        <w:tc>
          <w:tcPr/>
          <w:p>
            <w:pPr>
              <w:pStyle w:val="Compact"/>
            </w:pPr>
            <w:r>
              <w:rPr>
                <w:b/>
                <w:bCs/>
              </w:rPr>
              <w:t xml:space="preserve">Joiner</w:t>
            </w:r>
          </w:p>
        </w:tc>
      </w:tr>
      <w:tr>
        <w:tc>
          <w:tcPr/>
          <w:p>
            <w:pPr>
              <w:pStyle w:val="Compact"/>
            </w:pPr>
            <w:r>
              <w:t xml:space="preserve">Conversions — 5xx (Ch 9–11, 13)</w:t>
            </w:r>
          </w:p>
        </w:tc>
        <w:tc>
          <w:tcPr/>
          <w:p>
            <w:pPr>
              <w:pStyle w:val="Compact"/>
            </w:pPr>
            <w:r>
              <w:t xml:space="preserve">500, 501, 540, 570, 571</w:t>
            </w:r>
          </w:p>
        </w:tc>
        <w:tc>
          <w:tcPr/>
          <w:p>
            <w:pPr>
              <w:pStyle w:val="Compact"/>
            </w:pPr>
            <w:r>
              <w:rPr>
                <w:b/>
                <w:bCs/>
              </w:rPr>
              <w:t xml:space="preserve">Conversion</w:t>
            </w:r>
            <w:r>
              <w:t xml:space="preserve">: same person and key; access re-derived</w:t>
            </w:r>
          </w:p>
        </w:tc>
      </w:tr>
      <w:tr>
        <w:tc>
          <w:tcPr/>
          <w:p>
            <w:pPr>
              <w:pStyle w:val="Compact"/>
            </w:pPr>
            <w:r>
              <w:t xml:space="preserve">Position changes — 7xx (Ch 14)</w:t>
            </w:r>
          </w:p>
        </w:tc>
        <w:tc>
          <w:tcPr/>
          <w:p>
            <w:pPr>
              <w:pStyle w:val="Compact"/>
            </w:pPr>
            <w:r>
              <w:t xml:space="preserve">702 promotion, 713 change to lower grade, 721 reassignment</w:t>
            </w:r>
          </w:p>
        </w:tc>
        <w:tc>
          <w:tcPr/>
          <w:p>
            <w:pPr>
              <w:pStyle w:val="Compact"/>
            </w:pPr>
            <w:r>
              <w:rPr>
                <w:b/>
                <w:bCs/>
              </w:rPr>
              <w:t xml:space="preserve">Mover</w:t>
            </w:r>
          </w:p>
        </w:tc>
      </w:tr>
      <w:tr>
        <w:tc>
          <w:tcPr/>
          <w:p>
            <w:pPr>
              <w:pStyle w:val="Compact"/>
            </w:pPr>
            <w:r>
              <w:t xml:space="preserve">Other 7xx changes (Ch 20, 21, 23, 24)</w:t>
            </w:r>
          </w:p>
        </w:tc>
        <w:tc>
          <w:tcPr/>
          <w:p>
            <w:pPr>
              <w:pStyle w:val="Compact"/>
            </w:pPr>
            <w:r>
              <w:t xml:space="preserve">780 name change, 790 realignment, 792 duty station change, 781/782 work schedule</w:t>
            </w:r>
          </w:p>
        </w:tc>
        <w:tc>
          <w:tcPr/>
          <w:p>
            <w:pPr>
              <w:pStyle w:val="Compact"/>
            </w:pPr>
            <w:r>
              <w:rPr>
                <w:b/>
                <w:bCs/>
              </w:rPr>
              <w:t xml:space="preserve">Mover</w:t>
            </w:r>
            <w:r>
              <w:t xml:space="preserve"> </w:t>
            </w:r>
            <w:r>
              <w:t xml:space="preserve">(attribute re-stamp; UPN kept on a name change)</w:t>
            </w:r>
          </w:p>
        </w:tc>
      </w:tr>
      <w:tr>
        <w:tc>
          <w:tcPr/>
          <w:p>
            <w:pPr>
              <w:pStyle w:val="Compact"/>
            </w:pPr>
            <w:r>
              <w:t xml:space="preserve">Nonpay or nonduty status — 4xx (Ch 15)</w:t>
            </w:r>
          </w:p>
        </w:tc>
        <w:tc>
          <w:tcPr/>
          <w:p>
            <w:pPr>
              <w:pStyle w:val="Compact"/>
            </w:pPr>
            <w:r>
              <w:t xml:space="preserve">430, 450–452, 460, 471, 473, 480</w:t>
            </w:r>
          </w:p>
        </w:tc>
        <w:tc>
          <w:tcPr/>
          <w:p>
            <w:pPr>
              <w:pStyle w:val="Compact"/>
            </w:pPr>
            <w:r>
              <w:rPr>
                <w:b/>
                <w:bCs/>
              </w:rPr>
              <w:t xml:space="preserve">Not a leaver</w:t>
            </w:r>
            <w:r>
              <w:t xml:space="preserve">: the person is kept; policy restricts the account</w:t>
            </w:r>
          </w:p>
        </w:tc>
      </w:tr>
      <w:tr>
        <w:tc>
          <w:tcPr/>
          <w:p>
            <w:pPr>
              <w:pStyle w:val="Compact"/>
            </w:pPr>
            <w:r>
              <w:t xml:space="preserve">Return to duty — 2xx (Ch 16)</w:t>
            </w:r>
          </w:p>
        </w:tc>
        <w:tc>
          <w:tcPr/>
          <w:p>
            <w:pPr>
              <w:pStyle w:val="Compact"/>
            </w:pPr>
            <w:r>
              <w:t xml:space="preserve">280, 292</w:t>
            </w:r>
          </w:p>
        </w:tc>
        <w:tc>
          <w:tcPr/>
          <w:p>
            <w:pPr>
              <w:pStyle w:val="Compact"/>
            </w:pPr>
            <w:r>
              <w:rPr>
                <w:b/>
                <w:bCs/>
              </w:rPr>
              <w:t xml:space="preserve">Reinstate</w:t>
            </w:r>
            <w:r>
              <w:t xml:space="preserve">: restrictions lifted</w:t>
            </w:r>
          </w:p>
        </w:tc>
      </w:tr>
      <w:tr>
        <w:tc>
          <w:tcPr/>
          <w:p>
            <w:pPr>
              <w:pStyle w:val="Compact"/>
            </w:pPr>
            <w:r>
              <w:t xml:space="preserve">Separations — 3xx (Ch 30–31)</w:t>
            </w:r>
          </w:p>
        </w:tc>
        <w:tc>
          <w:tcPr/>
          <w:p>
            <w:pPr>
              <w:pStyle w:val="Compact"/>
            </w:pPr>
            <w:r>
              <w:t xml:space="preserve">300–304, 307, 308 retirements; 312, 317, 330, 350–357, 385, 390</w:t>
            </w:r>
          </w:p>
        </w:tc>
        <w:tc>
          <w:tcPr/>
          <w:p>
            <w:pPr>
              <w:pStyle w:val="Compact"/>
            </w:pPr>
            <w:r>
              <w:rPr>
                <w:b/>
                <w:bCs/>
              </w:rPr>
              <w:t xml:space="preserve">Leaver</w:t>
            </w:r>
            <w:r>
              <w:t xml:space="preserve">: block first (Chapter 09)</w:t>
            </w:r>
          </w:p>
        </w:tc>
      </w:tr>
      <w:tr>
        <w:tc>
          <w:tcPr/>
          <w:p>
            <w:pPr>
              <w:pStyle w:val="Compact"/>
            </w:pPr>
            <w:r>
              <w:t xml:space="preserve">Corrections and cancellations (Ch 32)</w:t>
            </w:r>
          </w:p>
        </w:tc>
        <w:tc>
          <w:tcPr/>
          <w:p>
            <w:pPr>
              <w:pStyle w:val="Compact"/>
            </w:pPr>
            <w:r>
              <w:t xml:space="preserve">002 correction, 001 cancellation</w:t>
            </w:r>
          </w:p>
        </w:tc>
        <w:tc>
          <w:tcPr/>
          <w:p>
            <w:pPr>
              <w:pStyle w:val="Compact"/>
            </w:pPr>
            <w:r>
              <w:rPr>
                <w:b/>
                <w:bCs/>
              </w:rPr>
              <w:t xml:space="preserve">Reverse or re-derive</w:t>
            </w:r>
            <w:r>
              <w:t xml:space="preserve"> </w:t>
            </w:r>
            <w:r>
              <w:t xml:space="preserve">from the corrected record, with evidence</w:t>
            </w:r>
          </w:p>
        </w:tc>
      </w:tr>
      <w:tr>
        <w:tc>
          <w:tcPr/>
          <w:p>
            <w:pPr>
              <w:pStyle w:val="Compact"/>
            </w:pPr>
            <w:r>
              <w:t xml:space="preserve">Pay and data-element changes — 8xx (Ch 17, 26, 28)</w:t>
            </w:r>
          </w:p>
        </w:tc>
        <w:tc>
          <w:tcPr/>
          <w:p>
            <w:pPr>
              <w:pStyle w:val="Compact"/>
            </w:pPr>
            <w:r>
              <w:t xml:space="preserve">880 tenure change; 800, 803 data element change</w:t>
            </w:r>
          </w:p>
        </w:tc>
        <w:tc>
          <w:tcPr/>
          <w:p>
            <w:pPr>
              <w:pStyle w:val="Compact"/>
            </w:pPr>
            <w:r>
              <w:t xml:space="preserve">Usually none; re-derive the worker profile when tenure or a mapped element changes</w:t>
            </w:r>
          </w:p>
        </w:tc>
      </w:tr>
    </w:tbl>
    <w:p>
      <w:pPr>
        <w:pStyle w:val="BodyText"/>
      </w:pPr>
      <w:r>
        <w:t xml:space="preserve">The table is a proposed interpretation, not an OPM rule. HR, security, labor-relations, privacy, and personnel-policy owners validate the mappings, exceptions, precedence rules, and actions before automation.</w:t>
      </w:r>
    </w:p>
    <w:p>
      <w:pPr>
        <w:pStyle w:val="BodyText"/>
      </w:pPr>
      <w:r>
        <w:t xml:space="preserve">Contractors and vendors have no SF-50 and no nature-of-action codes. Their joiner and leaver events are the contract or sponsorship start and end dates in their own source, and a sponsor’s withdrawal is a leaver event (Chapter 06).</w:t>
      </w:r>
    </w:p>
    <w:p>
      <w:pPr>
        <w:pStyle w:val="BodyText"/>
      </w:pPr>
      <w:r>
        <w:t xml:space="preserve">Three rules follow, and Appendix A sets out the rest:</w:t>
      </w:r>
    </w:p>
    <w:p>
      <w:pPr>
        <w:pStyle w:val="Compact"/>
        <w:numPr>
          <w:ilvl w:val="0"/>
          <w:numId w:val="1028"/>
        </w:numPr>
      </w:pPr>
      <w:r>
        <w:rPr>
          <w:b/>
          <w:bCs/>
        </w:rPr>
        <w:t xml:space="preserve">Leave is not a leaver.</w:t>
      </w:r>
      <w:r>
        <w:t xml:space="preserve"> </w:t>
      </w:r>
      <w:r>
        <w:t xml:space="preserve">Furlough, leave without pay and suspension (the 4xx family) keep the person; deprovisioning them as leavers locks out people who are still employed.</w:t>
      </w:r>
    </w:p>
    <w:p>
      <w:pPr>
        <w:pStyle w:val="Compact"/>
        <w:numPr>
          <w:ilvl w:val="0"/>
          <w:numId w:val="1028"/>
        </w:numPr>
      </w:pPr>
      <w:r>
        <w:rPr>
          <w:b/>
          <w:bCs/>
        </w:rPr>
        <w:t xml:space="preserve">Precedence is a rule.</w:t>
      </w:r>
      <w:r>
        <w:t xml:space="preserve"> </w:t>
      </w:r>
      <w:r>
        <w:t xml:space="preserve">When two actions for one person land in one cycle, a separation wins, and a conversion is applied before a mover is evaluated.</w:t>
      </w:r>
    </w:p>
    <w:p>
      <w:pPr>
        <w:pStyle w:val="Compact"/>
        <w:numPr>
          <w:ilvl w:val="0"/>
          <w:numId w:val="1028"/>
        </w:numPr>
      </w:pPr>
      <w:r>
        <w:rPr>
          <w:b/>
          <w:bCs/>
        </w:rPr>
        <w:t xml:space="preserve">Cancellations are first-class events.</w:t>
      </w:r>
      <w:r>
        <w:t xml:space="preserve"> </w:t>
      </w:r>
      <w:r>
        <w:t xml:space="preserve">A cancelled separation (001/002) re-enables what the separation disabled, from the corrected record, with evidence.</w:t>
      </w:r>
    </w:p>
    <w:bookmarkEnd w:id="403"/>
    <w:bookmarkStart w:id="431" w:name="X50111b289b1c8eab2d65f5e342a11d2e51a9787"/>
    <w:p>
      <w:pPr>
        <w:pStyle w:val="Heading2"/>
      </w:pPr>
      <w:bookmarkStart w:id="858" w:name="_Toc00000858"/>
      <w:r>
        <w:t xml:space="preserve">Who does what: provisioning and Lifecycle Workflows</w:t>
      </w:r>
      <w:bookmarkEnd w:id="858"/>
    </w:p>
    <w:p>
      <w:pPr>
        <w:pStyle w:val="FirstParagraph"/>
      </w:pPr>
      <w:r>
        <w:t xml:space="preserve">Two Microsoft services share the work, and the boundary between them is easy to blur:</w:t>
      </w:r>
    </w:p>
    <w:p>
      <w:pPr>
        <w:pStyle w:val="Compact"/>
        <w:numPr>
          <w:ilvl w:val="0"/>
          <w:numId w:val="1029"/>
        </w:numPr>
      </w:pPr>
      <w:r>
        <w:rPr>
          <w:b/>
          <w:bCs/>
        </w:rPr>
        <w:t xml:space="preserve">Inbound provisioning creates and updates accounts.</w:t>
      </w:r>
      <w:r>
        <w:t xml:space="preserve"> </w:t>
      </w:r>
      <w:r>
        <w:t xml:space="preserve">It creates the user, keeps attributes current, and enables or disables the account from the HR status (Chapter 05).</w:t>
      </w:r>
      <w:r>
        <w:rPr>
          <w:rStyle w:val="FootnoteReference"/>
        </w:rPr>
        <w:footnoteReference w:id="404"/>
      </w:r>
      <w:r>
        <w:rPr>
          <w:rStyle w:val="FootnoteReference"/>
        </w:rPr>
        <w:footnoteReference w:id="406"/>
      </w:r>
      <w:r>
        <w:t xml:space="preserve"> </w:t>
      </w:r>
      <w:r>
        <w:t xml:space="preserve">With API-driven inbound provisioning, the SCIM</w:t>
      </w:r>
      <w:r>
        <w:t xml:space="preserve"> </w:t>
      </w:r>
      <w:r>
        <w:rPr>
          <w:rStyle w:val="VerbatimChar"/>
        </w:rPr>
        <w:t xml:space="preserve">active</w:t>
      </w:r>
      <w:r>
        <w:t xml:space="preserve"> </w:t>
      </w:r>
      <w:r>
        <w:t xml:space="preserve">value sets the account status by default, and the</w:t>
      </w:r>
      <w:r>
        <w:t xml:space="preserve"> </w:t>
      </w:r>
      <w:r>
        <w:rPr>
          <w:rStyle w:val="VerbatimChar"/>
        </w:rPr>
        <w:t xml:space="preserve">/bulkUpload</w:t>
      </w:r>
      <w:r>
        <w:t xml:space="preserve"> </w:t>
      </w:r>
      <w:r>
        <w:t xml:space="preserve">endpoint doesn’t delete users; Microsoft points to the Lifecycle Workflows</w:t>
      </w:r>
      <w:r>
        <w:t xml:space="preserve"> </w:t>
      </w:r>
      <w:r>
        <w:rPr>
          <w:i/>
          <w:iCs/>
        </w:rPr>
        <w:t xml:space="preserve">Delete user</w:t>
      </w:r>
      <w:r>
        <w:t xml:space="preserve"> </w:t>
      </w:r>
      <w:r>
        <w:t xml:space="preserve">task for that.</w:t>
      </w:r>
      <w:r>
        <w:rPr>
          <w:rStyle w:val="FootnoteReference"/>
        </w:rPr>
        <w:footnoteReference w:id="408"/>
      </w:r>
    </w:p>
    <w:p>
      <w:pPr>
        <w:pStyle w:val="Compact"/>
        <w:numPr>
          <w:ilvl w:val="0"/>
          <w:numId w:val="1029"/>
        </w:numPr>
      </w:pPr>
      <w:r>
        <w:rPr>
          <w:b/>
          <w:bCs/>
        </w:rPr>
        <w:t xml:space="preserve">Lifecycle Workflows act on users who already exist.</w:t>
      </w:r>
      <w:r>
        <w:t xml:space="preserve"> </w:t>
      </w:r>
      <w:r>
        <w:t xml:space="preserve">Microsoft describes them as automating the routine processes</w:t>
      </w:r>
      <w:r>
        <w:t xml:space="preserve"> </w:t>
      </w:r>
      <w:r>
        <w:rPr>
          <w:i/>
          <w:iCs/>
        </w:rPr>
        <w:t xml:space="preserve">around</w:t>
      </w:r>
      <w:r>
        <w:t xml:space="preserve"> </w:t>
      </w:r>
      <w:r>
        <w:t xml:space="preserve">HR-driven provisioning: while HR provisioning manages creation and attribute updates, workflows run additional tasks.</w:t>
      </w:r>
      <w:r>
        <w:rPr>
          <w:rStyle w:val="FootnoteReference"/>
        </w:rPr>
        <w:footnoteReference w:id="409"/>
      </w:r>
      <w:r>
        <w:t xml:space="preserve"> </w:t>
      </w:r>
      <w:r>
        <w:t xml:space="preserve">A workflow is a set of tasks plus execution conditions: a scope (who) and a trigger (when).</w:t>
      </w:r>
      <w:r>
        <w:rPr>
          <w:rStyle w:val="FootnoteReference"/>
        </w:rPr>
        <w:footnoteReference w:id="410"/>
      </w:r>
    </w:p>
    <w:p>
      <w:pPr>
        <w:pStyle w:val="FirstParagraph"/>
      </w:pPr>
      <w:r>
        <w:t xml:space="preserve">A workflow never creates the account. A page that says</w:t>
      </w:r>
      <w:r>
        <w:t xml:space="preserve"> </w:t>
      </w:r>
      <w:r>
        <w:t xml:space="preserve">“Lifecycle Workflows provision the new hire”</w:t>
      </w:r>
      <w:r>
        <w:t xml:space="preserve"> </w:t>
      </w:r>
      <w:r>
        <w:t xml:space="preserve">has the boundary wrong.</w:t>
      </w:r>
    </w:p>
    <w:p>
      <w:pPr>
        <w:pStyle w:val="BodyText"/>
      </w:pPr>
      <w:r>
        <w:t xml:space="preserve">The two also license differently. API-driven inbound provisioning is included from Microsoft Entra ID P1; Lifecycle Workflows need Microsoft Entra ID Governance or Microsoft Entra Suite.</w:t>
      </w:r>
      <w:r>
        <w:rPr>
          <w:rStyle w:val="FootnoteReference"/>
        </w:rPr>
        <w:footnoteReference w:id="412"/>
      </w:r>
      <w:r>
        <w:rPr>
          <w:rStyle w:val="FootnoteReference"/>
        </w:rPr>
        <w:footnoteReference w:id="414"/>
      </w:r>
      <w:r>
        <w:t xml:space="preserve"> </w:t>
      </w:r>
      <w:r>
        <w:t xml:space="preserve">Microsoft Entra ID Governance is available in GCC, GCC High and DoD.</w:t>
      </w:r>
      <w:r>
        <w:rPr>
          <w:rStyle w:val="FootnoteReference"/>
        </w:rPr>
        <w:footnoteReference w:id="415"/>
      </w:r>
    </w:p>
    <w:p>
      <w:pPr>
        <w:pStyle w:val="CaptionedFigure"/>
      </w:pPr>
      <w:r>
        <w:drawing>
          <wp:inline>
            <wp:extent cx="5334000" cy="1253087"/>
            <wp:effectExtent b="0" l="0" r="0" t="0"/>
            <wp:docPr descr="Who does what: inbound provisioning creates and updates accounts from the HR event; Lifecycle Workflows act on users who already exist and call custom task extensions." title="" id="417" name="Picture"/>
            <a:graphic>
              <a:graphicData uri="http://schemas.openxmlformats.org/drawingml/2006/picture">
                <pic:pic>
                  <pic:nvPicPr>
                    <pic:cNvPr descr="/home/runner/work/modernization-workbook/modernization-workbook/docs/images/diagrams/b03-hr-identity/png/ch08-provisioning-and-workflows.png" id="418" name="Picture"/>
                    <pic:cNvPicPr>
                      <a:picLocks noChangeArrowheads="1" noChangeAspect="1"/>
                    </pic:cNvPicPr>
                  </pic:nvPicPr>
                  <pic:blipFill>
                    <a:blip r:embed="rId416"/>
                    <a:stretch>
                      <a:fillRect/>
                    </a:stretch>
                  </pic:blipFill>
                  <pic:spPr bwMode="auto">
                    <a:xfrm>
                      <a:off x="0" y="0"/>
                      <a:ext cx="5334000" cy="1253087"/>
                    </a:xfrm>
                    <a:prstGeom prst="rect">
                      <a:avLst/>
                    </a:prstGeom>
                    <a:noFill/>
                    <a:ln w="9525">
                      <a:noFill/>
                      <a:headEnd/>
                      <a:tailEnd/>
                    </a:ln>
                  </pic:spPr>
                </pic:pic>
              </a:graphicData>
            </a:graphic>
          </wp:inline>
        </w:drawing>
      </w:r>
    </w:p>
    <w:p>
      <w:pPr>
        <w:pStyle w:val="ImageCaption"/>
      </w:pPr>
      <w:r>
        <w:t xml:space="preserve">Who does what: inbound provisioning creates and updates accounts from the HR event; Lifecycle Workflows act on users who already exist and call custom task extensions.</w:t>
      </w:r>
    </w:p>
    <w:bookmarkStart w:id="428" w:name="triggers-and-schedule"/>
    <w:p>
      <w:pPr>
        <w:pStyle w:val="Heading3"/>
      </w:pPr>
      <w:r>
        <w:t xml:space="preserve">Triggers and schedule</w:t>
      </w:r>
    </w:p>
    <w:p>
      <w:pPr>
        <w:pStyle w:val="FirstParagraph"/>
      </w:pPr>
      <w:r>
        <w:t xml:space="preserve">Lifecycle Workflows support four scheduled trigger types — time-based attribute, attribute change, group membership change, and sign-in inactivity — plus on-demand only.</w:t>
      </w:r>
      <w:r>
        <w:rPr>
          <w:rStyle w:val="FootnoteReference"/>
        </w:rPr>
        <w:footnoteReference w:id="419"/>
      </w:r>
      <w:r>
        <w:t xml:space="preserve"> </w:t>
      </w:r>
      <w:r>
        <w:t xml:space="preserve">The time-based trigger reads</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or</w:t>
      </w:r>
      <w:r>
        <w:t xml:space="preserve"> </w:t>
      </w:r>
      <w:r>
        <w:rPr>
          <w:rStyle w:val="VerbatimChar"/>
        </w:rPr>
        <w:t xml:space="preserve">createdDateTime</w:t>
      </w:r>
      <w:r>
        <w:t xml:space="preserve">, with an offset of 0 to 180 days before or after the date; a relative time-based trigger, in preview, extends the offset to 365 days.</w:t>
      </w:r>
      <w:r>
        <w:rPr>
          <w:rStyle w:val="FootnoteReference"/>
        </w:rPr>
        <w:footnoteReference w:id="421"/>
      </w:r>
      <w:r>
        <w:t xml:space="preserve"> </w:t>
      </w:r>
      <w:r>
        <w:t xml:space="preserve">Scheduling has to be turned on for each workflow, and scheduled workflows are evaluated every 3 hours by default; the interval can be set from 1 to 24 hours, and it’s a single tenant-wide setting that every workflow follows.</w:t>
      </w:r>
      <w:r>
        <w:rPr>
          <w:rStyle w:val="FootnoteReference"/>
        </w:rPr>
        <w:footnoteReference w:id="422"/>
      </w:r>
      <w:r>
        <w:rPr>
          <w:rStyle w:val="FootnoteReference"/>
        </w:rPr>
        <w:footnoteReference w:id="423"/>
      </w:r>
      <w:r>
        <w:t xml:space="preserve"> </w:t>
      </w:r>
      <w:r>
        <w:t xml:space="preserve">Just before processing, the engine re-evaluates each user and skips anyone who no longer meets the conditions.</w:t>
      </w:r>
      <w:r>
        <w:rPr>
          <w:rStyle w:val="FootnoteReference"/>
        </w:rPr>
        <w:footnoteReference w:id="425"/>
      </w:r>
    </w:p>
    <w:p>
      <w:pPr>
        <w:pStyle w:val="BodyText"/>
      </w:pPr>
      <w:r>
        <w:t xml:space="preserve">That schedule matters for evidence. A workflow never runs earlier than the time in the trigger attribute, but the tenant schedule can delay it,</w:t>
      </w:r>
      <w:r>
        <w:rPr>
          <w:rStyle w:val="FootnoteReference"/>
        </w:rPr>
        <w:footnoteReference w:id="426"/>
      </w:r>
      <w:r>
        <w:t xml:space="preserve"> </w:t>
      </w:r>
      <w:r>
        <w:t xml:space="preserve">so a leaver workflow keyed to</w:t>
      </w:r>
      <w:r>
        <w:t xml:space="preserve"> </w:t>
      </w:r>
      <w:r>
        <w:rPr>
          <w:rStyle w:val="VerbatimChar"/>
        </w:rPr>
        <w:t xml:space="preserve">employeeLeaveDateTime</w:t>
      </w:r>
      <w:r>
        <w:t xml:space="preserve"> </w:t>
      </w:r>
      <w:r>
        <w:t xml:space="preserve">runs at the first scheduled pass after the date, and the separation-to-revocation interval (Chapter 11) includes the schedule interval. Set the tenant interval with the leaver workflow in mind. There’s also a three-day catch-up window: a user whose trigger date passed no more than three days before the engine sees them is still processed, but a later one isn’t.</w:t>
      </w:r>
      <w:r>
        <w:rPr>
          <w:rStyle w:val="FootnoteReference"/>
        </w:rPr>
        <w:footnoteReference w:id="427"/>
      </w:r>
      <w:r>
        <w:t xml:space="preserve"> </w:t>
      </w:r>
      <w:r>
        <w:t xml:space="preserve">A separation recorded more than three days after its effective date has to go through the on-demand path (see</w:t>
      </w:r>
      <w:r>
        <w:t xml:space="preserve"> </w:t>
      </w:r>
      <w:r>
        <w:rPr>
          <w:i/>
          <w:iCs/>
        </w:rPr>
        <w:t xml:space="preserve">Emergency termination</w:t>
      </w:r>
      <w:r>
        <w:t xml:space="preserve">).</w:t>
      </w:r>
    </w:p>
    <w:bookmarkEnd w:id="428"/>
    <w:bookmarkStart w:id="430" w:name="built-in-tasks-by-stage"/>
    <w:p>
      <w:pPr>
        <w:pStyle w:val="Heading3"/>
      </w:pPr>
      <w:r>
        <w:t xml:space="preserve">Built-in tasks by stage</w:t>
      </w:r>
    </w:p>
    <w:p>
      <w:pPr>
        <w:pStyle w:val="TableCaption"/>
      </w:pPr>
      <w:r>
        <w:t xml:space="preserve">Lifecycle Workflows built-in tasks by stage</w:t>
      </w:r>
      <w:r>
        <w:rPr>
          <w:rStyle w:val="FootnoteReference"/>
        </w:rPr>
        <w:footnoteReference w:id="429"/>
      </w:r>
    </w:p>
    <w:tbl>
      <w:tblPr>
        <w:tblStyle w:val="Table"/>
        <w:tblW w:type="pct" w:w="5000"/>
        <w:tblLayout w:type="fixed"/>
        <w:tblLook w:firstRow="1" w:lastRow="0" w:firstColumn="0" w:lastColumn="0" w:noHBand="0" w:noVBand="0" w:val="0020"/>
        <w:tblCaption w:val="Lifecycle Workflows built-in tasks by stage"/>
      </w:tblPr>
      <w:tblGrid>
        <w:gridCol w:w="3960"/>
        <w:gridCol w:w="3960"/>
      </w:tblGrid>
      <w:tr>
        <w:trPr>
          <w:tblHeader w:val="on"/>
        </w:trPr>
        <w:tc>
          <w:tcPr/>
          <w:p>
            <w:pPr>
              <w:pStyle w:val="Compact"/>
            </w:pPr>
            <w:r>
              <w:t xml:space="preserve">Stage</w:t>
            </w:r>
          </w:p>
        </w:tc>
        <w:tc>
          <w:tcPr/>
          <w:p>
            <w:pPr>
              <w:pStyle w:val="Compact"/>
            </w:pPr>
            <w:r>
              <w:t xml:space="preserve">Built-in tasks (selection)</w:t>
            </w:r>
          </w:p>
        </w:tc>
      </w:tr>
      <w:tr>
        <w:tc>
          <w:tcPr/>
          <w:p>
            <w:pPr>
              <w:pStyle w:val="Compact"/>
            </w:pPr>
            <w:r>
              <w:t xml:space="preserve">Joiner</w:t>
            </w:r>
          </w:p>
        </w:tc>
        <w:tc>
          <w:tcPr/>
          <w:p>
            <w:pPr>
              <w:pStyle w:val="Compact"/>
            </w:pPr>
            <w:r>
              <w:t xml:space="preserve">Send welcome email; generate a Temporary Access Pass and send it to the manager; request an access package assignment; assign licenses; add to groups and Teams; enable the account</w:t>
            </w:r>
          </w:p>
        </w:tc>
      </w:tr>
      <w:tr>
        <w:tc>
          <w:tcPr/>
          <w:p>
            <w:pPr>
              <w:pStyle w:val="Compact"/>
            </w:pPr>
            <w:r>
              <w:t xml:space="preserve">Mover</w:t>
            </w:r>
          </w:p>
        </w:tc>
        <w:tc>
          <w:tcPr/>
          <w:p>
            <w:pPr>
              <w:pStyle w:val="Compact"/>
            </w:pPr>
            <w:r>
              <w:t xml:space="preserve">Notify the manager of the move; request or remove access package assignments; add to or remove from selected groups; update user attributes</w:t>
            </w:r>
          </w:p>
        </w:tc>
      </w:tr>
      <w:tr>
        <w:tc>
          <w:tcPr/>
          <w:p>
            <w:pPr>
              <w:pStyle w:val="Compact"/>
            </w:pPr>
            <w:r>
              <w:t xml:space="preserve">Leaver</w:t>
            </w:r>
          </w:p>
        </w:tc>
        <w:tc>
          <w:tcPr/>
          <w:p>
            <w:pPr>
              <w:pStyle w:val="Compact"/>
            </w:pPr>
            <w:r>
              <w:t xml:space="preserve">Disable the account; remove from all groups and all Teams; remove all access package assignments and cancel pending requests; remove licenses;</w:t>
            </w:r>
            <w:r>
              <w:t xml:space="preserve"> </w:t>
            </w:r>
            <w:r>
              <w:rPr>
                <w:b/>
                <w:bCs/>
              </w:rPr>
              <w:t xml:space="preserve">revoke all refresh tokens</w:t>
            </w:r>
            <w:r>
              <w:t xml:space="preserve">; delete the user</w:t>
            </w:r>
          </w:p>
        </w:tc>
      </w:tr>
      <w:tr>
        <w:tc>
          <w:tcPr/>
          <w:p>
            <w:pPr>
              <w:pStyle w:val="Compact"/>
            </w:pPr>
            <w:r>
              <w:t xml:space="preserve">Any stage</w:t>
            </w:r>
          </w:p>
        </w:tc>
        <w:tc>
          <w:tcPr/>
          <w:p>
            <w:pPr>
              <w:pStyle w:val="Compact"/>
            </w:pPr>
            <w:r>
              <w:t xml:space="preserve">Run a custom task extension (a call out to an Azure Logic App)</w:t>
            </w:r>
          </w:p>
        </w:tc>
      </w:tr>
    </w:tbl>
    <w:p>
      <w:pPr>
        <w:pStyle w:val="BodyText"/>
      </w:pPr>
      <w:r>
        <w:t xml:space="preserve">No built-in task revokes a certificate or a PIV credential, or retires a device. Those steps go through a custom task extension or a separate process (Chapter 09).</w:t>
      </w:r>
    </w:p>
    <w:bookmarkEnd w:id="430"/>
    <w:bookmarkEnd w:id="431"/>
    <w:bookmarkStart w:id="433" w:name="joiner"/>
    <w:p>
      <w:pPr>
        <w:pStyle w:val="Heading2"/>
      </w:pPr>
      <w:bookmarkStart w:id="859" w:name="_Toc00000859"/>
      <w:r>
        <w:t xml:space="preserve">Joiner</w:t>
      </w:r>
      <w:bookmarkEnd w:id="859"/>
    </w:p>
    <w:p>
      <w:pPr>
        <w:pStyle w:val="FirstParagraph"/>
      </w:pPr>
      <w:r>
        <w:t xml:space="preserve">Provisioning creates the account ahead of the start date from the future-dated hire. A pre-hire workflow runs a set number of days before</w:t>
      </w:r>
      <w:r>
        <w:t xml:space="preserve"> </w:t>
      </w:r>
      <w:r>
        <w:rPr>
          <w:rStyle w:val="VerbatimChar"/>
        </w:rPr>
        <w:t xml:space="preserve">employeeHireDate</w:t>
      </w:r>
      <w:r>
        <w:t xml:space="preserve"> </w:t>
      </w:r>
      <w:r>
        <w:t xml:space="preserve">(for example, generate a Temporary Access Pass and send it to the manager), and a day-one workflow runs on the date (enable the account, assign licenses, add baseline groups). Microsoft recommends a 24-hour maximum lifetime for a Temporary Access Pass sent to a new hire, so that it hasn’t expired in another time zone, and recommends setting the time portion of</w:t>
      </w:r>
      <w:r>
        <w:t xml:space="preserve"> </w:t>
      </w:r>
      <w:r>
        <w:rPr>
          <w:rStyle w:val="VerbatimChar"/>
        </w:rPr>
        <w:t xml:space="preserve">employeeHireDate</w:t>
      </w:r>
      <w:r>
        <w:t xml:space="preserve"> </w:t>
      </w:r>
      <w:r>
        <w:t xml:space="preserve">early enough that the tenant schedule doesn’t push the day-one run past the start of work.</w:t>
      </w:r>
      <w:r>
        <w:rPr>
          <w:rStyle w:val="FootnoteReference"/>
        </w:rPr>
        <w:footnoteReference w:id="432"/>
      </w:r>
      <w:r>
        <w:t xml:space="preserve"> </w:t>
      </w:r>
      <w:r>
        <w:t xml:space="preserve">Day-one readiness (account, licenses and baseline access in place at start of day) is a metric, not a hope (Chapter 11).</w:t>
      </w:r>
    </w:p>
    <w:bookmarkEnd w:id="433"/>
    <w:bookmarkStart w:id="434" w:name="mover"/>
    <w:p>
      <w:pPr>
        <w:pStyle w:val="Heading2"/>
      </w:pPr>
      <w:bookmarkStart w:id="860" w:name="_Toc00000860"/>
      <w:r>
        <w:t xml:space="preserve">Mover</w:t>
      </w:r>
      <w:bookmarkEnd w:id="860"/>
    </w:p>
    <w:p>
      <w:pPr>
        <w:pStyle w:val="FirstParagraph"/>
      </w:pPr>
      <w:r>
        <w:t xml:space="preserve">The mover event re-stamps attributes through provisioning; dynamic memberships re-evaluate on their own (Chapter 10). An attribute-change workflow scoped to</w:t>
      </w:r>
      <w:r>
        <w:t xml:space="preserve"> </w:t>
      </w:r>
      <w:r>
        <w:rPr>
          <w:rStyle w:val="VerbatimChar"/>
        </w:rPr>
        <w:t xml:space="preserve">department</w:t>
      </w:r>
      <w:r>
        <w:t xml:space="preserve"> </w:t>
      </w:r>
      <w:r>
        <w:t xml:space="preserve">or the organization code can notify the manager and start a review of what’s left. Old access that came from a dynamic group goes away when the rule stops matching; old access that came from an access package or a direct assignment doesn’t, which is why the review on the residual is a control, not a courtesy.</w:t>
      </w:r>
    </w:p>
    <w:bookmarkEnd w:id="434"/>
    <w:bookmarkStart w:id="438" w:name="leaver"/>
    <w:p>
      <w:pPr>
        <w:pStyle w:val="Heading2"/>
      </w:pPr>
      <w:bookmarkStart w:id="861" w:name="_Toc00000861"/>
      <w:r>
        <w:t xml:space="preserve">Leaver</w:t>
      </w:r>
      <w:bookmarkEnd w:id="861"/>
    </w:p>
    <w:p>
      <w:pPr>
        <w:pStyle w:val="FirstParagraph"/>
      </w:pPr>
      <w:r>
        <w:t xml:space="preserve">The separation record sets</w:t>
      </w:r>
      <w:r>
        <w:t xml:space="preserve"> </w:t>
      </w:r>
      <w:r>
        <w:rPr>
          <w:rStyle w:val="VerbatimChar"/>
        </w:rPr>
        <w:t xml:space="preserve">employeeLeaveDateTime</w:t>
      </w:r>
      <w:r>
        <w:t xml:space="preserve"> </w:t>
      </w:r>
      <w:r>
        <w:t xml:space="preserve">through provisioning, and the leaver workflows run against it: a pre-separation workflow (notify the manager), a last-day workflow, and a post-separation workflow that deletes the user after the retention period. The order of the steps, and the credential and device steps that the built-in tasks don’t cover, are Chapter 09’s subject.</w:t>
      </w:r>
    </w:p>
    <w:bookmarkStart w:id="437" w:name="emergency-termination"/>
    <w:p>
      <w:pPr>
        <w:pStyle w:val="Heading3"/>
      </w:pPr>
      <w:r>
        <w:t xml:space="preserve">Emergency termination</w:t>
      </w:r>
    </w:p>
    <w:p>
      <w:pPr>
        <w:pStyle w:val="FirstParagraph"/>
      </w:pPr>
      <w:r>
        <w:t xml:space="preserve">Some separations can’t wait for the schedule. Microsoft’s</w:t>
      </w:r>
      <w:r>
        <w:t xml:space="preserve"> </w:t>
      </w:r>
      <w:r>
        <w:rPr>
          <w:b/>
          <w:bCs/>
        </w:rPr>
        <w:t xml:space="preserve">Real-time employee termination</w:t>
      </w:r>
      <w:r>
        <w:t xml:space="preserve"> </w:t>
      </w:r>
      <w:r>
        <w:t xml:space="preserve">template is an on-demand workflow; its tutorial removes the user from all groups and all Teams and deletes the account.</w:t>
      </w:r>
      <w:r>
        <w:rPr>
          <w:rStyle w:val="FootnoteReference"/>
        </w:rPr>
        <w:footnoteReference w:id="435"/>
      </w:r>
      <w:r>
        <w:t xml:space="preserve"> </w:t>
      </w:r>
      <w:r>
        <w:t xml:space="preserve">For an agency, use the template as the starting point for an on-demand workflow that runs the</w:t>
      </w:r>
      <w:r>
        <w:t xml:space="preserve"> </w:t>
      </w:r>
      <w:r>
        <w:rPr>
          <w:i/>
          <w:iCs/>
        </w:rPr>
        <w:t xml:space="preserve">same</w:t>
      </w:r>
      <w:r>
        <w:t xml:space="preserve"> </w:t>
      </w:r>
      <w:r>
        <w:t xml:space="preserve">sequence as the scheduled leaver workflow (Chapter 09), not a shorter one. The trigger is human; the execution and the evidence are identical.</w:t>
      </w:r>
    </w:p>
    <w:bookmarkEnd w:id="437"/>
    <w:bookmarkEnd w:id="438"/>
    <w:bookmarkStart w:id="441" w:name="rehire-and-conversion"/>
    <w:p>
      <w:pPr>
        <w:pStyle w:val="Heading2"/>
      </w:pPr>
      <w:bookmarkStart w:id="862" w:name="_Toc00000862"/>
      <w:r>
        <w:t xml:space="preserve">Rehire and conversion</w:t>
      </w:r>
      <w:bookmarkEnd w:id="862"/>
    </w:p>
    <w:p>
      <w:pPr>
        <w:pStyle w:val="Compact"/>
        <w:numPr>
          <w:ilvl w:val="0"/>
          <w:numId w:val="1030"/>
        </w:numPr>
      </w:pPr>
      <w:r>
        <w:rPr>
          <w:b/>
          <w:bCs/>
        </w:rPr>
        <w:t xml:space="preserve">Rehire.</w:t>
      </w:r>
      <w:r>
        <w:t xml:space="preserve"> </w:t>
      </w:r>
      <w:r>
        <w:t xml:space="preserve">The returning worker is matched to the prior worker record by person number, and the provisioning match on</w:t>
      </w:r>
      <w:r>
        <w:t xml:space="preserve"> </w:t>
      </w:r>
      <w:r>
        <w:rPr>
          <w:rStyle w:val="VerbatimChar"/>
        </w:rPr>
        <w:t xml:space="preserve">employeeId</w:t>
      </w:r>
      <w:r>
        <w:t xml:space="preserve"> </w:t>
      </w:r>
      <w:r>
        <w:t xml:space="preserve">re-links the existing account if it still exists; Microsoft’s HR-driven provisioning can reactivate or reprovision a rehire’s old account.</w:t>
      </w:r>
      <w:r>
        <w:rPr>
          <w:rStyle w:val="FootnoteReference"/>
        </w:rPr>
        <w:footnoteReference w:id="439"/>
      </w:r>
      <w:r>
        <w:rPr>
          <w:rStyle w:val="FootnoteReference"/>
        </w:rPr>
        <w:footnoteReference w:id="440"/>
      </w:r>
      <w:r>
        <w:t xml:space="preserve"> </w:t>
      </w:r>
      <w:r>
        <w:t xml:space="preserve">If the account was deleted, the new account carries the same</w:t>
      </w:r>
      <w:r>
        <w:t xml:space="preserve"> </w:t>
      </w:r>
      <w:r>
        <w:rPr>
          <w:rStyle w:val="VerbatimChar"/>
        </w:rPr>
        <w:t xml:space="preserve">employeeId</w:t>
      </w:r>
      <w:r>
        <w:t xml:space="preserve">; the identifier history lives in the HR record, not the directory.</w:t>
      </w:r>
    </w:p>
    <w:p>
      <w:pPr>
        <w:pStyle w:val="Compact"/>
        <w:numPr>
          <w:ilvl w:val="0"/>
          <w:numId w:val="1030"/>
        </w:numPr>
      </w:pPr>
      <w:r>
        <w:rPr>
          <w:b/>
          <w:bCs/>
        </w:rPr>
        <w:t xml:space="preserve">Conversion.</w:t>
      </w:r>
      <w:r>
        <w:t xml:space="preserve"> </w:t>
      </w:r>
      <w:r>
        <w:t xml:space="preserve">A contractor-to-employee change is an attribute change on the same person, not a leaver plus a joiner.</w:t>
      </w:r>
      <w:r>
        <w:t xml:space="preserve"> </w:t>
      </w:r>
      <w:r>
        <w:rPr>
          <w:rStyle w:val="VerbatimChar"/>
        </w:rPr>
        <w:t xml:space="preserve">employeeType</w:t>
      </w:r>
      <w:r>
        <w:t xml:space="preserve"> </w:t>
      </w:r>
      <w:r>
        <w:t xml:space="preserve">and the worker-type code change; access re-derives; the identifier stays.</w:t>
      </w:r>
    </w:p>
    <w:bookmarkEnd w:id="441"/>
    <w:bookmarkStart w:id="445" w:name="deletion"/>
    <w:p>
      <w:pPr>
        <w:pStyle w:val="Heading2"/>
      </w:pPr>
      <w:bookmarkStart w:id="863" w:name="_Toc00000863"/>
      <w:r>
        <w:t xml:space="preserve">Deletion</w:t>
      </w:r>
      <w:bookmarkEnd w:id="863"/>
    </w:p>
    <w:p>
      <w:pPr>
        <w:pStyle w:val="FirstParagraph"/>
      </w:pPr>
      <w:r>
        <w:t xml:space="preserve">Disable on the separation date; delete or anonymize only under the approved account-disposition rule; retain each category of HR record, authorization record, audit evidence, and security log under its applicable schedule and legal-hold requirements, from a post-separation workflow. A deleted Entra user can be restored for 30 days, after which it is permanently deleted;</w:t>
      </w:r>
      <w:r>
        <w:rPr>
          <w:rStyle w:val="FootnoteReference"/>
        </w:rPr>
        <w:footnoteReference w:id="442"/>
      </w:r>
      <w:r>
        <w:t xml:space="preserve"> </w:t>
      </w:r>
      <w:r>
        <w:t xml:space="preserve">retention for audit and records purposes has to be met by the logs and the HR record, not by keeping the account. For a synchronized user, the disposition happens in Active Directory: Entra ID isn’t the source of authority for that account, and a user deleted only in Entra ID can be restored by the next sync cycle.</w:t>
      </w:r>
      <w:r>
        <w:rPr>
          <w:rStyle w:val="FootnoteReference"/>
        </w:rPr>
        <w:footnoteReference w:id="444"/>
      </w:r>
    </w:p>
    <w:bookmarkEnd w:id="445"/>
    <w:bookmarkStart w:id="446" w:name="continue-the-book-7"/>
    <w:p>
      <w:pPr>
        <w:pStyle w:val="Heading2"/>
      </w:pPr>
      <w:bookmarkStart w:id="864" w:name="_Toc00000864"/>
      <w:r>
        <w:t xml:space="preserve">Continue the book</w:t>
      </w:r>
      <w:bookmarkEnd w:id="864"/>
    </w:p>
    <w:p>
      <w:pPr>
        <w:pStyle w:val="FirstParagraph"/>
      </w:pPr>
      <w:r>
        <w:t xml:space="preserve">← Previous: Chapter 07 — Who Owns Workforce Identity · Book index · Next: Chapter 09 — Credentials and Certificates Across Joiner, Mover, Leaver →</w:t>
      </w:r>
    </w:p>
    <w:bookmarkEnd w:id="446"/>
    <w:bookmarkEnd w:id="447"/>
    <w:bookmarkStart w:id="541" w:name="Xd56341c8deccf1f1cc4fa757ebc33727c488cf4"/>
    <w:p>
      <w:pPr>
        <w:pStyle w:val="Heading1"/>
      </w:pPr>
      <w:bookmarkStart w:id="865" w:name="_Toc00000865"/>
      <w:r>
        <w:t xml:space="preserve">Chapter 09 — Credentials and Certificates Across Joiner, Mover, Leaver</w:t>
      </w:r>
      <w:bookmarkEnd w:id="865"/>
    </w:p>
    <w:p>
      <w:pPr>
        <w:pStyle w:val="FirstParagraph"/>
      </w:pPr>
      <w:r>
        <w:rPr>
          <w:i/>
          <w:iCs/>
        </w:rPr>
        <w:t xml:space="preserve">Disabling an account doesn’t revoke a certificate. Deleting a user doesn’t either.</w:t>
      </w:r>
    </w:p>
    <w:bookmarkStart w:id="448" w:name="in-this-chapter-8"/>
    <w:p>
      <w:pPr>
        <w:pStyle w:val="Heading2"/>
      </w:pPr>
      <w:bookmarkStart w:id="866" w:name="_Toc00000866"/>
      <w:r>
        <w:t xml:space="preserve">In this chapter</w:t>
      </w:r>
      <w:bookmarkEnd w:id="866"/>
    </w:p>
    <w:p>
      <w:pPr>
        <w:pStyle w:val="FirstParagraph"/>
      </w:pPr>
      <w:r>
        <w:t xml:space="preserve">Where certificates sit in an HR-driven identity lifecycle. How a PIV credential comes into being and how Entra ID binds it to a user. What revocation checking does and doesn’t do. Derived PIV credentials. Device certificates from Intune and Microsoft Cloud PKI, and the actions that do and don’t revoke them. The canonical leaver sequence, and how to run it from Lifecycle Workflows.</w:t>
      </w:r>
    </w:p>
    <w:bookmarkEnd w:id="448"/>
    <w:bookmarkStart w:id="453" w:name="why-certificates-need-their-own-chapter"/>
    <w:p>
      <w:pPr>
        <w:pStyle w:val="Heading2"/>
      </w:pPr>
      <w:bookmarkStart w:id="867" w:name="_Toc00000867"/>
      <w:r>
        <w:t xml:space="preserve">Why certificates need their own chapter</w:t>
      </w:r>
      <w:bookmarkEnd w:id="867"/>
    </w:p>
    <w:p>
      <w:pPr>
        <w:pStyle w:val="FirstParagraph"/>
      </w:pPr>
      <w:r>
        <w:t xml:space="preserve">Chapters 05–08 make the account a consequence of the HR record. Certificates don’t automatically follow. A PIV authentication certificate is issued through the agency’s card management system (CMS) by a certification authority that operates under the Federal PKI Common Policy,</w:t>
      </w:r>
      <w:r>
        <w:rPr>
          <w:rStyle w:val="FootnoteReference"/>
        </w:rPr>
        <w:footnoteReference w:id="449"/>
      </w:r>
      <w:r>
        <w:t xml:space="preserve"> </w:t>
      </w:r>
      <w:r>
        <w:t xml:space="preserve">and it stays valid until it expires or is revoked; an Intune-delivered device certificate stays on the device until Intune revokes or removes it. Neither is touched by disabling or deleting an Entra user. An HR-driven lifecycle that stops at the account leaves the credentials of a former worker live in every relying party that trusts them: Entra ID, physical access control, on-premises smart card logon, signing and encryption, and other agencies.</w:t>
      </w:r>
    </w:p>
    <w:p>
      <w:pPr>
        <w:pStyle w:val="BodyText"/>
      </w:pPr>
      <w:r>
        <w:t xml:space="preserve">Federal guidance treats the person, not the authenticator, as the thing being managed. The GSA/FICAM Identity Lifecycle Management Playbook tells agencies to designate HR systems as the authoritative source for identity creation and termination, and to build a</w:t>
      </w:r>
      <w:r>
        <w:t xml:space="preserve"> </w:t>
      </w:r>
      <w:r>
        <w:rPr>
          <w:b/>
          <w:bCs/>
        </w:rPr>
        <w:t xml:space="preserve">Master User Record</w:t>
      </w:r>
      <w:r>
        <w:t xml:space="preserve"> </w:t>
      </w:r>
      <w:r>
        <w:t xml:space="preserve">that links each user’s attributes, entitlements and authenticators, both PIV cards and alternative FIDO2 credentials, into one view.</w:t>
      </w:r>
      <w:r>
        <w:rPr>
          <w:rStyle w:val="FootnoteReference"/>
        </w:rPr>
        <w:footnoteReference w:id="451"/>
      </w:r>
      <w:r>
        <w:t xml:space="preserve"> </w:t>
      </w:r>
      <w:r>
        <w:t xml:space="preserve">The playbook is best practice, not policy.</w:t>
      </w:r>
      <w:r>
        <w:rPr>
          <w:rStyle w:val="FootnoteReference"/>
        </w:rPr>
        <w:footnoteReference w:id="452"/>
      </w:r>
      <w:r>
        <w:t xml:space="preserve"> </w:t>
      </w:r>
      <w:r>
        <w:t xml:space="preserve">In this book the HR record and Entra ID together play the Master User Record’s role for the Microsoft estate, and the CMS remains the system of record for the PIV card.</w:t>
      </w:r>
    </w:p>
    <w:bookmarkEnd w:id="453"/>
    <w:bookmarkStart w:id="501" w:name="joiner-proofing-issuance-binding"/>
    <w:p>
      <w:pPr>
        <w:pStyle w:val="Heading2"/>
      </w:pPr>
      <w:bookmarkStart w:id="868" w:name="_Toc00000868"/>
      <w:r>
        <w:t xml:space="preserve">Joiner: proofing, issuance, binding</w:t>
      </w:r>
      <w:bookmarkEnd w:id="868"/>
    </w:p>
    <w:p>
      <w:pPr>
        <w:pStyle w:val="CaptionedFigure"/>
      </w:pPr>
      <w:r>
        <w:drawing>
          <wp:inline>
            <wp:extent cx="5334000" cy="937696"/>
            <wp:effectExtent b="0" l="0" r="0" t="0"/>
            <wp:docPr descr="Credentials follow the HR record: the joiner event starts sponsorship and proofing, card management issues the credential, it is bound to the account, and phishing-resistant sign-in records the assurance achieved." title="" id="455" name="Picture"/>
            <a:graphic>
              <a:graphicData uri="http://schemas.openxmlformats.org/drawingml/2006/picture">
                <pic:pic>
                  <pic:nvPicPr>
                    <pic:cNvPr descr="/home/runner/work/modernization-workbook/modernization-workbook/docs/images/diagrams/b03-hr-identity/png/ch09-credential-assurance.png" id="456" name="Picture"/>
                    <pic:cNvPicPr>
                      <a:picLocks noChangeArrowheads="1" noChangeAspect="1"/>
                    </pic:cNvPicPr>
                  </pic:nvPicPr>
                  <pic:blipFill>
                    <a:blip r:embed="rId454"/>
                    <a:stretch>
                      <a:fillRect/>
                    </a:stretch>
                  </pic:blipFill>
                  <pic:spPr bwMode="auto">
                    <a:xfrm>
                      <a:off x="0" y="0"/>
                      <a:ext cx="5334000" cy="937696"/>
                    </a:xfrm>
                    <a:prstGeom prst="rect">
                      <a:avLst/>
                    </a:prstGeom>
                    <a:noFill/>
                    <a:ln w="9525">
                      <a:noFill/>
                      <a:headEnd/>
                      <a:tailEnd/>
                    </a:ln>
                  </pic:spPr>
                </pic:pic>
              </a:graphicData>
            </a:graphic>
          </wp:inline>
        </w:drawing>
      </w:r>
    </w:p>
    <w:p>
      <w:pPr>
        <w:pStyle w:val="ImageCaption"/>
      </w:pPr>
      <w:r>
        <w:t xml:space="preserve">Credentials follow the HR record: the joiner event starts sponsorship and proofing, card management issues the credential, it is bound to the account, and phishing-resistant sign-in records the assurance achieved.</w:t>
      </w:r>
    </w:p>
    <w:bookmarkStart w:id="462" w:name="proofing-and-issuance"/>
    <w:p>
      <w:pPr>
        <w:pStyle w:val="Heading3"/>
      </w:pPr>
      <w:r>
        <w:t xml:space="preserve">Proofing and issuance</w:t>
      </w:r>
    </w:p>
    <w:p>
      <w:pPr>
        <w:pStyle w:val="FirstParagraph"/>
      </w:pPr>
      <w:r>
        <w:t xml:space="preserve">The ILM Playbook’s creation stage starts with identity proofing at IAL3 as described in NIST SP 800-63A-4, which meets the requirements for PIV eligibility. After proofing, the user’s information is added to the Master User Record, the identity is bound to one or more phishing-resistant authenticators such as a PIV card or a FIDO2 token, and accounts are created for the systems the user’s roles require.</w:t>
      </w:r>
      <w:r>
        <w:rPr>
          <w:rStyle w:val="FootnoteReference"/>
        </w:rPr>
        <w:footnoteReference w:id="457"/>
      </w:r>
      <w:r>
        <w:t xml:space="preserve"> </w:t>
      </w:r>
      <w:r>
        <w:t xml:space="preserve">The PIV card itself is governed by FIPS 201-3, which establishes the PIV system for federal employees and contractors under HSPD-12.</w:t>
      </w:r>
      <w:r>
        <w:rPr>
          <w:rStyle w:val="FootnoteReference"/>
        </w:rPr>
        <w:footnoteReference w:id="458"/>
      </w:r>
      <w:r>
        <w:t xml:space="preserve"> </w:t>
      </w:r>
      <w:r>
        <w:t xml:space="preserve">NIST SP 800-63-4 (July 2025, superseding SP 800-63-3) is the current revision of the Digital Identity Guidelines covering proofing, authentication and federation.</w:t>
      </w:r>
      <w:r>
        <w:rPr>
          <w:rStyle w:val="FootnoteReference"/>
        </w:rPr>
        <w:footnoteReference w:id="459"/>
      </w:r>
    </w:p>
    <w:p>
      <w:pPr>
        <w:pStyle w:val="BodyText"/>
      </w:pPr>
      <w:r>
        <w:t xml:space="preserve">The playbook’s point about binding is the one that matters here: without the binding between the card’s certificate and the digital identity, a PIV card is just a physical badge. The same binding process applies to PKI and non-PKI derived PIV authenticators.</w:t>
      </w:r>
      <w:r>
        <w:rPr>
          <w:rStyle w:val="FootnoteReference"/>
        </w:rPr>
        <w:footnoteReference w:id="461"/>
      </w:r>
    </w:p>
    <w:p>
      <w:pPr>
        <w:pStyle w:val="BodyText"/>
      </w:pPr>
      <w:r>
        <w:t xml:space="preserve">The gap between account creation and card issuance is normal: provisioning creates the account ahead of day one (Chapter 08), and the card follows proofing and adjudication. Bridge it with a Temporary Access Pass sent through the joiner workflow (Chapter 08), not with a password.</w:t>
      </w:r>
    </w:p>
    <w:bookmarkEnd w:id="462"/>
    <w:bookmarkStart w:id="483" w:name="X1be9854751907a4cea8eee913ed32b0c98ecba4"/>
    <w:p>
      <w:pPr>
        <w:pStyle w:val="Heading3"/>
      </w:pPr>
      <w:r>
        <w:t xml:space="preserve">Binding the PIV certificate to the Entra user</w:t>
      </w:r>
    </w:p>
    <w:p>
      <w:pPr>
        <w:pStyle w:val="FirstParagraph"/>
      </w:pPr>
      <w:r>
        <w:t xml:space="preserve">Entra certificate-based authentication (CBA) validates the certificate the user presents against the trusted CAs configured in the tenant, checks the CRL, and then maps a field of the certificate to a user attribute through the tenant’s</w:t>
      </w:r>
      <w:r>
        <w:t xml:space="preserve"> </w:t>
      </w:r>
      <w:r>
        <w:rPr>
          <w:b/>
          <w:bCs/>
        </w:rPr>
        <w:t xml:space="preserve">username bindings</w:t>
      </w:r>
      <w:r>
        <w:t xml:space="preserve">.</w:t>
      </w:r>
      <w:r>
        <w:rPr>
          <w:rStyle w:val="FootnoteReference"/>
        </w:rPr>
        <w:footnoteReference w:id="463"/>
      </w:r>
      <w:r>
        <w:t xml:space="preserve"> </w:t>
      </w:r>
      <w:r>
        <w:t xml:space="preserve">By default the SAN Principal Name maps to</w:t>
      </w:r>
      <w:r>
        <w:t xml:space="preserve"> </w:t>
      </w:r>
      <w:r>
        <w:rPr>
          <w:rStyle w:val="VerbatimChar"/>
        </w:rPr>
        <w:t xml:space="preserve">userPrincipalName</w:t>
      </w:r>
      <w:r>
        <w:t xml:space="preserve">.</w:t>
      </w:r>
      <w:r>
        <w:rPr>
          <w:rStyle w:val="FootnoteReference"/>
        </w:rPr>
        <w:footnoteReference w:id="465"/>
      </w:r>
      <w:r>
        <w:t xml:space="preserve"> </w:t>
      </w:r>
      <w:r>
        <w:t xml:space="preserve">The stronger option is the</w:t>
      </w:r>
      <w:r>
        <w:t xml:space="preserve"> </w:t>
      </w:r>
      <w:r>
        <w:rPr>
          <w:rStyle w:val="VerbatimChar"/>
        </w:rPr>
        <w:t xml:space="preserve">certificateUserIds</w:t>
      </w:r>
      <w:r>
        <w:t xml:space="preserve"> </w:t>
      </w:r>
      <w:r>
        <w:t xml:space="preserve">attribute, which holds explicit certificate identifiers:</w:t>
      </w:r>
    </w:p>
    <w:p>
      <w:pPr>
        <w:pStyle w:val="TableCaption"/>
      </w:pPr>
      <w:r>
        <w:t xml:space="preserve">CBA username bindings and their affinity</w:t>
      </w:r>
      <w:r>
        <w:rPr>
          <w:rStyle w:val="FootnoteReference"/>
        </w:rPr>
        <w:footnoteReference w:id="466"/>
      </w:r>
    </w:p>
    <w:tbl>
      <w:tblPr>
        <w:tblStyle w:val="Table"/>
        <w:tblW w:type="pct" w:w="5000"/>
        <w:tblLayout w:type="fixed"/>
        <w:tblLook w:firstRow="1" w:lastRow="0" w:firstColumn="0" w:lastColumn="0" w:noHBand="0" w:noVBand="0" w:val="0020"/>
        <w:tblCaption w:val="CBA username bindings and their affinity"/>
      </w:tblPr>
      <w:tblGrid>
        <w:gridCol w:w="2640"/>
        <w:gridCol w:w="2640"/>
        <w:gridCol w:w="2640"/>
      </w:tblGrid>
      <w:tr>
        <w:trPr>
          <w:tblHeader w:val="on"/>
        </w:trPr>
        <w:tc>
          <w:tcPr/>
          <w:p>
            <w:pPr>
              <w:pStyle w:val="Compact"/>
            </w:pPr>
            <w:r>
              <w:t xml:space="preserve">Binding (certificate field)</w:t>
            </w:r>
          </w:p>
        </w:tc>
        <w:tc>
          <w:tcPr/>
          <w:p>
            <w:pPr>
              <w:pStyle w:val="Compact"/>
            </w:pPr>
            <w:r>
              <w:t xml:space="preserve">Example value in</w:t>
            </w:r>
            <w:r>
              <w:t xml:space="preserve"> </w:t>
            </w:r>
            <w:r>
              <w:rPr>
                <w:rStyle w:val="VerbatimChar"/>
              </w:rPr>
              <w:t xml:space="preserve">certificateUserIds</w:t>
            </w:r>
          </w:p>
        </w:tc>
        <w:tc>
          <w:tcPr/>
          <w:p>
            <w:pPr>
              <w:pStyle w:val="Compact"/>
            </w:pPr>
            <w:r>
              <w:t xml:space="preserve">Affinity</w:t>
            </w:r>
          </w:p>
        </w:tc>
      </w:tr>
      <w:tr>
        <w:tc>
          <w:tcPr/>
          <w:p>
            <w:pPr>
              <w:pStyle w:val="Compact"/>
            </w:pPr>
            <w:r>
              <w:t xml:space="preserve">PrincipalName</w:t>
            </w:r>
          </w:p>
        </w:tc>
        <w:tc>
          <w:tcPr/>
          <w:p>
            <w:pPr>
              <w:pStyle w:val="Compact"/>
            </w:pPr>
            <w:r>
              <w:rPr>
                <w:rStyle w:val="VerbatimChar"/>
              </w:rPr>
              <w:t xml:space="preserve">X509:&lt;PN&gt;bob@woodgrove.com</w:t>
            </w:r>
          </w:p>
        </w:tc>
        <w:tc>
          <w:tcPr/>
          <w:p>
            <w:pPr>
              <w:pStyle w:val="Compact"/>
            </w:pPr>
            <w:r>
              <w:t xml:space="preserve">Low</w:t>
            </w:r>
          </w:p>
        </w:tc>
      </w:tr>
      <w:tr>
        <w:tc>
          <w:tcPr/>
          <w:p>
            <w:pPr>
              <w:pStyle w:val="Compact"/>
            </w:pPr>
            <w:r>
              <w:t xml:space="preserve">RFC822Name</w:t>
            </w:r>
          </w:p>
        </w:tc>
        <w:tc>
          <w:tcPr/>
          <w:p>
            <w:pPr>
              <w:pStyle w:val="Compact"/>
            </w:pPr>
            <w:r>
              <w:rPr>
                <w:rStyle w:val="VerbatimChar"/>
              </w:rPr>
              <w:t xml:space="preserve">X509:&lt;RFC822&gt;user@woodgrove.com</w:t>
            </w:r>
          </w:p>
        </w:tc>
        <w:tc>
          <w:tcPr/>
          <w:p>
            <w:pPr>
              <w:pStyle w:val="Compact"/>
            </w:pPr>
            <w:r>
              <w:t xml:space="preserve">Low</w:t>
            </w:r>
          </w:p>
        </w:tc>
      </w:tr>
      <w:tr>
        <w:tc>
          <w:tcPr/>
          <w:p>
            <w:pPr>
              <w:pStyle w:val="Compact"/>
            </w:pPr>
            <w:r>
              <w:t xml:space="preserve">Subject</w:t>
            </w:r>
          </w:p>
        </w:tc>
        <w:tc>
          <w:tcPr/>
          <w:p>
            <w:pPr>
              <w:pStyle w:val="Compact"/>
            </w:pPr>
            <w:r>
              <w:rPr>
                <w:rStyle w:val="VerbatimChar"/>
              </w:rPr>
              <w:t xml:space="preserve">X509:&lt;S&gt;DC=com,DC=contoso,OU=UserAccounts,CN=mfatest</w:t>
            </w:r>
          </w:p>
        </w:tc>
        <w:tc>
          <w:tcPr/>
          <w:p>
            <w:pPr>
              <w:pStyle w:val="Compact"/>
            </w:pPr>
            <w:r>
              <w:t xml:space="preserve">Low</w:t>
            </w:r>
          </w:p>
        </w:tc>
      </w:tr>
      <w:tr>
        <w:tc>
          <w:tcPr/>
          <w:p>
            <w:pPr>
              <w:pStyle w:val="Compact"/>
            </w:pPr>
            <w:r>
              <w:t xml:space="preserve">IssuerAndSubject</w:t>
            </w:r>
          </w:p>
        </w:tc>
        <w:tc>
          <w:tcPr/>
          <w:p>
            <w:pPr>
              <w:pStyle w:val="Compact"/>
            </w:pPr>
            <w:r>
              <w:rPr>
                <w:rStyle w:val="VerbatimChar"/>
              </w:rPr>
              <w:t xml:space="preserve">X509:&lt;I&gt;…&lt;S&gt;…</w:t>
            </w:r>
          </w:p>
        </w:tc>
        <w:tc>
          <w:tcPr/>
          <w:p>
            <w:pPr>
              <w:pStyle w:val="Compact"/>
            </w:pPr>
            <w:r>
              <w:t xml:space="preserve">Low</w:t>
            </w:r>
          </w:p>
        </w:tc>
      </w:tr>
      <w:tr>
        <w:tc>
          <w:tcPr/>
          <w:p>
            <w:pPr>
              <w:pStyle w:val="Compact"/>
            </w:pPr>
            <w:r>
              <w:t xml:space="preserve">SKI (Subject Key Identifier)</w:t>
            </w:r>
          </w:p>
        </w:tc>
        <w:tc>
          <w:tcPr/>
          <w:p>
            <w:pPr>
              <w:pStyle w:val="Compact"/>
            </w:pPr>
            <w:r>
              <w:rPr>
                <w:rStyle w:val="VerbatimChar"/>
              </w:rPr>
              <w:t xml:space="preserve">X509:&lt;SKI&gt;…</w:t>
            </w:r>
          </w:p>
        </w:tc>
        <w:tc>
          <w:tcPr/>
          <w:p>
            <w:pPr>
              <w:pStyle w:val="Compact"/>
            </w:pPr>
            <w:r>
              <w:t xml:space="preserve">High</w:t>
            </w:r>
          </w:p>
        </w:tc>
      </w:tr>
      <w:tr>
        <w:tc>
          <w:tcPr/>
          <w:p>
            <w:pPr>
              <w:pStyle w:val="Compact"/>
            </w:pPr>
            <w:r>
              <w:t xml:space="preserve">SHA1PublicKey</w:t>
            </w:r>
          </w:p>
        </w:tc>
        <w:tc>
          <w:tcPr/>
          <w:p>
            <w:pPr>
              <w:pStyle w:val="Compact"/>
            </w:pPr>
            <w:r>
              <w:rPr>
                <w:rStyle w:val="VerbatimChar"/>
              </w:rPr>
              <w:t xml:space="preserve">X509:&lt;SHA1-PUKEY&gt;…</w:t>
            </w:r>
          </w:p>
        </w:tc>
        <w:tc>
          <w:tcPr/>
          <w:p>
            <w:pPr>
              <w:pStyle w:val="Compact"/>
            </w:pPr>
            <w:r>
              <w:t xml:space="preserve">High</w:t>
            </w:r>
          </w:p>
        </w:tc>
      </w:tr>
      <w:tr>
        <w:tc>
          <w:tcPr/>
          <w:p>
            <w:pPr>
              <w:pStyle w:val="Compact"/>
            </w:pPr>
            <w:r>
              <w:t xml:space="preserve">IssuerAndSerialNumber</w:t>
            </w:r>
          </w:p>
        </w:tc>
        <w:tc>
          <w:tcPr/>
          <w:p>
            <w:pPr>
              <w:pStyle w:val="Compact"/>
            </w:pPr>
            <w:r>
              <w:rPr>
                <w:rStyle w:val="VerbatimChar"/>
              </w:rPr>
              <w:t xml:space="preserve">X509:&lt;I&gt;…&lt;SR&gt;…</w:t>
            </w:r>
          </w:p>
        </w:tc>
        <w:tc>
          <w:tcPr/>
          <w:p>
            <w:pPr>
              <w:pStyle w:val="Compact"/>
            </w:pPr>
            <w:r>
              <w:t xml:space="preserve">High</w:t>
            </w:r>
          </w:p>
        </w:tc>
      </w:tr>
    </w:tbl>
    <w:p>
      <w:pPr>
        <w:pStyle w:val="BodyText"/>
      </w:pPr>
      <w:r>
        <w:t xml:space="preserve">High-affinity bindings use identifiers that can’t be reused, which gives higher assurance that only one certificate can authenticate the user; bindings based on usernames and email addresses are low-affinity.</w:t>
      </w:r>
      <w:r>
        <w:rPr>
          <w:rStyle w:val="FootnoteReference"/>
        </w:rPr>
        <w:footnoteReference w:id="467"/>
      </w:r>
      <w:r>
        <w:t xml:space="preserve"> </w:t>
      </w:r>
      <w:r>
        <w:t xml:space="preserve">If the tenant requires high-affinity binding, Entra drops the low-affinity bindings from evaluation.</w:t>
      </w:r>
      <w:r>
        <w:rPr>
          <w:rStyle w:val="FootnoteReference"/>
        </w:rPr>
        <w:footnoteReference w:id="468"/>
      </w:r>
      <w:r>
        <w:t xml:space="preserve"> </w:t>
      </w:r>
      <w:r>
        <w:t xml:space="preserve">The tenant defaults are low affinity and single-factor; both are settings an administrator changes.</w:t>
      </w:r>
      <w:r>
        <w:rPr>
          <w:rStyle w:val="FootnoteReference"/>
        </w:rPr>
        <w:footnoteReference w:id="469"/>
      </w:r>
      <w:r>
        <w:t xml:space="preserve"> </w:t>
      </w:r>
      <w:r>
        <w:t xml:space="preserve">For PIV in a federal tenant, prefer a high-affinity binding.</w:t>
      </w:r>
    </w:p>
    <w:p>
      <w:pPr>
        <w:pStyle w:val="BodyText"/>
      </w:pPr>
      <w:r>
        <w:t xml:space="preserve">The consequence for lifecycle is direct:</w:t>
      </w:r>
      <w:r>
        <w:t xml:space="preserve"> </w:t>
      </w:r>
      <w:r>
        <w:rPr>
          <w:b/>
          <w:bCs/>
        </w:rPr>
        <w:t xml:space="preserve">a high-affinity value identifies one certificate.</w:t>
      </w:r>
      <w:r>
        <w:t xml:space="preserve"> </w:t>
      </w:r>
      <w:r>
        <w:t xml:space="preserve">A card reissue produces new keys and certificates, so new SKI, SHA1PublicKey and serial-number values, and FIPS 201-3 requires the old card to be revoked when the new one is issued.</w:t>
      </w:r>
      <w:r>
        <w:rPr>
          <w:rStyle w:val="FootnoteReference"/>
        </w:rPr>
        <w:footnoteReference w:id="471"/>
      </w:r>
      <w:r>
        <w:t xml:space="preserve"> </w:t>
      </w:r>
      <w:r>
        <w:t xml:space="preserve">Even a renewal on the same key changes the serial number and the SHA1PublicKey value, which is the certificate’s thumbprint.</w:t>
      </w:r>
      <w:r>
        <w:rPr>
          <w:rStyle w:val="FootnoteReference"/>
        </w:rPr>
        <w:footnoteReference w:id="472"/>
      </w:r>
      <w:r>
        <w:t xml:space="preserve"> </w:t>
      </w:r>
      <w:r>
        <w:t xml:space="preserve">So the binding must be rewritten as part of the CMS’s issuance event, and the old value removed; Microsoft’s guidance for synchronized values is the same: populate only values for current valid certificates, and remove a value when its certificate expires or is revoked.</w:t>
      </w:r>
      <w:r>
        <w:rPr>
          <w:rStyle w:val="FootnoteReference"/>
        </w:rPr>
        <w:footnoteReference w:id="473"/>
      </w:r>
      <w:r>
        <w:t xml:space="preserve"> </w:t>
      </w:r>
      <w:r>
        <w:t xml:space="preserve">The binding is lifecycle data, and it needs a writer.</w:t>
      </w:r>
    </w:p>
    <w:p>
      <w:pPr>
        <w:pStyle w:val="BodyText"/>
      </w:pPr>
      <w:r>
        <w:t xml:space="preserve">How the value gets written depends on where the user is mastered:</w:t>
      </w:r>
    </w:p>
    <w:p>
      <w:pPr>
        <w:pStyle w:val="Compact"/>
        <w:numPr>
          <w:ilvl w:val="0"/>
          <w:numId w:val="1031"/>
        </w:numPr>
      </w:pPr>
      <w:r>
        <w:rPr>
          <w:b/>
          <w:bCs/>
        </w:rPr>
        <w:t xml:space="preserve">Cloud-only users:</w:t>
      </w:r>
      <w:r>
        <w:t xml:space="preserve"> </w:t>
      </w:r>
      <w:r>
        <w:t xml:space="preserve">the Entra admin center or Microsoft Graph, by at least a Privileged Authentication Administrator.</w:t>
      </w:r>
      <w:r>
        <w:rPr>
          <w:rStyle w:val="FootnoteReference"/>
        </w:rPr>
        <w:footnoteReference w:id="475"/>
      </w:r>
      <w:r>
        <w:rPr>
          <w:rStyle w:val="FootnoteReference"/>
        </w:rPr>
        <w:footnoteReference w:id="476"/>
      </w:r>
      <w:r>
        <w:t xml:space="preserve"> </w:t>
      </w:r>
      <w:r>
        <w:t xml:space="preserve">The attribute holds up to 10 values of up to 1,024 characters each, and each value can belong to only one user in the tenant; the admin center accepts up to four values of 120 characters.</w:t>
      </w:r>
      <w:r>
        <w:rPr>
          <w:rStyle w:val="FootnoteReference"/>
        </w:rPr>
        <w:footnoteReference w:id="477"/>
      </w:r>
      <w:r>
        <w:t xml:space="preserve"> </w:t>
      </w:r>
      <w:r>
        <w:t xml:space="preserve">The Microsoft Entra PowerShell module’s</w:t>
      </w:r>
      <w:r>
        <w:t xml:space="preserve"> </w:t>
      </w:r>
      <w:r>
        <w:rPr>
          <w:rStyle w:val="VerbatimChar"/>
        </w:rPr>
        <w:t xml:space="preserve">Get-EntraUserCertificateUserIdsFromCertificate</w:t>
      </w:r>
      <w:r>
        <w:t xml:space="preserve"> </w:t>
      </w:r>
      <w:r>
        <w:t xml:space="preserve">cmdlet computes the correct</w:t>
      </w:r>
      <w:r>
        <w:t xml:space="preserve"> </w:t>
      </w:r>
      <w:r>
        <w:rPr>
          <w:rStyle w:val="VerbatimChar"/>
        </w:rPr>
        <w:t xml:space="preserve">certificateUserIds</w:t>
      </w:r>
      <w:r>
        <w:t xml:space="preserve"> </w:t>
      </w:r>
      <w:r>
        <w:t xml:space="preserve">values from a certificate.</w:t>
      </w:r>
      <w:r>
        <w:rPr>
          <w:rStyle w:val="FootnoteReference"/>
        </w:rPr>
        <w:footnoteReference w:id="478"/>
      </w:r>
    </w:p>
    <w:p>
      <w:pPr>
        <w:pStyle w:val="Compact"/>
        <w:numPr>
          <w:ilvl w:val="0"/>
          <w:numId w:val="1031"/>
        </w:numPr>
      </w:pPr>
      <w:r>
        <w:rPr>
          <w:b/>
          <w:bCs/>
        </w:rPr>
        <w:t xml:space="preserve">Synced users:</w:t>
      </w:r>
      <w:r>
        <w:t xml:space="preserve"> </w:t>
      </w:r>
      <w:r>
        <w:t xml:space="preserve">only Microsoft Entra Connect can update</w:t>
      </w:r>
      <w:r>
        <w:t xml:space="preserve"> </w:t>
      </w:r>
      <w:r>
        <w:rPr>
          <w:rStyle w:val="VerbatimChar"/>
        </w:rPr>
        <w:t xml:space="preserve">certificateUserIds</w:t>
      </w:r>
      <w:r>
        <w:t xml:space="preserve">. Populate</w:t>
      </w:r>
      <w:r>
        <w:t xml:space="preserve"> </w:t>
      </w:r>
      <w:r>
        <w:rPr>
          <w:rStyle w:val="VerbatimChar"/>
        </w:rPr>
        <w:t xml:space="preserve">altSecurityIdentities</w:t>
      </w:r>
      <w:r>
        <w:t xml:space="preserve"> </w:t>
      </w:r>
      <w:r>
        <w:t xml:space="preserve">in on-premises AD and sync it to</w:t>
      </w:r>
      <w:r>
        <w:t xml:space="preserve"> </w:t>
      </w:r>
      <w:r>
        <w:rPr>
          <w:rStyle w:val="VerbatimChar"/>
        </w:rPr>
        <w:t xml:space="preserve">certificateUserIds</w:t>
      </w:r>
      <w:r>
        <w:t xml:space="preserve">, either with Connect rules or by syncing the AltSecId value; updating it requires at least the Hybrid Identity Administrator role.</w:t>
      </w:r>
      <w:r>
        <w:rPr>
          <w:rStyle w:val="FootnoteReference"/>
        </w:rPr>
        <w:footnoteReference w:id="479"/>
      </w:r>
      <w:r>
        <w:rPr>
          <w:rStyle w:val="FootnoteReference"/>
        </w:rPr>
        <w:footnoteReference w:id="480"/>
      </w:r>
      <w:r>
        <w:rPr>
          <w:rStyle w:val="FootnoteReference"/>
        </w:rPr>
        <w:footnoteReference w:id="481"/>
      </w:r>
    </w:p>
    <w:p>
      <w:pPr>
        <w:pStyle w:val="FirstParagraph"/>
      </w:pPr>
      <w:r>
        <w:t xml:space="preserve">Microsoft’s warning about synced users belongs in the security plan:</w:t>
      </w:r>
      <w:r>
        <w:t xml:space="preserve"> </w:t>
      </w:r>
      <w:r>
        <w:rPr>
          <w:b/>
          <w:bCs/>
        </w:rPr>
        <w:t xml:space="preserve">Active Directory administrators can change the</w:t>
      </w:r>
      <w:r>
        <w:rPr>
          <w:b/>
          <w:bCs/>
        </w:rPr>
        <w:t xml:space="preserve"> </w:t>
      </w:r>
      <w:r>
        <w:rPr>
          <w:rStyle w:val="VerbatimChar"/>
          <w:b/>
          <w:bCs/>
        </w:rPr>
        <w:t xml:space="preserve">certificateUserIds</w:t>
      </w:r>
      <w:r>
        <w:rPr>
          <w:b/>
          <w:bCs/>
        </w:rPr>
        <w:t xml:space="preserve"> </w:t>
      </w:r>
      <w:r>
        <w:rPr>
          <w:b/>
          <w:bCs/>
        </w:rPr>
        <w:t xml:space="preserve">value in Entra ID for any synchronized account</w:t>
      </w:r>
      <w:r>
        <w:t xml:space="preserve">, and that includes anyone with delegated administrative rights over synchronized users or administrative rights over the Entra Connect servers.</w:t>
      </w:r>
      <w:r>
        <w:rPr>
          <w:rStyle w:val="FootnoteReference"/>
        </w:rPr>
        <w:footnoteReference w:id="482"/>
      </w:r>
      <w:r>
        <w:t xml:space="preserve"> </w:t>
      </w:r>
      <w:r>
        <w:t xml:space="preserve">Whoever can write</w:t>
      </w:r>
      <w:r>
        <w:t xml:space="preserve"> </w:t>
      </w:r>
      <w:r>
        <w:rPr>
          <w:rStyle w:val="VerbatimChar"/>
        </w:rPr>
        <w:t xml:space="preserve">altSecurityIdentities</w:t>
      </w:r>
      <w:r>
        <w:t xml:space="preserve"> </w:t>
      </w:r>
      <w:r>
        <w:t xml:space="preserve">can decide which certificate signs in as which user. Treat that write path as you treat the access attributes of Chapter 06: one automated writer (the CMS integration), no help-desk or self-service path, and any other write is drift (Chapter 11).</w:t>
      </w:r>
    </w:p>
    <w:bookmarkEnd w:id="483"/>
    <w:bookmarkStart w:id="492" w:name="revocation-checking"/>
    <w:p>
      <w:pPr>
        <w:pStyle w:val="Heading3"/>
      </w:pPr>
      <w:r>
        <w:t xml:space="preserve">Revocation checking</w:t>
      </w:r>
    </w:p>
    <w:p>
      <w:pPr>
        <w:pStyle w:val="FirstParagraph"/>
      </w:pPr>
      <w:r>
        <w:t xml:space="preserve">Entra ID checks the CRL of the issuing CA, and of the other CAs in the chain up to the root, during CBA sign-in.</w:t>
      </w:r>
      <w:r>
        <w:rPr>
          <w:rStyle w:val="FootnoteReference"/>
        </w:rPr>
        <w:footnoteReference w:id="484"/>
      </w:r>
      <w:r>
        <w:t xml:space="preserve"> </w:t>
      </w:r>
      <w:r>
        <w:t xml:space="preserve">Three properties shape how fast a PIV revocation takes effect in Entra:</w:t>
      </w:r>
    </w:p>
    <w:p>
      <w:pPr>
        <w:pStyle w:val="Compact"/>
        <w:numPr>
          <w:ilvl w:val="0"/>
          <w:numId w:val="1032"/>
        </w:numPr>
      </w:pPr>
      <w:r>
        <w:rPr>
          <w:b/>
          <w:bCs/>
        </w:rPr>
        <w:t xml:space="preserve">No CRL, no revocation.</w:t>
      </w:r>
      <w:r>
        <w:t xml:space="preserve"> </w:t>
      </w:r>
      <w:r>
        <w:t xml:space="preserve">If a trusted CA has no CRL configured, Entra doesn’t check revocation and revoked certificates still authenticate.</w:t>
      </w:r>
      <w:r>
        <w:rPr>
          <w:rStyle w:val="FootnoteReference"/>
        </w:rPr>
        <w:footnoteReference w:id="486"/>
      </w:r>
      <w:r>
        <w:t xml:space="preserve"> </w:t>
      </w:r>
      <w:r>
        <w:t xml:space="preserve">Turn on</w:t>
      </w:r>
      <w:r>
        <w:t xml:space="preserve"> </w:t>
      </w:r>
      <w:r>
        <w:rPr>
          <w:b/>
          <w:bCs/>
        </w:rPr>
        <w:t xml:space="preserve">Require CRL validation</w:t>
      </w:r>
      <w:r>
        <w:t xml:space="preserve">, which makes CBA fail for certificates from a CA without a CRL; exempt a CA only while its CRL is being fixed.</w:t>
      </w:r>
      <w:r>
        <w:rPr>
          <w:rStyle w:val="FootnoteReference"/>
        </w:rPr>
        <w:footnoteReference w:id="487"/>
      </w:r>
    </w:p>
    <w:p>
      <w:pPr>
        <w:pStyle w:val="Compact"/>
        <w:numPr>
          <w:ilvl w:val="0"/>
          <w:numId w:val="1032"/>
        </w:numPr>
      </w:pPr>
      <w:r>
        <w:rPr>
          <w:b/>
          <w:bCs/>
        </w:rPr>
        <w:t xml:space="preserve">Caching.</w:t>
      </w:r>
      <w:r>
        <w:t xml:space="preserve"> </w:t>
      </w:r>
      <w:r>
        <w:t xml:space="preserve">Entra caches the CRL. A newly revoked certificate isn’t detected until the cache refreshes with a newer CRL; delta CRLs carry those updates, and without them revocation waits on the base CRL’s validity period. Entra doesn’t support OCSP.</w:t>
      </w:r>
      <w:r>
        <w:rPr>
          <w:rStyle w:val="FootnoteReference"/>
        </w:rPr>
        <w:footnoteReference w:id="488"/>
      </w:r>
      <w:r>
        <w:t xml:space="preserve"> </w:t>
      </w:r>
      <w:r>
        <w:t xml:space="preserve">Microsoft advises revoking tokens manually when immediate revocation is critical.</w:t>
      </w:r>
      <w:r>
        <w:rPr>
          <w:rStyle w:val="FootnoteReference"/>
        </w:rPr>
        <w:footnoteReference w:id="489"/>
      </w:r>
    </w:p>
    <w:p>
      <w:pPr>
        <w:pStyle w:val="Compact"/>
        <w:numPr>
          <w:ilvl w:val="0"/>
          <w:numId w:val="1032"/>
        </w:numPr>
      </w:pPr>
      <w:r>
        <w:rPr>
          <w:b/>
          <w:bCs/>
        </w:rPr>
        <w:t xml:space="preserve">Size limits.</w:t>
      </w:r>
      <w:r>
        <w:t xml:space="preserve"> </w:t>
      </w:r>
      <w:r>
        <w:t xml:space="preserve">In Azure Global, which includes GCC, the CRL download limits are 20 MB for interactive sign-in and 65 MB for the service; in Azure Government (GCC High and DoD) they are 45 MB and 150 MB.</w:t>
      </w:r>
      <w:r>
        <w:rPr>
          <w:rStyle w:val="FootnoteReference"/>
        </w:rPr>
        <w:footnoteReference w:id="490"/>
      </w:r>
      <w:r>
        <w:t xml:space="preserve"> </w:t>
      </w:r>
      <w:r>
        <w:t xml:space="preserve">Check the issuing CAs’ CRL sizes against those limits during Phase 1. If Entra can’t reach a configured CRL endpoint, CBA fails.</w:t>
      </w:r>
      <w:r>
        <w:rPr>
          <w:rStyle w:val="FootnoteReference"/>
        </w:rPr>
        <w:footnoteReference w:id="491"/>
      </w:r>
    </w:p>
    <w:p>
      <w:pPr>
        <w:pStyle w:val="FirstParagraph"/>
      </w:pPr>
      <w:r>
        <w:t xml:space="preserve">So the PIV revocation in the leaver sequence closes CBA</w:t>
      </w:r>
      <w:r>
        <w:t xml:space="preserve"> </w:t>
      </w:r>
      <w:r>
        <w:rPr>
          <w:i/>
          <w:iCs/>
        </w:rPr>
        <w:t xml:space="preserve">eventually</w:t>
      </w:r>
      <w:r>
        <w:t xml:space="preserve">, on the CA’s CRL schedule. The account disable and token revocation steps close Entra</w:t>
      </w:r>
      <w:r>
        <w:t xml:space="preserve"> </w:t>
      </w:r>
      <w:r>
        <w:rPr>
          <w:i/>
          <w:iCs/>
        </w:rPr>
        <w:t xml:space="preserve">now</w:t>
      </w:r>
      <w:r>
        <w:t xml:space="preserve">. Both are needed: the first protects every other relying party, the second protects the tenant.</w:t>
      </w:r>
    </w:p>
    <w:bookmarkEnd w:id="492"/>
    <w:bookmarkStart w:id="498" w:name="derived-piv-credentials"/>
    <w:p>
      <w:pPr>
        <w:pStyle w:val="Heading3"/>
      </w:pPr>
      <w:r>
        <w:t xml:space="preserve">Derived PIV credentials</w:t>
      </w:r>
    </w:p>
    <w:p>
      <w:pPr>
        <w:pStyle w:val="FirstParagraph"/>
      </w:pPr>
      <w:r>
        <w:t xml:space="preserve">Derived PIV credentials let a person who holds a valid PIV card carry an equivalent credential on a device that can’t use the card. FIPS 201-3 requires PIV card termination procedures to invalidate every derived PIV credential bound to the PIV identity account, and requires the derived PIV authentication certificate to be revoked when its private key can’t be securely zeroized or destroyed.</w:t>
      </w:r>
      <w:r>
        <w:rPr>
          <w:rStyle w:val="FootnoteReference"/>
        </w:rPr>
        <w:footnoteReference w:id="493"/>
      </w:r>
      <w:r>
        <w:t xml:space="preserve"> </w:t>
      </w:r>
      <w:r>
        <w:t xml:space="preserve">NIST SP 800-157 (December 2014) is the current final guideline; SP 800-157 Revision 1 is still a final public draft (November 2024) that widens derived PIV credentials to include non-PKI authenticators verified by the home agency.</w:t>
      </w:r>
      <w:r>
        <w:rPr>
          <w:rStyle w:val="FootnoteReference"/>
        </w:rPr>
        <w:footnoteReference w:id="494"/>
      </w:r>
      <w:r>
        <w:rPr>
          <w:rStyle w:val="FootnoteReference"/>
        </w:rPr>
        <w:footnoteReference w:id="496"/>
      </w:r>
      <w:r>
        <w:t xml:space="preserve"> </w:t>
      </w:r>
      <w:r>
        <w:t xml:space="preserve">Plan for both forms in the Master User Record: a derived credential is an authenticator to revoke, and the leaver sequence has to find it.</w:t>
      </w:r>
    </w:p>
    <w:bookmarkEnd w:id="498"/>
    <w:bookmarkStart w:id="500" w:name="assurance-as-data"/>
    <w:p>
      <w:pPr>
        <w:pStyle w:val="Heading3"/>
      </w:pPr>
      <w:r>
        <w:t xml:space="preserve">Assurance as data</w:t>
      </w:r>
    </w:p>
    <w:p>
      <w:pPr>
        <w:pStyle w:val="FirstParagraph"/>
      </w:pPr>
      <w:r>
        <w:t xml:space="preserve">Record each person’s identity proofing level and authenticator assurance as governed attributes, not as tribal knowledge. OMB M-22-09 requires phishing-resistant MFA for agency staff, contractors and partners, and a PIV-bound account is how most federal workforce users meet it.</w:t>
      </w:r>
      <w:r>
        <w:rPr>
          <w:rStyle w:val="FootnoteReference"/>
        </w:rPr>
        <w:footnoteReference w:id="499"/>
      </w:r>
      <w:r>
        <w:t xml:space="preserve"> </w:t>
      </w:r>
      <w:r>
        <w:t xml:space="preserve">Two rules make assurance usable as data: the joiner workflow records the proofing outcome from the credentialing process, and an account whose proofing evidence is missing is itself a finding (Chapter 11), not a default. HR sponsors and triggers proofing; under FIPS 201 the PIV process performs it.</w:t>
      </w:r>
    </w:p>
    <w:bookmarkEnd w:id="500"/>
    <w:bookmarkEnd w:id="501"/>
    <w:bookmarkStart w:id="504" w:name="X94296ff6e6513d4753c25cabb29212bdcd367df"/>
    <w:p>
      <w:pPr>
        <w:pStyle w:val="Heading2"/>
      </w:pPr>
      <w:bookmarkStart w:id="869" w:name="_Toc00000869"/>
      <w:r>
        <w:t xml:space="preserve">Mover: usually nothing, sometimes a reissue</w:t>
      </w:r>
      <w:bookmarkEnd w:id="869"/>
    </w:p>
    <w:p>
      <w:pPr>
        <w:pStyle w:val="FirstParagraph"/>
      </w:pPr>
      <w:r>
        <w:t xml:space="preserve">Most moves don’t touch credentials: the person, the identifier and the PIV identity account stay the same (Chapter 04). Two exceptions:</w:t>
      </w:r>
    </w:p>
    <w:p>
      <w:pPr>
        <w:pStyle w:val="Compact"/>
        <w:numPr>
          <w:ilvl w:val="0"/>
          <w:numId w:val="1033"/>
        </w:numPr>
      </w:pPr>
      <w:r>
        <w:rPr>
          <w:b/>
          <w:bCs/>
        </w:rPr>
        <w:t xml:space="preserve">A change that reissues the card</w:t>
      </w:r>
      <w:r>
        <w:t xml:space="preserve"> </w:t>
      </w:r>
      <w:r>
        <w:t xml:space="preserve">(a legal name change, a contractor whose engagement changes) produces new certificates, and the high-affinity binding must be rewritten. FIPS 201-3 lists an employee status or attribute change among the reasons for reissuance.</w:t>
      </w:r>
      <w:r>
        <w:rPr>
          <w:rStyle w:val="FootnoteReference"/>
        </w:rPr>
        <w:footnoteReference w:id="502"/>
      </w:r>
    </w:p>
    <w:p>
      <w:pPr>
        <w:pStyle w:val="Compact"/>
        <w:numPr>
          <w:ilvl w:val="0"/>
          <w:numId w:val="1033"/>
        </w:numPr>
      </w:pPr>
      <w:r>
        <w:rPr>
          <w:b/>
          <w:bCs/>
        </w:rPr>
        <w:t xml:space="preserve">A change that ends eligibility.</w:t>
      </w:r>
      <w:r>
        <w:t xml:space="preserve"> </w:t>
      </w:r>
      <w:r>
        <w:t xml:space="preserve">FIPS 201-3 requires termination of the card when, for example, a contractor changes positions and no longer needs access to federal buildings or systems.</w:t>
      </w:r>
      <w:r>
        <w:rPr>
          <w:rStyle w:val="FootnoteReference"/>
        </w:rPr>
        <w:footnoteReference w:id="503"/>
      </w:r>
      <w:r>
        <w:t xml:space="preserve"> </w:t>
      </w:r>
      <w:r>
        <w:t xml:space="preserve">That is a mover in HR and a leaver for the credential.</w:t>
      </w:r>
    </w:p>
    <w:bookmarkEnd w:id="504"/>
    <w:bookmarkStart w:id="514" w:name="X81ae425e60662faa234921fdd19f20af4c2f099"/>
    <w:p>
      <w:pPr>
        <w:pStyle w:val="Heading2"/>
      </w:pPr>
      <w:bookmarkStart w:id="870" w:name="_Toc00000870"/>
      <w:r>
        <w:t xml:space="preserve">Device certificates: Intune and Microsoft Cloud PKI</w:t>
      </w:r>
      <w:bookmarkEnd w:id="870"/>
    </w:p>
    <w:p>
      <w:pPr>
        <w:pStyle w:val="FirstParagraph"/>
      </w:pPr>
      <w:r>
        <w:t xml:space="preserve">Devices get their own certificates, for Wi-Fi, VPN and other authentication, through Intune SCEP or PKCS certificate profiles; Microsoft Cloud PKI can be the issuing CA for SCEP. Cloud PKI is licensed as a subscription on top of Intune Plan 1 or Plan 2; it is available in GCC High but not in DoD environments. Intune hosts each Cloud PKI CA’s CRL, which is valid for seven days, republished every 3.5 days, and updated with every revocation.</w:t>
      </w:r>
      <w:r>
        <w:rPr>
          <w:rStyle w:val="FootnoteReference"/>
        </w:rPr>
        <w:footnoteReference w:id="505"/>
      </w:r>
      <w:r>
        <w:t xml:space="preserve"> </w:t>
      </w:r>
      <w:r>
        <w:t xml:space="preserve">The SQL Server series, Book 10 covers the move from AD CS to Cloud PKI; this section covers only what the leaver sequence needs.</w:t>
      </w:r>
    </w:p>
    <w:p>
      <w:pPr>
        <w:pStyle w:val="BodyText"/>
      </w:pPr>
      <w:r>
        <w:t xml:space="preserve">For Windows devices, Intune documents when a SCEP certificate is revoked and removed:</w:t>
      </w:r>
      <w:r>
        <w:rPr>
          <w:rStyle w:val="FootnoteReference"/>
        </w:rPr>
        <w:footnoteReference w:id="507"/>
      </w:r>
    </w:p>
    <w:p>
      <w:pPr>
        <w:pStyle w:val="TableCaption"/>
      </w:pPr>
      <w:r>
        <w:t xml:space="preserve">When Intune revokes a SCEP certificate on a Windows device</w:t>
      </w:r>
      <w:r>
        <w:rPr>
          <w:rStyle w:val="FootnoteReference"/>
        </w:rPr>
        <w:footnoteReference w:id="509"/>
      </w:r>
    </w:p>
    <w:tbl>
      <w:tblPr>
        <w:tblStyle w:val="Table"/>
        <w:tblW w:type="pct" w:w="5000"/>
        <w:tblLayout w:type="fixed"/>
        <w:tblLook w:firstRow="1" w:lastRow="0" w:firstColumn="0" w:lastColumn="0" w:noHBand="0" w:noVBand="0" w:val="0020"/>
        <w:tblCaption w:val="When Intune revokes a SCEP certificate on a Windows device"/>
      </w:tblPr>
      <w:tblGrid>
        <w:gridCol w:w="3960"/>
        <w:gridCol w:w="3960"/>
      </w:tblGrid>
      <w:tr>
        <w:trPr>
          <w:tblHeader w:val="on"/>
        </w:trPr>
        <w:tc>
          <w:tcPr/>
          <w:p>
            <w:pPr>
              <w:pStyle w:val="Compact"/>
            </w:pPr>
            <w:r>
              <w:t xml:space="preserve">Action</w:t>
            </w:r>
          </w:p>
        </w:tc>
        <w:tc>
          <w:tcPr/>
          <w:p>
            <w:pPr>
              <w:pStyle w:val="Compact"/>
            </w:pPr>
            <w:r>
              <w:t xml:space="preserve">SCEP certificate</w:t>
            </w:r>
          </w:p>
        </w:tc>
      </w:tr>
      <w:tr>
        <w:tc>
          <w:tcPr/>
          <w:p>
            <w:pPr>
              <w:pStyle w:val="Compact"/>
            </w:pPr>
            <w:r>
              <w:t xml:space="preserve">User unenrolls the device</w:t>
            </w:r>
          </w:p>
        </w:tc>
        <w:tc>
          <w:tcPr/>
          <w:p>
            <w:pPr>
              <w:pStyle w:val="Compact"/>
            </w:pPr>
            <w:r>
              <w:t xml:space="preserve">Revoked and removed</w:t>
            </w:r>
          </w:p>
        </w:tc>
      </w:tr>
      <w:tr>
        <w:tc>
          <w:tcPr/>
          <w:p>
            <w:pPr>
              <w:pStyle w:val="Compact"/>
            </w:pPr>
            <w:r>
              <w:t xml:space="preserve">Administrator runs</w:t>
            </w:r>
            <w:r>
              <w:t xml:space="preserve"> </w:t>
            </w:r>
            <w:r>
              <w:rPr>
                <w:b/>
                <w:bCs/>
              </w:rPr>
              <w:t xml:space="preserve">wipe</w:t>
            </w:r>
          </w:p>
        </w:tc>
        <w:tc>
          <w:tcPr/>
          <w:p>
            <w:pPr>
              <w:pStyle w:val="Compact"/>
            </w:pPr>
            <w:r>
              <w:t xml:space="preserve">Revoked and removed</w:t>
            </w:r>
          </w:p>
        </w:tc>
      </w:tr>
      <w:tr>
        <w:tc>
          <w:tcPr/>
          <w:p>
            <w:pPr>
              <w:pStyle w:val="Compact"/>
            </w:pPr>
            <w:r>
              <w:t xml:space="preserve">Administrator runs</w:t>
            </w:r>
            <w:r>
              <w:t xml:space="preserve"> </w:t>
            </w:r>
            <w:r>
              <w:rPr>
                <w:b/>
                <w:bCs/>
              </w:rPr>
              <w:t xml:space="preserve">retire</w:t>
            </w:r>
          </w:p>
        </w:tc>
        <w:tc>
          <w:tcPr/>
          <w:p>
            <w:pPr>
              <w:pStyle w:val="Compact"/>
            </w:pPr>
            <w:r>
              <w:t xml:space="preserve">Revoked and removed</w:t>
            </w:r>
          </w:p>
        </w:tc>
      </w:tr>
      <w:tr>
        <w:tc>
          <w:tcPr/>
          <w:p>
            <w:pPr>
              <w:pStyle w:val="Compact"/>
            </w:pPr>
            <w:r>
              <w:t xml:space="preserve">Device removed from an Entra group</w:t>
            </w:r>
          </w:p>
        </w:tc>
        <w:tc>
          <w:tcPr/>
          <w:p>
            <w:pPr>
              <w:pStyle w:val="Compact"/>
            </w:pPr>
            <w:r>
              <w:t xml:space="preserve">Revoked and removed</w:t>
            </w:r>
          </w:p>
        </w:tc>
      </w:tr>
      <w:tr>
        <w:tc>
          <w:tcPr/>
          <w:p>
            <w:pPr>
              <w:pStyle w:val="Compact"/>
            </w:pPr>
            <w:r>
              <w:t xml:space="preserve">Certificate profile removed from the group assignment</w:t>
            </w:r>
          </w:p>
        </w:tc>
        <w:tc>
          <w:tcPr/>
          <w:p>
            <w:pPr>
              <w:pStyle w:val="Compact"/>
            </w:pPr>
            <w:r>
              <w:t xml:space="preserve">Revoked and removed</w:t>
            </w:r>
          </w:p>
        </w:tc>
      </w:tr>
      <w:tr>
        <w:tc>
          <w:tcPr/>
          <w:p>
            <w:pPr>
              <w:pStyle w:val="Compact"/>
            </w:pPr>
            <w:r>
              <w:t xml:space="preserve">User loses, or administrator withdraws, the Intune license</w:t>
            </w:r>
          </w:p>
        </w:tc>
        <w:tc>
          <w:tcPr/>
          <w:p>
            <w:pPr>
              <w:pStyle w:val="Compact"/>
            </w:pPr>
            <w:r>
              <w:rPr>
                <w:b/>
                <w:bCs/>
              </w:rPr>
              <w:t xml:space="preserve">Stays on the device; not revoked</w:t>
            </w:r>
          </w:p>
        </w:tc>
      </w:tr>
      <w:tr>
        <w:tc>
          <w:tcPr/>
          <w:p>
            <w:pPr>
              <w:pStyle w:val="Compact"/>
            </w:pPr>
            <w:r>
              <w:t xml:space="preserve">Administrator</w:t>
            </w:r>
            <w:r>
              <w:t xml:space="preserve"> </w:t>
            </w:r>
            <w:r>
              <w:rPr>
                <w:b/>
                <w:bCs/>
              </w:rPr>
              <w:t xml:space="preserve">removes the user or group from Entra ID</w:t>
            </w:r>
          </w:p>
        </w:tc>
        <w:tc>
          <w:tcPr/>
          <w:p>
            <w:pPr>
              <w:pStyle w:val="Compact"/>
            </w:pPr>
            <w:r>
              <w:rPr>
                <w:b/>
                <w:bCs/>
              </w:rPr>
              <w:t xml:space="preserve">Stays on the device; not revoked</w:t>
            </w:r>
          </w:p>
        </w:tc>
      </w:tr>
    </w:tbl>
    <w:p>
      <w:pPr>
        <w:pStyle w:val="BodyText"/>
      </w:pPr>
      <w:r>
        <w:t xml:space="preserve">The same article lists the behavior for the other platforms; check the platforms the agency manages (on macOS, for example, retire revokes and removes SCEP certificates, and the article notes that using wipe to factory-reset a macOS device isn’t supported). Two more caveats from the same source: SCEP certificates from a third-party CA are removed but not revoked, and PKCS certificates are revoked and removed on unenroll, wipe or retire.</w:t>
      </w:r>
      <w:r>
        <w:rPr>
          <w:rStyle w:val="FootnoteReference"/>
        </w:rPr>
        <w:footnoteReference w:id="510"/>
      </w:r>
    </w:p>
    <w:p>
      <w:pPr>
        <w:pStyle w:val="BodyText"/>
      </w:pPr>
      <w:r>
        <w:rPr>
          <w:b/>
          <w:bCs/>
        </w:rPr>
        <w:t xml:space="preserve">The rule that follows: retire or wipe the leaver’s devices before deleting the user.</w:t>
      </w:r>
      <w:r>
        <w:t xml:space="preserve"> </w:t>
      </w:r>
      <w:r>
        <w:t xml:space="preserve">Microsoft gives the same order for a user being removed from Active Directory or Entra ID: wipe or retire the device first, then remove the user.</w:t>
      </w:r>
      <w:r>
        <w:rPr>
          <w:rStyle w:val="FootnoteReference"/>
        </w:rPr>
        <w:footnoteReference w:id="511"/>
      </w:r>
      <w:r>
        <w:t xml:space="preserve"> </w:t>
      </w:r>
      <w:r>
        <w:t xml:space="preserve">Deleting the user first leaves valid device certificates on hardware the agency may not get back.</w:t>
      </w:r>
    </w:p>
    <w:p>
      <w:pPr>
        <w:pStyle w:val="BodyText"/>
      </w:pPr>
      <w:r>
        <w:t xml:space="preserve">Manual revocation has a trap of its own. If you revoke a Cloud PKI certificate by hand for a user or device that still has an active SCEP profile assignment, the device requests a new certificate at the next check-in and gets one. To stop reissue, remove all SCEP policy assignments first.</w:t>
      </w:r>
      <w:r>
        <w:rPr>
          <w:rStyle w:val="FootnoteReference"/>
        </w:rPr>
        <w:footnoteReference w:id="512"/>
      </w:r>
    </w:p>
    <w:bookmarkEnd w:id="514"/>
    <w:bookmarkStart w:id="537" w:name="the-canonical-leaver-sequence"/>
    <w:p>
      <w:pPr>
        <w:pStyle w:val="Heading2"/>
      </w:pPr>
      <w:bookmarkStart w:id="871" w:name="_Toc00000871"/>
      <w:r>
        <w:t xml:space="preserve">The canonical leaver sequence</w:t>
      </w:r>
      <w:bookmarkEnd w:id="871"/>
    </w:p>
    <w:p>
      <w:pPr>
        <w:pStyle w:val="FirstParagraph"/>
      </w:pPr>
      <w:r>
        <w:rPr>
          <w:b/>
          <w:bCs/>
        </w:rPr>
        <w:t xml:space="preserve">Block logical access first.</w:t>
      </w:r>
      <w:r>
        <w:t xml:space="preserve"> </w:t>
      </w:r>
      <w:r>
        <w:t xml:space="preserve">At the effective separation time, disable sign-in and revoke sessions. Every other revocation — credentials, devices, entitlements, application access — runs after the block, in parallel where practical, and is reconciled to completion. None of them may delay the block.</w:t>
      </w:r>
    </w:p>
    <w:p>
      <w:pPr>
        <w:pStyle w:val="CaptionedFigure"/>
      </w:pPr>
      <w:r>
        <w:drawing>
          <wp:inline>
            <wp:extent cx="5334000" cy="5002352"/>
            <wp:effectExtent b="0" l="0" r="0" t="0"/>
            <wp:docPr descr="The leaver sequence: block first by disabling the account and revoking sessions, then revoke credentials, devices and access in parallel, reconcile every result, and dispose of the directory object last." title="" id="516" name="Picture"/>
            <a:graphic>
              <a:graphicData uri="http://schemas.openxmlformats.org/drawingml/2006/picture">
                <pic:pic>
                  <pic:nvPicPr>
                    <pic:cNvPr descr="/home/runner/work/modernization-workbook/modernization-workbook/docs/images/diagrams/b03-hr-identity/png/ch09-leaver-sequence.png" id="517" name="Picture"/>
                    <pic:cNvPicPr>
                      <a:picLocks noChangeArrowheads="1" noChangeAspect="1"/>
                    </pic:cNvPicPr>
                  </pic:nvPicPr>
                  <pic:blipFill>
                    <a:blip r:embed="rId515"/>
                    <a:stretch>
                      <a:fillRect/>
                    </a:stretch>
                  </pic:blipFill>
                  <pic:spPr bwMode="auto">
                    <a:xfrm>
                      <a:off x="0" y="0"/>
                      <a:ext cx="5334000" cy="5002352"/>
                    </a:xfrm>
                    <a:prstGeom prst="rect">
                      <a:avLst/>
                    </a:prstGeom>
                    <a:noFill/>
                    <a:ln w="9525">
                      <a:noFill/>
                      <a:headEnd/>
                      <a:tailEnd/>
                    </a:ln>
                  </pic:spPr>
                </pic:pic>
              </a:graphicData>
            </a:graphic>
          </wp:inline>
        </w:drawing>
      </w:r>
    </w:p>
    <w:p>
      <w:pPr>
        <w:pStyle w:val="ImageCaption"/>
      </w:pPr>
      <w:r>
        <w:t xml:space="preserve">The leaver sequence: block first by disabling the account and revoking sessions, then revoke credentials, devices and access in parallel, reconcile every result, and dispose of the directory object last.</w:t>
      </w:r>
    </w:p>
    <w:p>
      <w:pPr>
        <w:pStyle w:val="Compact"/>
        <w:numPr>
          <w:ilvl w:val="0"/>
          <w:numId w:val="1034"/>
        </w:numPr>
      </w:pPr>
      <w:r>
        <w:rPr>
          <w:b/>
          <w:bCs/>
        </w:rPr>
        <w:t xml:space="preserve">Disable the account</w:t>
      </w:r>
      <w:r>
        <w:t xml:space="preserve"> </w:t>
      </w:r>
      <w:r>
        <w:t xml:space="preserve">in Entra ID, and in AD for synced users. For a hybrid user, Microsoft’s procedure disables the account in AD and resets its password twice.</w:t>
      </w:r>
      <w:r>
        <w:rPr>
          <w:rStyle w:val="FootnoteReference"/>
        </w:rPr>
        <w:footnoteReference w:id="518"/>
      </w:r>
    </w:p>
    <w:p>
      <w:pPr>
        <w:pStyle w:val="Compact"/>
        <w:numPr>
          <w:ilvl w:val="0"/>
          <w:numId w:val="1034"/>
        </w:numPr>
      </w:pPr>
      <w:r>
        <w:rPr>
          <w:b/>
          <w:bCs/>
        </w:rPr>
        <w:t xml:space="preserve">Revoke sessions and refresh tokens.</w:t>
      </w:r>
      <w:r>
        <w:t xml:space="preserve"> </w:t>
      </w:r>
      <w:r>
        <w:t xml:space="preserve">Microsoft’s revocation procedure disables the user and then revokes refresh tokens, so the user can’t get a new token for any application tied to Entra ID. Access tokens already issued stay valid until they expire (one hour by default) unless the application supports continuous access evaluation, and applications that keep their own session tokens have to end those sessions themselves.</w:t>
      </w:r>
      <w:r>
        <w:rPr>
          <w:rStyle w:val="FootnoteReference"/>
        </w:rPr>
        <w:footnoteReference w:id="520"/>
      </w:r>
      <w:r>
        <w:t xml:space="preserve"> </w:t>
      </w:r>
      <w:r>
        <w:t xml:space="preserve">This is also the step that closes CBA immediately rather than at the next CRL refresh.</w:t>
      </w:r>
      <w:r>
        <w:rPr>
          <w:rStyle w:val="FootnoteReference"/>
        </w:rPr>
        <w:footnoteReference w:id="521"/>
      </w:r>
    </w:p>
    <w:p>
      <w:pPr>
        <w:pStyle w:val="Compact"/>
        <w:numPr>
          <w:ilvl w:val="0"/>
          <w:numId w:val="1034"/>
        </w:numPr>
      </w:pPr>
      <w:r>
        <w:rPr>
          <w:b/>
          <w:bCs/>
        </w:rPr>
        <w:t xml:space="preserve">Revoke credentials, devices and access, in parallel where practical:</w:t>
      </w:r>
    </w:p>
    <w:p>
      <w:pPr>
        <w:pStyle w:val="Compact"/>
        <w:numPr>
          <w:ilvl w:val="1"/>
          <w:numId w:val="1035"/>
        </w:numPr>
      </w:pPr>
      <w:r>
        <w:rPr>
          <w:b/>
          <w:bCs/>
        </w:rPr>
        <w:t xml:space="preserve">PIV, through the CMS.</w:t>
      </w:r>
      <w:r>
        <w:t xml:space="preserve"> </w:t>
      </w:r>
      <w:r>
        <w:t xml:space="preserve">Collect and destroy the card where possible; otherwise inform the CA and revoke the PIV authentication and card authentication certificates, and the signature and key management certificates if present. Update the Central Verification System (or its successor), the issuer’s records of the card’s FASC-N and UUID, and the CMS, and invalidate all derived PIV credentials. For a card that can’t be collected, FIPS 201-3 requires the normal termination procedures to be completed within 18 hours of notification, and calls for emergency procedures where 18 hours is too long.</w:t>
      </w:r>
      <w:r>
        <w:rPr>
          <w:rStyle w:val="FootnoteReference"/>
        </w:rPr>
        <w:footnoteReference w:id="522"/>
      </w:r>
    </w:p>
    <w:p>
      <w:pPr>
        <w:pStyle w:val="Compact"/>
        <w:numPr>
          <w:ilvl w:val="1"/>
          <w:numId w:val="1035"/>
        </w:numPr>
      </w:pPr>
      <w:r>
        <w:rPr>
          <w:b/>
          <w:bCs/>
        </w:rPr>
        <w:t xml:space="preserve">Devices, through Intune.</w:t>
      </w:r>
      <w:r>
        <w:t xml:space="preserve"> </w:t>
      </w:r>
      <w:r>
        <w:t xml:space="preserve">Retire or wipe every managed device assigned to the leaver. This revokes and removes Intune SCEP and PKCS certificates.</w:t>
      </w:r>
      <w:r>
        <w:rPr>
          <w:rStyle w:val="FootnoteReference"/>
        </w:rPr>
        <w:footnoteReference w:id="523"/>
      </w:r>
      <w:r>
        <w:t xml:space="preserve"> </w:t>
      </w:r>
      <w:r>
        <w:t xml:space="preserve">Wipe needs the device online.</w:t>
      </w:r>
      <w:r>
        <w:rPr>
          <w:rStyle w:val="FootnoteReference"/>
        </w:rPr>
        <w:footnoteReference w:id="524"/>
      </w:r>
      <w:r>
        <w:t xml:space="preserve"> </w:t>
      </w:r>
      <w:r>
        <w:t xml:space="preserve">Remove the leaver from SCEP profile assignments so a manually revoked certificate isn’t reissued.</w:t>
      </w:r>
      <w:r>
        <w:rPr>
          <w:rStyle w:val="FootnoteReference"/>
        </w:rPr>
        <w:footnoteReference w:id="525"/>
      </w:r>
    </w:p>
    <w:p>
      <w:pPr>
        <w:pStyle w:val="Compact"/>
        <w:numPr>
          <w:ilvl w:val="1"/>
          <w:numId w:val="1035"/>
        </w:numPr>
      </w:pPr>
      <w:r>
        <w:rPr>
          <w:b/>
          <w:bCs/>
        </w:rPr>
        <w:t xml:space="preserve">Access.</w:t>
      </w:r>
      <w:r>
        <w:t xml:space="preserve"> </w:t>
      </w:r>
      <w:r>
        <w:t xml:space="preserve">Remove privileged-role eligibility and standing privileged access, access packages, groups, Teams, licenses, and application-specific accounts and credentials.</w:t>
      </w:r>
    </w:p>
    <w:p>
      <w:pPr>
        <w:pStyle w:val="Compact"/>
        <w:numPr>
          <w:ilvl w:val="0"/>
          <w:numId w:val="1034"/>
        </w:numPr>
      </w:pPr>
      <w:r>
        <w:rPr>
          <w:b/>
          <w:bCs/>
        </w:rPr>
        <w:t xml:space="preserve">Reconcile every result.</w:t>
      </w:r>
      <w:r>
        <w:t xml:space="preserve"> </w:t>
      </w:r>
      <w:r>
        <w:t xml:space="preserve">Each action in step 3 reports completion or failure; anything incomplete escalates through an alternate path until revocation is confirmed.</w:t>
      </w:r>
    </w:p>
    <w:p>
      <w:pPr>
        <w:pStyle w:val="Compact"/>
        <w:numPr>
          <w:ilvl w:val="0"/>
          <w:numId w:val="1034"/>
        </w:numPr>
      </w:pPr>
      <w:r>
        <w:rPr>
          <w:b/>
          <w:bCs/>
        </w:rPr>
        <w:t xml:space="preserve">Dispose of the directory object under the approved account-disposition rule</w:t>
      </w:r>
      <w:r>
        <w:t xml:space="preserve"> </w:t>
      </w:r>
      <w:r>
        <w:t xml:space="preserve">(Chapter 08) — last, because deleting the user leaves device certificates valid on hardware that hasn’t been retired.</w:t>
      </w:r>
    </w:p>
    <w:p>
      <w:pPr>
        <w:pStyle w:val="FirstParagraph"/>
      </w:pPr>
      <w:r>
        <w:t xml:space="preserve">Steps 1 and 2 run back to back. Disabling first, then revoking, follows Microsoft’s documented order;</w:t>
      </w:r>
      <w:r>
        <w:rPr>
          <w:rStyle w:val="FootnoteReference"/>
        </w:rPr>
        <w:footnoteReference w:id="526"/>
      </w:r>
      <w:r>
        <w:t xml:space="preserve"> </w:t>
      </w:r>
      <w:r>
        <w:t xml:space="preserve">revoking first would leave a window in which a still-enabled account could get a new token. Disabling the account doesn’t stop the step 3 actions: Intune retire and wipe act on the device, and CMS revocation acts on the credential, not on the user’s sign-in.</w:t>
      </w:r>
    </w:p>
    <w:bookmarkStart w:id="536" w:name="running-it-from-lifecycle-workflows"/>
    <w:p>
      <w:pPr>
        <w:pStyle w:val="Heading3"/>
      </w:pPr>
      <w:r>
        <w:t xml:space="preserve">Running it from Lifecycle Workflows</w:t>
      </w:r>
    </w:p>
    <w:p>
      <w:pPr>
        <w:pStyle w:val="FirstParagraph"/>
      </w:pPr>
      <w:r>
        <w:t xml:space="preserve">The built-in leaver tasks cover groups, Teams, access packages, licenses, disabling the account, revoking refresh tokens and deleting the user, but none of them revokes a PIV credential or retires a device.</w:t>
      </w:r>
      <w:r>
        <w:rPr>
          <w:rStyle w:val="FootnoteReference"/>
        </w:rPr>
        <w:footnoteReference w:id="527"/>
      </w:r>
      <w:r>
        <w:t xml:space="preserve"> </w:t>
      </w:r>
      <w:r>
        <w:t xml:space="preserve">Microsoft’s real-time termination tutorial, for example, removes the user from all groups and Teams and deletes the account.</w:t>
      </w:r>
      <w:r>
        <w:rPr>
          <w:rStyle w:val="FootnoteReference"/>
        </w:rPr>
        <w:footnoteReference w:id="528"/>
      </w:r>
      <w:r>
        <w:t xml:space="preserve"> </w:t>
      </w:r>
      <w:r>
        <w:t xml:space="preserve">The missing steps go through a</w:t>
      </w:r>
      <w:r>
        <w:t xml:space="preserve"> </w:t>
      </w:r>
      <w:r>
        <w:rPr>
          <w:b/>
          <w:bCs/>
        </w:rPr>
        <w:t xml:space="preserve">custom task extension</w:t>
      </w:r>
      <w:r>
        <w:t xml:space="preserve">, which calls an Azure Logic App (consumption plan).</w:t>
      </w:r>
      <w:r>
        <w:rPr>
          <w:rStyle w:val="FootnoteReference"/>
        </w:rPr>
        <w:footnoteReference w:id="529"/>
      </w:r>
    </w:p>
    <w:p>
      <w:pPr>
        <w:pStyle w:val="Compact"/>
        <w:numPr>
          <w:ilvl w:val="0"/>
          <w:numId w:val="1036"/>
        </w:numPr>
      </w:pPr>
      <w:r>
        <w:t xml:space="preserve">Use</w:t>
      </w:r>
      <w:r>
        <w:t xml:space="preserve"> </w:t>
      </w:r>
      <w:r>
        <w:rPr>
          <w:b/>
          <w:bCs/>
        </w:rPr>
        <w:t xml:space="preserve">Launch and wait</w:t>
      </w:r>
      <w:r>
        <w:t xml:space="preserve">: the next task waits for the Logic App’s response, and if no response arrives within the configured duration the task is considered failed.</w:t>
      </w:r>
      <w:r>
        <w:rPr>
          <w:rStyle w:val="FootnoteReference"/>
        </w:rPr>
        <w:footnoteReference w:id="531"/>
      </w:r>
      <w:r>
        <w:t xml:space="preserve"> </w:t>
      </w:r>
      <w:r>
        <w:t xml:space="preserve">A third-party system such as the CMS integration can send the response if the Logic App only acts as an intermediary.</w:t>
      </w:r>
      <w:r>
        <w:rPr>
          <w:rStyle w:val="FootnoteReference"/>
        </w:rPr>
        <w:footnoteReference w:id="532"/>
      </w:r>
    </w:p>
    <w:p>
      <w:pPr>
        <w:pStyle w:val="Compact"/>
        <w:numPr>
          <w:ilvl w:val="0"/>
          <w:numId w:val="1036"/>
        </w:numPr>
      </w:pPr>
      <w:r>
        <w:t xml:space="preserve">Authorize the response with the Logic App’s system-assigned managed identity, the default.</w:t>
      </w:r>
      <w:r>
        <w:rPr>
          <w:rStyle w:val="FootnoteReference"/>
        </w:rPr>
        <w:footnoteReference w:id="533"/>
      </w:r>
    </w:p>
    <w:p>
      <w:pPr>
        <w:pStyle w:val="Compact"/>
        <w:numPr>
          <w:ilvl w:val="0"/>
          <w:numId w:val="1036"/>
        </w:numPr>
      </w:pPr>
      <w:r>
        <w:t xml:space="preserve">Order the workflow as the sequence above. Tasks run in their execution sequence, and each task’s</w:t>
      </w:r>
      <w:r>
        <w:t xml:space="preserve"> </w:t>
      </w:r>
      <w:r>
        <w:rPr>
          <w:rStyle w:val="VerbatimChar"/>
        </w:rPr>
        <w:t xml:space="preserve">continueOnError</w:t>
      </w:r>
      <w:r>
        <w:t xml:space="preserve"> </w:t>
      </w:r>
      <w:r>
        <w:t xml:space="preserve">setting decides whether its failure stops the tasks after it.</w:t>
      </w:r>
      <w:r>
        <w:rPr>
          <w:rStyle w:val="FootnoteReference"/>
        </w:rPr>
        <w:footnoteReference w:id="534"/>
      </w:r>
      <w:r>
        <w:t xml:space="preserve"> </w:t>
      </w:r>
      <w:r>
        <w:t xml:space="preserve">Put</w:t>
      </w:r>
      <w:r>
        <w:t xml:space="preserve"> </w:t>
      </w:r>
      <w:r>
        <w:rPr>
          <w:i/>
          <w:iCs/>
        </w:rPr>
        <w:t xml:space="preserve">Disable user account</w:t>
      </w:r>
      <w:r>
        <w:t xml:space="preserve"> </w:t>
      </w:r>
      <w:r>
        <w:t xml:space="preserve">and</w:t>
      </w:r>
      <w:r>
        <w:t xml:space="preserve"> </w:t>
      </w:r>
      <w:r>
        <w:rPr>
          <w:i/>
          <w:iCs/>
        </w:rPr>
        <w:t xml:space="preserve">Revoke all refresh tokens for user</w:t>
      </w:r>
      <w:r>
        <w:t xml:space="preserve"> </w:t>
      </w:r>
      <w:r>
        <w:t xml:space="preserve">first; then the custom task (one Logic App that starts the Intune retire or wipe and the CMS revocation in parallel and reports both results); then the group, Teams, access package and license removals. Put</w:t>
      </w:r>
      <w:r>
        <w:t xml:space="preserve"> </w:t>
      </w:r>
      <w:r>
        <w:rPr>
          <w:i/>
          <w:iCs/>
        </w:rPr>
        <w:t xml:space="preserve">Delete user</w:t>
      </w:r>
      <w:r>
        <w:t xml:space="preserve"> </w:t>
      </w:r>
      <w:r>
        <w:t xml:space="preserve">in a separate post-offboarding workflow keyed to the account-disposition rule. That task doesn’t support users with Microsoft Entra role assignments or with membership or ownership of role-assignable groups, so the privileged-access removals have to finish first.</w:t>
      </w:r>
      <w:r>
        <w:rPr>
          <w:rStyle w:val="FootnoteReference"/>
        </w:rPr>
        <w:footnoteReference w:id="535"/>
      </w:r>
    </w:p>
    <w:p>
      <w:pPr>
        <w:pStyle w:val="FirstParagraph"/>
      </w:pPr>
      <w:r>
        <w:t xml:space="preserve">Custom tasks must be idempotent and use bounded retry with backoff for transient failures. Exhausted retries, validation failures, or permanent errors create a high-priority exception, notify the responsible security and operations teams, and remain open until revocation is confirmed through an alternate path. The exception counts against the separation metrics in Chapter 11.</w:t>
      </w:r>
    </w:p>
    <w:bookmarkEnd w:id="536"/>
    <w:bookmarkEnd w:id="537"/>
    <w:bookmarkStart w:id="539" w:name="what-the-evidence-must-show"/>
    <w:p>
      <w:pPr>
        <w:pStyle w:val="Heading2"/>
      </w:pPr>
      <w:bookmarkStart w:id="872" w:name="_Toc00000872"/>
      <w:r>
        <w:t xml:space="preserve">What the evidence must show</w:t>
      </w:r>
      <w:bookmarkEnd w:id="872"/>
    </w:p>
    <w:p>
      <w:pPr>
        <w:pStyle w:val="FirstParagraph"/>
      </w:pPr>
      <w:r>
        <w:t xml:space="preserve">For each leaver: the HR effective date; the disable and token-revocation timestamps; the device actions and their completion; the CMS revocation record and the CRL that published it; the access removals; any exceptions and how they closed; and the disposition date. Two intervals come out of it: HR effective date to the block (steps 1–2), and HR effective date to the last confirmed revocation. They are what an assessor asks for under PS-4, which requires disabling system access within an organization-defined period and revoking the person’s authenticators and credentials (Chapter 11).</w:t>
      </w:r>
      <w:r>
        <w:rPr>
          <w:rStyle w:val="FootnoteReference"/>
        </w:rPr>
        <w:footnoteReference w:id="538"/>
      </w:r>
    </w:p>
    <w:bookmarkEnd w:id="539"/>
    <w:bookmarkStart w:id="540" w:name="continue-the-book-8"/>
    <w:p>
      <w:pPr>
        <w:pStyle w:val="Heading2"/>
      </w:pPr>
      <w:bookmarkStart w:id="873" w:name="_Toc00000873"/>
      <w:r>
        <w:t xml:space="preserve">Continue the book</w:t>
      </w:r>
      <w:bookmarkEnd w:id="873"/>
    </w:p>
    <w:p>
      <w:pPr>
        <w:pStyle w:val="FirstParagraph"/>
      </w:pPr>
      <w:r>
        <w:t xml:space="preserve">← Previous: Chapter 08 — Joiner, Mover, Leaver · Book index · Next: Chapter 10 — From Attributes to Access →</w:t>
      </w:r>
    </w:p>
    <w:bookmarkEnd w:id="540"/>
    <w:bookmarkEnd w:id="541"/>
    <w:bookmarkStart w:id="602" w:name="chapter-10-from-attributes-to-access"/>
    <w:p>
      <w:pPr>
        <w:pStyle w:val="Heading1"/>
      </w:pPr>
      <w:bookmarkStart w:id="874" w:name="_Toc00000874"/>
      <w:r>
        <w:t xml:space="preserve">Chapter 10 — From Attributes to Access</w:t>
      </w:r>
      <w:bookmarkEnd w:id="874"/>
    </w:p>
    <w:p>
      <w:pPr>
        <w:pStyle w:val="FirstParagraph"/>
      </w:pPr>
      <w:r>
        <w:rPr>
          <w:i/>
          <w:iCs/>
        </w:rPr>
        <w:t xml:space="preserve">In a dynamic group, whoever writes the attribute controls access.</w:t>
      </w:r>
    </w:p>
    <w:bookmarkStart w:id="542" w:name="in-this-chapter-9"/>
    <w:p>
      <w:pPr>
        <w:pStyle w:val="Heading2"/>
      </w:pPr>
      <w:bookmarkStart w:id="875" w:name="_Toc00000875"/>
      <w:r>
        <w:t xml:space="preserve">In this chapter</w:t>
      </w:r>
      <w:bookmarkEnd w:id="875"/>
    </w:p>
    <w:p>
      <w:pPr>
        <w:pStyle w:val="FirstParagraph"/>
      </w:pPr>
      <w:r>
        <w:t xml:space="preserve">The derivation chain. Valid rule patterns against the canonical schema, with Microsoft’s limits. Administrative units. Access packages and access reviews that route to the supervisor of record, and the licenses they need. Where dynamic membership stops: privileged roles, PIM and break-glass.</w:t>
      </w:r>
    </w:p>
    <w:bookmarkEnd w:id="542"/>
    <w:bookmarkStart w:id="553" w:name="the-derivation-chain"/>
    <w:p>
      <w:pPr>
        <w:pStyle w:val="Heading2"/>
      </w:pPr>
      <w:bookmarkStart w:id="876" w:name="_Toc00000876"/>
      <w:r>
        <w:t xml:space="preserve">The derivation chain</w:t>
      </w:r>
      <w:bookmarkEnd w:id="876"/>
    </w:p>
    <w:p>
      <w:pPr>
        <w:pStyle w:val="FirstParagraph"/>
      </w:pPr>
      <w:r>
        <w:t xml:space="preserve">The chain runs in one direction: worker record, then stamped attributes, then dynamic groups, then entitlements.</w:t>
      </w:r>
    </w:p>
    <w:bookmarkStart w:id="546" w:name="fig-ch10-derivation-chain"/>
    <w:p>
      <w:pPr>
        <w:pStyle w:val="CaptionedFigure"/>
      </w:pPr>
      <w:r>
        <w:drawing>
          <wp:inline>
            <wp:extent cx="5334000" cy="1565944"/>
            <wp:effectExtent b="0" l="0" r="0" t="0"/>
            <wp:docPr descr="The derivation chain: a personnel record sets standard attributes, rules turn them into dynamic group membership and entitlements, and privileged access takes only eligibility from HR." title="" id="544" name="Picture"/>
            <a:graphic>
              <a:graphicData uri="http://schemas.openxmlformats.org/drawingml/2006/picture">
                <pic:pic>
                  <pic:nvPicPr>
                    <pic:cNvPr descr="/home/runner/work/modernization-workbook/modernization-workbook/docs/images/diagrams/b03-hr-identity/png/ch10-derivation-chain.png" id="545" name="Picture"/>
                    <pic:cNvPicPr>
                      <a:picLocks noChangeArrowheads="1" noChangeAspect="1"/>
                    </pic:cNvPicPr>
                  </pic:nvPicPr>
                  <pic:blipFill>
                    <a:blip r:embed="rId543"/>
                    <a:stretch>
                      <a:fillRect/>
                    </a:stretch>
                  </pic:blipFill>
                  <pic:spPr bwMode="auto">
                    <a:xfrm>
                      <a:off x="0" y="0"/>
                      <a:ext cx="5334000" cy="1565944"/>
                    </a:xfrm>
                    <a:prstGeom prst="rect">
                      <a:avLst/>
                    </a:prstGeom>
                    <a:noFill/>
                    <a:ln w="9525">
                      <a:noFill/>
                      <a:headEnd/>
                      <a:tailEnd/>
                    </a:ln>
                  </pic:spPr>
                </pic:pic>
              </a:graphicData>
            </a:graphic>
          </wp:inline>
        </w:drawing>
      </w:r>
    </w:p>
    <w:p>
      <w:pPr>
        <w:pStyle w:val="ImageCaption"/>
      </w:pPr>
      <w:r>
        <w:t xml:space="preserve">The derivation chain: a personnel record sets standard attributes, rules turn them into dynamic group membership and entitlements, and privileged access takes only eligibility from HR.</w:t>
      </w:r>
    </w:p>
    <w:bookmarkEnd w:id="546"/>
    <w:p>
      <w:pPr>
        <w:pStyle w:val="BodyText"/>
      </w:pPr>
      <w:r>
        <w:t xml:space="preserve">Rules for dynamic membership evaluate HR-derived attributes, so nobody joins these groups by hand and nobody forgets to leave one: Entra ID adds and removes members as attributes change, and a member can’t be added or removed manually.</w:t>
      </w:r>
      <w:r>
        <w:rPr>
          <w:rStyle w:val="FootnoteReference"/>
        </w:rPr>
        <w:footnoteReference w:id="547"/>
      </w:r>
      <w:r>
        <w:t xml:space="preserve"> </w:t>
      </w:r>
      <w:r>
        <w:t xml:space="preserve">Access packages bundle entitlements behind eligibility rules and approvals that route to the supervisor of record. Conditional Access and application roles consume the same groups; a Conditional Access policy can include or exclude any user group, dynamic or assigned.</w:t>
      </w:r>
      <w:r>
        <w:rPr>
          <w:rStyle w:val="FootnoteReference"/>
        </w:rPr>
        <w:footnoteReference w:id="548"/>
      </w:r>
      <w:r>
        <w:t xml:space="preserve"> </w:t>
      </w:r>
      <w:r>
        <w:t xml:space="preserve">Three properties follow:</w:t>
      </w:r>
    </w:p>
    <w:p>
      <w:pPr>
        <w:pStyle w:val="Compact"/>
        <w:numPr>
          <w:ilvl w:val="0"/>
          <w:numId w:val="1037"/>
        </w:numPr>
      </w:pPr>
      <w:r>
        <w:rPr>
          <w:b/>
          <w:bCs/>
        </w:rPr>
        <w:t xml:space="preserve">Membership is computed.</w:t>
      </w:r>
      <w:r>
        <w:t xml:space="preserve"> </w:t>
      </w:r>
      <w:r>
        <w:t xml:space="preserve">There’s no group owner to lobby, no ticket to lose, no offboarding step to forget. A mover’s access converges on the new assignment within the provisioning and rule-processing cycle.</w:t>
      </w:r>
    </w:p>
    <w:p>
      <w:pPr>
        <w:pStyle w:val="Compact"/>
        <w:numPr>
          <w:ilvl w:val="0"/>
          <w:numId w:val="1037"/>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 can contribute to the authorization and account-management evidence associated with AC-2, which asks the organization to specify group and role membership and to authorize access on a valid authorization and organization-defined attributes,</w:t>
      </w:r>
      <w:r>
        <w:rPr>
          <w:rStyle w:val="FootnoteReference"/>
        </w:rPr>
        <w:footnoteReference w:id="550"/>
      </w:r>
      <w:r>
        <w:t xml:space="preserve"> </w:t>
      </w:r>
      <w:r>
        <w:t xml:space="preserve">and it can be queried end to end.</w:t>
      </w:r>
    </w:p>
    <w:p>
      <w:pPr>
        <w:pStyle w:val="Compact"/>
        <w:numPr>
          <w:ilvl w:val="0"/>
          <w:numId w:val="1037"/>
        </w:numPr>
      </w:pPr>
      <w:r>
        <w:rPr>
          <w:b/>
          <w:bCs/>
        </w:rPr>
        <w:t xml:space="preserve">Roles and attributes stop competing.</w:t>
      </w:r>
      <w:r>
        <w:t xml:space="preserve"> </w:t>
      </w:r>
      <w:r>
        <w:t xml:space="preserve">Roles define what a position may touch; attributes prove which position the person holds. Both resolve against the same upstream record.</w:t>
      </w:r>
    </w:p>
    <w:p>
      <w:pPr>
        <w:pStyle w:val="FirstParagraph"/>
      </w:pPr>
      <w:r>
        <w:t xml:space="preserve">Under Zero Trust, delivered through SASE, this chain is the access decision itself: Conditional Access evaluates its policies, including their group assignments, before it grants access,</w:t>
      </w:r>
      <w:r>
        <w:rPr>
          <w:rStyle w:val="FootnoteReference"/>
        </w:rPr>
        <w:footnoteReference w:id="551"/>
      </w:r>
      <w:r>
        <w:t xml:space="preserve"> </w:t>
      </w:r>
      <w:r>
        <w:t xml:space="preserve">so an attribute error is an access error (Chapter 02). The chain is only as good as its weakest writer. Microsoft’s guidance is to review write permissions for every attribute a rule uses, in Entra ID and in any source directory, before using it in a security-sensitive group.</w:t>
      </w:r>
      <w:r>
        <w:rPr>
          <w:rStyle w:val="FootnoteReference"/>
        </w:rPr>
        <w:footnoteReference w:id="552"/>
      </w:r>
      <w:r>
        <w:t xml:space="preserve"> </w:t>
      </w:r>
      <w:r>
        <w:t xml:space="preserve">Chapter 06 sets the only writer of the access attributes: the provisioning service.</w:t>
      </w:r>
    </w:p>
    <w:bookmarkEnd w:id="553"/>
    <w:bookmarkStart w:id="569" w:name="rule-patterns"/>
    <w:p>
      <w:pPr>
        <w:pStyle w:val="Heading2"/>
      </w:pPr>
      <w:bookmarkStart w:id="877" w:name="_Toc00000877"/>
      <w:r>
        <w:t xml:space="preserve">Rule patterns</w:t>
      </w:r>
      <w:bookmarkEnd w:id="877"/>
    </w:p>
    <w:p>
      <w:pPr>
        <w:pStyle w:val="FirstParagraph"/>
      </w:pPr>
      <w:r>
        <w:t xml:space="preserve">Write rules against the canonical schema of Chapter 06: native attributes where a rule can read them, and the three coded access attributes otherwise. Every rule that grants access excludes disabled accounts and guests explicitly.</w:t>
      </w:r>
    </w:p>
    <w:p>
      <w:pPr>
        <w:pStyle w:val="TableCaption"/>
      </w:pPr>
      <w:r>
        <w:t xml:space="preserve">Rule patterns against the canonical schema</w:t>
      </w:r>
      <w:r>
        <w:rPr>
          <w:rStyle w:val="FootnoteReference"/>
        </w:rPr>
        <w:footnoteReference w:id="554"/>
      </w:r>
    </w:p>
    <w:tbl>
      <w:tblPr>
        <w:tblStyle w:val="Table"/>
        <w:tblW w:type="pct" w:w="5000"/>
        <w:tblLayout w:type="fixed"/>
        <w:tblLook w:firstRow="1" w:lastRow="0" w:firstColumn="0" w:lastColumn="0" w:noHBand="0" w:noVBand="0" w:val="0020"/>
        <w:tblCaption w:val="Rule patterns against the canonical schema"/>
      </w:tblPr>
      <w:tblGrid>
        <w:gridCol w:w="2640"/>
        <w:gridCol w:w="2640"/>
        <w:gridCol w:w="2640"/>
      </w:tblGrid>
      <w:tr>
        <w:trPr>
          <w:tblHeader w:val="on"/>
        </w:trPr>
        <w:tc>
          <w:tcPr/>
          <w:p>
            <w:pPr>
              <w:pStyle w:val="Compact"/>
            </w:pPr>
            <w:r>
              <w:t xml:space="preserve">Pattern</w:t>
            </w:r>
          </w:p>
        </w:tc>
        <w:tc>
          <w:tcPr/>
          <w:p>
            <w:pPr>
              <w:pStyle w:val="Compact"/>
            </w:pPr>
            <w:r>
              <w:t xml:space="preserve">Rule</w:t>
            </w:r>
          </w:p>
        </w:tc>
        <w:tc>
          <w:tcPr/>
          <w:p>
            <w:pPr>
              <w:pStyle w:val="Compact"/>
            </w:pPr>
            <w:r>
              <w:t xml:space="preserve">Use</w:t>
            </w:r>
          </w:p>
        </w:tc>
      </w:tr>
      <w:tr>
        <w:tc>
          <w:tcPr/>
          <w:p>
            <w:pPr>
              <w:pStyle w:val="Compact"/>
            </w:pPr>
            <w:r>
              <w:t xml:space="preserve">Organization</w:t>
            </w:r>
          </w:p>
        </w:tc>
        <w:tc>
          <w:tcPr/>
          <w:p>
            <w:pPr>
              <w:pStyle w:val="Compact"/>
            </w:pPr>
            <w:r>
              <w:rPr>
                <w:rStyle w:val="VerbatimChar"/>
              </w:rPr>
              <w:t xml:space="preserve">(user.accountEnabled -eq true) -and (user.userType -eq "Member") -and (user.extensionAttribute10 -eq "FIN-LED")</w:t>
            </w:r>
          </w:p>
        </w:tc>
        <w:tc>
          <w:tcPr/>
          <w:p>
            <w:pPr>
              <w:pStyle w:val="Compact"/>
            </w:pPr>
            <w:r>
              <w:t xml:space="preserve">Organization-scoped access</w:t>
            </w:r>
          </w:p>
        </w:tc>
      </w:tr>
      <w:tr>
        <w:tc>
          <w:tcPr/>
          <w:p>
            <w:pPr>
              <w:pStyle w:val="Compact"/>
            </w:pPr>
            <w:r>
              <w:t xml:space="preserve">Several organizations</w:t>
            </w:r>
          </w:p>
        </w:tc>
        <w:tc>
          <w:tcPr/>
          <w:p>
            <w:pPr>
              <w:pStyle w:val="Compact"/>
            </w:pPr>
            <w:r>
              <w:rPr>
                <w:rStyle w:val="VerbatimChar"/>
              </w:rPr>
              <w:t xml:space="preserve">(user.accountEnabled -eq true) -and (user.userType -eq "Member") -and (user.extensionAttribute10 -in ["FIN-LED","FIN-AP"])</w:t>
            </w:r>
          </w:p>
        </w:tc>
        <w:tc>
          <w:tcPr/>
          <w:p>
            <w:pPr>
              <w:pStyle w:val="Compact"/>
            </w:pPr>
            <w:r>
              <w:t xml:space="preserve">Roll-up without chains of</w:t>
            </w:r>
            <w:r>
              <w:t xml:space="preserve"> </w:t>
            </w:r>
            <w:r>
              <w:rPr>
                <w:rStyle w:val="VerbatimChar"/>
              </w:rPr>
              <w:t xml:space="preserve">-or</w:t>
            </w:r>
          </w:p>
        </w:tc>
      </w:tr>
      <w:tr>
        <w:tc>
          <w:tcPr/>
          <w:p>
            <w:pPr>
              <w:pStyle w:val="Compact"/>
            </w:pPr>
            <w:r>
              <w:t xml:space="preserve">Organization and worker type</w:t>
            </w:r>
          </w:p>
        </w:tc>
        <w:tc>
          <w:tcPr/>
          <w:p>
            <w:pPr>
              <w:pStyle w:val="Compact"/>
            </w:pPr>
            <w:r>
              <w:rPr>
                <w:rStyle w:val="VerbatimChar"/>
              </w:rPr>
              <w:t xml:space="preserve">(user.accountEnabled -eq true) -and (user.extensionAttribute10 -eq "FIN-LED") -and (user.extensionAttribute11 -eq "EMP")</w:t>
            </w:r>
          </w:p>
        </w:tc>
        <w:tc>
          <w:tcPr/>
          <w:p>
            <w:pPr>
              <w:pStyle w:val="Compact"/>
            </w:pPr>
            <w:r>
              <w:t xml:space="preserve">Employees only</w:t>
            </w:r>
          </w:p>
        </w:tc>
      </w:tr>
      <w:tr>
        <w:tc>
          <w:tcPr/>
          <w:p>
            <w:pPr>
              <w:pStyle w:val="Compact"/>
            </w:pPr>
            <w:r>
              <w:t xml:space="preserve">Exclusion</w:t>
            </w:r>
          </w:p>
        </w:tc>
        <w:tc>
          <w:tcPr/>
          <w:p>
            <w:pPr>
              <w:pStyle w:val="Compact"/>
            </w:pPr>
            <w:r>
              <w:rPr>
                <w:rStyle w:val="VerbatimChar"/>
              </w:rPr>
              <w:t xml:space="preserve">(user.accountEnabled -eq true) -and (user.extensionAttribute10 -eq "FIN-LED") -and (user.extensionAttribute11 -ne "CTR")</w:t>
            </w:r>
          </w:p>
        </w:tc>
        <w:tc>
          <w:tcPr/>
          <w:p>
            <w:pPr>
              <w:pStyle w:val="Compact"/>
            </w:pPr>
            <w:r>
              <w:t xml:space="preserve">Everyone but contractors</w:t>
            </w:r>
          </w:p>
        </w:tc>
      </w:tr>
      <w:tr>
        <w:tc>
          <w:tcPr/>
          <w:p>
            <w:pPr>
              <w:pStyle w:val="Compact"/>
            </w:pPr>
            <w:r>
              <w:t xml:space="preserve">Position category</w:t>
            </w:r>
          </w:p>
        </w:tc>
        <w:tc>
          <w:tcPr/>
          <w:p>
            <w:pPr>
              <w:pStyle w:val="Compact"/>
            </w:pPr>
            <w:r>
              <w:rPr>
                <w:rStyle w:val="VerbatimChar"/>
              </w:rPr>
              <w:t xml:space="preserve">(user.accountEnabled -eq true) -and (user.userType -eq "Member") -and (user.extensionAttribute12 -eq "ANALYST")</w:t>
            </w:r>
          </w:p>
        </w:tc>
        <w:tc>
          <w:tcPr/>
          <w:p>
            <w:pPr>
              <w:pStyle w:val="Compact"/>
            </w:pPr>
            <w:r>
              <w:t xml:space="preserve">Role-like access across organizations</w:t>
            </w:r>
          </w:p>
        </w:tc>
      </w:tr>
      <w:tr>
        <w:tc>
          <w:tcPr/>
          <w:p>
            <w:pPr>
              <w:pStyle w:val="Compact"/>
            </w:pPr>
            <w:r>
              <w:t xml:space="preserve">Legal employer</w:t>
            </w:r>
          </w:p>
        </w:tc>
        <w:tc>
          <w:tcPr/>
          <w:p>
            <w:pPr>
              <w:pStyle w:val="Compact"/>
            </w:pPr>
            <w:r>
              <w:rPr>
                <w:rStyle w:val="VerbatimChar"/>
              </w:rPr>
              <w:t xml:space="preserve">(user.accountEnabled -eq true) -and (user.companyName -eq "Example Bureau")</w:t>
            </w:r>
          </w:p>
        </w:tc>
        <w:tc>
          <w:tcPr/>
          <w:p>
            <w:pPr>
              <w:pStyle w:val="Compact"/>
            </w:pPr>
            <w:r>
              <w:t xml:space="preserve">Component-wide baseline</w:t>
            </w:r>
          </w:p>
        </w:tc>
      </w:tr>
      <w:tr>
        <w:tc>
          <w:tcPr/>
          <w:p>
            <w:pPr>
              <w:pStyle w:val="Compact"/>
            </w:pPr>
            <w:r>
              <w:t xml:space="preserve">Direct reports</w:t>
            </w:r>
          </w:p>
        </w:tc>
        <w:tc>
          <w:tcPr/>
          <w:p>
            <w:pPr>
              <w:pStyle w:val="Compact"/>
            </w:pPr>
            <w:r>
              <w:rPr>
                <w:rStyle w:val="VerbatimChar"/>
              </w:rPr>
              <w:t xml:space="preserve">Direct Reports for "&lt;manager object ID&gt;"</w:t>
            </w:r>
          </w:p>
        </w:tc>
        <w:tc>
          <w:tcPr/>
          <w:p>
            <w:pPr>
              <w:pStyle w:val="Compact"/>
            </w:pPr>
            <w:r>
              <w:t xml:space="preserve">A supervisor’s team, maintained from</w:t>
            </w:r>
            <w:r>
              <w:t xml:space="preserve"> </w:t>
            </w:r>
            <w:r>
              <w:rPr>
                <w:rStyle w:val="VerbatimChar"/>
              </w:rPr>
              <w:t xml:space="preserve">manager</w:t>
            </w:r>
          </w:p>
        </w:tc>
      </w:tr>
      <w:tr>
        <w:tc>
          <w:tcPr/>
          <w:p>
            <w:pPr>
              <w:pStyle w:val="Compact"/>
            </w:pPr>
            <w:r>
              <w:t xml:space="preserve">Device class</w:t>
            </w:r>
          </w:p>
        </w:tc>
        <w:tc>
          <w:tcPr/>
          <w:p>
            <w:pPr>
              <w:pStyle w:val="Compact"/>
            </w:pPr>
            <w:r>
              <w:rPr>
                <w:rStyle w:val="VerbatimChar"/>
              </w:rPr>
              <w:t xml:space="preserve">(device.deviceOSType -eq "Windows") -and (device.deviceOwnership -eq "Company")</w:t>
            </w:r>
          </w:p>
        </w:tc>
        <w:tc>
          <w:tcPr/>
          <w:p>
            <w:pPr>
              <w:pStyle w:val="Compact"/>
            </w:pPr>
            <w:r>
              <w:t xml:space="preserve">Device policy</w:t>
            </w:r>
          </w:p>
        </w:tc>
      </w:tr>
    </w:tbl>
    <w:p>
      <w:pPr>
        <w:pStyle w:val="BodyText"/>
      </w:pPr>
      <w:r>
        <w:t xml:space="preserve">The codes (</w:t>
      </w:r>
      <w:r>
        <w:rPr>
          <w:rStyle w:val="VerbatimChar"/>
        </w:rPr>
        <w:t xml:space="preserve">FIN-LED</w:t>
      </w:r>
      <w:r>
        <w:t xml:space="preserve">,</w:t>
      </w:r>
      <w:r>
        <w:t xml:space="preserve"> </w:t>
      </w:r>
      <w:r>
        <w:rPr>
          <w:rStyle w:val="VerbatimChar"/>
        </w:rPr>
        <w:t xml:space="preserve">EMP</w:t>
      </w:r>
      <w:r>
        <w:t xml:space="preserve">,</w:t>
      </w:r>
      <w:r>
        <w:t xml:space="preserve"> </w:t>
      </w:r>
      <w:r>
        <w:rPr>
          <w:rStyle w:val="VerbatimChar"/>
        </w:rPr>
        <w:t xml:space="preserve">CTR</w:t>
      </w:r>
      <w:r>
        <w:t xml:space="preserve">,</w:t>
      </w:r>
      <w:r>
        <w:t xml:space="preserve"> </w:t>
      </w:r>
      <w:r>
        <w:rPr>
          <w:rStyle w:val="VerbatimChar"/>
        </w:rPr>
        <w:t xml:space="preserve">ANALYST</w:t>
      </w:r>
      <w:r>
        <w:t xml:space="preserve">) are placeholders for the agency’s own code lists. Extension attributes 1–15 are supported as string properties in rules.</w:t>
      </w:r>
      <w:r>
        <w:rPr>
          <w:rStyle w:val="FootnoteReference"/>
        </w:rPr>
        <w:footnoteReference w:id="555"/>
      </w:r>
      <w:r>
        <w:t xml:space="preserve"> </w:t>
      </w:r>
      <w:r>
        <w:t xml:space="preserve">The</w:t>
      </w:r>
      <w:r>
        <w:t xml:space="preserve"> </w:t>
      </w:r>
      <w:r>
        <w:rPr>
          <w:rStyle w:val="VerbatimChar"/>
        </w:rPr>
        <w:t xml:space="preserve">-in</w:t>
      </w:r>
      <w:r>
        <w:t xml:space="preserve"> </w:t>
      </w:r>
      <w:r>
        <w:t xml:space="preserve">operator takes a bracketed list.</w:t>
      </w:r>
      <w:r>
        <w:rPr>
          <w:rStyle w:val="FootnoteReference"/>
        </w:rPr>
        <w:footnoteReference w:id="556"/>
      </w:r>
      <w:r>
        <w:t xml:space="preserve"> </w:t>
      </w:r>
      <w:r>
        <w:t xml:space="preserve">The direct-reports rule uses the manager’s object ID; the manager is also added to the group, the rule covers direct reports only (not their reports), and it can’t be combined with any other rule.</w:t>
      </w:r>
      <w:r>
        <w:rPr>
          <w:rStyle w:val="FootnoteReference"/>
        </w:rPr>
        <w:footnoteReference w:id="557"/>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and</w:t>
      </w:r>
      <w:r>
        <w:t xml:space="preserve"> </w:t>
      </w:r>
      <w:r>
        <w:rPr>
          <w:rStyle w:val="VerbatimChar"/>
        </w:rPr>
        <w:t xml:space="preserve">manager</w:t>
      </w:r>
      <w:r>
        <w:t xml:space="preserve"> </w:t>
      </w:r>
      <w:r>
        <w:t xml:space="preserve">aren’t on the list of user properties a rule can read, which is why worker type and organization have coded carriers.</w:t>
      </w:r>
      <w:r>
        <w:rPr>
          <w:rStyle w:val="FootnoteReference"/>
        </w:rPr>
        <w:footnoteReference w:id="558"/>
      </w:r>
    </w:p>
    <w:p>
      <w:pPr>
        <w:pStyle w:val="BodyText"/>
      </w:pPr>
      <w:r>
        <w:t xml:space="preserve">An agent’s user account is a kind of user in Entra ID, and user rules evaluate it like any other user unless the rule excludes it.</w:t>
      </w:r>
      <w:r>
        <w:rPr>
          <w:rStyle w:val="FootnoteReference"/>
        </w:rPr>
        <w:footnoteReference w:id="559"/>
      </w:r>
      <w:r>
        <w:t xml:space="preserve"> </w:t>
      </w:r>
      <w:r>
        <w:t xml:space="preserve">Add that exclusion to every rule that grants workforce access.</w:t>
      </w:r>
    </w:p>
    <w:bookmarkStart w:id="566" w:name="limits-and-efficiency"/>
    <w:p>
      <w:pPr>
        <w:pStyle w:val="Heading3"/>
      </w:pPr>
      <w:r>
        <w:t xml:space="preserve">Limits and efficiency</w:t>
      </w:r>
    </w:p>
    <w:p>
      <w:pPr>
        <w:pStyle w:val="Compact"/>
        <w:numPr>
          <w:ilvl w:val="0"/>
          <w:numId w:val="1038"/>
        </w:numPr>
      </w:pPr>
      <w:r>
        <w:t xml:space="preserve">A rule body can’t exceed 3,072 characters, and a tenant can have at most 15,000 dynamic membership groups.</w:t>
      </w:r>
      <w:r>
        <w:rPr>
          <w:rStyle w:val="FootnoteReference"/>
        </w:rPr>
        <w:footnoteReference w:id="560"/>
      </w:r>
      <w:r>
        <w:t xml:space="preserve"> </w:t>
      </w:r>
      <w:r>
        <w:t xml:space="preserve">Dynamic administrative units count against the same 15,000.</w:t>
      </w:r>
      <w:r>
        <w:rPr>
          <w:rStyle w:val="FootnoteReference"/>
        </w:rPr>
        <w:footnoteReference w:id="561"/>
      </w:r>
    </w:p>
    <w:p>
      <w:pPr>
        <w:pStyle w:val="Compact"/>
        <w:numPr>
          <w:ilvl w:val="0"/>
          <w:numId w:val="1038"/>
        </w:numPr>
      </w:pPr>
      <w:r>
        <w:t xml:space="preserve">Prefer</w:t>
      </w:r>
      <w:r>
        <w:t xml:space="preserve"> </w:t>
      </w:r>
      <w:r>
        <w:rPr>
          <w:rStyle w:val="VerbatimChar"/>
        </w:rPr>
        <w:t xml:space="preserve">-eq</w:t>
      </w:r>
      <w:r>
        <w:t xml:space="preserve">, then</w:t>
      </w:r>
      <w:r>
        <w:t xml:space="preserve"> </w:t>
      </w:r>
      <w:r>
        <w:rPr>
          <w:rStyle w:val="VerbatimChar"/>
        </w:rPr>
        <w:t xml:space="preserve">-startsWith</w:t>
      </w:r>
      <w:r>
        <w:t xml:space="preserve"> </w:t>
      </w:r>
      <w:r>
        <w:t xml:space="preserve">or</w:t>
      </w:r>
      <w:r>
        <w:t xml:space="preserve"> </w:t>
      </w:r>
      <w:r>
        <w:rPr>
          <w:rStyle w:val="VerbatimChar"/>
        </w:rPr>
        <w:t xml:space="preserve">-endsWith</w:t>
      </w:r>
      <w:r>
        <w:t xml:space="preserve">, over</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replace chains of</w:t>
      </w:r>
      <w:r>
        <w:t xml:space="preserve"> </w:t>
      </w:r>
      <w:r>
        <w:rPr>
          <w:rStyle w:val="VerbatimChar"/>
        </w:rPr>
        <w:t xml:space="preserve">-or</w:t>
      </w:r>
      <w:r>
        <w:t xml:space="preserve"> </w:t>
      </w:r>
      <w:r>
        <w:t xml:space="preserve">on one property with</w:t>
      </w:r>
      <w:r>
        <w:t xml:space="preserve"> </w:t>
      </w:r>
      <w:r>
        <w:rPr>
          <w:rStyle w:val="VerbatimChar"/>
        </w:rPr>
        <w:t xml:space="preserve">-in</w:t>
      </w:r>
      <w:r>
        <w:t xml:space="preserve">.</w:t>
      </w:r>
      <w:r>
        <w:rPr>
          <w:rStyle w:val="FootnoteReference"/>
        </w:rPr>
        <w:footnoteReference w:id="563"/>
      </w:r>
    </w:p>
    <w:p>
      <w:pPr>
        <w:pStyle w:val="Compact"/>
        <w:numPr>
          <w:ilvl w:val="0"/>
          <w:numId w:val="1038"/>
        </w:numPr>
      </w:pPr>
      <w:r>
        <w:t xml:space="preserve">Dynamic membership needs an Entra ID P1 license count covering each unique user who is a member of one or more dynamic groups; the licenses don’t have to be assigned to those users, and device members need none.</w:t>
      </w:r>
      <w:r>
        <w:rPr>
          <w:rStyle w:val="FootnoteReference"/>
        </w:rPr>
        <w:footnoteReference w:id="565"/>
      </w:r>
    </w:p>
    <w:bookmarkEnd w:id="566"/>
    <w:bookmarkStart w:id="568" w:name="governance-of-the-rules-themselves"/>
    <w:p>
      <w:pPr>
        <w:pStyle w:val="Heading3"/>
      </w:pPr>
      <w:r>
        <w:t xml:space="preserve">Governance of the rules themselves</w:t>
      </w:r>
    </w:p>
    <w:p>
      <w:pPr>
        <w:pStyle w:val="Compact"/>
        <w:numPr>
          <w:ilvl w:val="0"/>
          <w:numId w:val="1039"/>
        </w:numPr>
      </w:pPr>
      <w:r>
        <w:t xml:space="preserve">Code lists are controlled vocabularies owned by HR. A value that isn’t on the list is a drift event (Chapter 11).</w:t>
      </w:r>
    </w:p>
    <w:p>
      <w:pPr>
        <w:pStyle w:val="Compact"/>
        <w:numPr>
          <w:ilvl w:val="0"/>
          <w:numId w:val="1039"/>
        </w:numPr>
      </w:pPr>
      <w:r>
        <w:t xml:space="preserve">Every rule that grants access is validated, run in shadow against the group it replaces, and gated on a verified pilot cohort before it’s attached to a resource.</w:t>
      </w:r>
    </w:p>
    <w:p>
      <w:pPr>
        <w:pStyle w:val="Compact"/>
        <w:numPr>
          <w:ilvl w:val="0"/>
          <w:numId w:val="1039"/>
        </w:numPr>
      </w:pPr>
      <w:r>
        <w:t xml:space="preserve">A group’s membership must be explainable from attributes alone. A manual addition to a dynamic group isn’t possible;</w:t>
      </w:r>
      <w:r>
        <w:rPr>
          <w:rStyle w:val="FootnoteReference"/>
        </w:rPr>
        <w:footnoteReference w:id="567"/>
      </w:r>
      <w:r>
        <w:t xml:space="preserve"> </w:t>
      </w:r>
      <w:r>
        <w:t xml:space="preserve">a manual change to an attribute is drift.</w:t>
      </w:r>
    </w:p>
    <w:bookmarkEnd w:id="568"/>
    <w:bookmarkEnd w:id="569"/>
    <w:bookmarkStart w:id="581" w:name="administrative-units"/>
    <w:p>
      <w:pPr>
        <w:pStyle w:val="Heading2"/>
      </w:pPr>
      <w:bookmarkStart w:id="878" w:name="_Toc00000878"/>
      <w:r>
        <w:t xml:space="preserve">Administrative units</w:t>
      </w:r>
      <w:bookmarkEnd w:id="878"/>
    </w:p>
    <w:p>
      <w:pPr>
        <w:pStyle w:val="FirstParagraph"/>
      </w:pPr>
      <w:r>
        <w:t xml:space="preserve">Administrative units scope delegated administration (for example, a help desk that may reset passwords only for one component) without making policy read a container path.</w:t>
      </w:r>
      <w:r>
        <w:rPr>
          <w:rStyle w:val="FootnoteReference"/>
        </w:rPr>
        <w:footnoteReference w:id="570"/>
      </w:r>
      <w:r>
        <w:t xml:space="preserve"> </w:t>
      </w:r>
      <w:r>
        <w:t xml:space="preserve">They can’t be nested, so a component’s divisions are sibling units, not children.</w:t>
      </w:r>
      <w:r>
        <w:rPr>
          <w:rStyle w:val="FootnoteReference"/>
        </w:rPr>
        <w:footnoteReference w:id="571"/>
      </w:r>
      <w:r>
        <w:t xml:space="preserve"> </w:t>
      </w:r>
      <w:r>
        <w:t xml:space="preserve">Book 02, Chapter 05 covers the delegation model in full; this section covers only what the derivation chain needs.</w:t>
      </w:r>
    </w:p>
    <w:p>
      <w:pPr>
        <w:pStyle w:val="BodyText"/>
      </w:pPr>
      <w:r>
        <w:t xml:space="preserve">An administrative unit’s user membership can itself be a dynamic rule, using the same canonical attributes. A dynamic unit holds users or devices, not both, and dynamic rules for groups aren’t supported.</w:t>
      </w:r>
      <w:r>
        <w:rPr>
          <w:rStyle w:val="FootnoteReference"/>
        </w:rPr>
        <w:footnoteReference w:id="572"/>
      </w:r>
      <w:r>
        <w:t xml:space="preserve"> </w:t>
      </w:r>
      <w:r>
        <w:t xml:space="preserve">A dynamic unit needs Entra ID P1 for each administrator and each member (an assigned unit needs P1 only for its administrators).</w:t>
      </w:r>
      <w:r>
        <w:rPr>
          <w:rStyle w:val="FootnoteReference"/>
        </w:rPr>
        <w:footnoteReference w:id="574"/>
      </w:r>
      <w:r>
        <w:t xml:space="preserve"> </w:t>
      </w:r>
      <w:r>
        <w:t xml:space="preserve">Dynamic units are available in the global Azure cloud, not in specialized clouds such as Azure Government.</w:t>
      </w:r>
      <w:r>
        <w:rPr>
          <w:rStyle w:val="FootnoteReference"/>
        </w:rPr>
        <w:footnoteReference w:id="575"/>
      </w:r>
      <w:r>
        <w:t xml:space="preserve"> </w:t>
      </w:r>
      <w:r>
        <w:t xml:space="preserve">GCC tenants use Microsoft Entra ID in the global cloud, while GCC High and DoD tenants use Azure Government,</w:t>
      </w:r>
      <w:r>
        <w:rPr>
          <w:rStyle w:val="FootnoteReference"/>
        </w:rPr>
        <w:footnoteReference w:id="576"/>
      </w:r>
      <w:r>
        <w:t xml:space="preserve"> </w:t>
      </w:r>
      <w:r>
        <w:t xml:space="preserve">so an agency in GCC High or DoD has to maintain unit membership another way.</w:t>
      </w:r>
    </w:p>
    <w:p>
      <w:pPr>
        <w:pStyle w:val="BodyText"/>
      </w:pPr>
      <w:r>
        <w:t xml:space="preserve">Restricted management administrative units protect sensitive objects from tenant-level administrators. The setting must be applied when the unit is created and can’t be changed afterward.</w:t>
      </w:r>
      <w:r>
        <w:rPr>
          <w:rStyle w:val="FootnoteReference"/>
        </w:rPr>
        <w:footnoteReference w:id="578"/>
      </w:r>
      <w:r>
        <w:t xml:space="preserve"> </w:t>
      </w:r>
      <w:r>
        <w:t xml:space="preserve">It also removes the unit’s users and groups from the rest of this chapter: Privileged Identity Management, entitlement management, Lifecycle Workflows and access reviews can’t manage users or groups in a restricted management unit.</w:t>
      </w:r>
      <w:r>
        <w:rPr>
          <w:rStyle w:val="FootnoteReference"/>
        </w:rPr>
        <w:footnoteReference w:id="580"/>
      </w:r>
      <w:r>
        <w:t xml:space="preserve"> </w:t>
      </w:r>
      <w:r>
        <w:t xml:space="preserve">Use restriction for a small, deliberately chosen population, never for the governed workforce as a whole; Book 02 Chapter 05 sets the per-unit decision.</w:t>
      </w:r>
    </w:p>
    <w:bookmarkEnd w:id="581"/>
    <w:bookmarkStart w:id="592" w:name="access-packages-and-access-reviews"/>
    <w:p>
      <w:pPr>
        <w:pStyle w:val="Heading2"/>
      </w:pPr>
      <w:bookmarkStart w:id="879" w:name="_Toc00000879"/>
      <w:r>
        <w:t xml:space="preserve">Access packages and access reviews</w:t>
      </w:r>
      <w:bookmarkEnd w:id="879"/>
    </w:p>
    <w:p>
      <w:pPr>
        <w:pStyle w:val="Compact"/>
        <w:numPr>
          <w:ilvl w:val="0"/>
          <w:numId w:val="1040"/>
        </w:numPr>
      </w:pPr>
      <w:r>
        <w:rPr>
          <w:b/>
          <w:bCs/>
        </w:rPr>
        <w:t xml:space="preserve">Access packages</w:t>
      </w:r>
      <w:r>
        <w:t xml:space="preserve"> </w:t>
      </w:r>
      <w:r>
        <w:t xml:space="preserve">carry the entitlements that a rule can’t decide alone. An approval policy for users in the directory can name</w:t>
      </w:r>
      <w:r>
        <w:t xml:space="preserve"> </w:t>
      </w:r>
      <w:r>
        <w:rPr>
          <w:b/>
          <w:bCs/>
        </w:rPr>
        <w:t xml:space="preserve">Manager as approver</w:t>
      </w:r>
      <w:r>
        <w:t xml:space="preserve">,</w:t>
      </w:r>
      <w:r>
        <w:rPr>
          <w:rStyle w:val="FootnoteReference"/>
        </w:rPr>
        <w:footnoteReference w:id="582"/>
      </w:r>
      <w:r>
        <w:t xml:space="preserve"> </w:t>
      </w:r>
      <w:r>
        <w:t xml:space="preserve">which resolves to the</w:t>
      </w:r>
      <w:r>
        <w:t xml:space="preserve"> </w:t>
      </w:r>
      <w:r>
        <w:rPr>
          <w:rStyle w:val="VerbatimChar"/>
        </w:rPr>
        <w:t xml:space="preserve">manager</w:t>
      </w:r>
      <w:r>
        <w:t xml:space="preserve"> </w:t>
      </w:r>
      <w:r>
        <w:t xml:space="preserve">attribute in the user’s profile, the relationship the HR feed maintains. Configure a fallback approver: entitlement management sends the request to the fallback when it can’t find the requester’s manager.</w:t>
      </w:r>
      <w:r>
        <w:rPr>
          <w:rStyle w:val="FootnoteReference"/>
        </w:rPr>
        <w:footnoteReference w:id="584"/>
      </w:r>
    </w:p>
    <w:p>
      <w:pPr>
        <w:pStyle w:val="Compact"/>
        <w:numPr>
          <w:ilvl w:val="0"/>
          <w:numId w:val="1040"/>
        </w:numPr>
      </w:pPr>
      <w:r>
        <w:rPr>
          <w:b/>
          <w:bCs/>
        </w:rPr>
        <w:t xml:space="preserve">Access reviews</w:t>
      </w:r>
      <w:r>
        <w:t xml:space="preserve"> </w:t>
      </w:r>
      <w:r>
        <w:t xml:space="preserve">verify what remains. Reviews can be assigned to</w:t>
      </w:r>
      <w:r>
        <w:t xml:space="preserve"> </w:t>
      </w:r>
      <w:r>
        <w:rPr>
          <w:b/>
          <w:bCs/>
        </w:rPr>
        <w:t xml:space="preserve">Managers of users</w:t>
      </w:r>
      <w:r>
        <w:t xml:space="preserve">, with a fallback reviewer for users who have no manager in the directory,</w:t>
      </w:r>
      <w:r>
        <w:rPr>
          <w:rStyle w:val="FootnoteReference"/>
        </w:rPr>
        <w:footnoteReference w:id="585"/>
      </w:r>
      <w:r>
        <w:t xml:space="preserve"> </w:t>
      </w:r>
      <w:r>
        <w:t xml:space="preserve">and the review population can be scoped to exceptions — access outside the derivation baseline — instead of four hundred rows a reviewer will approve in bulk. A rejected entitlement is removed by fixing the attribute, the rule or the exception that produced it, so the same wrong answer can’t regrow.</w:t>
      </w:r>
    </w:p>
    <w:p>
      <w:pPr>
        <w:pStyle w:val="Compact"/>
        <w:numPr>
          <w:ilvl w:val="0"/>
          <w:numId w:val="1040"/>
        </w:numPr>
      </w:pPr>
      <w:r>
        <w:rPr>
          <w:b/>
          <w:bCs/>
        </w:rPr>
        <w:t xml:space="preserve">Separation-of-duties checks</w:t>
      </w:r>
      <w:r>
        <w:t xml:space="preserve"> </w:t>
      </w:r>
      <w:r>
        <w:t xml:space="preserve">read the same rails: whether two roles are held by the same</w:t>
      </w:r>
      <w:r>
        <w:t xml:space="preserve"> </w:t>
      </w:r>
      <w:r>
        <w:rPr>
          <w:i/>
          <w:iCs/>
        </w:rPr>
        <w:t xml:space="preserve">person</w:t>
      </w:r>
      <w:r>
        <w:t xml:space="preserve"> </w:t>
      </w:r>
      <w:r>
        <w:t xml:space="preserve">(the</w:t>
      </w:r>
      <w:r>
        <w:t xml:space="preserve"> </w:t>
      </w:r>
      <w:r>
        <w:rPr>
          <w:rStyle w:val="VerbatimChar"/>
        </w:rPr>
        <w:t xml:space="preserve">employeeId</w:t>
      </w:r>
      <w:r>
        <w:t xml:space="preserve"> </w:t>
      </w:r>
      <w:r>
        <w:t xml:space="preserve">anchor) and whether an approver reports to the requester (the</w:t>
      </w:r>
      <w:r>
        <w:t xml:space="preserve"> </w:t>
      </w:r>
      <w:r>
        <w:rPr>
          <w:rStyle w:val="VerbatimChar"/>
        </w:rPr>
        <w:t xml:space="preserve">manager</w:t>
      </w:r>
      <w:r>
        <w:t xml:space="preserve"> </w:t>
      </w:r>
      <w:r>
        <w:t xml:space="preserve">chain). Entitlement management has a built-in separation-of-duties capability for incompatible access packages and groups;</w:t>
      </w:r>
      <w:r>
        <w:rPr>
          <w:rStyle w:val="FootnoteReference"/>
        </w:rPr>
        <w:footnoteReference w:id="587"/>
      </w:r>
      <w:r>
        <w:t xml:space="preserve"> </w:t>
      </w:r>
      <w:r>
        <w:t xml:space="preserve">the person-level and reporting-chain checks are this program’s design and run in the drift engine (Chapter 11).</w:t>
      </w:r>
    </w:p>
    <w:bookmarkStart w:id="591" w:name="licensing"/>
    <w:p>
      <w:pPr>
        <w:pStyle w:val="Heading3"/>
      </w:pPr>
      <w:r>
        <w:t xml:space="preserve">Licensing</w:t>
      </w:r>
    </w:p>
    <w:p>
      <w:pPr>
        <w:pStyle w:val="FirstParagraph"/>
      </w:pPr>
      <w:r>
        <w:t xml:space="preserve">Entitlement management and access reviews are Microsoft Entra ID Governance features for the organization’s member users, including everyone who reviews access or has access reviewed; the capabilities that were generally available in Entra ID P2, including managers as access package approvers, also operate under P2, but Microsoft is adding no new governance features to P2.</w:t>
      </w:r>
      <w:r>
        <w:rPr>
          <w:rStyle w:val="FootnoteReference"/>
        </w:rPr>
        <w:footnoteReference w:id="588"/>
      </w:r>
      <w:r>
        <w:t xml:space="preserve"> </w:t>
      </w:r>
      <w:r>
        <w:t xml:space="preserve">Several things this book relies on need ID Governance (or the Entra Suite) rather than P2: Lifecycle Workflows, automatic assignment policies, managers requesting access on behalf of their employees, and PIM for Groups eligibility delivered through an access package.</w:t>
      </w:r>
      <w:r>
        <w:rPr>
          <w:rStyle w:val="FootnoteReference"/>
        </w:rPr>
        <w:footnoteReference w:id="589"/>
      </w:r>
      <w:r>
        <w:t xml:space="preserve"> </w:t>
      </w:r>
      <w:r>
        <w:t xml:space="preserve">An ID Governance subscription also needs a prerequisite product with the P1 or P2 service plan in the tenant, and ID Governance for Government is offered in GCC, GCC High and DoD.</w:t>
      </w:r>
      <w:r>
        <w:rPr>
          <w:rStyle w:val="FootnoteReference"/>
        </w:rPr>
        <w:footnoteReference w:id="590"/>
      </w:r>
    </w:p>
    <w:bookmarkEnd w:id="591"/>
    <w:bookmarkEnd w:id="592"/>
    <w:bookmarkStart w:id="600" w:name="where-dynamic-membership-stops"/>
    <w:p>
      <w:pPr>
        <w:pStyle w:val="Heading2"/>
      </w:pPr>
      <w:bookmarkStart w:id="880" w:name="_Toc00000880"/>
      <w:r>
        <w:t xml:space="preserve">Where dynamic membership stops</w:t>
      </w:r>
      <w:bookmarkEnd w:id="880"/>
    </w:p>
    <w:p>
      <w:pPr>
        <w:pStyle w:val="Compact"/>
        <w:numPr>
          <w:ilvl w:val="0"/>
          <w:numId w:val="1041"/>
        </w:numPr>
      </w:pPr>
      <w:r>
        <w:rPr>
          <w:b/>
          <w:bCs/>
        </w:rPr>
        <w:t xml:space="preserve">Privileged roles use assigned groups.</w:t>
      </w:r>
      <w:r>
        <w:t xml:space="preserve"> </w:t>
      </w:r>
      <w:r>
        <w:t xml:space="preserve">Role-assignable groups require assigned membership, which Microsoft notes already removes the attribute-write risk.</w:t>
      </w:r>
      <w:r>
        <w:rPr>
          <w:rStyle w:val="FootnoteReference"/>
        </w:rPr>
        <w:footnoteReference w:id="593"/>
      </w:r>
      <w:r>
        <w:t xml:space="preserve"> </w:t>
      </w:r>
      <w:r>
        <w:t xml:space="preserve">A tenant can have at most 500 role-assignable groups.</w:t>
      </w:r>
      <w:r>
        <w:rPr>
          <w:rStyle w:val="FootnoteReference"/>
        </w:rPr>
        <w:footnoteReference w:id="594"/>
      </w:r>
    </w:p>
    <w:p>
      <w:pPr>
        <w:pStyle w:val="Compact"/>
        <w:numPr>
          <w:ilvl w:val="0"/>
          <w:numId w:val="1041"/>
        </w:numPr>
      </w:pPr>
      <w:r>
        <w:rPr>
          <w:b/>
          <w:bCs/>
        </w:rPr>
        <w:t xml:space="preserve">PIM for Groups doesn’t take dynamic groups.</w:t>
      </w:r>
      <w:r>
        <w:t xml:space="preserve"> </w:t>
      </w:r>
      <w:r>
        <w:t xml:space="preserve">Any security group or Microsoft 365 group can be enabled for PIM for Groups except dynamic membership groups and groups synchronized from on-premises.</w:t>
      </w:r>
      <w:r>
        <w:rPr>
          <w:rStyle w:val="FootnoteReference"/>
        </w:rPr>
        <w:footnoteReference w:id="596"/>
      </w:r>
      <w:r>
        <w:t xml:space="preserve"> </w:t>
      </w:r>
      <w:r>
        <w:t xml:space="preserve">Privileged access is assigned, cloud-only and time-bound; HR attributes decide</w:t>
      </w:r>
      <w:r>
        <w:t xml:space="preserve"> </w:t>
      </w:r>
      <w:r>
        <w:rPr>
          <w:i/>
          <w:iCs/>
        </w:rPr>
        <w:t xml:space="preserve">eligibility</w:t>
      </w:r>
      <w:r>
        <w:t xml:space="preserve"> </w:t>
      </w:r>
      <w:r>
        <w:t xml:space="preserve">(through an access package), not standing membership.</w:t>
      </w:r>
    </w:p>
    <w:p>
      <w:pPr>
        <w:pStyle w:val="Compact"/>
        <w:numPr>
          <w:ilvl w:val="0"/>
          <w:numId w:val="1041"/>
        </w:numPr>
      </w:pPr>
      <w:r>
        <w:rPr>
          <w:b/>
          <w:bCs/>
        </w:rPr>
        <w:t xml:space="preserve">Position decides eligibility, not standing access.</w:t>
      </w:r>
      <w:r>
        <w:t xml:space="preserve"> </w:t>
      </w:r>
      <w:r>
        <w:t xml:space="preserve">HR attributes — position category and supervisory status — decide who may</w:t>
      </w:r>
      <w:r>
        <w:t xml:space="preserve"> </w:t>
      </w:r>
      <w:r>
        <w:rPr>
          <w:i/>
          <w:iCs/>
        </w:rPr>
        <w:t xml:space="preserve">request</w:t>
      </w:r>
      <w:r>
        <w:t xml:space="preserve"> </w:t>
      </w:r>
      <w:r>
        <w:t xml:space="preserve">a privileged role through an access package; the role itself is activated just in time through PIM. For groups that elevate into Entra roles, Microsoft recommends requiring approval for eligible member assignments.</w:t>
      </w:r>
      <w:r>
        <w:rPr>
          <w:rStyle w:val="FootnoteReference"/>
        </w:rPr>
        <w:footnoteReference w:id="597"/>
      </w:r>
    </w:p>
    <w:p>
      <w:pPr>
        <w:pStyle w:val="Compact"/>
        <w:numPr>
          <w:ilvl w:val="0"/>
          <w:numId w:val="1041"/>
        </w:numPr>
      </w:pPr>
      <w:r>
        <w:rPr>
          <w:b/>
          <w:bCs/>
        </w:rPr>
        <w:t xml:space="preserve">The same key joins the evidence.</w:t>
      </w:r>
      <w:r>
        <w:t xml:space="preserve"> </w:t>
      </w:r>
      <w:r>
        <w:t xml:space="preserve">The enterprise person key (Chapter 04) is the join key for the SIEM, database logins and badge events, and any authentication by a person whose HR record shows a separation is an alert, not a log line.</w:t>
      </w:r>
    </w:p>
    <w:p>
      <w:pPr>
        <w:pStyle w:val="Compact"/>
        <w:numPr>
          <w:ilvl w:val="0"/>
          <w:numId w:val="1041"/>
        </w:numPr>
      </w:pPr>
      <w:r>
        <w:rPr>
          <w:b/>
          <w:bCs/>
        </w:rPr>
        <w:t xml:space="preserve">Break-glass accounts depend on none of this.</w:t>
      </w:r>
      <w:r>
        <w:t xml:space="preserve"> </w:t>
      </w:r>
      <w:r>
        <w:t xml:space="preserve">Emergency access accounts are cloud-only accounts on the</w:t>
      </w:r>
      <w:r>
        <w:t xml:space="preserve"> </w:t>
      </w:r>
      <w:r>
        <w:rPr>
          <w:rStyle w:val="VerbatimChar"/>
        </w:rPr>
        <w:t xml:space="preserve">*.onmicrosoft.com</w:t>
      </w:r>
      <w:r>
        <w:t xml:space="preserve"> </w:t>
      </w:r>
      <w:r>
        <w:t xml:space="preserve">domain, not federated or synchronized from on-premises, not associated with any individual, excluded from Conditional Access policies that block or restrict sign-in, and monitored with an alert on every sign-in.</w:t>
      </w:r>
      <w:r>
        <w:rPr>
          <w:rStyle w:val="FootnoteReference"/>
        </w:rPr>
        <w:footnoteReference w:id="598"/>
      </w:r>
      <w:r>
        <w:t xml:space="preserve"> </w:t>
      </w:r>
      <w:r>
        <w:t xml:space="preserve">In this program they’re also excluded from HR-driven rules and lifecycle workflows.</w:t>
      </w:r>
    </w:p>
    <w:p>
      <w:pPr>
        <w:pStyle w:val="FirstParagraph"/>
      </w:pPr>
      <w:r>
        <w:t xml:space="preserve">The SQL Server Identity Transformation workbook, Book 07 applies this chapter to SQL Server logins and database roles, including naming, shadow testing and rollout gates.</w:t>
      </w:r>
    </w:p>
    <w:bookmarkEnd w:id="600"/>
    <w:bookmarkStart w:id="601" w:name="continue-the-book-9"/>
    <w:p>
      <w:pPr>
        <w:pStyle w:val="Heading2"/>
      </w:pPr>
      <w:bookmarkStart w:id="881" w:name="_Toc00000881"/>
      <w:r>
        <w:t xml:space="preserve">Continue the book</w:t>
      </w:r>
      <w:bookmarkEnd w:id="881"/>
    </w:p>
    <w:p>
      <w:pPr>
        <w:pStyle w:val="FirstParagraph"/>
      </w:pPr>
      <w:r>
        <w:t xml:space="preserve">← Previous: Chapter 09 — Credentials and Certificates Across Joiner, Mover, Leaver · Book index · Next: Chapter 11 — Drift, Metrics and Evidence →</w:t>
      </w:r>
    </w:p>
    <w:bookmarkEnd w:id="601"/>
    <w:bookmarkEnd w:id="602"/>
    <w:bookmarkStart w:id="639" w:name="chapter-11-drift-metrics-and-evidence"/>
    <w:p>
      <w:pPr>
        <w:pStyle w:val="Heading1"/>
      </w:pPr>
      <w:bookmarkStart w:id="882" w:name="_Toc00000882"/>
      <w:r>
        <w:t xml:space="preserve">Chapter 11 — Drift, Metrics and Evidence</w:t>
      </w:r>
      <w:bookmarkEnd w:id="882"/>
    </w:p>
    <w:p>
      <w:pPr>
        <w:pStyle w:val="FirstParagraph"/>
      </w:pPr>
      <w:r>
        <w:rPr>
          <w:i/>
          <w:iCs/>
        </w:rPr>
        <w:t xml:space="preserve">An architecture that can’t measure its own revocation latency is asserting PS-4 on faith.</w:t>
      </w:r>
    </w:p>
    <w:bookmarkStart w:id="603" w:name="in-this-chapter-10"/>
    <w:p>
      <w:pPr>
        <w:pStyle w:val="Heading2"/>
      </w:pPr>
      <w:bookmarkStart w:id="883" w:name="_Toc00000883"/>
      <w:r>
        <w:t xml:space="preserve">In this chapter</w:t>
      </w:r>
      <w:bookmarkEnd w:id="883"/>
    </w:p>
    <w:p>
      <w:pPr>
        <w:pStyle w:val="FirstParagraph"/>
      </w:pPr>
      <w:r>
        <w:t xml:space="preserve">Six lifecycle metrics. The drift classes between the HR record and the directory, and the signal for each. What evidence each event leaves, and how long Entra ID keeps it. The control-support mapping for AC-2, PS-4, PS-5, IA-4 and SI-12, and the monitoring and audit controls that consume it.</w:t>
      </w:r>
    </w:p>
    <w:bookmarkEnd w:id="603"/>
    <w:bookmarkStart w:id="608" w:name="the-measured-lifecycle"/>
    <w:p>
      <w:pPr>
        <w:pStyle w:val="Heading2"/>
      </w:pPr>
      <w:bookmarkStart w:id="884" w:name="_Toc00000884"/>
      <w:r>
        <w:t xml:space="preserve">The measured lifecycle</w:t>
      </w:r>
      <w:bookmarkEnd w:id="884"/>
    </w:p>
    <w:p>
      <w:pPr>
        <w:pStyle w:val="FirstParagraph"/>
      </w:pPr>
      <w:r>
        <w:t xml:space="preserve">An event-driven lifecycle is also a measured one: every interval from event to action is a number.</w:t>
      </w:r>
    </w:p>
    <w:p>
      <w:pPr>
        <w:pStyle w:val="TableCaption"/>
      </w:pPr>
      <w:r>
        <w:t xml:space="preserve">Lifecycle metrics</w:t>
      </w:r>
      <w:r>
        <w:rPr>
          <w:rStyle w:val="FootnoteReference"/>
        </w:rPr>
        <w:footnoteReference w:id="604"/>
      </w:r>
    </w:p>
    <w:tbl>
      <w:tblPr>
        <w:tblStyle w:val="Table"/>
        <w:tblW w:type="pct" w:w="5000"/>
        <w:tblLayout w:type="fixed"/>
        <w:tblLook w:firstRow="1" w:lastRow="0" w:firstColumn="0" w:lastColumn="0" w:noHBand="0" w:noVBand="0" w:val="0020"/>
        <w:tblCaption w:val="Lifecycle metrics"/>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Separation-to-block interval</w:t>
            </w:r>
          </w:p>
        </w:tc>
        <w:tc>
          <w:tcPr/>
          <w:p>
            <w:pPr>
              <w:pStyle w:val="Compact"/>
            </w:pPr>
            <w:r>
              <w:t xml:space="preserve">HR effective date and time → account disabled and sessions revoked (Chapter 09, steps 1–2)</w:t>
            </w:r>
          </w:p>
        </w:tc>
        <w:tc>
          <w:tcPr/>
          <w:p>
            <w:pPr>
              <w:pStyle w:val="Compact"/>
            </w:pPr>
            <w:r>
              <w:t xml:space="preserve">PS-4a: system access disabled within the organization-defined period, continuously</w:t>
            </w:r>
          </w:p>
        </w:tc>
      </w:tr>
      <w:tr>
        <w:tc>
          <w:tcPr/>
          <w:p>
            <w:pPr>
              <w:pStyle w:val="Compact"/>
            </w:pPr>
            <w:r>
              <w:t xml:space="preserve">Separation-to-revocation interval</w:t>
            </w:r>
          </w:p>
        </w:tc>
        <w:tc>
          <w:tcPr/>
          <w:p>
            <w:pPr>
              <w:pStyle w:val="Compact"/>
            </w:pPr>
            <w:r>
              <w:t xml:space="preserve">HR effective date and time → last confirmed revocation in the leaver sequence (Chapter 09, step 4)</w:t>
            </w:r>
          </w:p>
        </w:tc>
        <w:tc>
          <w:tcPr/>
          <w:p>
            <w:pPr>
              <w:pStyle w:val="Compact"/>
            </w:pPr>
            <w:r>
              <w:t xml:space="preserve">PS-4b: authenticators and credentials terminated or revoked, with exceptions and how they closed</w:t>
            </w:r>
          </w:p>
        </w:tc>
      </w:tr>
      <w:tr>
        <w:tc>
          <w:tcPr/>
          <w:p>
            <w:pPr>
              <w:pStyle w:val="Compact"/>
            </w:pPr>
            <w:r>
              <w:t xml:space="preserve">Transfer-to-review interval</w:t>
            </w:r>
          </w:p>
        </w:tc>
        <w:tc>
          <w:tcPr/>
          <w:p>
            <w:pPr>
              <w:pStyle w:val="Compact"/>
            </w:pPr>
            <w:r>
              <w:t xml:space="preserve">Transfer effective date → completion of the review on residual access</w:t>
            </w:r>
          </w:p>
        </w:tc>
        <w:tc>
          <w:tcPr/>
          <w:p>
            <w:pPr>
              <w:pStyle w:val="Compact"/>
            </w:pPr>
            <w:r>
              <w:t xml:space="preserve">PS-5: ongoing need for access reviewed and transfer actions initiated within the organization-defined period</w:t>
            </w:r>
          </w:p>
        </w:tc>
      </w:tr>
      <w:tr>
        <w:tc>
          <w:tcPr/>
          <w:p>
            <w:pPr>
              <w:pStyle w:val="Compact"/>
            </w:pPr>
            <w:r>
              <w:t xml:space="preserve">Joiner readiness rate</w:t>
            </w:r>
          </w:p>
        </w:tc>
        <w:tc>
          <w:tcPr/>
          <w:p>
            <w:pPr>
              <w:pStyle w:val="Compact"/>
            </w:pPr>
            <w:r>
              <w:t xml:space="preserve">Share of new hires whose account, licenses and baseline access exist at start of day one</w:t>
            </w:r>
          </w:p>
        </w:tc>
        <w:tc>
          <w:tcPr/>
          <w:p>
            <w:pPr>
              <w:pStyle w:val="Compact"/>
            </w:pPr>
            <w:r>
              <w:t xml:space="preserve">AC-2 automation working in the creation direction</w:t>
            </w:r>
          </w:p>
        </w:tc>
      </w:tr>
      <w:tr>
        <w:tc>
          <w:tcPr/>
          <w:p>
            <w:pPr>
              <w:pStyle w:val="Compact"/>
            </w:pPr>
            <w:r>
              <w:t xml:space="preserve">Correlation coverage</w:t>
            </w:r>
          </w:p>
        </w:tc>
        <w:tc>
          <w:tcPr/>
          <w:p>
            <w:pPr>
              <w:pStyle w:val="Compact"/>
            </w:pPr>
            <w:r>
              <w:t xml:space="preserve">Share of enabled accounts that resolve to a current worker record by the correlation key (Chapter 04)</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access-granting memberships computed by rule rather than assigned by hand</w:t>
            </w:r>
          </w:p>
        </w:tc>
        <w:tc>
          <w:tcPr/>
          <w:p>
            <w:pPr>
              <w:pStyle w:val="Compact"/>
            </w:pPr>
            <w:r>
              <w:t xml:space="preserve">How much of the estate still runs on fragments</w:t>
            </w:r>
          </w:p>
        </w:tc>
      </w:tr>
    </w:tbl>
    <w:p>
      <w:pPr>
        <w:pStyle w:val="BodyText"/>
      </w:pPr>
      <w:r>
        <w:t xml:space="preserve">None of these numbers exists in a ticket-driven estate, because the events they measure aren’t recorded as events. Two inputs shape the first metric and belong in its definition: the Lifecycle Workflows schedule interval (Chapter 08), which is three hours by default and can be set from 1 to 24 hours,</w:t>
      </w:r>
      <w:r>
        <w:rPr>
          <w:rStyle w:val="FootnoteReference"/>
        </w:rPr>
        <w:footnoteReference w:id="606"/>
      </w:r>
      <w:r>
        <w:t xml:space="preserve"> </w:t>
      </w:r>
      <w:r>
        <w:t xml:space="preserve">and the CRL publication interval of the PIV issuing CA (Chapter 09).</w:t>
      </w:r>
    </w:p>
    <w:p>
      <w:pPr>
        <w:pStyle w:val="BodyText"/>
      </w:pPr>
      <w:r>
        <w:t xml:space="preserve">These metrics are also what CA-7 asks for. Continuous monitoring requires the organization to establish system-level metrics, the frequencies for monitoring them and for assessing control effectiveness, and the response actions and reporting that follow.</w:t>
      </w:r>
      <w:r>
        <w:rPr>
          <w:rStyle w:val="FootnoteReference"/>
        </w:rPr>
        <w:footnoteReference w:id="607"/>
      </w:r>
      <w:r>
        <w:t xml:space="preserve"> </w:t>
      </w:r>
      <w:r>
        <w:t xml:space="preserve">The six metrics above are candidates for those system-level metrics; choosing them, and their thresholds, is the agency’s decision.</w:t>
      </w:r>
    </w:p>
    <w:bookmarkEnd w:id="608"/>
    <w:bookmarkStart w:id="614" w:name="drift-between-hr-and-the-directory"/>
    <w:p>
      <w:pPr>
        <w:pStyle w:val="Heading2"/>
      </w:pPr>
      <w:bookmarkStart w:id="885" w:name="_Toc00000885"/>
      <w:r>
        <w:t xml:space="preserve">Drift between HR and the directory</w:t>
      </w:r>
      <w:bookmarkEnd w:id="885"/>
    </w:p>
    <w:p>
      <w:pPr>
        <w:pStyle w:val="FirstParagraph"/>
      </w:pPr>
      <w:r>
        <w:t xml:space="preserve">Drift is any difference between what the HR record says and what the directory holds. Each class has a detection signal and a default severity:</w:t>
      </w:r>
    </w:p>
    <w:bookmarkStart w:id="612" w:name="fig-ch11-drift-evidence-loop"/>
    <w:p>
      <w:pPr>
        <w:pStyle w:val="CaptionedFigure"/>
      </w:pPr>
      <w:r>
        <w:drawing>
          <wp:inline>
            <wp:extent cx="5334000" cy="1233019"/>
            <wp:effectExtent b="0" l="0" r="0" t="0"/>
            <wp:docPr descr="Drift and evidence: a scheduled comparison of the HR record with the directories finds each drift class; findings are closed at the right end, and every step leaves evidence." title="" id="610" name="Picture"/>
            <a:graphic>
              <a:graphicData uri="http://schemas.openxmlformats.org/drawingml/2006/picture">
                <pic:pic>
                  <pic:nvPicPr>
                    <pic:cNvPr descr="/home/runner/work/modernization-workbook/modernization-workbook/docs/images/diagrams/b03-hr-identity/png/ch11-drift-evidence-loop.png" id="611" name="Picture"/>
                    <pic:cNvPicPr>
                      <a:picLocks noChangeArrowheads="1" noChangeAspect="1"/>
                    </pic:cNvPicPr>
                  </pic:nvPicPr>
                  <pic:blipFill>
                    <a:blip r:embed="rId609"/>
                    <a:stretch>
                      <a:fillRect/>
                    </a:stretch>
                  </pic:blipFill>
                  <pic:spPr bwMode="auto">
                    <a:xfrm>
                      <a:off x="0" y="0"/>
                      <a:ext cx="5334000" cy="1233019"/>
                    </a:xfrm>
                    <a:prstGeom prst="rect">
                      <a:avLst/>
                    </a:prstGeom>
                    <a:noFill/>
                    <a:ln w="9525">
                      <a:noFill/>
                      <a:headEnd/>
                      <a:tailEnd/>
                    </a:ln>
                  </pic:spPr>
                </pic:pic>
              </a:graphicData>
            </a:graphic>
          </wp:inline>
        </w:drawing>
      </w:r>
    </w:p>
    <w:p>
      <w:pPr>
        <w:pStyle w:val="ImageCaption"/>
      </w:pPr>
      <w:r>
        <w:t xml:space="preserve">Drift and evidence: a scheduled comparison of the HR record with the directories finds each drift class; findings are closed at the right end, and every step leaves evidence.</w:t>
      </w:r>
    </w:p>
    <w:bookmarkEnd w:id="612"/>
    <w:p>
      <w:pPr>
        <w:pStyle w:val="TableCaption"/>
      </w:pPr>
      <w:r>
        <w:t xml:space="preserve">Drift classes and how to detect them</w:t>
      </w:r>
    </w:p>
    <w:tbl>
      <w:tblPr>
        <w:tblStyle w:val="Table"/>
        <w:tblW w:type="pct" w:w="5000"/>
        <w:tblLayout w:type="fixed"/>
        <w:tblLook w:firstRow="1" w:lastRow="0" w:firstColumn="0" w:lastColumn="0" w:noHBand="0" w:noVBand="0" w:val="0020"/>
        <w:tblCaption w:val="Drift classes and how to detect them"/>
      </w:tblPr>
      <w:tblGrid>
        <w:gridCol w:w="1980"/>
        <w:gridCol w:w="1980"/>
        <w:gridCol w:w="1980"/>
        <w:gridCol w:w="1980"/>
      </w:tblGrid>
      <w:tr>
        <w:trPr>
          <w:tblHeader w:val="on"/>
        </w:trPr>
        <w:tc>
          <w:tcPr/>
          <w:p>
            <w:pPr>
              <w:pStyle w:val="Compact"/>
            </w:pPr>
            <w:r>
              <w:t xml:space="preserve">Drift class</w:t>
            </w:r>
          </w:p>
        </w:tc>
        <w:tc>
          <w:tcPr/>
          <w:p>
            <w:pPr>
              <w:pStyle w:val="Compact"/>
            </w:pPr>
            <w:r>
              <w:t xml:space="preserve">Example</w:t>
            </w:r>
          </w:p>
        </w:tc>
        <w:tc>
          <w:tcPr/>
          <w:p>
            <w:pPr>
              <w:pStyle w:val="Compact"/>
            </w:pPr>
            <w:r>
              <w:t xml:space="preserve">Detection signal</w:t>
            </w:r>
          </w:p>
        </w:tc>
        <w:tc>
          <w:tcPr/>
          <w:p>
            <w:pPr>
              <w:pStyle w:val="Compact"/>
            </w:pPr>
            <w:r>
              <w:t xml:space="preserve">Severity</w:t>
            </w:r>
          </w:p>
        </w:tc>
      </w:tr>
      <w:tr>
        <w:tc>
          <w:tcPr/>
          <w:p>
            <w:pPr>
              <w:pStyle w:val="Compact"/>
            </w:pPr>
            <w:r>
              <w:t xml:space="preserve">Missing identity</w:t>
            </w:r>
          </w:p>
        </w:tc>
        <w:tc>
          <w:tcPr/>
          <w:p>
            <w:pPr>
              <w:pStyle w:val="Compact"/>
            </w:pPr>
            <w:r>
              <w:t xml:space="preserve">A worker record with no account after a provisioning cycle</w:t>
            </w:r>
          </w:p>
        </w:tc>
        <w:tc>
          <w:tcPr/>
          <w:p>
            <w:pPr>
              <w:pStyle w:val="Compact"/>
            </w:pPr>
            <w:r>
              <w:t xml:space="preserve">Set difference: active HR records without a matching</w:t>
            </w:r>
            <w:r>
              <w:t xml:space="preserve"> </w:t>
            </w:r>
            <w:r>
              <w:rPr>
                <w:rStyle w:val="VerbatimChar"/>
              </w:rPr>
              <w:t xml:space="preserve">employeeId</w:t>
            </w:r>
          </w:p>
        </w:tc>
        <w:tc>
          <w:tcPr/>
          <w:p>
            <w:pPr>
              <w:pStyle w:val="Compact"/>
            </w:pPr>
            <w:r>
              <w:t xml:space="preserve">High</w:t>
            </w:r>
          </w:p>
        </w:tc>
      </w:tr>
      <w:tr>
        <w:tc>
          <w:tcPr/>
          <w:p>
            <w:pPr>
              <w:pStyle w:val="Compact"/>
            </w:pPr>
            <w:r>
              <w:t xml:space="preserve">Stale access</w:t>
            </w:r>
          </w:p>
        </w:tc>
        <w:tc>
          <w:tcPr/>
          <w:p>
            <w:pPr>
              <w:pStyle w:val="Compact"/>
            </w:pPr>
            <w:r>
              <w:t xml:space="preserve">An enabled account for a separated worker</w:t>
            </w:r>
          </w:p>
        </w:tc>
        <w:tc>
          <w:tcPr/>
          <w:p>
            <w:pPr>
              <w:pStyle w:val="Compact"/>
            </w:pPr>
            <w:r>
              <w:t xml:space="preserve">Same</w:t>
            </w:r>
            <w:r>
              <w:t xml:space="preserve"> </w:t>
            </w:r>
            <w:r>
              <w:rPr>
                <w:rStyle w:val="VerbatimChar"/>
              </w:rPr>
              <w:t xml:space="preserve">employeeId</w:t>
            </w:r>
            <w:r>
              <w:t xml:space="preserve">: terminated in HR, enabled in Entra or AD</w:t>
            </w:r>
          </w:p>
        </w:tc>
        <w:tc>
          <w:tcPr/>
          <w:p>
            <w:pPr>
              <w:pStyle w:val="Compact"/>
            </w:pPr>
            <w:r>
              <w:t xml:space="preserve">High</w:t>
            </w:r>
          </w:p>
        </w:tc>
      </w:tr>
      <w:tr>
        <w:tc>
          <w:tcPr/>
          <w:p>
            <w:pPr>
              <w:pStyle w:val="Compact"/>
            </w:pPr>
            <w:r>
              <w:t xml:space="preserve">Orphan account</w:t>
            </w:r>
          </w:p>
        </w:tc>
        <w:tc>
          <w:tcPr/>
          <w:p>
            <w:pPr>
              <w:pStyle w:val="Compact"/>
            </w:pPr>
            <w:r>
              <w:t xml:space="preserve">An enabled account that matches no worker record</w:t>
            </w:r>
          </w:p>
        </w:tc>
        <w:tc>
          <w:tcPr/>
          <w:p>
            <w:pPr>
              <w:pStyle w:val="Compact"/>
            </w:pPr>
            <w:r>
              <w:t xml:space="preserve">Enabled accounts with no or unknown</w:t>
            </w:r>
            <w:r>
              <w:t xml:space="preserve"> </w:t>
            </w:r>
            <w:r>
              <w:rPr>
                <w:rStyle w:val="VerbatimChar"/>
              </w:rPr>
              <w:t xml:space="preserve">employeeId</w:t>
            </w:r>
          </w:p>
        </w:tc>
        <w:tc>
          <w:tcPr/>
          <w:p>
            <w:pPr>
              <w:pStyle w:val="Compact"/>
            </w:pPr>
            <w:r>
              <w:t xml:space="preserve">High</w:t>
            </w:r>
          </w:p>
        </w:tc>
      </w:tr>
      <w:tr>
        <w:tc>
          <w:tcPr/>
          <w:p>
            <w:pPr>
              <w:pStyle w:val="Compact"/>
            </w:pPr>
            <w:r>
              <w:t xml:space="preserve">Attribute drift</w:t>
            </w:r>
          </w:p>
        </w:tc>
        <w:tc>
          <w:tcPr/>
          <w:p>
            <w:pPr>
              <w:pStyle w:val="Compact"/>
            </w:pPr>
            <w:r>
              <w:t xml:space="preserve">A department, code or manager value that differs from HR</w:t>
            </w:r>
          </w:p>
        </w:tc>
        <w:tc>
          <w:tcPr/>
          <w:p>
            <w:pPr>
              <w:pStyle w:val="Compact"/>
            </w:pPr>
            <w:r>
              <w:t xml:space="preserve">Field-by-field comparison of the canonical schema (Chapter 06)</w:t>
            </w:r>
          </w:p>
        </w:tc>
        <w:tc>
          <w:tcPr/>
          <w:p>
            <w:pPr>
              <w:pStyle w:val="Compact"/>
            </w:pPr>
            <w:r>
              <w:t xml:space="preserve">Medium</w:t>
            </w:r>
          </w:p>
        </w:tc>
      </w:tr>
      <w:tr>
        <w:tc>
          <w:tcPr/>
          <w:p>
            <w:pPr>
              <w:pStyle w:val="Compact"/>
            </w:pPr>
            <w:r>
              <w:t xml:space="preserve">Unauthorized write</w:t>
            </w:r>
          </w:p>
        </w:tc>
        <w:tc>
          <w:tcPr/>
          <w:p>
            <w:pPr>
              <w:pStyle w:val="Compact"/>
            </w:pPr>
            <w:r>
              <w:t xml:space="preserve">A write to an HR-mastered attribute by a principal other than the provisioning service</w:t>
            </w:r>
          </w:p>
        </w:tc>
        <w:tc>
          <w:tcPr/>
          <w:p>
            <w:pPr>
              <w:pStyle w:val="Compact"/>
            </w:pPr>
            <w:r>
              <w:t xml:space="preserve">Entra audit log and AD change auditing, filtered on the attributes of Chapter 06 and</w:t>
            </w:r>
            <w:r>
              <w:t xml:space="preserve"> </w:t>
            </w:r>
            <w:r>
              <w:rPr>
                <w:rStyle w:val="VerbatimChar"/>
              </w:rPr>
              <w:t xml:space="preserve">certificateUserIds</w:t>
            </w:r>
            <w:r>
              <w:t xml:space="preserve"> </w:t>
            </w:r>
            <w:r>
              <w:t xml:space="preserve">/</w:t>
            </w:r>
            <w:r>
              <w:t xml:space="preserve"> </w:t>
            </w:r>
            <w:r>
              <w:rPr>
                <w:rStyle w:val="VerbatimChar"/>
              </w:rPr>
              <w:t xml:space="preserve">altSecurityIdentities</w:t>
            </w:r>
          </w:p>
        </w:tc>
        <w:tc>
          <w:tcPr/>
          <w:p>
            <w:pPr>
              <w:pStyle w:val="Compact"/>
            </w:pPr>
            <w:r>
              <w:t xml:space="preserve">High</w:t>
            </w:r>
          </w:p>
        </w:tc>
      </w:tr>
      <w:tr>
        <w:tc>
          <w:tcPr/>
          <w:p>
            <w:pPr>
              <w:pStyle w:val="Compact"/>
            </w:pPr>
            <w:r>
              <w:t xml:space="preserve">Credential drift</w:t>
            </w:r>
          </w:p>
        </w:tc>
        <w:tc>
          <w:tcPr/>
          <w:p>
            <w:pPr>
              <w:pStyle w:val="Compact"/>
            </w:pPr>
            <w:r>
              <w:t xml:space="preserve">A valid PIV binding, derived credential or device certificate for a separated worker</w:t>
            </w:r>
          </w:p>
        </w:tc>
        <w:tc>
          <w:tcPr/>
          <w:p>
            <w:pPr>
              <w:pStyle w:val="Compact"/>
            </w:pPr>
            <w:r>
              <w:t xml:space="preserve">CMS status and Intune certificate reports joined on the worker</w:t>
            </w:r>
          </w:p>
        </w:tc>
        <w:tc>
          <w:tcPr/>
          <w:p>
            <w:pPr>
              <w:pStyle w:val="Compact"/>
            </w:pPr>
            <w:r>
              <w:t xml:space="preserve">High</w:t>
            </w:r>
          </w:p>
        </w:tc>
      </w:tr>
      <w:tr>
        <w:tc>
          <w:tcPr/>
          <w:p>
            <w:pPr>
              <w:pStyle w:val="Compact"/>
            </w:pPr>
            <w:r>
              <w:t xml:space="preserve">Schema drift</w:t>
            </w:r>
          </w:p>
        </w:tc>
        <w:tc>
          <w:tcPr/>
          <w:p>
            <w:pPr>
              <w:pStyle w:val="Compact"/>
            </w:pPr>
            <w:r>
              <w:t xml:space="preserve">A record that fails validation in the middleware</w:t>
            </w:r>
          </w:p>
        </w:tc>
        <w:tc>
          <w:tcPr/>
          <w:p>
            <w:pPr>
              <w:pStyle w:val="Compact"/>
            </w:pPr>
            <w:r>
              <w:t xml:space="preserve">The middleware’s validation output (Chapter 05)</w:t>
            </w:r>
          </w:p>
        </w:tc>
        <w:tc>
          <w:tcPr/>
          <w:p>
            <w:pPr>
              <w:pStyle w:val="Compact"/>
            </w:pPr>
            <w:r>
              <w:t xml:space="preserve">Medium</w:t>
            </w:r>
          </w:p>
        </w:tc>
      </w:tr>
    </w:tbl>
    <w:p>
      <w:pPr>
        <w:pStyle w:val="BodyText"/>
      </w:pPr>
      <w:r>
        <w:t xml:space="preserve">The severities are this program’s defaults, not an external standard. The provisioning logs are the first source for most of these: the API client already reads them for each record’s result (Chapter 05). The rest are joins between the HR extract, the directory and the CMS, on the one identifier they share. Microsoft Entra ID Governance also offers Account Discovery, which finds existing accounts in a target application and identifies which have matching Entra accounts and which are orphans;</w:t>
      </w:r>
      <w:r>
        <w:rPr>
          <w:rStyle w:val="FootnoteReference"/>
        </w:rPr>
        <w:footnoteReference w:id="613"/>
      </w:r>
      <w:r>
        <w:t xml:space="preserve"> </w:t>
      </w:r>
      <w:r>
        <w:t xml:space="preserve">it extends the orphan class past the directory.</w:t>
      </w:r>
    </w:p>
    <w:p>
      <w:pPr>
        <w:pStyle w:val="BodyText"/>
      </w:pPr>
      <w:r>
        <w:t xml:space="preserve">In the first month of a new pipeline, expect a burst of high-severity findings: leavers the manual process hadn’t caught up with, and orphan accounts that years of ticket-driven account creation left behind and the HR-driven pipeline can now see. That burst is the measurement working, not the pipeline failing.</w:t>
      </w:r>
    </w:p>
    <w:bookmarkEnd w:id="614"/>
    <w:bookmarkStart w:id="631" w:name="the-evidence-each-event-leaves"/>
    <w:p>
      <w:pPr>
        <w:pStyle w:val="Heading2"/>
      </w:pPr>
      <w:bookmarkStart w:id="886" w:name="_Toc00000886"/>
      <w:r>
        <w:t xml:space="preserve">The evidence each event leaves</w:t>
      </w:r>
      <w:bookmarkEnd w:id="886"/>
    </w:p>
    <w:p>
      <w:pPr>
        <w:pStyle w:val="TableCaption"/>
      </w:pPr>
      <w:r>
        <w:t xml:space="preserve">Evidence by event</w:t>
      </w:r>
    </w:p>
    <w:tbl>
      <w:tblPr>
        <w:tblStyle w:val="Table"/>
        <w:tblW w:type="pct" w:w="5000"/>
        <w:tblLayout w:type="fixed"/>
        <w:tblLook w:firstRow="1" w:lastRow="0" w:firstColumn="0" w:lastColumn="0" w:noHBand="0" w:noVBand="0" w:val="0020"/>
        <w:tblCaption w:val="Evidence by event"/>
      </w:tblPr>
      <w:tblGrid>
        <w:gridCol w:w="2640"/>
        <w:gridCol w:w="2640"/>
        <w:gridCol w:w="2640"/>
      </w:tblGrid>
      <w:tr>
        <w:trPr>
          <w:tblHeader w:val="on"/>
        </w:trPr>
        <w:tc>
          <w:tcPr/>
          <w:p>
            <w:pPr>
              <w:pStyle w:val="Compact"/>
            </w:pPr>
            <w:r>
              <w:t xml:space="preserve">Event</w:t>
            </w:r>
          </w:p>
        </w:tc>
        <w:tc>
          <w:tcPr/>
          <w:p>
            <w:pPr>
              <w:pStyle w:val="Compact"/>
            </w:pPr>
            <w:r>
              <w:t xml:space="preserve">Evidence</w:t>
            </w:r>
          </w:p>
        </w:tc>
        <w:tc>
          <w:tcPr/>
          <w:p>
            <w:pPr>
              <w:pStyle w:val="Compact"/>
            </w:pPr>
            <w:r>
              <w:t xml:space="preserve">Kept in Entra ID</w:t>
            </w:r>
          </w:p>
        </w:tc>
      </w:tr>
      <w:tr>
        <w:tc>
          <w:tcPr/>
          <w:p>
            <w:pPr>
              <w:pStyle w:val="Compact"/>
            </w:pPr>
            <w:r>
              <w:t xml:space="preserve">Any HR event</w:t>
            </w:r>
          </w:p>
        </w:tc>
        <w:tc>
          <w:tcPr/>
          <w:p>
            <w:pPr>
              <w:pStyle w:val="Compact"/>
            </w:pPr>
            <w:r>
              <w:t xml:space="preserve">The middleware’s provenance record: source event ID, payload hash, derivation inputs, outcome (Chapter 05)</w:t>
            </w:r>
          </w:p>
        </w:tc>
        <w:tc>
          <w:tcPr/>
          <w:p>
            <w:pPr>
              <w:pStyle w:val="Compact"/>
            </w:pPr>
            <w:r>
              <w:t xml:space="preserve">Not in Entra ID; the middleware writes it to the agency’s log store</w:t>
            </w:r>
          </w:p>
        </w:tc>
      </w:tr>
      <w:tr>
        <w:tc>
          <w:tcPr/>
          <w:p>
            <w:pPr>
              <w:pStyle w:val="Compact"/>
            </w:pPr>
            <w:r>
              <w:t xml:space="preserve">Provisioning</w:t>
            </w:r>
          </w:p>
        </w:tc>
        <w:tc>
          <w:tcPr/>
          <w:p>
            <w:pPr>
              <w:pStyle w:val="Compact"/>
            </w:pPr>
            <w:r>
              <w:t xml:space="preserve">The provisioning log entry for the record</w:t>
            </w:r>
          </w:p>
        </w:tc>
        <w:tc>
          <w:tcPr/>
          <w:p>
            <w:pPr>
              <w:pStyle w:val="Compact"/>
            </w:pPr>
            <w:r>
              <w:t xml:space="preserve">30 days with a premium edition, 7 days with Free</w:t>
            </w:r>
            <w:r>
              <w:rPr>
                <w:rStyle w:val="FootnoteReference"/>
              </w:rPr>
              <w:footnoteReference w:id="615"/>
            </w:r>
          </w:p>
        </w:tc>
      </w:tr>
      <w:tr>
        <w:tc>
          <w:tcPr/>
          <w:p>
            <w:pPr>
              <w:pStyle w:val="Compact"/>
            </w:pPr>
            <w:r>
              <w:t xml:space="preserve">Joiner, mover, leaver</w:t>
            </w:r>
          </w:p>
        </w:tc>
        <w:tc>
          <w:tcPr/>
          <w:p>
            <w:pPr>
              <w:pStyle w:val="Compact"/>
            </w:pPr>
            <w:r>
              <w:t xml:space="preserve">Lifecycle Workflows run history, per task</w:t>
            </w:r>
          </w:p>
        </w:tc>
        <w:tc>
          <w:tcPr/>
          <w:p>
            <w:pPr>
              <w:pStyle w:val="Compact"/>
            </w:pPr>
            <w:r>
              <w:t xml:space="preserve">Viewable for up to 30 days; download it as a report to keep it longer</w:t>
            </w:r>
            <w:r>
              <w:rPr>
                <w:rStyle w:val="FootnoteReference"/>
              </w:rPr>
              <w:footnoteReference w:id="617"/>
            </w:r>
            <w:r>
              <w:rPr>
                <w:rStyle w:val="FootnoteReference"/>
              </w:rPr>
              <w:footnoteReference w:id="619"/>
            </w:r>
          </w:p>
        </w:tc>
      </w:tr>
      <w:tr>
        <w:tc>
          <w:tcPr/>
          <w:p>
            <w:pPr>
              <w:pStyle w:val="Compact"/>
            </w:pPr>
            <w:r>
              <w:t xml:space="preserve">Leaver credentials</w:t>
            </w:r>
          </w:p>
        </w:tc>
        <w:tc>
          <w:tcPr/>
          <w:p>
            <w:pPr>
              <w:pStyle w:val="Compact"/>
            </w:pPr>
            <w:r>
              <w:t xml:space="preserve">Intune device action records; the CMS revocation record and the CRL that published it (Chapter 09)</w:t>
            </w:r>
          </w:p>
        </w:tc>
        <w:tc>
          <w:tcPr/>
          <w:p>
            <w:pPr>
              <w:pStyle w:val="Compact"/>
            </w:pPr>
            <w:r>
              <w:t xml:space="preserve">Outside Entra ID</w:t>
            </w:r>
          </w:p>
        </w:tc>
      </w:tr>
      <w:tr>
        <w:tc>
          <w:tcPr/>
          <w:p>
            <w:pPr>
              <w:pStyle w:val="Compact"/>
            </w:pPr>
            <w:r>
              <w:t xml:space="preserve">Access</w:t>
            </w:r>
          </w:p>
        </w:tc>
        <w:tc>
          <w:tcPr/>
          <w:p>
            <w:pPr>
              <w:pStyle w:val="Compact"/>
            </w:pPr>
            <w:r>
              <w:t xml:space="preserve">Group membership changes and the rule that produced them; access-review decisions</w:t>
            </w:r>
          </w:p>
        </w:tc>
        <w:tc>
          <w:tcPr/>
          <w:p>
            <w:pPr>
              <w:pStyle w:val="Compact"/>
            </w:pPr>
            <w:r>
              <w:t xml:space="preserve">Audit log: 30 days with P1 or P2, 7 days with Free;</w:t>
            </w:r>
            <w:r>
              <w:rPr>
                <w:rStyle w:val="FootnoteReference"/>
              </w:rPr>
              <w:footnoteReference w:id="621"/>
            </w:r>
            <w:r>
              <w:t xml:space="preserve"> </w:t>
            </w:r>
            <w:r>
              <w:t xml:space="preserve">access-review history reports stay downloadable for 30 days after they’re created</w:t>
            </w:r>
            <w:r>
              <w:rPr>
                <w:rStyle w:val="FootnoteReference"/>
              </w:rPr>
              <w:footnoteReference w:id="623"/>
            </w:r>
          </w:p>
        </w:tc>
      </w:tr>
    </w:tbl>
    <w:p>
      <w:pPr>
        <w:pStyle w:val="BodyText"/>
      </w:pPr>
      <w:r>
        <w:t xml:space="preserve">Keep the evidence outside the directory, in the agency’s log store, for the retention period the records schedule sets: the account itself is disposed of under the account-disposition rule (Chapter 08), and the evidence has to outlive it. Entra ID’s own retention is far shorter than any federal records schedule, and it isn’t retroactive: data that expired before it was exported can’t be recovered.</w:t>
      </w:r>
      <w:r>
        <w:rPr>
          <w:rStyle w:val="FootnoteReference"/>
        </w:rPr>
        <w:footnoteReference w:id="625"/>
      </w:r>
      <w:r>
        <w:t xml:space="preserve"> </w:t>
      </w:r>
      <w:r>
        <w:t xml:space="preserve">Route the audit, sign-in and provisioning logs to Azure Monitor, a storage account or the agency’s SIEM from the first day of the pilot,</w:t>
      </w:r>
      <w:r>
        <w:rPr>
          <w:rStyle w:val="FootnoteReference"/>
        </w:rPr>
        <w:footnoteReference w:id="626"/>
      </w:r>
      <w:r>
        <w:rPr>
          <w:rStyle w:val="FootnoteReference"/>
        </w:rPr>
        <w:footnoteReference w:id="627"/>
      </w:r>
      <w:r>
        <w:t xml:space="preserve"> </w:t>
      </w:r>
      <w:r>
        <w:t xml:space="preserve">and export entitlement-management audit events the same way.</w:t>
      </w:r>
      <w:r>
        <w:rPr>
          <w:rStyle w:val="FootnoteReference"/>
        </w:rPr>
        <w:footnoteReference w:id="628"/>
      </w:r>
    </w:p>
    <w:p>
      <w:pPr>
        <w:pStyle w:val="BodyText"/>
      </w:pPr>
      <w:r>
        <w:t xml:space="preserve">That retention is AU-11, which requires audit records to be kept for an organization-defined period to support after-the-fact investigations and records requirements; the unauthorized-write signal in the drift table supports the review of audit records for inappropriate or unusual activity that AU-6 requires.</w:t>
      </w:r>
      <w:r>
        <w:rPr>
          <w:rStyle w:val="FootnoteReference"/>
        </w:rPr>
        <w:footnoteReference w:id="630"/>
      </w:r>
    </w:p>
    <w:bookmarkEnd w:id="631"/>
    <w:bookmarkStart w:id="637" w:name="control-support-nist-sp-800-53-rev.-5"/>
    <w:p>
      <w:pPr>
        <w:pStyle w:val="Heading2"/>
      </w:pPr>
      <w:bookmarkStart w:id="887" w:name="_Toc00000887"/>
      <w:r>
        <w:t xml:space="preserve">Control support: NIST SP 800-53 Rev. 5</w:t>
      </w:r>
      <w:bookmarkEnd w:id="887"/>
    </w:p>
    <w:p>
      <w:pPr>
        <w:pStyle w:val="FirstParagraph"/>
      </w:pPr>
      <w:r>
        <w:t xml:space="preserve">The architecture implements mechanisms and produces evidence for these controls. It doesn’t satisfy any of them on its own: each also needs agency policy, organization-defined parameters, procedures, and assessment. The last column is what the agency still has to supply. Control text is from SP 800-53 Rev. 5, Release 5.2.0.</w:t>
      </w:r>
      <w:r>
        <w:rPr>
          <w:rStyle w:val="FootnoteReference"/>
        </w:rPr>
        <w:footnoteReference w:id="632"/>
      </w:r>
    </w:p>
    <w:p>
      <w:pPr>
        <w:pStyle w:val="TableCaption"/>
      </w:pPr>
      <w:r>
        <w:t xml:space="preserve">What the architecture contributes to account-management and personnel-security controls</w:t>
      </w:r>
    </w:p>
    <w:tbl>
      <w:tblPr>
        <w:tblStyle w:val="Table"/>
        <w:tblW w:type="pct" w:w="5000"/>
        <w:tblLayout w:type="fixed"/>
        <w:tblLook w:firstRow="1" w:lastRow="0" w:firstColumn="0" w:lastColumn="0" w:noHBand="0" w:noVBand="0" w:val="0020"/>
        <w:tblCaption w:val="What the architecture contributes to account-management and personnel-security controls"/>
      </w:tblPr>
      <w:tblGrid>
        <w:gridCol w:w="1980"/>
        <w:gridCol w:w="1980"/>
        <w:gridCol w:w="1980"/>
        <w:gridCol w:w="1980"/>
      </w:tblGrid>
      <w:tr>
        <w:trPr>
          <w:tblHeader w:val="on"/>
        </w:trPr>
        <w:tc>
          <w:tcPr/>
          <w:p>
            <w:pPr>
              <w:pStyle w:val="Compact"/>
            </w:pPr>
            <w:r>
              <w:t xml:space="preserve">Control</w:t>
            </w:r>
          </w:p>
        </w:tc>
        <w:tc>
          <w:tcPr/>
          <w:p>
            <w:pPr>
              <w:pStyle w:val="Compact"/>
            </w:pPr>
            <w:r>
              <w:t xml:space="preserve">Architecture contribution</w:t>
            </w:r>
          </w:p>
        </w:tc>
        <w:tc>
          <w:tcPr/>
          <w:p>
            <w:pPr>
              <w:pStyle w:val="Compact"/>
            </w:pPr>
            <w:r>
              <w:t xml:space="preserve">Evidence produced</w:t>
            </w:r>
          </w:p>
        </w:tc>
        <w:tc>
          <w:tcPr/>
          <w:p>
            <w:pPr>
              <w:pStyle w:val="Compact"/>
            </w:pPr>
            <w:r>
              <w:t xml:space="preserve">Residual requirements</w:t>
            </w:r>
          </w:p>
        </w:tc>
      </w:tr>
      <w:tr>
        <w:tc>
          <w:tcPr/>
          <w:p>
            <w:pPr>
              <w:pStyle w:val="Compact"/>
            </w:pPr>
            <w:r>
              <w:rPr>
                <w:b/>
                <w:bCs/>
              </w:rPr>
              <w:t xml:space="preserve">AC-2</w:t>
            </w:r>
            <w:r>
              <w:t xml:space="preserve"> </w:t>
            </w:r>
            <w:r>
              <w:t xml:space="preserve">Account Management</w:t>
            </w:r>
          </w:p>
        </w:tc>
        <w:tc>
          <w:tcPr/>
          <w:p>
            <w:pPr>
              <w:pStyle w:val="Compact"/>
            </w:pPr>
            <w:r>
              <w:t xml:space="preserve">Every account traces to a worker record; creation, change and disablement follow hire, transfer and separation events, which aligns account management with personnel termination and transfer (AC-2l); authorizations resolve to attribute, rule and record</w:t>
            </w:r>
          </w:p>
        </w:tc>
        <w:tc>
          <w:tcPr/>
          <w:p>
            <w:pPr>
              <w:pStyle w:val="Compact"/>
            </w:pPr>
            <w:r>
              <w:t xml:space="preserve">Provenance records, provisioning logs, rule definitions, access-review decisions</w:t>
            </w:r>
          </w:p>
        </w:tc>
        <w:tc>
          <w:tcPr/>
          <w:p>
            <w:pPr>
              <w:pStyle w:val="Compact"/>
            </w:pPr>
            <w:r>
              <w:t xml:space="preserve">Account types and conditions of membership; account managers; the organization-defined periods; accounts outside the HR population (non-person, emergency, shared)</w:t>
            </w:r>
          </w:p>
        </w:tc>
      </w:tr>
      <w:tr>
        <w:tc>
          <w:tcPr/>
          <w:p>
            <w:pPr>
              <w:pStyle w:val="Compact"/>
            </w:pPr>
            <w:r>
              <w:rPr>
                <w:b/>
                <w:bCs/>
              </w:rPr>
              <w:t xml:space="preserve">AC-2(1)</w:t>
            </w:r>
            <w:r>
              <w:t xml:space="preserve"> </w:t>
            </w:r>
            <w:r>
              <w:t xml:space="preserve">Automated System Account Management</w:t>
            </w:r>
          </w:p>
        </w:tc>
        <w:tc>
          <w:tcPr/>
          <w:p>
            <w:pPr>
              <w:pStyle w:val="Compact"/>
            </w:pPr>
            <w:r>
              <w:t xml:space="preserve">Provisioning and Lifecycle Workflows run the account lifecycle from effective-dated HR events</w:t>
            </w:r>
          </w:p>
        </w:tc>
        <w:tc>
          <w:tcPr/>
          <w:p>
            <w:pPr>
              <w:pStyle w:val="Compact"/>
            </w:pPr>
            <w:r>
              <w:t xml:space="preserve">Workflow run history, per task; provisioning logs</w:t>
            </w:r>
          </w:p>
        </w:tc>
        <w:tc>
          <w:tcPr/>
          <w:p>
            <w:pPr>
              <w:pStyle w:val="Compact"/>
            </w:pPr>
            <w:r>
              <w:t xml:space="preserve">Automation for applications not integrated with enterprise identity services</w:t>
            </w:r>
          </w:p>
        </w:tc>
      </w:tr>
      <w:tr>
        <w:tc>
          <w:tcPr/>
          <w:p>
            <w:pPr>
              <w:pStyle w:val="Compact"/>
            </w:pPr>
            <w:r>
              <w:rPr>
                <w:b/>
                <w:bCs/>
              </w:rPr>
              <w:t xml:space="preserve">PS-4</w:t>
            </w:r>
            <w:r>
              <w:t xml:space="preserve"> </w:t>
            </w:r>
            <w:r>
              <w:t xml:space="preserve">Personnel Termination</w:t>
            </w:r>
          </w:p>
        </w:tc>
        <w:tc>
          <w:tcPr/>
          <w:p>
            <w:pPr>
              <w:pStyle w:val="Compact"/>
            </w:pPr>
            <w:r>
              <w:t xml:space="preserve">The separation record starts the leaver sequence on the effective date; the block and the revocations are timestamped and reconciled</w:t>
            </w:r>
          </w:p>
        </w:tc>
        <w:tc>
          <w:tcPr/>
          <w:p>
            <w:pPr>
              <w:pStyle w:val="Compact"/>
            </w:pPr>
            <w:r>
              <w:t xml:space="preserve">Separation-to-block and separation-to-revocation intervals; CMS and Intune records; exceptions</w:t>
            </w:r>
          </w:p>
        </w:tc>
        <w:tc>
          <w:tcPr/>
          <w:p>
            <w:pPr>
              <w:pStyle w:val="Compact"/>
            </w:pPr>
            <w:r>
              <w:t xml:space="preserve">The organization-defined time period; exit interviews, retrieval of security-related property, and retained access to information the individual controlled (PS-4c–e); separations HR records late</w:t>
            </w:r>
          </w:p>
        </w:tc>
      </w:tr>
      <w:tr>
        <w:tc>
          <w:tcPr/>
          <w:p>
            <w:pPr>
              <w:pStyle w:val="Compact"/>
            </w:pPr>
            <w:r>
              <w:rPr>
                <w:b/>
                <w:bCs/>
              </w:rPr>
              <w:t xml:space="preserve">PS-5</w:t>
            </w:r>
            <w:r>
              <w:t xml:space="preserve"> </w:t>
            </w:r>
            <w:r>
              <w:t xml:space="preserve">Personnel Transfer</w:t>
            </w:r>
          </w:p>
        </w:tc>
        <w:tc>
          <w:tcPr/>
          <w:p>
            <w:pPr>
              <w:pStyle w:val="Compact"/>
            </w:pPr>
            <w:r>
              <w:t xml:space="preserve">The mover event re-derives access and starts a review of residual access</w:t>
            </w:r>
          </w:p>
        </w:tc>
        <w:tc>
          <w:tcPr/>
          <w:p>
            <w:pPr>
              <w:pStyle w:val="Compact"/>
            </w:pPr>
            <w:r>
              <w:t xml:space="preserve">Transfer-to-review interval; review decisions</w:t>
            </w:r>
          </w:p>
        </w:tc>
        <w:tc>
          <w:tcPr/>
          <w:p>
            <w:pPr>
              <w:pStyle w:val="Compact"/>
            </w:pPr>
            <w:r>
              <w:t xml:space="preserve">Review of logical and physical access needs; the organization-defined actions and time period; notification of the organization-defined personnel (PS-5d)</w:t>
            </w:r>
          </w:p>
        </w:tc>
      </w:tr>
      <w:tr>
        <w:tc>
          <w:tcPr/>
          <w:p>
            <w:pPr>
              <w:pStyle w:val="Compact"/>
            </w:pPr>
            <w:r>
              <w:rPr>
                <w:b/>
                <w:bCs/>
              </w:rPr>
              <w:t xml:space="preserve">IA-4</w:t>
            </w:r>
            <w:r>
              <w:t xml:space="preserve"> </w:t>
            </w:r>
            <w:r>
              <w:t xml:space="preserve">Identifier Management</w:t>
            </w:r>
          </w:p>
        </w:tc>
        <w:tc>
          <w:tcPr/>
          <w:p>
            <w:pPr>
              <w:pStyle w:val="Compact"/>
            </w:pPr>
            <w:r>
              <w:t xml:space="preserve">One enterprise person key with mapped source, affiliation and directory keys, preserved across rehire and conversion (Chapter 04); worker type available as the IA-4(4) status characteristic (contractor, foreign national, non-organizational user)</w:t>
            </w:r>
          </w:p>
        </w:tc>
        <w:tc>
          <w:tcPr/>
          <w:p>
            <w:pPr>
              <w:pStyle w:val="Compact"/>
            </w:pPr>
            <w:r>
              <w:t xml:space="preserve">Correlation coverage; identifier mapping records</w:t>
            </w:r>
          </w:p>
        </w:tc>
        <w:tc>
          <w:tcPr/>
          <w:p>
            <w:pPr>
              <w:pStyle w:val="Compact"/>
            </w:pPr>
            <w:r>
              <w:t xml:space="preserve">The identifier decision; authorization to assign identifiers; the reuse-prevention period; identifiers for non-person entities</w:t>
            </w:r>
          </w:p>
        </w:tc>
      </w:tr>
      <w:tr>
        <w:tc>
          <w:tcPr/>
          <w:p>
            <w:pPr>
              <w:pStyle w:val="Compact"/>
            </w:pPr>
            <w:r>
              <w:rPr>
                <w:b/>
                <w:bCs/>
              </w:rPr>
              <w:t xml:space="preserve">SI-12</w:t>
            </w:r>
            <w:r>
              <w:t xml:space="preserve"> </w:t>
            </w:r>
            <w:r>
              <w:t xml:space="preserve">Information Management and Retention</w:t>
            </w:r>
          </w:p>
        </w:tc>
        <w:tc>
          <w:tcPr/>
          <w:p>
            <w:pPr>
              <w:pStyle w:val="Compact"/>
            </w:pPr>
            <w:r>
              <w:t xml:space="preserve">Lineage for governed identity facts, from the HR record through middleware provenance to each consumer</w:t>
            </w:r>
          </w:p>
        </w:tc>
        <w:tc>
          <w:tcPr/>
          <w:p>
            <w:pPr>
              <w:pStyle w:val="Compact"/>
            </w:pPr>
            <w:r>
              <w:t xml:space="preserve">Provenance records retained in the agency’s log store</w:t>
            </w:r>
          </w:p>
        </w:tc>
        <w:tc>
          <w:tcPr/>
          <w:p>
            <w:pPr>
              <w:pStyle w:val="Compact"/>
            </w:pPr>
            <w:r>
              <w:t xml:space="preserve">Records schedules, legal holds, and disposition for each category of record; privacy requirements for workforce data</w:t>
            </w:r>
          </w:p>
        </w:tc>
      </w:tr>
    </w:tbl>
    <w:p>
      <w:pPr>
        <w:pStyle w:val="BodyText"/>
      </w:pPr>
      <w:r>
        <w:t xml:space="preserve">The agency’s full requirements mapping should separate binding authorities (OMB M-19-17,</w:t>
      </w:r>
      <w:r>
        <w:rPr>
          <w:rStyle w:val="FootnoteReference"/>
        </w:rPr>
        <w:footnoteReference w:id="633"/>
      </w:r>
      <w:r>
        <w:t xml:space="preserve"> </w:t>
      </w:r>
      <w:r>
        <w:t xml:space="preserve">FIPS 201-3,</w:t>
      </w:r>
      <w:r>
        <w:rPr>
          <w:rStyle w:val="FootnoteReference"/>
        </w:rPr>
        <w:footnoteReference w:id="634"/>
      </w:r>
      <w:r>
        <w:t xml:space="preserve"> </w:t>
      </w:r>
      <w:r>
        <w:t xml:space="preserve">the agency’s own policy) from implementation guidance (the FICAM Identity Lifecycle Management Playbook, which describes itself as best practice rather than policy,</w:t>
      </w:r>
      <w:r>
        <w:rPr>
          <w:rStyle w:val="FootnoteReference"/>
        </w:rPr>
        <w:footnoteReference w:id="635"/>
      </w:r>
      <w:r>
        <w:t xml:space="preserve"> </w:t>
      </w:r>
      <w:r>
        <w:t xml:space="preserve">and CISA’s Zero Trust Maturity Model</w:t>
      </w:r>
      <w:r>
        <w:rPr>
          <w:rStyle w:val="FootnoteReference"/>
        </w:rPr>
        <w:footnoteReference w:id="636"/>
      </w:r>
      <w:r>
        <w:t xml:space="preserve">), and record for each control the organization-defined parameters, inherited controls, residual procedures, evidence, and validation status. The compliance treatment of the same controls is in Federal Compliance Vol I Book 04.</w:t>
      </w:r>
    </w:p>
    <w:bookmarkEnd w:id="637"/>
    <w:bookmarkStart w:id="638" w:name="continue-the-book-10"/>
    <w:p>
      <w:pPr>
        <w:pStyle w:val="Heading2"/>
      </w:pPr>
      <w:bookmarkStart w:id="888" w:name="_Toc00000888"/>
      <w:r>
        <w:t xml:space="preserve">Continue the book</w:t>
      </w:r>
      <w:bookmarkEnd w:id="888"/>
    </w:p>
    <w:p>
      <w:pPr>
        <w:pStyle w:val="FirstParagraph"/>
      </w:pPr>
      <w:r>
        <w:t xml:space="preserve">← Previous: Chapter 10 — From Attributes to Access · Book index · Next: Chapter 12 — Execution Plan →</w:t>
      </w:r>
    </w:p>
    <w:bookmarkEnd w:id="638"/>
    <w:bookmarkEnd w:id="639"/>
    <w:bookmarkStart w:id="667" w:name="chapter-12-execution-plan"/>
    <w:p>
      <w:pPr>
        <w:pStyle w:val="Heading1"/>
      </w:pPr>
      <w:bookmarkStart w:id="889" w:name="_Toc00000889"/>
      <w:r>
        <w:t xml:space="preserve">Chapter 12 — Execution Plan</w:t>
      </w:r>
      <w:bookmarkEnd w:id="889"/>
    </w:p>
    <w:p>
      <w:pPr>
        <w:pStyle w:val="FirstParagraph"/>
      </w:pPr>
      <w:r>
        <w:rPr>
          <w:i/>
          <w:iCs/>
        </w:rPr>
        <w:t xml:space="preserve">Designate the source, prove the pipe, automate the lifecycle, then derive access.</w:t>
      </w:r>
    </w:p>
    <w:bookmarkStart w:id="640" w:name="in-this-chapter-11"/>
    <w:p>
      <w:pPr>
        <w:pStyle w:val="Heading2"/>
      </w:pPr>
      <w:bookmarkStart w:id="890" w:name="_Toc00000890"/>
      <w:r>
        <w:t xml:space="preserve">In this chapter</w:t>
      </w:r>
      <w:bookmarkEnd w:id="890"/>
    </w:p>
    <w:p>
      <w:pPr>
        <w:pStyle w:val="FirstParagraph"/>
      </w:pPr>
      <w:r>
        <w:t xml:space="preserve">The one phase model this site uses, 0 to 6, with each phase’s work and exit gate. The program at a glance. Roles. The open verification register.</w:t>
      </w:r>
    </w:p>
    <w:bookmarkEnd w:id="640"/>
    <w:bookmarkStart w:id="644" w:name="sequencing-principle"/>
    <w:p>
      <w:pPr>
        <w:pStyle w:val="Heading2"/>
      </w:pPr>
      <w:bookmarkStart w:id="891" w:name="_Toc00000891"/>
      <w:r>
        <w:t xml:space="preserve">Sequencing principle</w:t>
      </w:r>
      <w:bookmarkEnd w:id="891"/>
    </w:p>
    <w:p>
      <w:pPr>
        <w:pStyle w:val="FirstParagraph"/>
      </w:pPr>
      <w:r>
        <w:t xml:space="preserve">Each phase’s gate is the next phase’s precondition. The order isn’t optional: deriving access from attributes nobody has agreed to trust is how fragmented truth gets rebuilt with better tooling. One caveat governs the whole program: the source must be</w:t>
      </w:r>
      <w:r>
        <w:t xml:space="preserve"> </w:t>
      </w:r>
      <w:r>
        <w:rPr>
          <w:i/>
          <w:iCs/>
        </w:rPr>
        <w:t xml:space="preserve">correct</w:t>
      </w:r>
      <w:r>
        <w:t xml:space="preserve">, not just</w:t>
      </w:r>
      <w:r>
        <w:t xml:space="preserve"> </w:t>
      </w:r>
      <w:r>
        <w:rPr>
          <w:i/>
          <w:iCs/>
        </w:rPr>
        <w:t xml:space="preserve">designated</w:t>
      </w:r>
      <w:r>
        <w:t xml:space="preserve">. A drifted HR feed produces drifted access faster than any ticket queue could, so data quality at the source is Phase 1 work, not a later clean-up. A phase that can’t pass its gate stops the plan, not the standard.</w:t>
      </w:r>
    </w:p>
    <w:p>
      <w:pPr>
        <w:pStyle w:val="BodyText"/>
      </w:pPr>
      <w:r>
        <w:rPr>
          <w:b/>
          <w:bCs/>
        </w:rPr>
        <w:t xml:space="preserve">About the numbers in the gates.</w:t>
      </w:r>
      <w:r>
        <w:t xml:space="preserve"> </w:t>
      </w:r>
      <w:r>
        <w:t xml:space="preserve">Thresholds such as 99% correlation or</w:t>
      </w:r>
      <w:r>
        <w:t xml:space="preserve"> </w:t>
      </w:r>
      <w:r>
        <w:t xml:space="preserve">“zero missed leavers across a pay-period cycle”</w:t>
      </w:r>
      <w:r>
        <w:t xml:space="preserve"> </w:t>
      </w:r>
      <w:r>
        <w:t xml:space="preserve">are</w:t>
      </w:r>
      <w:r>
        <w:t xml:space="preserve"> </w:t>
      </w:r>
      <w:r>
        <w:rPr>
          <w:i/>
          <w:iCs/>
        </w:rPr>
        <w:t xml:space="preserve">proposed starting criteria</w:t>
      </w:r>
      <w:r>
        <w:t xml:space="preserve">, not federal requirements. The agency approves or replaces each one through its risk governance, and a risk-tiered threshold — tighter for privileged and high-impact populations — is usually more useful than one enterprise-wide number. Where a gate says</w:t>
      </w:r>
      <w:r>
        <w:t xml:space="preserve"> </w:t>
      </w:r>
      <w:r>
        <w:t xml:space="preserve">“risk-approved”</w:t>
      </w:r>
      <w:r>
        <w:t xml:space="preserve">, the agency sets the value.</w:t>
      </w:r>
    </w:p>
    <w:p>
      <w:pPr>
        <w:pStyle w:val="CaptionedFigure"/>
      </w:pPr>
      <w:r>
        <w:drawing>
          <wp:inline>
            <wp:extent cx="5334000" cy="1257444"/>
            <wp:effectExtent b="0" l="0" r="0" t="0"/>
            <wp:docPr descr="The phase model: seven phases, each gate the next phase’s precondition, timed to the agency’s Core HCM interconnection and its Entra ID migration." title="" id="642" name="Picture"/>
            <a:graphic>
              <a:graphicData uri="http://schemas.openxmlformats.org/drawingml/2006/picture">
                <pic:pic>
                  <pic:nvPicPr>
                    <pic:cNvPr descr="/home/runner/work/modernization-workbook/modernization-workbook/docs/images/diagrams/b03-hr-identity/png/ch12-phase-gates.png" id="643" name="Picture"/>
                    <pic:cNvPicPr>
                      <a:picLocks noChangeArrowheads="1" noChangeAspect="1"/>
                    </pic:cNvPicPr>
                  </pic:nvPicPr>
                  <pic:blipFill>
                    <a:blip r:embed="rId641"/>
                    <a:stretch>
                      <a:fillRect/>
                    </a:stretch>
                  </pic:blipFill>
                  <pic:spPr bwMode="auto">
                    <a:xfrm>
                      <a:off x="0" y="0"/>
                      <a:ext cx="5334000" cy="1257444"/>
                    </a:xfrm>
                    <a:prstGeom prst="rect">
                      <a:avLst/>
                    </a:prstGeom>
                    <a:noFill/>
                    <a:ln w="9525">
                      <a:noFill/>
                      <a:headEnd/>
                      <a:tailEnd/>
                    </a:ln>
                  </pic:spPr>
                </pic:pic>
              </a:graphicData>
            </a:graphic>
          </wp:inline>
        </w:drawing>
      </w:r>
    </w:p>
    <w:p>
      <w:pPr>
        <w:pStyle w:val="ImageCaption"/>
      </w:pPr>
      <w:r>
        <w:t xml:space="preserve">The phase model: seven phases, each gate the next phase’s precondition, timed to the agency’s Core HCM interconnection and its Entra ID migration.</w:t>
      </w:r>
    </w:p>
    <w:bookmarkEnd w:id="644"/>
    <w:bookmarkStart w:id="646" w:name="phase-0-program-alignment"/>
    <w:p>
      <w:pPr>
        <w:pStyle w:val="Heading2"/>
      </w:pPr>
      <w:bookmarkStart w:id="892" w:name="_Toc00000892"/>
      <w:r>
        <w:t xml:space="preserve">Phase 0 — Program alignment</w:t>
      </w:r>
      <w:bookmarkEnd w:id="892"/>
    </w:p>
    <w:p>
      <w:pPr>
        <w:pStyle w:val="FirstParagraph"/>
      </w:pPr>
      <w:r>
        <w:rPr>
          <w:i/>
          <w:iCs/>
        </w:rPr>
        <w:t xml:space="preserve">Directed by the Federal HR 2.0 memo’s preparation actions: executing it is compliance, not overhead (Chapter 03).</w:t>
      </w:r>
      <w:r>
        <w:rPr>
          <w:rStyle w:val="FootnoteReference"/>
        </w:rPr>
        <w:footnoteReference w:id="645"/>
      </w:r>
    </w:p>
    <w:p>
      <w:pPr>
        <w:pStyle w:val="Compact"/>
        <w:numPr>
          <w:ilvl w:val="0"/>
          <w:numId w:val="1042"/>
        </w:numPr>
      </w:pPr>
      <w:r>
        <w:t xml:space="preserve">Name the agency’s integrated project team point of contact (for CFO Act agencies, a full-time project manager) and the working-group points of contact.</w:t>
      </w:r>
    </w:p>
    <w:p>
      <w:pPr>
        <w:pStyle w:val="Compact"/>
        <w:numPr>
          <w:ilvl w:val="0"/>
          <w:numId w:val="1042"/>
        </w:numPr>
      </w:pPr>
      <w:r>
        <w:t xml:space="preserve">Inventory integration points, interfacing systems and data flows, and</w:t>
      </w:r>
      <w:r>
        <w:t xml:space="preserve"> </w:t>
      </w:r>
      <w:r>
        <w:rPr>
          <w:b/>
          <w:bCs/>
        </w:rPr>
        <w:t xml:space="preserve">name the HR-driven identity feed as one of them</w:t>
      </w:r>
      <w:r>
        <w:t xml:space="preserve"> </w:t>
      </w:r>
      <w:r>
        <w:t xml:space="preserve">— a new interconnection consumer, not an afterthought.</w:t>
      </w:r>
    </w:p>
    <w:p>
      <w:pPr>
        <w:pStyle w:val="Compact"/>
        <w:numPr>
          <w:ilvl w:val="0"/>
          <w:numId w:val="1042"/>
        </w:numPr>
      </w:pPr>
      <w:r>
        <w:t xml:space="preserve">In the agency’s Entra ID migration plan, name HR as the source for each population that moves, so the two migrations share one cutover schedule.</w:t>
      </w:r>
    </w:p>
    <w:p>
      <w:pPr>
        <w:pStyle w:val="Compact"/>
        <w:numPr>
          <w:ilvl w:val="0"/>
          <w:numId w:val="1042"/>
        </w:numPr>
      </w:pPr>
      <w:r>
        <w:t xml:space="preserve">Identify legacy identity-relevant data to retain, and define how to preserve what doesn’t migrate.</w:t>
      </w:r>
    </w:p>
    <w:p>
      <w:pPr>
        <w:pStyle w:val="Compact"/>
        <w:numPr>
          <w:ilvl w:val="0"/>
          <w:numId w:val="1042"/>
        </w:numPr>
      </w:pPr>
      <w:r>
        <w:t xml:space="preserve">Confirm the pause on any competing Core HCM modernization; the memo allows exceptions only from the OMB and OPM Directors.</w:t>
      </w:r>
    </w:p>
    <w:p>
      <w:pPr>
        <w:pStyle w:val="FirstParagraph"/>
      </w:pPr>
      <w:r>
        <w:rPr>
          <w:b/>
          <w:bCs/>
        </w:rPr>
        <w:t xml:space="preserve">Gate:</w:t>
      </w:r>
      <w:r>
        <w:t xml:space="preserve"> </w:t>
      </w:r>
      <w:r>
        <w:t xml:space="preserve">the integration-point inventory is signed by the ISSO and submitted to the agency’s HR 2.0 team, which sends the agency’s responses to OMB and OPM as the memo directs.</w:t>
      </w:r>
    </w:p>
    <w:bookmarkEnd w:id="646"/>
    <w:bookmarkStart w:id="647" w:name="phase-1-attribute-authority-and-schema"/>
    <w:p>
      <w:pPr>
        <w:pStyle w:val="Heading2"/>
      </w:pPr>
      <w:bookmarkStart w:id="893" w:name="_Toc00000893"/>
      <w:r>
        <w:t xml:space="preserve">Phase 1 — Attribute authority and schema</w:t>
      </w:r>
      <w:bookmarkEnd w:id="893"/>
    </w:p>
    <w:p>
      <w:pPr>
        <w:pStyle w:val="Compact"/>
        <w:numPr>
          <w:ilvl w:val="0"/>
          <w:numId w:val="1043"/>
        </w:numPr>
      </w:pPr>
      <w:r>
        <w:t xml:space="preserve">Record the enterprise identifier decision (Chapter 04): which key is the enterprise person key, and how source keys map to it.</w:t>
      </w:r>
    </w:p>
    <w:p>
      <w:pPr>
        <w:pStyle w:val="Compact"/>
        <w:numPr>
          <w:ilvl w:val="0"/>
          <w:numId w:val="1043"/>
        </w:numPr>
      </w:pPr>
      <w:r>
        <w:t xml:space="preserve">Build the standard-attribute crosswalk (Chapter 06): each OPM standard element an identity decision reads, mapped to the canonical model; and the nature-of-action trigger table (Chapter 08).</w:t>
      </w:r>
    </w:p>
    <w:p>
      <w:pPr>
        <w:pStyle w:val="Compact"/>
        <w:numPr>
          <w:ilvl w:val="0"/>
          <w:numId w:val="1043"/>
        </w:numPr>
      </w:pPr>
      <w:r>
        <w:t xml:space="preserve">Establish the privacy basis: routine use under the governing SORNs, the updated PIA, and the minimized attribute set (Appendix B).</w:t>
      </w:r>
    </w:p>
    <w:p>
      <w:pPr>
        <w:pStyle w:val="Compact"/>
        <w:numPr>
          <w:ilvl w:val="0"/>
          <w:numId w:val="1043"/>
        </w:numPr>
      </w:pPr>
      <w:r>
        <w:t xml:space="preserve">Decide the contractor and vendor source (Chapter 06): Core HCM contingent workers, the PIV sponsorship system, the agency’s contractor suitability register, or a combination with one authority per fact. Retire the COR spreadsheets as a source of truth.</w:t>
      </w:r>
    </w:p>
    <w:p>
      <w:pPr>
        <w:pStyle w:val="Compact"/>
        <w:numPr>
          <w:ilvl w:val="0"/>
          <w:numId w:val="1043"/>
        </w:numPr>
      </w:pPr>
      <w:r>
        <w:t xml:space="preserve">Sign the attribute authority map (Chapter 04): every attribute any access decision reads, its authoritative system, its derivation rule if derived, and its data-quality owner.</w:t>
      </w:r>
    </w:p>
    <w:p>
      <w:pPr>
        <w:pStyle w:val="Compact"/>
        <w:numPr>
          <w:ilvl w:val="0"/>
          <w:numId w:val="1043"/>
        </w:numPr>
      </w:pPr>
      <w:r>
        <w:t xml:space="preserve">Finalize the canonical schema (Chapter 06) against Oracle HCM field names, and validate the crosswalk against a sandbox extract. Confirm the extension-attribute carriers are free and in the provisioning apps’ target lists.</w:t>
      </w:r>
    </w:p>
    <w:p>
      <w:pPr>
        <w:pStyle w:val="Compact"/>
        <w:numPr>
          <w:ilvl w:val="0"/>
          <w:numId w:val="1043"/>
        </w:numPr>
      </w:pPr>
      <w:r>
        <w:t xml:space="preserve">Define the worker-type taxonomy (employee, contractor, intern, volunteer, vendor, external), each mapped to license, access ceiling and retention, and the code lists for the three access attributes.</w:t>
      </w:r>
    </w:p>
    <w:p>
      <w:pPr>
        <w:pStyle w:val="Compact"/>
        <w:numPr>
          <w:ilvl w:val="0"/>
          <w:numId w:val="1043"/>
        </w:numPr>
      </w:pPr>
      <w:r>
        <w:t xml:space="preserve">Define UPN and</w:t>
      </w:r>
      <w:r>
        <w:t xml:space="preserve"> </w:t>
      </w:r>
      <w:r>
        <w:rPr>
          <w:rStyle w:val="VerbatimChar"/>
        </w:rPr>
        <w:t xml:space="preserve">samAccountName</w:t>
      </w:r>
      <w:r>
        <w:t xml:space="preserve"> </w:t>
      </w:r>
      <w:r>
        <w:t xml:space="preserve">generation rules, OU placement rules for AD-landed users, and scoping filters: which HR records provision at all, including leave of absence, secondment and historical records.</w:t>
      </w:r>
    </w:p>
    <w:p>
      <w:pPr>
        <w:pStyle w:val="Compact"/>
        <w:numPr>
          <w:ilvl w:val="0"/>
          <w:numId w:val="1043"/>
        </w:numPr>
      </w:pPr>
      <w:r>
        <w:t xml:space="preserve">Baseline HR data against reality for worker type, organization, supervisor and status, and fix errors at the source. Populate</w:t>
      </w:r>
      <w:r>
        <w:t xml:space="preserve"> </w:t>
      </w:r>
      <w:r>
        <w:rPr>
          <w:rStyle w:val="VerbatimChar"/>
        </w:rPr>
        <w:t xml:space="preserve">employeeId</w:t>
      </w:r>
      <w:r>
        <w:t xml:space="preserve"> </w:t>
      </w:r>
      <w:r>
        <w:t xml:space="preserve">on existing accounts; flag every unmatched enabled account as an orphan candidate with an owner.</w:t>
      </w:r>
    </w:p>
    <w:p>
      <w:pPr>
        <w:pStyle w:val="Compact"/>
        <w:numPr>
          <w:ilvl w:val="0"/>
          <w:numId w:val="1043"/>
        </w:numPr>
      </w:pPr>
      <w:r>
        <w:t xml:space="preserve">Inventory the PIV issuing CAs’ CRL distribution points and sizes against Entra’s limits (Chapter 09).</w:t>
      </w:r>
    </w:p>
    <w:p>
      <w:pPr>
        <w:pStyle w:val="FirstParagraph"/>
      </w:pPr>
      <w:r>
        <w:rPr>
          <w:b/>
          <w:bCs/>
        </w:rPr>
        <w:t xml:space="preserve">Gate:</w:t>
      </w:r>
      <w:r>
        <w:t xml:space="preserve"> </w:t>
      </w:r>
      <w:r>
        <w:t xml:space="preserve">the identifier decision, authority map and schema are signed; correlation-key population meets the approved threshold on the pilot cohort (proposed starting point: at least 99%); every enabled account is correlated to a worker record or on a dated exception list.</w:t>
      </w:r>
    </w:p>
    <w:bookmarkEnd w:id="647"/>
    <w:bookmarkStart w:id="651" w:name="phase-2-pipeline-build-and-test"/>
    <w:p>
      <w:pPr>
        <w:pStyle w:val="Heading2"/>
      </w:pPr>
      <w:bookmarkStart w:id="894" w:name="_Toc00000894"/>
      <w:r>
        <w:t xml:space="preserve">Phase 2 — Pipeline build and test</w:t>
      </w:r>
      <w:bookmarkEnd w:id="894"/>
    </w:p>
    <w:p>
      <w:pPr>
        <w:pStyle w:val="Compact"/>
        <w:numPr>
          <w:ilvl w:val="0"/>
          <w:numId w:val="1044"/>
        </w:numPr>
      </w:pPr>
      <w:r>
        <w:t xml:space="preserve">Build the workforce identity service: source-boundary transformation, validation, sequencing, bounded retry, reconciliation, and provenance, hosted in-boundary (Chapter 05).</w:t>
      </w:r>
    </w:p>
    <w:p>
      <w:pPr>
        <w:pStyle w:val="Compact"/>
        <w:numPr>
          <w:ilvl w:val="0"/>
          <w:numId w:val="1044"/>
        </w:numPr>
      </w:pPr>
      <w:r>
        <w:t xml:space="preserve">Configure the API-driven provisioning apps and grant the client only the upload and provisioning-log permissions it needs, using the least-privileged option that fits the deployment (Chapter 05).</w:t>
      </w:r>
    </w:p>
    <w:p>
      <w:pPr>
        <w:pStyle w:val="Compact"/>
        <w:numPr>
          <w:ilvl w:val="0"/>
          <w:numId w:val="1044"/>
        </w:numPr>
      </w:pPr>
      <w:r>
        <w:t xml:space="preserve">Define the joiner, mover and leaver workflows and their triggers (Chapter 08), including the custom task extensions for device retirement and CMS revocation (Chapter 09). Lifecycle Workflows needs Entra ID Governance or Entra Suite licenses, and a custom task extension hands a step to a Logic App that calls the external system.</w:t>
      </w:r>
      <w:r>
        <w:rPr>
          <w:rStyle w:val="FootnoteReference"/>
        </w:rPr>
        <w:footnoteReference w:id="648"/>
      </w:r>
      <w:r>
        <w:rPr>
          <w:rStyle w:val="FootnoteReference"/>
        </w:rPr>
        <w:footnoteReference w:id="649"/>
      </w:r>
    </w:p>
    <w:p>
      <w:pPr>
        <w:pStyle w:val="Compact"/>
        <w:numPr>
          <w:ilvl w:val="0"/>
          <w:numId w:val="1044"/>
        </w:numPr>
      </w:pPr>
      <w:r>
        <w:t xml:space="preserve">Prove the chain end to end in a test tenant with canned feed payloads and a sandbox extract.</w:t>
      </w:r>
    </w:p>
    <w:p>
      <w:pPr>
        <w:pStyle w:val="Compact"/>
        <w:numPr>
          <w:ilvl w:val="0"/>
          <w:numId w:val="1044"/>
        </w:numPr>
      </w:pPr>
      <w:r>
        <w:t xml:space="preserve">Size the throttling envelope: batches of up to 50 operations per call, pacing to the stricter published rate limit, and the daily call budget against the tenant cap — 2,000 calls per 24 hours with Entra ID P1 or P2, 6,000 with Entra ID Governance, which at 50 operations a call is 300,000 records a day (Chapter 05).</w:t>
      </w:r>
      <w:r>
        <w:rPr>
          <w:rStyle w:val="FootnoteReference"/>
        </w:rPr>
        <w:footnoteReference w:id="650"/>
      </w:r>
    </w:p>
    <w:p>
      <w:pPr>
        <w:pStyle w:val="FirstParagraph"/>
      </w:pPr>
      <w:r>
        <w:rPr>
          <w:b/>
          <w:bCs/>
        </w:rPr>
        <w:t xml:space="preserve">Gate:</w:t>
      </w:r>
      <w:r>
        <w:t xml:space="preserve"> </w:t>
      </w:r>
      <w:r>
        <w:t xml:space="preserve">joiner, mover and leaver each run end to end in the test tenant with a provenance record and a workflow run; the leaver run includes a device retire and a test-CA certificate revocation.</w:t>
      </w:r>
    </w:p>
    <w:bookmarkEnd w:id="651"/>
    <w:bookmarkStart w:id="652" w:name="phase-3-hybrid-go-live-pilot"/>
    <w:p>
      <w:pPr>
        <w:pStyle w:val="Heading2"/>
      </w:pPr>
      <w:bookmarkStart w:id="895" w:name="_Toc00000895"/>
      <w:r>
        <w:t xml:space="preserve">Phase 3 — Hybrid go-live (pilot)</w:t>
      </w:r>
      <w:bookmarkEnd w:id="895"/>
    </w:p>
    <w:p>
      <w:pPr>
        <w:pStyle w:val="Compact"/>
        <w:numPr>
          <w:ilvl w:val="0"/>
          <w:numId w:val="1045"/>
        </w:numPr>
      </w:pPr>
      <w:r>
        <w:t xml:space="preserve">Deploy at least two provisioning agents under a gMSA with OU-scoped rights (Chapter 05) and map SCIM to AD attributes.</w:t>
      </w:r>
    </w:p>
    <w:p>
      <w:pPr>
        <w:pStyle w:val="Compact"/>
        <w:numPr>
          <w:ilvl w:val="0"/>
          <w:numId w:val="1045"/>
        </w:numPr>
      </w:pPr>
      <w:r>
        <w:t xml:space="preserve">Run the initial full sync with scoping filters; reconcile mismatches</w:t>
      </w:r>
      <w:r>
        <w:t xml:space="preserve"> </w:t>
      </w:r>
      <w:r>
        <w:rPr>
          <w:b/>
          <w:bCs/>
        </w:rPr>
        <w:t xml:space="preserve">before</w:t>
      </w:r>
      <w:r>
        <w:t xml:space="preserve"> </w:t>
      </w:r>
      <w:r>
        <w:t xml:space="preserve">enabling deltas. Enable delta feeds immediately after the initial sync, with monitoring and alerting.</w:t>
      </w:r>
    </w:p>
    <w:p>
      <w:pPr>
        <w:pStyle w:val="Compact"/>
        <w:numPr>
          <w:ilvl w:val="0"/>
          <w:numId w:val="1045"/>
        </w:numPr>
      </w:pPr>
      <w:r>
        <w:t xml:space="preserve">Run the pilot cohort in</w:t>
      </w:r>
      <w:r>
        <w:t xml:space="preserve"> </w:t>
      </w:r>
      <w:r>
        <w:rPr>
          <w:b/>
          <w:bCs/>
        </w:rPr>
        <w:t xml:space="preserve">shadow mode</w:t>
      </w:r>
      <w:r>
        <w:t xml:space="preserve"> </w:t>
      </w:r>
      <w:r>
        <w:t xml:space="preserve">first: the pipeline computes what it would do, and the output is compared with the directory’s actual state. Then let it act.</w:t>
      </w:r>
    </w:p>
    <w:p>
      <w:pPr>
        <w:pStyle w:val="FirstParagraph"/>
      </w:pPr>
      <w:r>
        <w:rPr>
          <w:b/>
          <w:bCs/>
        </w:rPr>
        <w:t xml:space="preserve">Gate:</w:t>
      </w:r>
      <w:r>
        <w:t xml:space="preserve"> </w:t>
      </w:r>
      <w:r>
        <w:t xml:space="preserve">the risk-approved observation period in which every pipeline-versus-directory difference is explained and fixed at the right end; a full joiner/mover/leaver cycle on the pilot cohort closes with evidence; zero unmatched-record creations.</w:t>
      </w:r>
    </w:p>
    <w:bookmarkEnd w:id="652"/>
    <w:bookmarkStart w:id="654" w:name="X25c74bcba0750231a7aafbe790166dda90a3f25"/>
    <w:p>
      <w:pPr>
        <w:pStyle w:val="Heading2"/>
      </w:pPr>
      <w:bookmarkStart w:id="896" w:name="_Toc00000896"/>
      <w:r>
        <w:t xml:space="preserve">Phase 4 — Lifecycle automation and attribute-derived access</w:t>
      </w:r>
      <w:bookmarkEnd w:id="896"/>
    </w:p>
    <w:p>
      <w:pPr>
        <w:pStyle w:val="Compact"/>
        <w:numPr>
          <w:ilvl w:val="0"/>
          <w:numId w:val="1046"/>
        </w:numPr>
      </w:pPr>
      <w:r>
        <w:t xml:space="preserve">Turn causation on for covered populations,</w:t>
      </w:r>
      <w:r>
        <w:t xml:space="preserve"> </w:t>
      </w:r>
      <w:r>
        <w:rPr>
          <w:b/>
          <w:bCs/>
        </w:rPr>
        <w:t xml:space="preserve">leaver first</w:t>
      </w:r>
      <w:r>
        <w:t xml:space="preserve">, because revocation is where the risk and the evidence value are. Measure the separation-to-block and separation-to-revocation intervals from day one (Chapter 11).</w:t>
      </w:r>
    </w:p>
    <w:p>
      <w:pPr>
        <w:pStyle w:val="Compact"/>
        <w:numPr>
          <w:ilvl w:val="0"/>
          <w:numId w:val="1046"/>
        </w:numPr>
      </w:pPr>
      <w:r>
        <w:t xml:space="preserve">Route exceptions (emergency terminations, litigation holds) through defined manual entries into the same workflows and the same evidence.</w:t>
      </w:r>
    </w:p>
    <w:p>
      <w:pPr>
        <w:pStyle w:val="Compact"/>
        <w:numPr>
          <w:ilvl w:val="0"/>
          <w:numId w:val="1046"/>
        </w:numPr>
      </w:pPr>
      <w:r>
        <w:t xml:space="preserve">Validate rehire and conversion matching against history before it acts.</w:t>
      </w:r>
    </w:p>
    <w:p>
      <w:pPr>
        <w:pStyle w:val="Compact"/>
        <w:numPr>
          <w:ilvl w:val="0"/>
          <w:numId w:val="1046"/>
        </w:numPr>
      </w:pPr>
      <w:r>
        <w:t xml:space="preserve">Convert hand-maintained groups to rules for dynamic membership, group by group, with a shadow comparison before each cutover (Chapter 10). Re-base access packages so approvals route to the supervisor of record: entitlement management’s</w:t>
      </w:r>
      <w:r>
        <w:t xml:space="preserve"> </w:t>
      </w:r>
      <w:r>
        <w:t xml:space="preserve">“Manager as approver”</w:t>
      </w:r>
      <w:r>
        <w:t xml:space="preserve"> </w:t>
      </w:r>
      <w:r>
        <w:t xml:space="preserve">reads the user’s</w:t>
      </w:r>
      <w:r>
        <w:t xml:space="preserve"> </w:t>
      </w:r>
      <w:r>
        <w:rPr>
          <w:rStyle w:val="VerbatimChar"/>
        </w:rPr>
        <w:t xml:space="preserve">manager</w:t>
      </w:r>
      <w:r>
        <w:t xml:space="preserve"> </w:t>
      </w:r>
      <w:r>
        <w:t xml:space="preserve">attribute, so the HR-written supervisor link becomes the approval route, with a fallback approver for users who have none.</w:t>
      </w:r>
      <w:r>
        <w:rPr>
          <w:rStyle w:val="FootnoteReference"/>
        </w:rPr>
        <w:footnoteReference w:id="653"/>
      </w:r>
    </w:p>
    <w:p>
      <w:pPr>
        <w:pStyle w:val="Compact"/>
        <w:numPr>
          <w:ilvl w:val="0"/>
          <w:numId w:val="1046"/>
        </w:numPr>
      </w:pPr>
      <w:r>
        <w:t xml:space="preserve">Inventory OU-bound policy for retirement in Phase 5.</w:t>
      </w:r>
    </w:p>
    <w:p>
      <w:pPr>
        <w:pStyle w:val="FirstParagraph"/>
      </w:pPr>
      <w:r>
        <w:rPr>
          <w:b/>
          <w:bCs/>
        </w:rPr>
        <w:t xml:space="preserve">Gate (proposed starting criteria):</w:t>
      </w:r>
      <w:r>
        <w:t xml:space="preserve"> </w:t>
      </w:r>
      <w:r>
        <w:t xml:space="preserve">zero missed leavers across a full pay-period cycle; separation-to-block within the approved threshold and separation-to-revocation measured in hours; day-one readiness demonstrated; the account-creation ticket queue retired for covered populations; for covered applications, every entitlement resolves to a rule, an attribute and a worker record; a test reorganization in HR propagates to groups and approvals with zero manual directory changes.</w:t>
      </w:r>
    </w:p>
    <w:bookmarkEnd w:id="654"/>
    <w:bookmarkStart w:id="655" w:name="phase-5-cutover-population-by-population"/>
    <w:p>
      <w:pPr>
        <w:pStyle w:val="Heading2"/>
      </w:pPr>
      <w:bookmarkStart w:id="897" w:name="_Toc00000897"/>
      <w:r>
        <w:t xml:space="preserve">Phase 5 — Cutover, population by population</w:t>
      </w:r>
      <w:bookmarkEnd w:id="897"/>
    </w:p>
    <w:p>
      <w:pPr>
        <w:pStyle w:val="FirstParagraph"/>
      </w:pPr>
      <w:r>
        <w:t xml:space="preserve">Each population cuts over to HR-driven identity as it moves to Entra ID, and the ticket path for account creation closes for it (Appendix C).</w:t>
      </w:r>
    </w:p>
    <w:p>
      <w:pPr>
        <w:pStyle w:val="Compact"/>
        <w:numPr>
          <w:ilvl w:val="0"/>
          <w:numId w:val="1047"/>
        </w:numPr>
      </w:pPr>
      <w:r>
        <w:t xml:space="preserve">Align the cutover with the agency’s Core HCM onboarding: the provisioning feed must be ready when the agency’s interconnections go live (Chapter 03).</w:t>
      </w:r>
    </w:p>
    <w:p>
      <w:pPr>
        <w:pStyle w:val="Compact"/>
        <w:numPr>
          <w:ilvl w:val="0"/>
          <w:numId w:val="1047"/>
        </w:numPr>
      </w:pPr>
      <w:r>
        <w:t xml:space="preserve">As populations become cloud-mastered, retarget their provisioning from the AD app to the Entra app — a configuration change per population, evidence-gated — with the AD leg dormant but intact until nothing remains synced.</w:t>
      </w:r>
    </w:p>
    <w:p>
      <w:pPr>
        <w:pStyle w:val="Compact"/>
        <w:numPr>
          <w:ilvl w:val="0"/>
          <w:numId w:val="1047"/>
        </w:numPr>
      </w:pPr>
      <w:r>
        <w:t xml:space="preserve">Retire OU-bound policy deliberately, and retire EHRI- and eOPF-shaped integrations as the program decommissions those systems, not before.</w:t>
      </w:r>
    </w:p>
    <w:p>
      <w:pPr>
        <w:pStyle w:val="FirstParagraph"/>
      </w:pPr>
      <w:r>
        <w:rPr>
          <w:b/>
          <w:bCs/>
        </w:rPr>
        <w:t xml:space="preserve">Gate:</w:t>
      </w:r>
      <w:r>
        <w:t xml:space="preserve"> </w:t>
      </w:r>
      <w:r>
        <w:t xml:space="preserve">cloud-mastered populations run the full lifecycle cloud-native with evidence; no AD writes for migrated populations; the rollback path tested once.</w:t>
      </w:r>
    </w:p>
    <w:bookmarkEnd w:id="655"/>
    <w:bookmarkStart w:id="656" w:name="phase-6-sustained-posture"/>
    <w:p>
      <w:pPr>
        <w:pStyle w:val="Heading2"/>
      </w:pPr>
      <w:bookmarkStart w:id="898" w:name="_Toc00000898"/>
      <w:r>
        <w:t xml:space="preserve">Phase 6 — Sustained posture</w:t>
      </w:r>
      <w:bookmarkEnd w:id="898"/>
    </w:p>
    <w:p>
      <w:pPr>
        <w:pStyle w:val="Compact"/>
        <w:numPr>
          <w:ilvl w:val="0"/>
          <w:numId w:val="1048"/>
        </w:numPr>
      </w:pPr>
      <w:r>
        <w:t xml:space="preserve">Drift detection runs continuously (Chapter 11); the six lifecycle metrics are reported on the ConMon cadence.</w:t>
      </w:r>
    </w:p>
    <w:p>
      <w:pPr>
        <w:pStyle w:val="Compact"/>
        <w:numPr>
          <w:ilvl w:val="0"/>
          <w:numId w:val="1048"/>
        </w:numPr>
      </w:pPr>
      <w:r>
        <w:t xml:space="preserve">Code lists, rules and workflows change only through change control, with the same shadow-then-act discipline.</w:t>
      </w:r>
    </w:p>
    <w:p>
      <w:pPr>
        <w:pStyle w:val="Compact"/>
        <w:numPr>
          <w:ilvl w:val="0"/>
          <w:numId w:val="1048"/>
        </w:numPr>
      </w:pPr>
      <w:r>
        <w:t xml:space="preserve">Annual re-validation of the authority map, the schema and the verification register.</w:t>
      </w:r>
    </w:p>
    <w:p>
      <w:pPr>
        <w:pStyle w:val="FirstParagraph"/>
      </w:pPr>
      <w:r>
        <w:rPr>
          <w:b/>
          <w:bCs/>
        </w:rPr>
        <w:t xml:space="preserve">Gate (recurring):</w:t>
      </w:r>
      <w:r>
        <w:t xml:space="preserve"> </w:t>
      </w:r>
      <w:r>
        <w:t xml:space="preserve">metrics within thresholds for each reporting period; every high-severity drift finding closed or on a dated plan.</w:t>
      </w:r>
    </w:p>
    <w:bookmarkEnd w:id="656"/>
    <w:bookmarkStart w:id="657" w:name="the-program-at-a-glance"/>
    <w:p>
      <w:pPr>
        <w:pStyle w:val="Heading2"/>
      </w:pPr>
      <w:bookmarkStart w:id="899" w:name="_Toc00000899"/>
      <w:r>
        <w:t xml:space="preserve">The program at a glance</w:t>
      </w:r>
      <w:bookmarkEnd w:id="899"/>
    </w:p>
    <w:p>
      <w:pPr>
        <w:pStyle w:val="TableCaption"/>
      </w:pPr>
      <w:r>
        <w:t xml:space="preserve">The phase model</w:t>
      </w:r>
    </w:p>
    <w:tbl>
      <w:tblPr>
        <w:tblStyle w:val="Table"/>
        <w:tblW w:type="pct" w:w="5000"/>
        <w:tblLayout w:type="fixed"/>
        <w:tblLook w:firstRow="1" w:lastRow="0" w:firstColumn="0" w:lastColumn="0" w:noHBand="0" w:noVBand="0" w:val="0020"/>
        <w:tblCaption w:val="The phase model"/>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0 — Program alignment</w:t>
            </w:r>
          </w:p>
        </w:tc>
        <w:tc>
          <w:tcPr/>
          <w:p>
            <w:pPr>
              <w:pStyle w:val="Compact"/>
            </w:pPr>
            <w:r>
              <w:t xml:space="preserve">Integration-point inventory; named points of contact</w:t>
            </w:r>
          </w:p>
        </w:tc>
        <w:tc>
          <w:tcPr/>
          <w:p>
            <w:pPr>
              <w:pStyle w:val="Compact"/>
            </w:pPr>
            <w:r>
              <w:t xml:space="preserve">Inventory signed and submitted</w:t>
            </w:r>
          </w:p>
        </w:tc>
      </w:tr>
      <w:tr>
        <w:tc>
          <w:tcPr/>
          <w:p>
            <w:pPr>
              <w:pStyle w:val="Compact"/>
            </w:pPr>
            <w:r>
              <w:t xml:space="preserve">1 — Attribute authority and schema</w:t>
            </w:r>
          </w:p>
        </w:tc>
        <w:tc>
          <w:tcPr/>
          <w:p>
            <w:pPr>
              <w:pStyle w:val="Compact"/>
            </w:pPr>
            <w:r>
              <w:t xml:space="preserve">Signed authority map and schema; source data fixed; correlation baseline</w:t>
            </w:r>
          </w:p>
        </w:tc>
        <w:tc>
          <w:tcPr/>
          <w:p>
            <w:pPr>
              <w:pStyle w:val="Compact"/>
            </w:pPr>
            <w:r>
              <w:t xml:space="preserve">Identifier decision recorded; risk-approved correlation threshold met on pilot; every enabled account correlated or excepted</w:t>
            </w:r>
          </w:p>
        </w:tc>
      </w:tr>
      <w:tr>
        <w:tc>
          <w:tcPr/>
          <w:p>
            <w:pPr>
              <w:pStyle w:val="Compact"/>
            </w:pPr>
            <w:r>
              <w:t xml:space="preserve">2 — Pipeline build and test</w:t>
            </w:r>
          </w:p>
        </w:tc>
        <w:tc>
          <w:tcPr/>
          <w:p>
            <w:pPr>
              <w:pStyle w:val="Compact"/>
            </w:pPr>
            <w:r>
              <w:t xml:space="preserve">Middleware, apps, workflows, extensions in a test tenant</w:t>
            </w:r>
          </w:p>
        </w:tc>
        <w:tc>
          <w:tcPr/>
          <w:p>
            <w:pPr>
              <w:pStyle w:val="Compact"/>
            </w:pPr>
            <w:r>
              <w:t xml:space="preserve">End-to-end J/M/L with evidence, including device and certificate steps</w:t>
            </w:r>
          </w:p>
        </w:tc>
      </w:tr>
      <w:tr>
        <w:tc>
          <w:tcPr/>
          <w:p>
            <w:pPr>
              <w:pStyle w:val="Compact"/>
            </w:pPr>
            <w:r>
              <w:t xml:space="preserve">3 — Hybrid go-live (pilot)</w:t>
            </w:r>
          </w:p>
        </w:tc>
        <w:tc>
          <w:tcPr/>
          <w:p>
            <w:pPr>
              <w:pStyle w:val="Compact"/>
            </w:pPr>
            <w:r>
              <w:t xml:space="preserve">Agents, initial sync, deltas, shadow mode</w:t>
            </w:r>
          </w:p>
        </w:tc>
        <w:tc>
          <w:tcPr/>
          <w:p>
            <w:pPr>
              <w:pStyle w:val="Compact"/>
            </w:pPr>
            <w:r>
              <w:t xml:space="preserve">Risk-approved observation period with explained differences; zero unmatched creations</w:t>
            </w:r>
          </w:p>
        </w:tc>
      </w:tr>
      <w:tr>
        <w:tc>
          <w:tcPr/>
          <w:p>
            <w:pPr>
              <w:pStyle w:val="Compact"/>
            </w:pPr>
            <w:r>
              <w:t xml:space="preserve">4 — Lifecycle automation and derived access</w:t>
            </w:r>
          </w:p>
        </w:tc>
        <w:tc>
          <w:tcPr/>
          <w:p>
            <w:pPr>
              <w:pStyle w:val="Compact"/>
            </w:pPr>
            <w:r>
              <w:t xml:space="preserve">Leaver-first automation; dynamic groups; re-based access packages</w:t>
            </w:r>
          </w:p>
        </w:tc>
        <w:tc>
          <w:tcPr/>
          <w:p>
            <w:pPr>
              <w:pStyle w:val="Compact"/>
            </w:pPr>
            <w:r>
              <w:t xml:space="preserve">Proposed: zero missed leavers; block within threshold; test reorganization with zero manual changes</w:t>
            </w:r>
          </w:p>
        </w:tc>
      </w:tr>
      <w:tr>
        <w:tc>
          <w:tcPr/>
          <w:p>
            <w:pPr>
              <w:pStyle w:val="Compact"/>
            </w:pPr>
            <w:r>
              <w:t xml:space="preserve">5 — Cutover to cloud-mastered</w:t>
            </w:r>
          </w:p>
        </w:tc>
        <w:tc>
          <w:tcPr/>
          <w:p>
            <w:pPr>
              <w:pStyle w:val="Compact"/>
            </w:pPr>
            <w:r>
              <w:t xml:space="preserve">Per-population retarget; OU policy retired</w:t>
            </w:r>
          </w:p>
        </w:tc>
        <w:tc>
          <w:tcPr/>
          <w:p>
            <w:pPr>
              <w:pStyle w:val="Compact"/>
            </w:pPr>
            <w:r>
              <w:t xml:space="preserve">Cloud-native lifecycle with evidence; rollback tested</w:t>
            </w:r>
          </w:p>
        </w:tc>
      </w:tr>
      <w:tr>
        <w:tc>
          <w:tcPr/>
          <w:p>
            <w:pPr>
              <w:pStyle w:val="Compact"/>
            </w:pPr>
            <w:r>
              <w:t xml:space="preserve">6 — Sustained posture</w:t>
            </w:r>
          </w:p>
        </w:tc>
        <w:tc>
          <w:tcPr/>
          <w:p>
            <w:pPr>
              <w:pStyle w:val="Compact"/>
            </w:pPr>
            <w:r>
              <w:t xml:space="preserve">Continuous drift detection and metrics</w:t>
            </w:r>
          </w:p>
        </w:tc>
        <w:tc>
          <w:tcPr/>
          <w:p>
            <w:pPr>
              <w:pStyle w:val="Compact"/>
            </w:pPr>
            <w:r>
              <w:t xml:space="preserve">Recurring thresholds met</w:t>
            </w:r>
          </w:p>
        </w:tc>
      </w:tr>
    </w:tbl>
    <w:p>
      <w:pPr>
        <w:pStyle w:val="BodyText"/>
      </w:pPr>
      <w:r>
        <w:t xml:space="preserve">Phases 1 and 2 produce no visible change for end users, which is exactly why estates skip them, automate against unverified data in month one, and spend year two explaining to an assessor why the automation deprovisioned a regional director.</w:t>
      </w:r>
    </w:p>
    <w:bookmarkEnd w:id="657"/>
    <w:bookmarkStart w:id="658" w:name="roles"/>
    <w:p>
      <w:pPr>
        <w:pStyle w:val="Heading2"/>
      </w:pPr>
      <w:bookmarkStart w:id="900" w:name="_Toc00000900"/>
      <w:r>
        <w:t xml:space="preserve">Roles</w:t>
      </w:r>
      <w:bookmarkEnd w:id="900"/>
    </w:p>
    <w:p>
      <w:pPr>
        <w:pStyle w:val="TableCaption"/>
      </w:pPr>
      <w:r>
        <w:t xml:space="preserve">Roles</w:t>
      </w:r>
    </w:p>
    <w:tbl>
      <w:tblPr>
        <w:tblStyle w:val="Table"/>
        <w:tblW w:type="pct" w:w="5000"/>
        <w:tblLayout w:type="fixed"/>
        <w:tblLook w:firstRow="1" w:lastRow="0" w:firstColumn="0" w:lastColumn="0" w:noHBand="0" w:noVBand="0" w:val="0020"/>
        <w:tblCaption w:val="Roles"/>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t xml:space="preserve">Agency HR 2.0 integrated project team point of contact</w:t>
            </w:r>
          </w:p>
        </w:tc>
        <w:tc>
          <w:tcPr/>
          <w:p>
            <w:pPr>
              <w:pStyle w:val="Compact"/>
            </w:pPr>
            <w:r>
              <w:t xml:space="preserve">Phase 0 actions, the interface inventory, the onboarding schedule</w:t>
            </w:r>
          </w:p>
        </w:tc>
      </w:tr>
      <w:tr>
        <w:tc>
          <w:tcPr/>
          <w:p>
            <w:pPr>
              <w:pStyle w:val="Compact"/>
            </w:pPr>
            <w:r>
              <w:t xml:space="preserve">Identity engineering</w:t>
            </w:r>
          </w:p>
        </w:tc>
        <w:tc>
          <w:tcPr/>
          <w:p>
            <w:pPr>
              <w:pStyle w:val="Compact"/>
            </w:pPr>
            <w:r>
              <w:t xml:space="preserve">Middleware, provisioning apps, agents, mappings, workflows, extensions</w:t>
            </w:r>
          </w:p>
        </w:tc>
      </w:tr>
      <w:tr>
        <w:tc>
          <w:tcPr/>
          <w:p>
            <w:pPr>
              <w:pStyle w:val="Compact"/>
            </w:pPr>
            <w:r>
              <w:t xml:space="preserve">Oracle HCM administrator</w:t>
            </w:r>
          </w:p>
        </w:tc>
        <w:tc>
          <w:tcPr/>
          <w:p>
            <w:pPr>
              <w:pStyle w:val="Compact"/>
            </w:pPr>
            <w:r>
              <w:t xml:space="preserve">Extracts, feed enablement, REST access, sandbox data</w:t>
            </w:r>
          </w:p>
        </w:tc>
      </w:tr>
      <w:tr>
        <w:tc>
          <w:tcPr/>
          <w:p>
            <w:pPr>
              <w:pStyle w:val="Compact"/>
            </w:pPr>
            <w:r>
              <w:t xml:space="preserve">PIV / credentialing office</w:t>
            </w:r>
          </w:p>
        </w:tc>
        <w:tc>
          <w:tcPr/>
          <w:p>
            <w:pPr>
              <w:pStyle w:val="Compact"/>
            </w:pPr>
            <w:r>
              <w:t xml:space="preserve">The CMS, issuance and revocation, the CMS side of the leaver extension</w:t>
            </w:r>
          </w:p>
        </w:tc>
      </w:tr>
      <w:tr>
        <w:tc>
          <w:tcPr/>
          <w:p>
            <w:pPr>
              <w:pStyle w:val="Compact"/>
            </w:pPr>
            <w:r>
              <w:t xml:space="preserve">Endpoint management</w:t>
            </w:r>
          </w:p>
        </w:tc>
        <w:tc>
          <w:tcPr/>
          <w:p>
            <w:pPr>
              <w:pStyle w:val="Compact"/>
            </w:pPr>
            <w:r>
              <w:t xml:space="preserve">Intune device actions and certificate profiles</w:t>
            </w:r>
          </w:p>
        </w:tc>
      </w:tr>
      <w:tr>
        <w:tc>
          <w:tcPr/>
          <w:p>
            <w:pPr>
              <w:pStyle w:val="Compact"/>
            </w:pPr>
            <w:r>
              <w:t xml:space="preserve">ISSO</w:t>
            </w:r>
          </w:p>
        </w:tc>
        <w:tc>
          <w:tcPr/>
          <w:p>
            <w:pPr>
              <w:pStyle w:val="Compact"/>
            </w:pPr>
            <w:r>
              <w:t xml:space="preserve">Phase gates, evidence review, the security assessment (Appendix B)</w:t>
            </w:r>
          </w:p>
        </w:tc>
      </w:tr>
      <w:tr>
        <w:tc>
          <w:tcPr/>
          <w:p>
            <w:pPr>
              <w:pStyle w:val="Compact"/>
            </w:pPr>
            <w:r>
              <w:t xml:space="preserve">Service desk</w:t>
            </w:r>
          </w:p>
        </w:tc>
        <w:tc>
          <w:tcPr/>
          <w:p>
            <w:pPr>
              <w:pStyle w:val="Compact"/>
            </w:pPr>
            <w:r>
              <w:t xml:space="preserve">Exceptions and failed-task follow-up</w:t>
            </w:r>
          </w:p>
        </w:tc>
      </w:tr>
    </w:tbl>
    <w:bookmarkEnd w:id="658"/>
    <w:bookmarkStart w:id="665" w:name="open-verification-register"/>
    <w:p>
      <w:pPr>
        <w:pStyle w:val="Heading2"/>
      </w:pPr>
      <w:bookmarkStart w:id="901" w:name="_Toc00000901"/>
      <w:r>
        <w:t xml:space="preserve">Open verification register</w:t>
      </w:r>
      <w:bookmarkEnd w:id="901"/>
    </w:p>
    <w:p>
      <w:pPr>
        <w:pStyle w:val="TableCaption"/>
      </w:pPr>
      <w:r>
        <w:t xml:space="preserve">Open verification register</w:t>
      </w:r>
    </w:p>
    <w:tbl>
      <w:tblPr>
        <w:tblStyle w:val="Table"/>
        <w:tblW w:type="pct" w:w="5000"/>
        <w:tblLayout w:type="fixed"/>
        <w:tblLook w:firstRow="1" w:lastRow="0" w:firstColumn="0" w:lastColumn="0" w:noHBand="0" w:noVBand="0" w:val="0020"/>
        <w:tblCaption w:val="Open verification register"/>
      </w:tblPr>
      <w:tblGrid>
        <w:gridCol w:w="2640"/>
        <w:gridCol w:w="2640"/>
        <w:gridCol w:w="2640"/>
      </w:tblGrid>
      <w:tr>
        <w:trPr>
          <w:tblHeader w:val="on"/>
        </w:trPr>
        <w:tc>
          <w:tcPr/>
          <w:p>
            <w:pPr>
              <w:pStyle w:val="Compact"/>
            </w:pPr>
            <w:r>
              <w:t xml:space="preserve">Item</w:t>
            </w:r>
          </w:p>
        </w:tc>
        <w:tc>
          <w:tcPr/>
          <w:p>
            <w:pPr>
              <w:pStyle w:val="Compact"/>
            </w:pPr>
            <w:r>
              <w:t xml:space="preserve">Why it matters</w:t>
            </w:r>
          </w:p>
        </w:tc>
        <w:tc>
          <w:tcPr/>
          <w:p>
            <w:pPr>
              <w:pStyle w:val="Compact"/>
            </w:pPr>
            <w:r>
              <w:t xml:space="preserve">Status</w:t>
            </w:r>
          </w:p>
        </w:tc>
      </w:tr>
      <w:tr>
        <w:tc>
          <w:tcPr/>
          <w:p>
            <w:pPr>
              <w:pStyle w:val="Compact"/>
            </w:pPr>
            <w:r>
              <w:t xml:space="preserve">Post-award interface requirements for Core HCM</w:t>
            </w:r>
          </w:p>
        </w:tc>
        <w:tc>
          <w:tcPr/>
          <w:p>
            <w:pPr>
              <w:pStyle w:val="Compact"/>
            </w:pPr>
            <w:r>
              <w:t xml:space="preserve">May constrain or enrich the feed contract</w:t>
            </w:r>
          </w:p>
        </w:tc>
        <w:tc>
          <w:tcPr/>
          <w:p>
            <w:pPr>
              <w:pStyle w:val="Compact"/>
            </w:pPr>
            <w:r>
              <w:t xml:space="preserve">Open; check at engagement time</w:t>
            </w:r>
          </w:p>
        </w:tc>
      </w:tr>
      <w:tr>
        <w:tc>
          <w:tcPr/>
          <w:p>
            <w:pPr>
              <w:pStyle w:val="Compact"/>
            </w:pPr>
            <w:r>
              <w:t xml:space="preserve">eOPF and EHRI decommission schedule</w:t>
            </w:r>
          </w:p>
        </w:tc>
        <w:tc>
          <w:tcPr/>
          <w:p>
            <w:pPr>
              <w:pStyle w:val="Compact"/>
            </w:pPr>
            <w:r>
              <w:t xml:space="preserve">Times the retirement of EHRI-shaped integrations</w:t>
            </w:r>
          </w:p>
        </w:tc>
        <w:tc>
          <w:tcPr/>
          <w:p>
            <w:pPr>
              <w:pStyle w:val="Compact"/>
            </w:pPr>
            <w:r>
              <w:t xml:space="preserve">Open; the memo says only that the Core HCM system will</w:t>
            </w:r>
            <w:r>
              <w:t xml:space="preserve"> </w:t>
            </w:r>
            <w:r>
              <w:t xml:space="preserve">“eventually”</w:t>
            </w:r>
            <w:r>
              <w:t xml:space="preserve"> </w:t>
            </w:r>
            <w:r>
              <w:t xml:space="preserve">make them redundant</w:t>
            </w:r>
            <w:r>
              <w:rPr>
                <w:rStyle w:val="FootnoteReference"/>
              </w:rPr>
              <w:footnoteReference w:id="659"/>
            </w:r>
          </w:p>
        </w:tc>
      </w:tr>
      <w:tr>
        <w:tc>
          <w:tcPr/>
          <w:p>
            <w:pPr>
              <w:pStyle w:val="Compact"/>
            </w:pPr>
            <w:r>
              <w:t xml:space="preserve">Native Oracle HCM connector for Entra</w:t>
            </w:r>
          </w:p>
        </w:tc>
        <w:tc>
          <w:tcPr/>
          <w:p>
            <w:pPr>
              <w:pStyle w:val="Compact"/>
            </w:pPr>
            <w:r>
              <w:t xml:space="preserve">Would become an optimization inside the architecture</w:t>
            </w:r>
          </w:p>
        </w:tc>
        <w:tc>
          <w:tcPr/>
          <w:p>
            <w:pPr>
              <w:pStyle w:val="Compact"/>
            </w:pPr>
            <w:r>
              <w:t xml:space="preserve">Watch</w:t>
            </w:r>
          </w:p>
        </w:tc>
      </w:tr>
      <w:tr>
        <w:tc>
          <w:tcPr/>
          <w:p>
            <w:pPr>
              <w:pStyle w:val="Compact"/>
            </w:pPr>
            <w:r>
              <w:t xml:space="preserve">Agency onboarding schedule movement</w:t>
            </w:r>
          </w:p>
        </w:tc>
        <w:tc>
          <w:tcPr/>
          <w:p>
            <w:pPr>
              <w:pStyle w:val="Compact"/>
            </w:pPr>
            <w:r>
              <w:t xml:space="preserve">The interconnection go-live is the deadline</w:t>
            </w:r>
          </w:p>
        </w:tc>
        <w:tc>
          <w:tcPr/>
          <w:p>
            <w:pPr>
              <w:pStyle w:val="Compact"/>
            </w:pPr>
            <w:r>
              <w:t xml:space="preserve">Watch program communications</w:t>
            </w:r>
          </w:p>
        </w:tc>
      </w:tr>
      <w:tr>
        <w:tc>
          <w:tcPr/>
          <w:p>
            <w:pPr>
              <w:pStyle w:val="Compact"/>
            </w:pPr>
            <w:r>
              <w:t xml:space="preserve">OPM standard data elements and codes used by the crosswalk</w:t>
            </w:r>
          </w:p>
        </w:tc>
        <w:tc>
          <w:tcPr/>
          <w:p>
            <w:pPr>
              <w:pStyle w:val="Compact"/>
            </w:pPr>
            <w:r>
              <w:t xml:space="preserve">The crosswalk’s contract (Chapter 06)</w:t>
            </w:r>
          </w:p>
        </w:tc>
        <w:tc>
          <w:tcPr/>
          <w:p>
            <w:pPr>
              <w:pStyle w:val="Compact"/>
            </w:pPr>
            <w:r>
              <w:t xml:space="preserve">Confirm against OPM’s current data standards and how Core HCM exposes them</w:t>
            </w:r>
          </w:p>
        </w:tc>
      </w:tr>
      <w:tr>
        <w:tc>
          <w:tcPr/>
          <w:p>
            <w:pPr>
              <w:pStyle w:val="Compact"/>
            </w:pPr>
            <w:r>
              <w:t xml:space="preserve">Whether the agency’s Core HCM configuration records contingent workers</w:t>
            </w:r>
          </w:p>
        </w:tc>
        <w:tc>
          <w:tcPr/>
          <w:p>
            <w:pPr>
              <w:pStyle w:val="Compact"/>
            </w:pPr>
            <w:r>
              <w:t xml:space="preserve">The contractor and vendor source decision (Chapter 06)</w:t>
            </w:r>
          </w:p>
        </w:tc>
        <w:tc>
          <w:tcPr/>
          <w:p>
            <w:pPr>
              <w:pStyle w:val="Compact"/>
            </w:pPr>
            <w:r>
              <w:t xml:space="preserve">Confirm with the HR 2.0 program</w:t>
            </w:r>
          </w:p>
        </w:tc>
      </w:tr>
      <w:tr>
        <w:tc>
          <w:tcPr/>
          <w:p>
            <w:pPr>
              <w:pStyle w:val="Compact"/>
            </w:pPr>
            <w:r>
              <w:t xml:space="preserve">Whether the contractor suitability register records engagement end dates and the enterprise person key</w:t>
            </w:r>
          </w:p>
        </w:tc>
        <w:tc>
          <w:tcPr/>
          <w:p>
            <w:pPr>
              <w:pStyle w:val="Compact"/>
            </w:pPr>
            <w:r>
              <w:t xml:space="preserve">Whether it can be the contractor leaver signal and join on one key (Chapter 06)</w:t>
            </w:r>
          </w:p>
        </w:tc>
        <w:tc>
          <w:tcPr/>
          <w:p>
            <w:pPr>
              <w:pStyle w:val="Compact"/>
            </w:pPr>
            <w:r>
              <w:t xml:space="preserve">Confirm with the register’s owner</w:t>
            </w:r>
          </w:p>
        </w:tc>
      </w:tr>
      <w:tr>
        <w:tc>
          <w:tcPr/>
          <w:p>
            <w:pPr>
              <w:pStyle w:val="Compact"/>
            </w:pPr>
            <w:r>
              <w:t xml:space="preserve">Nature-of-action families and codes</w:t>
            </w:r>
          </w:p>
        </w:tc>
        <w:tc>
          <w:tcPr/>
          <w:p>
            <w:pPr>
              <w:pStyle w:val="Compact"/>
            </w:pPr>
            <w:r>
              <w:t xml:space="preserve">The lifecycle trigger table (Chapter 08)</w:t>
            </w:r>
          </w:p>
        </w:tc>
        <w:tc>
          <w:tcPr/>
          <w:p>
            <w:pPr>
              <w:pStyle w:val="Compact"/>
            </w:pPr>
            <w:r>
              <w:t xml:space="preserve">Checked against the GPPA, October 2026 edition;</w:t>
            </w:r>
            <w:r>
              <w:rPr>
                <w:rStyle w:val="FootnoteReference"/>
              </w:rPr>
              <w:footnoteReference w:id="660"/>
            </w:r>
            <w:r>
              <w:t xml:space="preserve"> </w:t>
            </w:r>
            <w:r>
              <w:t xml:space="preserve">re-check at engagement time</w:t>
            </w:r>
          </w:p>
        </w:tc>
      </w:tr>
      <w:tr>
        <w:tc>
          <w:tcPr/>
          <w:p>
            <w:pPr>
              <w:pStyle w:val="Compact"/>
            </w:pPr>
            <w:r>
              <w:t xml:space="preserve">Routine use under the governing SORNs; PIA update</w:t>
            </w:r>
          </w:p>
        </w:tc>
        <w:tc>
          <w:tcPr/>
          <w:p>
            <w:pPr>
              <w:pStyle w:val="Compact"/>
            </w:pPr>
            <w:r>
              <w:t xml:space="preserve">The privacy basis for the feed (Appendix B)</w:t>
            </w:r>
          </w:p>
        </w:tc>
        <w:tc>
          <w:tcPr/>
          <w:p>
            <w:pPr>
              <w:pStyle w:val="Compact"/>
            </w:pPr>
            <w:r>
              <w:t xml:space="preserve">Confirm with the agency privacy office</w:t>
            </w:r>
          </w:p>
        </w:tc>
      </w:tr>
      <w:tr>
        <w:tc>
          <w:tcPr/>
          <w:p>
            <w:pPr>
              <w:pStyle w:val="Compact"/>
            </w:pPr>
            <w:r>
              <w:t xml:space="preserve">User source-of-authority transfer and Entra-to-AD provisioning in the tenant</w:t>
            </w:r>
          </w:p>
        </w:tc>
        <w:tc>
          <w:tcPr/>
          <w:p>
            <w:pPr>
              <w:pStyle w:val="Compact"/>
            </w:pPr>
            <w:r>
              <w:t xml:space="preserve">The target landing pattern (Chapter 05)</w:t>
            </w:r>
          </w:p>
        </w:tc>
        <w:tc>
          <w:tcPr/>
          <w:p>
            <w:pPr>
              <w:pStyle w:val="Compact"/>
            </w:pPr>
            <w:r>
              <w:t xml:space="preserve">Confirm availability and prerequisites in GCC</w:t>
            </w:r>
          </w:p>
        </w:tc>
      </w:tr>
      <w:tr>
        <w:tc>
          <w:tcPr/>
          <w:p>
            <w:pPr>
              <w:pStyle w:val="Compact"/>
            </w:pPr>
            <w:r>
              <w:t xml:space="preserve">Extension-attribute carriers free and mappable</w:t>
            </w:r>
          </w:p>
        </w:tc>
        <w:tc>
          <w:tcPr/>
          <w:p>
            <w:pPr>
              <w:pStyle w:val="Compact"/>
            </w:pPr>
            <w:r>
              <w:t xml:space="preserve">Phase 1 gate</w:t>
            </w:r>
          </w:p>
        </w:tc>
        <w:tc>
          <w:tcPr/>
          <w:p>
            <w:pPr>
              <w:pStyle w:val="Compact"/>
            </w:pPr>
            <w:r>
              <w:t xml:space="preserve">Check per tenant</w:t>
            </w:r>
          </w:p>
        </w:tc>
      </w:tr>
      <w:tr>
        <w:tc>
          <w:tcPr/>
          <w:p>
            <w:pPr>
              <w:pStyle w:val="Compact"/>
            </w:pPr>
            <w:r>
              <w:t xml:space="preserve">PIV issuing CA CRL sizes and delta CRLs</w:t>
            </w:r>
          </w:p>
        </w:tc>
        <w:tc>
          <w:tcPr/>
          <w:p>
            <w:pPr>
              <w:pStyle w:val="Compact"/>
            </w:pPr>
            <w:r>
              <w:t xml:space="preserve">Revocation latency and CBA availability (Chapter 09)</w:t>
            </w:r>
          </w:p>
        </w:tc>
        <w:tc>
          <w:tcPr/>
          <w:p>
            <w:pPr>
              <w:pStyle w:val="Compact"/>
            </w:pPr>
            <w:r>
              <w:t xml:space="preserve">Check per issuing CA</w:t>
            </w:r>
          </w:p>
        </w:tc>
      </w:tr>
      <w:tr>
        <w:tc>
          <w:tcPr/>
          <w:p>
            <w:pPr>
              <w:pStyle w:val="Compact"/>
            </w:pPr>
            <w:r>
              <w:rPr>
                <w:strike/>
              </w:rPr>
              <w:t xml:space="preserve">GCC availability of API-driven provisioning and Lifecycle Workflows</w:t>
            </w:r>
          </w:p>
        </w:tc>
        <w:tc>
          <w:tcPr/>
          <w:p>
            <w:pPr>
              <w:pStyle w:val="Compact"/>
            </w:pPr>
            <w:r>
              <w:t xml:space="preserve">Licensing and the Phase 2 gate</w:t>
            </w:r>
          </w:p>
        </w:tc>
        <w:tc>
          <w:tcPr/>
          <w:p>
            <w:pPr>
              <w:pStyle w:val="Compact"/>
            </w:pPr>
            <w:r>
              <w:rPr>
                <w:b/>
                <w:bCs/>
              </w:rPr>
              <w:t xml:space="preserve">Closed.</w:t>
            </w:r>
            <w:r>
              <w:t xml:space="preserve"> </w:t>
            </w:r>
            <w:r>
              <w:t xml:space="preserve">Microsoft Entra ID Governance for Government is available in GCC, GCC High and DoD;</w:t>
            </w:r>
            <w:r>
              <w:rPr>
                <w:rStyle w:val="FootnoteReference"/>
              </w:rPr>
              <w:footnoteReference w:id="661"/>
            </w:r>
            <w:r>
              <w:t xml:space="preserve"> </w:t>
            </w:r>
            <w:r>
              <w:t xml:space="preserve">Microsoft lists API-driven inbound provisioning as available to US Government tenants;</w:t>
            </w:r>
            <w:r>
              <w:rPr>
                <w:rStyle w:val="FootnoteReference"/>
              </w:rPr>
              <w:footnoteReference w:id="662"/>
            </w:r>
            <w:r>
              <w:t xml:space="preserve"> </w:t>
            </w:r>
            <w:r>
              <w:t xml:space="preserve">GCC tenants run in Azure Global, the worldwide Entra service.</w:t>
            </w:r>
            <w:r>
              <w:rPr>
                <w:rStyle w:val="FootnoteReference"/>
              </w:rPr>
              <w:footnoteReference w:id="664"/>
            </w:r>
            <w:r>
              <w:t xml:space="preserve"> </w:t>
            </w:r>
            <w:r>
              <w:t xml:space="preserve">Confirm licenses in-tenant as usual</w:t>
            </w:r>
          </w:p>
        </w:tc>
      </w:tr>
    </w:tbl>
    <w:bookmarkEnd w:id="665"/>
    <w:bookmarkStart w:id="666" w:name="continue-the-book-11"/>
    <w:p>
      <w:pPr>
        <w:pStyle w:val="Heading2"/>
      </w:pPr>
      <w:bookmarkStart w:id="902" w:name="_Toc00000902"/>
      <w:r>
        <w:t xml:space="preserve">Continue the book</w:t>
      </w:r>
      <w:bookmarkEnd w:id="902"/>
    </w:p>
    <w:p>
      <w:pPr>
        <w:pStyle w:val="FirstParagraph"/>
      </w:pPr>
      <w:r>
        <w:t xml:space="preserve">← Previous: Chapter 11 — Drift, Metrics and Evidence · Book index · Next: Chapter 13 — Reference Deployment (Illustrative) →</w:t>
      </w:r>
    </w:p>
    <w:bookmarkEnd w:id="666"/>
    <w:bookmarkEnd w:id="667"/>
    <w:bookmarkStart w:id="686" w:name="Xba4f15bf8ee8e837f5cf55a62ebec29aa5eb488"/>
    <w:p>
      <w:pPr>
        <w:pStyle w:val="Heading1"/>
      </w:pPr>
      <w:bookmarkStart w:id="903" w:name="_Toc00000903"/>
      <w:r>
        <w:t xml:space="preserve">Chapter 13 — Reference Deployment (Illustrative)</w:t>
      </w:r>
      <w:bookmarkEnd w:id="903"/>
    </w:p>
    <w:p>
      <w:pPr>
        <w:pStyle w:val="FirstParagraph"/>
      </w:pPr>
      <w:r>
        <w:rPr>
          <w:i/>
          <w:iCs/>
        </w:rPr>
        <w:t xml:space="preserve">What the book looks like when one agency runs it end to end.</w:t>
      </w:r>
    </w:p>
    <w:bookmarkStart w:id="668" w:name="in-this-chapter-12"/>
    <w:p>
      <w:pPr>
        <w:pStyle w:val="Heading2"/>
      </w:pPr>
      <w:bookmarkStart w:id="904" w:name="_Toc00000904"/>
      <w:r>
        <w:t xml:space="preserve">In this chapter</w:t>
      </w:r>
      <w:bookmarkEnd w:id="904"/>
    </w:p>
    <w:p>
      <w:pPr>
        <w:pStyle w:val="FirstParagraph"/>
      </w:pPr>
      <w:r>
        <w:t xml:space="preserve">The agency archetype and its starting estate. What each phase of Chapter 12 does and typically finds. The evidence package. What survives the engagement.</w:t>
      </w:r>
    </w:p>
    <w:bookmarkEnd w:id="668"/>
    <w:bookmarkStart w:id="669" w:name="illustrative-not-an-engagement-record"/>
    <w:p>
      <w:pPr>
        <w:pStyle w:val="Heading2"/>
      </w:pPr>
      <w:bookmarkStart w:id="905" w:name="_Toc00000905"/>
      <w:r>
        <w:t xml:space="preserve">Illustrative, not an engagement record</w:t>
      </w:r>
      <w:bookmarkEnd w:id="905"/>
    </w:p>
    <w:p>
      <w:pPr>
        <w:pStyle w:val="FirstParagraph"/>
      </w:pPr>
      <w:r>
        <w:t xml:space="preserve">This chapter is a pattern. The agency, the numbers and the findings are representative, not drawn from a specific engagement, and there are no agency identifiers, contractor names or dates in it. Replace the prose with measured values when real, releasable engagement material exists.</w:t>
      </w:r>
    </w:p>
    <w:bookmarkEnd w:id="669"/>
    <w:bookmarkStart w:id="679" w:name="the-agency"/>
    <w:p>
      <w:pPr>
        <w:pStyle w:val="Heading2"/>
      </w:pPr>
      <w:bookmarkStart w:id="906" w:name="_Toc00000906"/>
      <w:r>
        <w:t xml:space="preserve">The agency</w:t>
      </w:r>
      <w:bookmarkEnd w:id="906"/>
    </w:p>
    <w:p>
      <w:pPr>
        <w:pStyle w:val="FirstParagraph"/>
      </w:pPr>
      <w:r>
        <w:t xml:space="preserve">A federal civilian agency of about fifty thousand employees and several thousand active contractors, in Federal HR 2.0 Wave 2 — the agencies that transition to the Core HCM platform in FY 2027</w:t>
      </w:r>
      <w:r>
        <w:rPr>
          <w:rStyle w:val="FootnoteReference"/>
        </w:rPr>
        <w:footnoteReference w:id="670"/>
      </w:r>
      <w:r>
        <w:t xml:space="preserve"> </w:t>
      </w:r>
      <w:r>
        <w:t xml:space="preserve">— with a Microsoft 365 GCC tenant, which Microsoft documents as meeting FedRAMP Moderate and pairs with Entra ID in Azure’s commercial cloud.</w:t>
      </w:r>
      <w:r>
        <w:rPr>
          <w:rStyle w:val="FootnoteReference"/>
        </w:rPr>
        <w:footnoteReference w:id="671"/>
      </w:r>
      <w:r>
        <w:rPr>
          <w:rStyle w:val="FootnoteReference"/>
        </w:rPr>
        <w:footnoteReference w:id="672"/>
      </w:r>
    </w:p>
    <w:p>
      <w:pPr>
        <w:pStyle w:val="BodyText"/>
      </w:pPr>
      <w:r>
        <w:t xml:space="preserve">Its HR data exchange today is typical:</w:t>
      </w:r>
    </w:p>
    <w:p>
      <w:pPr>
        <w:pStyle w:val="Compact"/>
        <w:numPr>
          <w:ilvl w:val="0"/>
          <w:numId w:val="1049"/>
        </w:numPr>
      </w:pPr>
      <w:r>
        <w:t xml:space="preserve">The HR system of record is run by a legacy HR shared service provider, under that provider’s interconnection agreements. The agency is the data steward but doesn’t own the exchange contract. That system is scheduled to be replaced by the Core HCM platform during the agency’s wave (Chapter 03).</w:t>
      </w:r>
    </w:p>
    <w:p>
      <w:pPr>
        <w:pStyle w:val="Compact"/>
        <w:numPr>
          <w:ilvl w:val="0"/>
          <w:numId w:val="1049"/>
        </w:numPr>
      </w:pPr>
      <w:r>
        <w:t xml:space="preserve">USA Staffing, OPM’s talent acquisition and onboarding system, is the upstream hire trigger; new-hire data flows from USA Staffing to the HR system of record.</w:t>
      </w:r>
      <w:r>
        <w:rPr>
          <w:rStyle w:val="FootnoteReference"/>
        </w:rPr>
        <w:footnoteReference w:id="674"/>
      </w:r>
    </w:p>
    <w:p>
      <w:pPr>
        <w:pStyle w:val="Compact"/>
        <w:numPr>
          <w:ilvl w:val="0"/>
          <w:numId w:val="1049"/>
        </w:numPr>
      </w:pPr>
      <w:r>
        <w:t xml:space="preserve">PIV cards are issued through a shared-service PIV issuer and its card management system.</w:t>
      </w:r>
    </w:p>
    <w:p>
      <w:pPr>
        <w:pStyle w:val="Compact"/>
        <w:numPr>
          <w:ilvl w:val="0"/>
          <w:numId w:val="1049"/>
        </w:numPr>
      </w:pPr>
      <w:r>
        <w:t xml:space="preserve">Several thousand contractors are tracked in COR spreadsheets: a sponsor, a contract number and an end date per person, kept current by hand.</w:t>
      </w:r>
    </w:p>
    <w:p>
      <w:pPr>
        <w:pStyle w:val="Compact"/>
        <w:numPr>
          <w:ilvl w:val="0"/>
          <w:numId w:val="1049"/>
        </w:numPr>
      </w:pPr>
      <w:r>
        <w:t xml:space="preserve">There is no HR-driven provisioning. Accounts are created, changed and disabled from tickets and email; organizational assignments are handled by hand; there’s no drift detection between HR and the directories and no provisioning evidence.</w:t>
      </w:r>
    </w:p>
    <w:p>
      <w:pPr>
        <w:pStyle w:val="Compact"/>
        <w:numPr>
          <w:ilvl w:val="0"/>
          <w:numId w:val="1049"/>
        </w:numPr>
      </w:pPr>
      <w:r>
        <w:t xml:space="preserve">The agency is planning its move from Active Directory to Entra ID at the same time as its Core HCM onboarding.</w:t>
      </w:r>
    </w:p>
    <w:p>
      <w:pPr>
        <w:pStyle w:val="Compact"/>
        <w:numPr>
          <w:ilvl w:val="0"/>
          <w:numId w:val="1049"/>
        </w:numPr>
      </w:pPr>
      <w:r>
        <w:t xml:space="preserve">About two-thirds of users are still mastered in on-premises AD.</w:t>
      </w:r>
    </w:p>
    <w:p>
      <w:pPr>
        <w:pStyle w:val="CaptionedFigure"/>
      </w:pPr>
      <w:r>
        <w:drawing>
          <wp:inline>
            <wp:extent cx="5334000" cy="2541931"/>
            <wp:effectExtent b="0" l="0" r="0" t="0"/>
            <wp:docPr descr="The illustrative agency before and after: tickets as the only channel from HR to IT become one governed path from Core HCM standard attributes to Entra ID, with Active Directory only where still needed." title="" id="677" name="Picture"/>
            <a:graphic>
              <a:graphicData uri="http://schemas.openxmlformats.org/drawingml/2006/picture">
                <pic:pic>
                  <pic:nvPicPr>
                    <pic:cNvPr descr="/home/runner/work/modernization-workbook/modernization-workbook/docs/images/diagrams/b03-hr-identity/png/ch13-reference-estate.png" id="678" name="Picture"/>
                    <pic:cNvPicPr>
                      <a:picLocks noChangeArrowheads="1" noChangeAspect="1"/>
                    </pic:cNvPicPr>
                  </pic:nvPicPr>
                  <pic:blipFill>
                    <a:blip r:embed="rId676"/>
                    <a:stretch>
                      <a:fillRect/>
                    </a:stretch>
                  </pic:blipFill>
                  <pic:spPr bwMode="auto">
                    <a:xfrm>
                      <a:off x="0" y="0"/>
                      <a:ext cx="5334000" cy="2541931"/>
                    </a:xfrm>
                    <a:prstGeom prst="rect">
                      <a:avLst/>
                    </a:prstGeom>
                    <a:noFill/>
                    <a:ln w="9525">
                      <a:noFill/>
                      <a:headEnd/>
                      <a:tailEnd/>
                    </a:ln>
                  </pic:spPr>
                </pic:pic>
              </a:graphicData>
            </a:graphic>
          </wp:inline>
        </w:drawing>
      </w:r>
    </w:p>
    <w:p>
      <w:pPr>
        <w:pStyle w:val="ImageCaption"/>
      </w:pPr>
      <w:r>
        <w:t xml:space="preserve">The illustrative agency before and after: tickets as the only channel from HR to IT become one governed path from Core HCM standard attributes to Entra ID, with Active Directory only where still needed.</w:t>
      </w:r>
    </w:p>
    <w:bookmarkEnd w:id="679"/>
    <w:bookmarkStart w:id="680" w:name="phase-by-phase"/>
    <w:p>
      <w:pPr>
        <w:pStyle w:val="Heading2"/>
      </w:pPr>
      <w:bookmarkStart w:id="907" w:name="_Toc00000907"/>
      <w:r>
        <w:t xml:space="preserve">Phase by phase</w:t>
      </w:r>
      <w:bookmarkEnd w:id="907"/>
    </w:p>
    <w:p>
      <w:pPr>
        <w:pStyle w:val="FirstParagraph"/>
      </w:pPr>
      <w:r>
        <w:rPr>
          <w:b/>
          <w:bCs/>
        </w:rPr>
        <w:t xml:space="preserve">Phase 0 — Program alignment.</w:t>
      </w:r>
      <w:r>
        <w:t xml:space="preserve"> </w:t>
      </w:r>
      <w:r>
        <w:t xml:space="preserve">The integrated project team inventories integration points. The identity provisioning feed is listed alongside payroll and benefits, with the Core HCM interconnection go-live as its deadline.</w:t>
      </w:r>
    </w:p>
    <w:p>
      <w:pPr>
        <w:pStyle w:val="BodyText"/>
      </w:pPr>
      <w:r>
        <w:rPr>
          <w:b/>
          <w:bCs/>
        </w:rPr>
        <w:t xml:space="preserve">Phase 1 — Attribute authority and schema.</w:t>
      </w:r>
      <w:r>
        <w:t xml:space="preserve"> </w:t>
      </w:r>
      <w:r>
        <w:t xml:space="preserve">The authority map and the canonical schema (Chapter 06) are signed. Code lists for organization, worker type and position category are agreed with HR. The correlation baseline finds the usual problems: a few percent of enabled accounts with no</w:t>
      </w:r>
      <w:r>
        <w:t xml:space="preserve"> </w:t>
      </w:r>
      <w:r>
        <w:rPr>
          <w:rStyle w:val="VerbatimChar"/>
        </w:rPr>
        <w:t xml:space="preserve">employeeId</w:t>
      </w:r>
      <w:r>
        <w:t xml:space="preserve">, duplicate identities from contractor-to-employee conversions, and service accounts sitting in user OUs. Each gets an owner and a date.</w:t>
      </w:r>
    </w:p>
    <w:p>
      <w:pPr>
        <w:pStyle w:val="BodyText"/>
      </w:pPr>
      <w:r>
        <w:rPr>
          <w:b/>
          <w:bCs/>
        </w:rPr>
        <w:t xml:space="preserve">Phase 2 — Pipeline build and test.</w:t>
      </w:r>
      <w:r>
        <w:t xml:space="preserve"> </w:t>
      </w:r>
      <w:r>
        <w:t xml:space="preserve">The middleware is built against extracts from the current HR system</w:t>
      </w:r>
      <w:r>
        <w:t xml:space="preserve"> </w:t>
      </w:r>
      <w:r>
        <w:rPr>
          <w:i/>
          <w:iCs/>
        </w:rPr>
        <w:t xml:space="preserve">and</w:t>
      </w:r>
      <w:r>
        <w:t xml:space="preserve"> </w:t>
      </w:r>
      <w:r>
        <w:t xml:space="preserve">sandbox extracts from Core HCM, because the source will change mid-program. Only the source contract and boundary transformation differ; the governed identity model and downstream lifecycle policy remain stable. The leaver workflow’s custom task extensions retire a test device and revoke a test certificate in the test tenant.</w:t>
      </w:r>
    </w:p>
    <w:p>
      <w:pPr>
        <w:pStyle w:val="BodyText"/>
      </w:pPr>
      <w:r>
        <w:rPr>
          <w:b/>
          <w:bCs/>
        </w:rPr>
        <w:t xml:space="preserve">Phase 3 — Hybrid go-live (pilot).</w:t>
      </w:r>
      <w:r>
        <w:t xml:space="preserve"> </w:t>
      </w:r>
      <w:r>
        <w:t xml:space="preserve">Two provisioning agents go in. Thirty days of shadow mode surface the differences between what HR says and what AD holds: stale departments, managers who left years ago, and accounts created by ticket for hires HR had already cancelled. Once every difference is explained, the ticket path for account creation closes for the pilot population (Appendix C).</w:t>
      </w:r>
    </w:p>
    <w:p>
      <w:pPr>
        <w:pStyle w:val="BodyText"/>
      </w:pPr>
      <w:r>
        <w:rPr>
          <w:b/>
          <w:bCs/>
        </w:rPr>
        <w:t xml:space="preserve">Phase 4 — Lifecycle automation and derived access.</w:t>
      </w:r>
      <w:r>
        <w:t xml:space="preserve"> </w:t>
      </w:r>
      <w:r>
        <w:t xml:space="preserve">Leaver automation goes first. In the first month the drift report shows a burst of high-severity findings: separated workers whose accounts the manual process hadn’t reached, and orphan accounts left by years of ticket-driven account creation that the HR-driven pipeline can now see (Chapter 11). Each high-severity finding blocks the dependent provisioning action until it’s resolved. Dynamic groups replace hand-maintained ones application by application; a test reorganization in HR moves a division’s access with no directory edits.</w:t>
      </w:r>
    </w:p>
    <w:p>
      <w:pPr>
        <w:pStyle w:val="BodyText"/>
      </w:pPr>
      <w:r>
        <w:rPr>
          <w:b/>
          <w:bCs/>
        </w:rPr>
        <w:t xml:space="preserve">Phase 5 — Cutover to cloud-mastered.</w:t>
      </w:r>
      <w:r>
        <w:t xml:space="preserve"> </w:t>
      </w:r>
      <w:r>
        <w:t xml:space="preserve">As the agency’s Core HCM interconnection goes live, the source contract and boundary transformation switch source. New hires land cloud-mastered in Entra ID directly; existing AD-mastered populations follow per population as their dependencies on AD retire.</w:t>
      </w:r>
    </w:p>
    <w:p>
      <w:pPr>
        <w:pStyle w:val="BodyText"/>
      </w:pPr>
      <w:r>
        <w:rPr>
          <w:b/>
          <w:bCs/>
        </w:rPr>
        <w:t xml:space="preserve">Phase 6 — Sustained posture.</w:t>
      </w:r>
      <w:r>
        <w:t xml:space="preserve"> </w:t>
      </w:r>
      <w:r>
        <w:t xml:space="preserve">The six lifecycle metrics go into the monthly ConMon report. The separation-to-revocation interval, measured for the first time, becomes a number the agency can defend.</w:t>
      </w:r>
    </w:p>
    <w:bookmarkEnd w:id="680"/>
    <w:bookmarkStart w:id="682" w:name="the-evidence-package"/>
    <w:p>
      <w:pPr>
        <w:pStyle w:val="Heading2"/>
      </w:pPr>
      <w:bookmarkStart w:id="908" w:name="_Toc00000908"/>
      <w:r>
        <w:t xml:space="preserve">The evidence package</w:t>
      </w:r>
      <w:bookmarkEnd w:id="908"/>
    </w:p>
    <w:p>
      <w:pPr>
        <w:pStyle w:val="FirstParagraph"/>
      </w:pPr>
      <w:r>
        <w:t xml:space="preserve">At any point after Phase 2, the agency can hand an assessor:</w:t>
      </w:r>
    </w:p>
    <w:p>
      <w:pPr>
        <w:pStyle w:val="Compact"/>
        <w:numPr>
          <w:ilvl w:val="0"/>
          <w:numId w:val="1050"/>
        </w:numPr>
      </w:pPr>
      <w:r>
        <w:t xml:space="preserve">the signed attribute authority map, canonical schema and code lists;</w:t>
      </w:r>
    </w:p>
    <w:p>
      <w:pPr>
        <w:pStyle w:val="Compact"/>
        <w:numPr>
          <w:ilvl w:val="0"/>
          <w:numId w:val="1050"/>
        </w:numPr>
      </w:pPr>
      <w:r>
        <w:t xml:space="preserve">the source-contract, transformation, and workforce identity service configuration, under change control;</w:t>
      </w:r>
    </w:p>
    <w:p>
      <w:pPr>
        <w:pStyle w:val="Compact"/>
        <w:numPr>
          <w:ilvl w:val="0"/>
          <w:numId w:val="1050"/>
        </w:numPr>
      </w:pPr>
      <w:r>
        <w:t xml:space="preserve">the provenance records and provisioning logs for every HR event in the period;</w:t>
      </w:r>
    </w:p>
    <w:p>
      <w:pPr>
        <w:pStyle w:val="Compact"/>
        <w:numPr>
          <w:ilvl w:val="0"/>
          <w:numId w:val="1050"/>
        </w:numPr>
      </w:pPr>
      <w:r>
        <w:t xml:space="preserve">Lifecycle Workflows run history, including the device and CMS steps for every leaver;</w:t>
      </w:r>
      <w:r>
        <w:rPr>
          <w:rStyle w:val="FootnoteReference"/>
        </w:rPr>
        <w:footnoteReference w:id="681"/>
      </w:r>
    </w:p>
    <w:p>
      <w:pPr>
        <w:pStyle w:val="Compact"/>
        <w:numPr>
          <w:ilvl w:val="0"/>
          <w:numId w:val="1050"/>
        </w:numPr>
      </w:pPr>
      <w:r>
        <w:t xml:space="preserve">drift findings with severity, class and remediation;</w:t>
      </w:r>
    </w:p>
    <w:p>
      <w:pPr>
        <w:pStyle w:val="Compact"/>
        <w:numPr>
          <w:ilvl w:val="0"/>
          <w:numId w:val="1050"/>
        </w:numPr>
      </w:pPr>
      <w:r>
        <w:t xml:space="preserve">the six lifecycle metrics for the period.</w:t>
      </w:r>
    </w:p>
    <w:p>
      <w:pPr>
        <w:pStyle w:val="FirstParagraph"/>
      </w:pPr>
      <w:r>
        <w:t xml:space="preserve">It’s produced by operating the pipeline, not assembled before the assessment.</w:t>
      </w:r>
    </w:p>
    <w:bookmarkEnd w:id="682"/>
    <w:bookmarkStart w:id="683" w:name="what-survives-the-engagement"/>
    <w:p>
      <w:pPr>
        <w:pStyle w:val="Heading2"/>
      </w:pPr>
      <w:bookmarkStart w:id="909" w:name="_Toc00000909"/>
      <w:r>
        <w:t xml:space="preserve">What survives the engagement</w:t>
      </w:r>
      <w:bookmarkEnd w:id="909"/>
    </w:p>
    <w:p>
      <w:pPr>
        <w:pStyle w:val="FirstParagraph"/>
      </w:pPr>
      <w:r>
        <w:t xml:space="preserve">The schema, the code lists, the workflows, the rules and the evidence belong to the agency, not to whichever integrator delivered the work. The next assessment reads the same records; the Core HCM cutover connects a new source contract to the same governed identity model; the next reorganization is a set of mover events against the same pipeline.</w:t>
      </w:r>
    </w:p>
    <w:bookmarkEnd w:id="683"/>
    <w:bookmarkStart w:id="684" w:name="companion"/>
    <w:p>
      <w:pPr>
        <w:pStyle w:val="Heading2"/>
      </w:pPr>
      <w:bookmarkStart w:id="910" w:name="_Toc00000910"/>
      <w:r>
        <w:t xml:space="preserve">Companion</w:t>
      </w:r>
      <w:bookmarkEnd w:id="910"/>
    </w:p>
    <w:p>
      <w:pPr>
        <w:pStyle w:val="FirstParagraph"/>
      </w:pPr>
      <w:r>
        <w:t xml:space="preserve">Book 02 — Identity &amp; Directory, and in particular Chapter 09 — Building the Entra ID Target, covers directory migration, the companion dimension to inbound provisioning. An agency usually runs both programs at once.</w:t>
      </w:r>
    </w:p>
    <w:bookmarkEnd w:id="684"/>
    <w:bookmarkStart w:id="685" w:name="continue-the-book-12"/>
    <w:p>
      <w:pPr>
        <w:pStyle w:val="Heading2"/>
      </w:pPr>
      <w:bookmarkStart w:id="911" w:name="_Toc00000911"/>
      <w:r>
        <w:t xml:space="preserve">Continue the book</w:t>
      </w:r>
      <w:bookmarkEnd w:id="911"/>
    </w:p>
    <w:p>
      <w:pPr>
        <w:pStyle w:val="FirstParagraph"/>
      </w:pPr>
      <w:r>
        <w:t xml:space="preserve">← Previous: Chapter 12 — Execution Plan · Book index · Next: Appendix A — Lifecycle Rules →</w:t>
      </w:r>
    </w:p>
    <w:bookmarkEnd w:id="685"/>
    <w:bookmarkEnd w:id="686"/>
    <w:bookmarkStart w:id="707" w:name="appendix-a-lifecycle-rules"/>
    <w:p>
      <w:pPr>
        <w:pStyle w:val="Heading1"/>
      </w:pPr>
      <w:bookmarkStart w:id="912" w:name="_Toc00000912"/>
      <w:r>
        <w:t xml:space="preserve">Appendix A — Lifecycle Rules</w:t>
      </w:r>
      <w:bookmarkEnd w:id="912"/>
    </w:p>
    <w:p>
      <w:pPr>
        <w:pStyle w:val="FirstParagraph"/>
      </w:pPr>
      <w:r>
        <w:rPr>
          <w:i/>
          <w:iCs/>
        </w:rPr>
        <w:t xml:space="preserve">Automation is only as safe as the rules for the cases nobody planned for.</w:t>
      </w:r>
    </w:p>
    <w:bookmarkStart w:id="687" w:name="in-this-appendix"/>
    <w:p>
      <w:pPr>
        <w:pStyle w:val="Heading2"/>
      </w:pPr>
      <w:bookmarkStart w:id="913" w:name="_Toc00000913"/>
      <w:r>
        <w:t xml:space="preserve">In this appendix</w:t>
      </w:r>
      <w:bookmarkEnd w:id="913"/>
    </w:p>
    <w:p>
      <w:pPr>
        <w:pStyle w:val="FirstParagraph"/>
      </w:pPr>
      <w:r>
        <w:t xml:space="preserve">Which records are in scope. Why leave is not a leaver. What wins when two events land together. Rescinded offers, cancellations and partial leavers. The quarantine contract. Manager links, rehire and conversion.</w:t>
      </w:r>
    </w:p>
    <w:bookmarkEnd w:id="687"/>
    <w:bookmarkStart w:id="689" w:name="scope"/>
    <w:p>
      <w:pPr>
        <w:pStyle w:val="Heading2"/>
      </w:pPr>
      <w:bookmarkStart w:id="914" w:name="_Toc00000914"/>
      <w:r>
        <w:t xml:space="preserve">Scope</w:t>
      </w:r>
      <w:bookmarkEnd w:id="914"/>
    </w:p>
    <w:p>
      <w:pPr>
        <w:pStyle w:val="FirstParagraph"/>
      </w:pPr>
      <w:r>
        <w:t xml:space="preserve">A scope filter decides which HR records provision at all. Write it down, version it, and treat a change to it as a change to access policy:</w:t>
      </w:r>
    </w:p>
    <w:p>
      <w:pPr>
        <w:pStyle w:val="Compact"/>
        <w:numPr>
          <w:ilvl w:val="0"/>
          <w:numId w:val="1051"/>
        </w:numPr>
      </w:pPr>
      <w:r>
        <w:rPr>
          <w:b/>
          <w:bCs/>
        </w:rPr>
        <w:t xml:space="preserve">Included:</w:t>
      </w:r>
      <w:r>
        <w:t xml:space="preserve"> </w:t>
      </w:r>
      <w:r>
        <w:t xml:space="preserve">covered worker types in an active, pre-hire or leave status, within a lookahead limit for future-dated hires.</w:t>
      </w:r>
    </w:p>
    <w:p>
      <w:pPr>
        <w:pStyle w:val="Compact"/>
        <w:numPr>
          <w:ilvl w:val="0"/>
          <w:numId w:val="1051"/>
        </w:numPr>
      </w:pPr>
      <w:r>
        <w:rPr>
          <w:b/>
          <w:bCs/>
        </w:rPr>
        <w:t xml:space="preserve">Excluded:</w:t>
      </w:r>
      <w:r>
        <w:t xml:space="preserve"> </w:t>
      </w:r>
      <w:r>
        <w:t xml:space="preserve">test and training records, historical records, populations without an approved lifecycle owner, and named individuals on a governed exclusion list with a reason and an expiry.</w:t>
      </w:r>
    </w:p>
    <w:p>
      <w:pPr>
        <w:pStyle w:val="Compact"/>
        <w:numPr>
          <w:ilvl w:val="0"/>
          <w:numId w:val="1051"/>
        </w:numPr>
      </w:pPr>
      <w:r>
        <w:rPr>
          <w:b/>
          <w:bCs/>
        </w:rPr>
        <w:t xml:space="preserve">Every exclusion leaves evidence:</w:t>
      </w:r>
      <w:r>
        <w:t xml:space="preserve"> </w:t>
      </w:r>
      <w:r>
        <w:t xml:space="preserve">the record, the rule that excluded it, and the version of the filter in force. A record that silently fails to provision is a missing identity (Chapter 11).</w:t>
      </w:r>
    </w:p>
    <w:p>
      <w:pPr>
        <w:pStyle w:val="Compact"/>
        <w:numPr>
          <w:ilvl w:val="0"/>
          <w:numId w:val="1051"/>
        </w:numPr>
      </w:pPr>
      <w:r>
        <w:rPr>
          <w:b/>
          <w:bCs/>
        </w:rPr>
        <w:t xml:space="preserve">The directory-side filter matches the middleware filter.</w:t>
      </w:r>
      <w:r>
        <w:t xml:space="preserve"> </w:t>
      </w:r>
      <w:r>
        <w:t xml:space="preserve">The API-driven provisioning app applies its own scoping filter rules to every record it receives,</w:t>
      </w:r>
      <w:r>
        <w:rPr>
          <w:rStyle w:val="FootnoteReference"/>
        </w:rPr>
        <w:footnoteReference w:id="688"/>
      </w:r>
      <w:r>
        <w:t xml:space="preserve"> </w:t>
      </w:r>
      <w:r>
        <w:t xml:space="preserve">so if Entra provisioning scoping and the middleware disagree, the difference is drift.</w:t>
      </w:r>
    </w:p>
    <w:bookmarkEnd w:id="689"/>
    <w:bookmarkStart w:id="692" w:name="leave-is-not-a-leaver"/>
    <w:p>
      <w:pPr>
        <w:pStyle w:val="Heading2"/>
      </w:pPr>
      <w:bookmarkStart w:id="915" w:name="_Toc00000915"/>
      <w:r>
        <w:t xml:space="preserve">Leave is not a leaver</w:t>
      </w:r>
      <w:bookmarkEnd w:id="915"/>
    </w:p>
    <w:p>
      <w:pPr>
        <w:pStyle w:val="FirstParagraph"/>
      </w:pPr>
      <w:r>
        <w:t xml:space="preserve">Furlough, leave without pay, suspension and similar nonpay or nonduty statuses (the 4xx nature-of-action family, Chapter 08 — for example 450 Suspension, 460 LWOP, 471 and 472 Furlough) keep the person.</w:t>
      </w:r>
      <w:r>
        <w:rPr>
          <w:rStyle w:val="FootnoteReference"/>
        </w:rPr>
        <w:footnoteReference w:id="690"/>
      </w:r>
      <w:r>
        <w:t xml:space="preserve"> </w:t>
      </w:r>
      <w:r>
        <w:t xml:space="preserve">The account stays, a status is stamped, and policy — Conditional Access, access packages — restricts what it can do. Return to duty (the 2xx family) lifts the restrictions.</w:t>
      </w:r>
      <w:r>
        <w:rPr>
          <w:rStyle w:val="FootnoteReference"/>
        </w:rPr>
        <w:footnoteReference w:id="691"/>
      </w:r>
      <w:r>
        <w:t xml:space="preserve"> </w:t>
      </w:r>
      <w:r>
        <w:t xml:space="preserve">Details and secondments are movers, not leavers. Treating any of these as a separation locks out people who are still employed and destroys their access history.</w:t>
      </w:r>
    </w:p>
    <w:bookmarkEnd w:id="692"/>
    <w:bookmarkStart w:id="696" w:name="precedence"/>
    <w:p>
      <w:pPr>
        <w:pStyle w:val="Heading2"/>
      </w:pPr>
      <w:bookmarkStart w:id="916" w:name="_Toc00000916"/>
      <w:r>
        <w:t xml:space="preserve">Precedence</w:t>
      </w:r>
      <w:bookmarkEnd w:id="916"/>
    </w:p>
    <w:p>
      <w:pPr>
        <w:pStyle w:val="FirstParagraph"/>
      </w:pPr>
      <w:r>
        <w:t xml:space="preserve">When two personnel actions for one person land in the same processing cycle, order them by effective date and then apply these rules:</w:t>
      </w:r>
    </w:p>
    <w:p>
      <w:pPr>
        <w:pStyle w:val="CaptionedFigure"/>
      </w:pPr>
      <w:r>
        <w:drawing>
          <wp:inline>
            <wp:extent cx="3025658" cy="4844883"/>
            <wp:effectExtent b="0" l="0" r="0" t="0"/>
            <wp:docPr descr="Event precedence: a separation wins; a worker-type change is applied before a mover; nonpay status restricts but never disables as a leaver; corrections and cancellations re-derive from the corrected record." title="" id="694" name="Picture"/>
            <a:graphic>
              <a:graphicData uri="http://schemas.openxmlformats.org/drawingml/2006/picture">
                <pic:pic>
                  <pic:nvPicPr>
                    <pic:cNvPr descr="/home/runner/work/modernization-workbook/modernization-workbook/docs/images/diagrams/b03-hr-identity/png/appa-event-precedence.png" id="695" name="Picture"/>
                    <pic:cNvPicPr>
                      <a:picLocks noChangeArrowheads="1" noChangeAspect="1"/>
                    </pic:cNvPicPr>
                  </pic:nvPicPr>
                  <pic:blipFill>
                    <a:blip r:embed="rId693"/>
                    <a:stretch>
                      <a:fillRect/>
                    </a:stretch>
                  </pic:blipFill>
                  <pic:spPr bwMode="auto">
                    <a:xfrm>
                      <a:off x="0" y="0"/>
                      <a:ext cx="3025658" cy="4844883"/>
                    </a:xfrm>
                    <a:prstGeom prst="rect">
                      <a:avLst/>
                    </a:prstGeom>
                    <a:noFill/>
                    <a:ln w="9525">
                      <a:noFill/>
                      <a:headEnd/>
                      <a:tailEnd/>
                    </a:ln>
                  </pic:spPr>
                </pic:pic>
              </a:graphicData>
            </a:graphic>
          </wp:inline>
        </w:drawing>
      </w:r>
    </w:p>
    <w:p>
      <w:pPr>
        <w:pStyle w:val="ImageCaption"/>
      </w:pPr>
      <w:r>
        <w:t xml:space="preserve">Event precedence: a separation wins; a worker-type change is applied before a mover; nonpay status restricts but never disables as a leaver; corrections and cancellations re-derive from the corrected record.</w:t>
      </w:r>
    </w:p>
    <w:bookmarkEnd w:id="696"/>
    <w:bookmarkStart w:id="698" w:name="rescinded-offers-and-cancellations"/>
    <w:p>
      <w:pPr>
        <w:pStyle w:val="Heading2"/>
      </w:pPr>
      <w:bookmarkStart w:id="917" w:name="_Toc00000917"/>
      <w:r>
        <w:t xml:space="preserve">Rescinded offers and cancellations</w:t>
      </w:r>
      <w:bookmarkEnd w:id="917"/>
    </w:p>
    <w:p>
      <w:pPr>
        <w:pStyle w:val="Compact"/>
        <w:numPr>
          <w:ilvl w:val="0"/>
          <w:numId w:val="1052"/>
        </w:numPr>
      </w:pPr>
      <w:r>
        <w:rPr>
          <w:b/>
          <w:bCs/>
        </w:rPr>
        <w:t xml:space="preserve">A rescinded offer cleans up.</w:t>
      </w:r>
      <w:r>
        <w:t xml:space="preserve"> </w:t>
      </w:r>
      <w:r>
        <w:t xml:space="preserve">An account created before day one for a hire that never happens is disabled and disposed of on a short retention, with the cancellation recorded as its reason.</w:t>
      </w:r>
    </w:p>
    <w:p>
      <w:pPr>
        <w:pStyle w:val="Compact"/>
        <w:numPr>
          <w:ilvl w:val="0"/>
          <w:numId w:val="1052"/>
        </w:numPr>
      </w:pPr>
      <w:r>
        <w:rPr>
          <w:b/>
          <w:bCs/>
        </w:rPr>
        <w:t xml:space="preserve">A cancelled action reverses with evidence.</w:t>
      </w:r>
      <w:r>
        <w:t xml:space="preserve"> </w:t>
      </w:r>
      <w:r>
        <w:t xml:space="preserve">A cancellation or correction (nature-of-action 001 Cancellation, 002 Correction)</w:t>
      </w:r>
      <w:r>
        <w:rPr>
          <w:rStyle w:val="FootnoteReference"/>
        </w:rPr>
        <w:footnoteReference w:id="697"/>
      </w:r>
      <w:r>
        <w:t xml:space="preserve"> </w:t>
      </w:r>
      <w:r>
        <w:t xml:space="preserve">re-derives the person’s state from the corrected record. A cancelled separation re-enables what the separation disabled; it does not restore manually granted access without review.</w:t>
      </w:r>
    </w:p>
    <w:bookmarkEnd w:id="698"/>
    <w:bookmarkStart w:id="700" w:name="partial-leavers"/>
    <w:p>
      <w:pPr>
        <w:pStyle w:val="Heading2"/>
      </w:pPr>
      <w:bookmarkStart w:id="918" w:name="_Toc00000918"/>
      <w:r>
        <w:t xml:space="preserve">Partial leavers</w:t>
      </w:r>
      <w:bookmarkEnd w:id="918"/>
    </w:p>
    <w:p>
      <w:pPr>
        <w:pStyle w:val="FirstParagraph"/>
      </w:pPr>
      <w:r>
        <w:t xml:space="preserve">A leaver whose sign-in is disabled but whose sessions were not revoked — or whose PIV revocation failed — is a security incident, not a backlog item. The leaver run records every step; a rerun resumes from the first incomplete step; and the block steps (disable, revoke sessions) are verified by reading the account back, not assumed from a successful call (Chapter 09). Lifecycle Workflows has built-in tasks for both,</w:t>
      </w:r>
      <w:r>
        <w:t xml:space="preserve"> </w:t>
      </w:r>
      <w:r>
        <w:t xml:space="preserve">“Disable user account”</w:t>
      </w:r>
      <w:r>
        <w:t xml:space="preserve"> </w:t>
      </w:r>
      <w:r>
        <w:t xml:space="preserve">and</w:t>
      </w:r>
      <w:r>
        <w:t xml:space="preserve"> </w:t>
      </w:r>
      <w:r>
        <w:t xml:space="preserve">“Revoke all refresh tokens for user”</w:t>
      </w:r>
      <w:r>
        <w:t xml:space="preserve">, but the disable task doesn’t support users who hold Microsoft Entra role assignments or belong to or own role-assignable groups, so privileged leavers need their own verified block path.</w:t>
      </w:r>
      <w:r>
        <w:rPr>
          <w:rStyle w:val="FootnoteReference"/>
        </w:rPr>
        <w:footnoteReference w:id="699"/>
      </w:r>
    </w:p>
    <w:bookmarkEnd w:id="700"/>
    <w:bookmarkStart w:id="701" w:name="the-quarantine-contract"/>
    <w:p>
      <w:pPr>
        <w:pStyle w:val="Heading2"/>
      </w:pPr>
      <w:bookmarkStart w:id="919" w:name="_Toc00000919"/>
      <w:r>
        <w:t xml:space="preserve">The quarantine contract</w:t>
      </w:r>
      <w:bookmarkEnd w:id="919"/>
    </w:p>
    <w:p>
      <w:pPr>
        <w:pStyle w:val="FirstParagraph"/>
      </w:pPr>
      <w:r>
        <w:t xml:space="preserve">Records that fail validation, or actions that fail permanently, go to a quarantine with a defined contract:</w:t>
      </w:r>
    </w:p>
    <w:p>
      <w:pPr>
        <w:pStyle w:val="Compact"/>
        <w:numPr>
          <w:ilvl w:val="0"/>
          <w:numId w:val="1053"/>
        </w:numPr>
      </w:pPr>
      <w:r>
        <w:t xml:space="preserve">every entry carries a failure reason, an unchanged copy of the HR record, and the attempted payload;</w:t>
      </w:r>
    </w:p>
    <w:p>
      <w:pPr>
        <w:pStyle w:val="Compact"/>
        <w:numPr>
          <w:ilvl w:val="0"/>
          <w:numId w:val="1053"/>
        </w:numPr>
      </w:pPr>
      <w:r>
        <w:t xml:space="preserve">nothing in quarantine resolves itself — a person decides, and the decision is recorded;</w:t>
      </w:r>
    </w:p>
    <w:p>
      <w:pPr>
        <w:pStyle w:val="Compact"/>
        <w:numPr>
          <w:ilvl w:val="0"/>
          <w:numId w:val="1053"/>
        </w:numPr>
      </w:pPr>
      <w:r>
        <w:t xml:space="preserve">each failure class has a service level and an escalation path, with separation-related failures at the top;</w:t>
      </w:r>
    </w:p>
    <w:p>
      <w:pPr>
        <w:pStyle w:val="Compact"/>
        <w:numPr>
          <w:ilvl w:val="0"/>
          <w:numId w:val="1053"/>
        </w:numPr>
      </w:pPr>
      <w:r>
        <w:t xml:space="preserve">a resolved entry is re-injected through the normal path, never applied by hand to the directory;</w:t>
      </w:r>
    </w:p>
    <w:p>
      <w:pPr>
        <w:pStyle w:val="Compact"/>
        <w:numPr>
          <w:ilvl w:val="0"/>
          <w:numId w:val="1053"/>
        </w:numPr>
      </w:pPr>
      <w:r>
        <w:t xml:space="preserve">“won’t fix”</w:t>
      </w:r>
      <w:r>
        <w:t xml:space="preserve"> </w:t>
      </w:r>
      <w:r>
        <w:t xml:space="preserve">is an audited decision with an owner and a reason.</w:t>
      </w:r>
    </w:p>
    <w:bookmarkEnd w:id="701"/>
    <w:bookmarkStart w:id="703" w:name="manager-links"/>
    <w:p>
      <w:pPr>
        <w:pStyle w:val="Heading2"/>
      </w:pPr>
      <w:bookmarkStart w:id="920" w:name="_Toc00000920"/>
      <w:r>
        <w:t xml:space="preserve">Manager links</w:t>
      </w:r>
      <w:bookmarkEnd w:id="920"/>
    </w:p>
    <w:p>
      <w:pPr>
        <w:pStyle w:val="FirstParagraph"/>
      </w:pPr>
      <w:r>
        <w:t xml:space="preserve">The</w:t>
      </w:r>
      <w:r>
        <w:t xml:space="preserve"> </w:t>
      </w:r>
      <w:r>
        <w:rPr>
          <w:rStyle w:val="VerbatimChar"/>
        </w:rPr>
        <w:t xml:space="preserve">manager</w:t>
      </w:r>
      <w:r>
        <w:t xml:space="preserve"> </w:t>
      </w:r>
      <w:r>
        <w:t xml:space="preserve">relationship carries approvals, reviews and org charts (Chapter 10) — entitlement management, for example, finds a requestor’s approving manager from it</w:t>
      </w:r>
      <w:r>
        <w:rPr>
          <w:rStyle w:val="FootnoteReference"/>
        </w:rPr>
        <w:footnoteReference w:id="702"/>
      </w:r>
      <w:r>
        <w:t xml:space="preserve"> </w:t>
      </w:r>
      <w:r>
        <w:t xml:space="preserve">— so its integrity rules are explicit:</w:t>
      </w:r>
    </w:p>
    <w:p>
      <w:pPr>
        <w:pStyle w:val="Compact"/>
        <w:numPr>
          <w:ilvl w:val="0"/>
          <w:numId w:val="1054"/>
        </w:numPr>
      </w:pPr>
      <w:r>
        <w:t xml:space="preserve">an unresolved manager reference never blocks a joiner — the account is created and the link is resolved when the supervisor’s record arrives;</w:t>
      </w:r>
    </w:p>
    <w:p>
      <w:pPr>
        <w:pStyle w:val="Compact"/>
        <w:numPr>
          <w:ilvl w:val="0"/>
          <w:numId w:val="1054"/>
        </w:numPr>
      </w:pPr>
      <w:r>
        <w:t xml:space="preserve">a manager reference that points at a separated person is a finding;</w:t>
      </w:r>
    </w:p>
    <w:p>
      <w:pPr>
        <w:pStyle w:val="Compact"/>
        <w:numPr>
          <w:ilvl w:val="0"/>
          <w:numId w:val="1054"/>
        </w:numPr>
      </w:pPr>
      <w:r>
        <w:t xml:space="preserve">when a supervisor separates, their direct reports are handed back to HR for reassignment. HR, not IT, writes the new supervisor.</w:t>
      </w:r>
    </w:p>
    <w:bookmarkEnd w:id="703"/>
    <w:bookmarkStart w:id="705" w:name="rehire-and-conversion-1"/>
    <w:p>
      <w:pPr>
        <w:pStyle w:val="Heading2"/>
      </w:pPr>
      <w:bookmarkStart w:id="921" w:name="_Toc00000921"/>
      <w:r>
        <w:t xml:space="preserve">Rehire and conversion</w:t>
      </w:r>
      <w:bookmarkEnd w:id="921"/>
    </w:p>
    <w:p>
      <w:pPr>
        <w:pStyle w:val="Compact"/>
        <w:numPr>
          <w:ilvl w:val="0"/>
          <w:numId w:val="1055"/>
        </w:numPr>
      </w:pPr>
      <w:r>
        <w:rPr>
          <w:b/>
          <w:bCs/>
        </w:rPr>
        <w:t xml:space="preserve">Rehire</w:t>
      </w:r>
      <w:r>
        <w:t xml:space="preserve"> </w:t>
      </w:r>
      <w:r>
        <w:t xml:space="preserve">re-links the returning person to their prior identity through the enterprise person key (Chapter 04). The provisioning service matches incoming records to existing users on a configured attribute pair (by default</w:t>
      </w:r>
      <w:r>
        <w:t xml:space="preserve"> </w:t>
      </w:r>
      <w:r>
        <w:rPr>
          <w:rStyle w:val="VerbatimChar"/>
        </w:rPr>
        <w:t xml:space="preserve">externalId</w:t>
      </w:r>
      <w:r>
        <w:t xml:space="preserve"> </w:t>
      </w:r>
      <w:r>
        <w:t xml:space="preserve">to</w:t>
      </w:r>
      <w:r>
        <w:t xml:space="preserve"> </w:t>
      </w:r>
      <w:r>
        <w:rPr>
          <w:rStyle w:val="VerbatimChar"/>
        </w:rPr>
        <w:t xml:space="preserve">employeeId</w:t>
      </w:r>
      <w:r>
        <w:t xml:space="preserve">), so the key the feed sends decides whether a rehire re-links or creates a duplicate.</w:t>
      </w:r>
      <w:r>
        <w:rPr>
          <w:rStyle w:val="FootnoteReference"/>
        </w:rPr>
        <w:footnoteReference w:id="704"/>
      </w:r>
      <w:r>
        <w:t xml:space="preserve"> </w:t>
      </w:r>
      <w:r>
        <w:t xml:space="preserve">Manually granted access is not restored; it is requested again and reviewed.</w:t>
      </w:r>
    </w:p>
    <w:p>
      <w:pPr>
        <w:pStyle w:val="Compact"/>
        <w:numPr>
          <w:ilvl w:val="0"/>
          <w:numId w:val="1055"/>
        </w:numPr>
      </w:pPr>
      <w:r>
        <w:rPr>
          <w:b/>
          <w:bCs/>
        </w:rPr>
        <w:t xml:space="preserve">Conversion</w:t>
      </w:r>
      <w:r>
        <w:t xml:space="preserve"> </w:t>
      </w:r>
      <w:r>
        <w:t xml:space="preserve">keeps the person and the key and re-derives every attribute from the new worker type. Manually assigned access tied to the old worker type is removed, privileged roles are reviewed, and a conversion from employee to contractor is treated as a risk case with a mandatory review.</w:t>
      </w:r>
    </w:p>
    <w:bookmarkEnd w:id="705"/>
    <w:bookmarkStart w:id="706" w:name="continue-the-book-13"/>
    <w:p>
      <w:pPr>
        <w:pStyle w:val="Heading2"/>
      </w:pPr>
      <w:bookmarkStart w:id="922" w:name="_Toc00000922"/>
      <w:r>
        <w:t xml:space="preserve">Continue the book</w:t>
      </w:r>
      <w:bookmarkEnd w:id="922"/>
    </w:p>
    <w:p>
      <w:pPr>
        <w:pStyle w:val="FirstParagraph"/>
      </w:pPr>
      <w:r>
        <w:t xml:space="preserve">← Previous: Chapter 13 — Reference Deployment (Illustrative) · Book index · Next: Appendix B — Security and Privacy Assessment →</w:t>
      </w:r>
    </w:p>
    <w:bookmarkEnd w:id="706"/>
    <w:bookmarkEnd w:id="707"/>
    <w:bookmarkStart w:id="754" w:name="Xd1266a2e681eef0a43f5b597a04e1e6863f54d2"/>
    <w:p>
      <w:pPr>
        <w:pStyle w:val="Heading1"/>
      </w:pPr>
      <w:bookmarkStart w:id="923" w:name="_Toc00000923"/>
      <w:r>
        <w:t xml:space="preserve">Appendix B — Security and Privacy Assessment</w:t>
      </w:r>
      <w:bookmarkEnd w:id="923"/>
    </w:p>
    <w:p>
      <w:pPr>
        <w:pStyle w:val="FirstParagraph"/>
      </w:pPr>
      <w:r>
        <w:rPr>
          <w:i/>
          <w:iCs/>
        </w:rPr>
        <w:t xml:space="preserve">Moving personnel data into a directory is a disclosure. Treat it like one.</w:t>
      </w:r>
    </w:p>
    <w:bookmarkStart w:id="708" w:name="in-this-appendix-1"/>
    <w:p>
      <w:pPr>
        <w:pStyle w:val="Heading2"/>
      </w:pPr>
      <w:bookmarkStart w:id="924" w:name="_Toc00000924"/>
      <w:r>
        <w:t xml:space="preserve">In this appendix</w:t>
      </w:r>
      <w:bookmarkEnd w:id="924"/>
    </w:p>
    <w:p>
      <w:pPr>
        <w:pStyle w:val="FirstParagraph"/>
      </w:pPr>
      <w:r>
        <w:t xml:space="preserve">The privacy basis for the feed. What to minimize. How each leg is protected. How the service authenticates and what it may never hold. What the logs may contain. The ISSO’s review checklist.</w:t>
      </w:r>
    </w:p>
    <w:bookmarkEnd w:id="708"/>
    <w:p>
      <w:pPr>
        <w:pStyle w:val="CaptionedFigure"/>
      </w:pPr>
      <w:r>
        <w:drawing>
          <wp:inline>
            <wp:extent cx="5334000" cy="1863607"/>
            <wp:effectExtent b="0" l="0" r="0" t="0"/>
            <wp:docPr descr="Protecting the data flow: Core HCM sends only what identity decisions read, over TLS under a confirmed Privacy Act disclosure basis; the middleware authenticates without secrets and writes with least privilege; operational logs carry the person key and a payload hash, and full payloads go only to an access-controlled audit store." title="" id="710" name="Picture"/>
            <a:graphic>
              <a:graphicData uri="http://schemas.openxmlformats.org/drawingml/2006/picture">
                <pic:pic>
                  <pic:nvPicPr>
                    <pic:cNvPr descr="/home/runner/work/modernization-workbook/modernization-workbook/docs/images/diagrams/b03-hr-identity/png/appb-data-flow-protection.png" id="711" name="Picture"/>
                    <pic:cNvPicPr>
                      <a:picLocks noChangeArrowheads="1" noChangeAspect="1"/>
                    </pic:cNvPicPr>
                  </pic:nvPicPr>
                  <pic:blipFill>
                    <a:blip r:embed="rId709"/>
                    <a:stretch>
                      <a:fillRect/>
                    </a:stretch>
                  </pic:blipFill>
                  <pic:spPr bwMode="auto">
                    <a:xfrm>
                      <a:off x="0" y="0"/>
                      <a:ext cx="5334000" cy="1863607"/>
                    </a:xfrm>
                    <a:prstGeom prst="rect">
                      <a:avLst/>
                    </a:prstGeom>
                    <a:noFill/>
                    <a:ln w="9525">
                      <a:noFill/>
                      <a:headEnd/>
                      <a:tailEnd/>
                    </a:ln>
                  </pic:spPr>
                </pic:pic>
              </a:graphicData>
            </a:graphic>
          </wp:inline>
        </w:drawing>
      </w:r>
    </w:p>
    <w:p>
      <w:pPr>
        <w:pStyle w:val="ImageCaption"/>
      </w:pPr>
      <w:r>
        <w:t xml:space="preserve">Protecting the data flow: Core HCM sends only what identity decisions read, over TLS under a confirmed Privacy Act disclosure basis; the middleware authenticates without secrets and writes with least privilege; operational logs carry the person key and a payload hash, and full payloads go only to an access-controlled audit store.</w:t>
      </w:r>
    </w:p>
    <w:bookmarkStart w:id="728" w:name="the-privacy-basis"/>
    <w:p>
      <w:pPr>
        <w:pStyle w:val="Heading2"/>
      </w:pPr>
      <w:bookmarkStart w:id="925" w:name="_Toc00000925"/>
      <w:r>
        <w:t xml:space="preserve">The privacy basis</w:t>
      </w:r>
      <w:bookmarkEnd w:id="925"/>
    </w:p>
    <w:p>
      <w:pPr>
        <w:pStyle w:val="Compact"/>
        <w:numPr>
          <w:ilvl w:val="0"/>
          <w:numId w:val="1056"/>
        </w:numPr>
      </w:pPr>
      <w:r>
        <w:rPr>
          <w:b/>
          <w:bCs/>
        </w:rPr>
        <w:t xml:space="preserve">Disclosure basis.</w:t>
      </w:r>
      <w:r>
        <w:t xml:space="preserve"> </w:t>
      </w:r>
      <w:r>
        <w:t xml:space="preserve">The HR system of record is a Privacy Act system of records. For general personnel records the governing notice is OPM’s government-wide system-of-records notice (SORN), OPM/GOVT-1, which places records on current employees with the employing agency; the agency’s own SORNs cover the rest.</w:t>
      </w:r>
      <w:r>
        <w:rPr>
          <w:rStyle w:val="FootnoteReference"/>
        </w:rPr>
        <w:footnoteReference w:id="712"/>
      </w:r>
      <w:r>
        <w:rPr>
          <w:rStyle w:val="FootnoteReference"/>
        </w:rPr>
        <w:footnoteReference w:id="713"/>
      </w:r>
      <w:r>
        <w:t xml:space="preserve"> </w:t>
      </w:r>
      <w:r>
        <w:t xml:space="preserve">Sharing the records with the identity platform inside the agency that maintains them normally rests on the Privacy Act’s need-to-know condition: disclosure to the agency’s own officers and employees who need the record in the performance of their duties.</w:t>
      </w:r>
      <w:r>
        <w:rPr>
          <w:rStyle w:val="FootnoteReference"/>
        </w:rPr>
        <w:footnoteReference w:id="714"/>
      </w:r>
      <w:r>
        <w:t xml:space="preserve"> </w:t>
      </w:r>
      <w:r>
        <w:t xml:space="preserve">A routine use is a disclosure outside the agency that maintains the records, such as to a shared-service provider or another agency, and must be published in the governing SORN.</w:t>
      </w:r>
      <w:r>
        <w:rPr>
          <w:rStyle w:val="FootnoteReference"/>
        </w:rPr>
        <w:footnoteReference w:id="715"/>
      </w:r>
      <w:r>
        <w:rPr>
          <w:rStyle w:val="FootnoteReference"/>
        </w:rPr>
        <w:footnoteReference w:id="716"/>
      </w:r>
      <w:r>
        <w:t xml:space="preserve"> </w:t>
      </w:r>
      <w:r>
        <w:t xml:space="preserve">Which basis covers each leg of the feed is the privacy office’s determination; get it in writing before any attribute flows.</w:t>
      </w:r>
    </w:p>
    <w:p>
      <w:pPr>
        <w:pStyle w:val="Compact"/>
        <w:numPr>
          <w:ilvl w:val="0"/>
          <w:numId w:val="1056"/>
        </w:numPr>
      </w:pPr>
      <w:r>
        <w:rPr>
          <w:b/>
          <w:bCs/>
        </w:rPr>
        <w:t xml:space="preserve">SORN scope.</w:t>
      </w:r>
      <w:r>
        <w:t xml:space="preserve"> </w:t>
      </w:r>
      <w:r>
        <w:t xml:space="preserve">Copying personnel attributes into the directory can be a SORN change in its own right. OMB Circular A-108 lists a change that substantially increases access to a system’s information within the agency, and a new or expanded routine use, among the significant changes that require a revised notice.</w:t>
      </w:r>
      <w:r>
        <w:rPr>
          <w:rStyle w:val="FootnoteReference"/>
        </w:rPr>
        <w:footnoteReference w:id="717"/>
      </w:r>
      <w:r>
        <w:t xml:space="preserve"> </w:t>
      </w:r>
      <w:r>
        <w:t xml:space="preserve">In Entra ID every member user can, by default, enumerate users and read their public properties,</w:t>
      </w:r>
      <w:r>
        <w:rPr>
          <w:rStyle w:val="FootnoteReference"/>
        </w:rPr>
        <w:footnoteReference w:id="718"/>
      </w:r>
      <w:r>
        <w:t xml:space="preserve"> </w:t>
      </w:r>
      <w:r>
        <w:t xml:space="preserve">which is one more reason to minimize.</w:t>
      </w:r>
    </w:p>
    <w:p>
      <w:pPr>
        <w:pStyle w:val="Compact"/>
        <w:numPr>
          <w:ilvl w:val="0"/>
          <w:numId w:val="1056"/>
        </w:numPr>
      </w:pPr>
      <w:r>
        <w:rPr>
          <w:b/>
          <w:bCs/>
        </w:rPr>
        <w:t xml:space="preserve">Privacy impact assessment.</w:t>
      </w:r>
      <w:r>
        <w:t xml:space="preserve"> </w:t>
      </w:r>
      <w:r>
        <w:t xml:space="preserve">Update the PIA for the new flow: what moves, where it lands, who can read it, how long it is kept, and which downstream services consume it. The E-Government Act’s PIA requirement, as OMB M-03-22 implements it, is written for information about members of the public; M-03-22 exempts systems that hold only information about government personnel and contractors but encourages PIAs for them.</w:t>
      </w:r>
      <w:r>
        <w:rPr>
          <w:rStyle w:val="FootnoteReference"/>
        </w:rPr>
        <w:footnoteReference w:id="720"/>
      </w:r>
      <w:r>
        <w:t xml:space="preserve"> </w:t>
      </w:r>
      <w:r>
        <w:t xml:space="preserve">OMB Circular A-130 directs PIAs when IT processes PII, absent a statutory exception, and SP 800-53 control RA-8, which is in the privacy baseline applied to every system regardless of impact level, calls for one before developing or procuring IT that processes PII.</w:t>
      </w:r>
      <w:r>
        <w:rPr>
          <w:rStyle w:val="FootnoteReference"/>
        </w:rPr>
        <w:footnoteReference w:id="722"/>
      </w:r>
      <w:r>
        <w:rPr>
          <w:rStyle w:val="FootnoteReference"/>
        </w:rPr>
        <w:footnoteReference w:id="723"/>
      </w:r>
      <w:r>
        <w:rPr>
          <w:rStyle w:val="FootnoteReference"/>
        </w:rPr>
        <w:footnoteReference w:id="724"/>
      </w:r>
      <w:r>
        <w:t xml:space="preserve"> </w:t>
      </w:r>
      <w:r>
        <w:t xml:space="preserve">The program treats the update as required.</w:t>
      </w:r>
    </w:p>
    <w:p>
      <w:pPr>
        <w:pStyle w:val="Compact"/>
        <w:numPr>
          <w:ilvl w:val="0"/>
          <w:numId w:val="1056"/>
        </w:numPr>
      </w:pPr>
      <w:r>
        <w:rPr>
          <w:b/>
          <w:bCs/>
        </w:rPr>
        <w:t xml:space="preserve">Interconnection terms.</w:t>
      </w:r>
      <w:r>
        <w:t xml:space="preserve"> </w:t>
      </w:r>
      <w:r>
        <w:t xml:space="preserve">Where the HR platform is operated by another agency or a provider, the data-exchange terms cover the identity feed explicitly, documented as an information exchange agreement under SP 800-53 control CA-3 and NIST SP 800-47 Rev. 1.</w:t>
      </w:r>
      <w:r>
        <w:rPr>
          <w:rStyle w:val="FootnoteReference"/>
        </w:rPr>
        <w:footnoteReference w:id="726"/>
      </w:r>
      <w:r>
        <w:rPr>
          <w:rStyle w:val="FootnoteReference"/>
        </w:rPr>
        <w:footnoteReference w:id="727"/>
      </w:r>
    </w:p>
    <w:bookmarkEnd w:id="728"/>
    <w:bookmarkStart w:id="732" w:name="minimization"/>
    <w:p>
      <w:pPr>
        <w:pStyle w:val="Heading2"/>
      </w:pPr>
      <w:bookmarkStart w:id="926" w:name="_Toc00000926"/>
      <w:r>
        <w:t xml:space="preserve">Minimization</w:t>
      </w:r>
      <w:bookmarkEnd w:id="926"/>
    </w:p>
    <w:p>
      <w:pPr>
        <w:pStyle w:val="Compact"/>
        <w:numPr>
          <w:ilvl w:val="0"/>
          <w:numId w:val="1057"/>
        </w:numPr>
      </w:pPr>
      <w:r>
        <w:t xml:space="preserve">Send only the attributes an identity decision reads (Chapter 06). If no rule, workflow or required directory field reads it, it doesn’t move. This is A-130’s minimization principle and SP 800-53 control SI-12(1), Limit Personally Identifiable Information Elements, applied to the feed.</w:t>
      </w:r>
      <w:r>
        <w:rPr>
          <w:rStyle w:val="FootnoteReference"/>
        </w:rPr>
        <w:footnoteReference w:id="729"/>
      </w:r>
      <w:r>
        <w:rPr>
          <w:rStyle w:val="FootnoteReference"/>
        </w:rPr>
        <w:footnoteReference w:id="730"/>
      </w:r>
    </w:p>
    <w:p>
      <w:pPr>
        <w:pStyle w:val="Compact"/>
        <w:numPr>
          <w:ilvl w:val="0"/>
          <w:numId w:val="1057"/>
        </w:numPr>
      </w:pPr>
      <w:r>
        <w:t xml:space="preserve">Prefer codes to narrative: an organization code, not a reorganization memo; a worker-type code, not an appointment description.</w:t>
      </w:r>
    </w:p>
    <w:p>
      <w:pPr>
        <w:pStyle w:val="Compact"/>
        <w:numPr>
          <w:ilvl w:val="0"/>
          <w:numId w:val="1057"/>
        </w:numPr>
      </w:pPr>
      <w:r>
        <w:t xml:space="preserve">The SSN never moves. The layered identifiers of Chapter 04 exist so that correlation never needs it, in line with A-130’s direction to eliminate unnecessary use of Social Security numbers and explore alternatives to them as identifiers.</w:t>
      </w:r>
      <w:r>
        <w:rPr>
          <w:rStyle w:val="FootnoteReference"/>
        </w:rPr>
        <w:footnoteReference w:id="731"/>
      </w:r>
    </w:p>
    <w:p>
      <w:pPr>
        <w:pStyle w:val="Compact"/>
        <w:numPr>
          <w:ilvl w:val="0"/>
          <w:numId w:val="1057"/>
        </w:numPr>
      </w:pPr>
      <w:r>
        <w:t xml:space="preserve">Writeback to HR, if used, carries only identity-platform values such as work email — never an HR-mastered fact.</w:t>
      </w:r>
    </w:p>
    <w:bookmarkEnd w:id="732"/>
    <w:bookmarkStart w:id="738" w:name="protecting-every-leg"/>
    <w:p>
      <w:pPr>
        <w:pStyle w:val="Heading2"/>
      </w:pPr>
      <w:bookmarkStart w:id="927" w:name="_Toc00000927"/>
      <w:r>
        <w:t xml:space="preserve">Protecting every leg</w:t>
      </w:r>
      <w:bookmarkEnd w:id="927"/>
    </w:p>
    <w:p>
      <w:pPr>
        <w:pStyle w:val="TableCaption"/>
      </w:pPr>
      <w:r>
        <w:t xml:space="preserve">Protecting each leg of the flow</w:t>
      </w:r>
    </w:p>
    <w:tbl>
      <w:tblPr>
        <w:tblStyle w:val="Table"/>
        <w:tblW w:type="pct" w:w="5000"/>
        <w:tblLayout w:type="fixed"/>
        <w:tblLook w:firstRow="1" w:lastRow="0" w:firstColumn="0" w:lastColumn="0" w:noHBand="0" w:noVBand="0" w:val="0020"/>
        <w:tblCaption w:val="Protecting each leg of the flow"/>
      </w:tblPr>
      <w:tblGrid>
        <w:gridCol w:w="3960"/>
        <w:gridCol w:w="3960"/>
      </w:tblGrid>
      <w:tr>
        <w:trPr>
          <w:tblHeader w:val="on"/>
        </w:trPr>
        <w:tc>
          <w:tcPr/>
          <w:p>
            <w:pPr>
              <w:pStyle w:val="Compact"/>
            </w:pPr>
            <w:r>
              <w:t xml:space="preserve">Leg</w:t>
            </w:r>
          </w:p>
        </w:tc>
        <w:tc>
          <w:tcPr/>
          <w:p>
            <w:pPr>
              <w:pStyle w:val="Compact"/>
            </w:pPr>
            <w:r>
              <w:t xml:space="preserve">Protection</w:t>
            </w:r>
          </w:p>
        </w:tc>
      </w:tr>
      <w:tr>
        <w:tc>
          <w:tcPr/>
          <w:p>
            <w:pPr>
              <w:pStyle w:val="Compact"/>
            </w:pPr>
            <w:r>
              <w:t xml:space="preserve">Core HCM to middleware</w:t>
            </w:r>
          </w:p>
        </w:tc>
        <w:tc>
          <w:tcPr/>
          <w:p>
            <w:pPr>
              <w:pStyle w:val="Compact"/>
            </w:pPr>
            <w:r>
              <w:t xml:space="preserve">TLS; the platform’s own authentication; the extract or feed scoped to covered populations</w:t>
            </w:r>
          </w:p>
        </w:tc>
      </w:tr>
      <w:tr>
        <w:tc>
          <w:tcPr/>
          <w:p>
            <w:pPr>
              <w:pStyle w:val="Compact"/>
            </w:pPr>
            <w:r>
              <w:t xml:space="preserve">Middleware at rest</w:t>
            </w:r>
          </w:p>
        </w:tc>
        <w:tc>
          <w:tcPr/>
          <w:p>
            <w:pPr>
              <w:pStyle w:val="Compact"/>
            </w:pPr>
            <w:r>
              <w:t xml:space="preserve">In the agency’s authorization boundary; no PII on workstations, in source repositories or in off-boundary backups</w:t>
            </w:r>
          </w:p>
        </w:tc>
      </w:tr>
      <w:tr>
        <w:tc>
          <w:tcPr/>
          <w:p>
            <w:pPr>
              <w:pStyle w:val="Compact"/>
            </w:pPr>
            <w:r>
              <w:t xml:space="preserve">Middleware to Entra ID</w:t>
            </w:r>
          </w:p>
        </w:tc>
        <w:tc>
          <w:tcPr/>
          <w:p>
            <w:pPr>
              <w:pStyle w:val="Compact"/>
            </w:pPr>
            <w:r>
              <w:t xml:space="preserve">TLS 1.2 or later to Microsoft Graph, which Entra ID requires;</w:t>
            </w:r>
            <w:r>
              <w:rPr>
                <w:rStyle w:val="FootnoteReference"/>
              </w:rPr>
              <w:footnoteReference w:id="733"/>
            </w:r>
            <w:r>
              <w:t xml:space="preserve"> </w:t>
            </w:r>
            <w:r>
              <w:t xml:space="preserve">a dedicated provisioning app per source</w:t>
            </w:r>
          </w:p>
        </w:tc>
      </w:tr>
      <w:tr>
        <w:tc>
          <w:tcPr/>
          <w:p>
            <w:pPr>
              <w:pStyle w:val="Compact"/>
            </w:pPr>
            <w:r>
              <w:t xml:space="preserve">Provisioning agent to Active Directory</w:t>
            </w:r>
          </w:p>
        </w:tc>
        <w:tc>
          <w:tcPr/>
          <w:p>
            <w:pPr>
              <w:pStyle w:val="Compact"/>
            </w:pPr>
            <w:r>
              <w:t xml:space="preserve">Outbound-only agent on hardened servers (no inbound firewall ports);</w:t>
            </w:r>
            <w:r>
              <w:rPr>
                <w:rStyle w:val="FootnoteReference"/>
              </w:rPr>
              <w:footnoteReference w:id="735"/>
            </w:r>
            <w:r>
              <w:t xml:space="preserve"> </w:t>
            </w:r>
            <w:r>
              <w:t xml:space="preserve">a group managed service account with rights scoped to the target OUs</w:t>
            </w:r>
          </w:p>
        </w:tc>
      </w:tr>
      <w:tr>
        <w:tc>
          <w:tcPr/>
          <w:p>
            <w:pPr>
              <w:pStyle w:val="Compact"/>
            </w:pPr>
            <w:r>
              <w:t xml:space="preserve">Logs and evidence</w:t>
            </w:r>
          </w:p>
        </w:tc>
        <w:tc>
          <w:tcPr/>
          <w:p>
            <w:pPr>
              <w:pStyle w:val="Compact"/>
            </w:pPr>
            <w:r>
              <w:t xml:space="preserve">Operational logs hold the person key and a payload hash, the kind of limit SP 800-53 control AU-3(3) sets on PII in audit records;</w:t>
            </w:r>
            <w:r>
              <w:rPr>
                <w:rStyle w:val="FootnoteReference"/>
              </w:rPr>
              <w:footnoteReference w:id="737"/>
            </w:r>
            <w:r>
              <w:t xml:space="preserve"> </w:t>
            </w:r>
            <w:r>
              <w:t xml:space="preserve">full payloads go only to an access-controlled audit store, retained by schedule</w:t>
            </w:r>
          </w:p>
        </w:tc>
      </w:tr>
    </w:tbl>
    <w:bookmarkEnd w:id="738"/>
    <w:bookmarkStart w:id="745" w:name="service-identity-and-privilege"/>
    <w:p>
      <w:pPr>
        <w:pStyle w:val="Heading2"/>
      </w:pPr>
      <w:bookmarkStart w:id="928" w:name="_Toc00000928"/>
      <w:r>
        <w:t xml:space="preserve">Service identity and privilege</w:t>
      </w:r>
      <w:bookmarkEnd w:id="928"/>
    </w:p>
    <w:p>
      <w:pPr>
        <w:pStyle w:val="Compact"/>
        <w:numPr>
          <w:ilvl w:val="0"/>
          <w:numId w:val="1058"/>
        </w:numPr>
      </w:pPr>
      <w:r>
        <w:rPr>
          <w:b/>
          <w:bCs/>
        </w:rPr>
        <w:t xml:space="preserve">No client secrets.</w:t>
      </w:r>
      <w:r>
        <w:t xml:space="preserve"> </w:t>
      </w:r>
      <w:r>
        <w:t xml:space="preserve">The middleware authenticates with a managed identity (where it runs on Azure resources) or a certificate on its service principal, with rotation owned and scheduled. Microsoft’s setup guide uses a client secret in its walkthrough but recommends certificate authentication or managed identities for production.</w:t>
      </w:r>
      <w:r>
        <w:rPr>
          <w:rStyle w:val="FootnoteReference"/>
        </w:rPr>
        <w:footnoteReference w:id="739"/>
      </w:r>
    </w:p>
    <w:p>
      <w:pPr>
        <w:pStyle w:val="Compact"/>
        <w:numPr>
          <w:ilvl w:val="0"/>
          <w:numId w:val="1058"/>
        </w:numPr>
      </w:pPr>
      <w:r>
        <w:rPr>
          <w:b/>
          <w:bCs/>
        </w:rPr>
        <w:t xml:space="preserve">Least privilege.</w:t>
      </w:r>
      <w:r>
        <w:t xml:space="preserve"> </w:t>
      </w:r>
      <w:r>
        <w:t xml:space="preserve">Grant only the provisioning upload permission and provisioning-log read (Chapter 05).</w:t>
      </w:r>
      <w:r>
        <w:rPr>
          <w:rStyle w:val="FootnoteReference"/>
        </w:rPr>
        <w:footnoteReference w:id="740"/>
      </w:r>
      <w:r>
        <w:t xml:space="preserve"> </w:t>
      </w:r>
      <w:r>
        <w:t xml:space="preserve">The service never holds tenant-wide user or directory write permissions, and it never deletes users: the</w:t>
      </w:r>
      <w:r>
        <w:t xml:space="preserve"> </w:t>
      </w:r>
      <w:r>
        <w:rPr>
          <w:rStyle w:val="VerbatimChar"/>
        </w:rPr>
        <w:t xml:space="preserve">/bulkUpload</w:t>
      </w:r>
      <w:r>
        <w:t xml:space="preserve"> </w:t>
      </w:r>
      <w:r>
        <w:t xml:space="preserve">endpoint doesn’t support deletion, and Microsoft points disposal to the Lifecycle Workflows delete-user task in the post-separation workflow.</w:t>
      </w:r>
      <w:r>
        <w:rPr>
          <w:rStyle w:val="FootnoteReference"/>
        </w:rPr>
        <w:footnoteReference w:id="741"/>
      </w:r>
    </w:p>
    <w:p>
      <w:pPr>
        <w:pStyle w:val="Compact"/>
        <w:numPr>
          <w:ilvl w:val="0"/>
          <w:numId w:val="1058"/>
        </w:numPr>
      </w:pPr>
      <w:r>
        <w:rPr>
          <w:b/>
          <w:bCs/>
        </w:rPr>
        <w:t xml:space="preserve">Conditional Access</w:t>
      </w:r>
      <w:r>
        <w:t xml:space="preserve"> </w:t>
      </w:r>
      <w:r>
        <w:t xml:space="preserve">applies to the service principal where supported: block token requests from outside expected locations, and alert on use from anywhere else. Conditional Access for workload identities needs Workload Identities Premium licenses, covers only single-tenant service principals registered in the tenant, offers only a block grant, and doesn’t cover managed identities; a managed identity is governed through access reviews and the alerting instead.</w:t>
      </w:r>
      <w:r>
        <w:rPr>
          <w:rStyle w:val="FootnoteReference"/>
        </w:rPr>
        <w:footnoteReference w:id="742"/>
      </w:r>
    </w:p>
    <w:p>
      <w:pPr>
        <w:pStyle w:val="Compact"/>
        <w:numPr>
          <w:ilvl w:val="0"/>
          <w:numId w:val="1058"/>
        </w:numPr>
      </w:pPr>
      <w:r>
        <w:rPr>
          <w:b/>
          <w:bCs/>
        </w:rPr>
        <w:t xml:space="preserve">Quarterly review</w:t>
      </w:r>
      <w:r>
        <w:t xml:space="preserve"> </w:t>
      </w:r>
      <w:r>
        <w:t xml:space="preserve">of the service principal’s permissions and credentials, recorded as evidence (SP 800-53 control AC-6(7), Review of User Privileges).</w:t>
      </w:r>
      <w:r>
        <w:rPr>
          <w:rStyle w:val="FootnoteReference"/>
        </w:rPr>
        <w:footnoteReference w:id="744"/>
      </w:r>
    </w:p>
    <w:bookmarkEnd w:id="745"/>
    <w:bookmarkStart w:id="751" w:name="a-pause-switch"/>
    <w:p>
      <w:pPr>
        <w:pStyle w:val="Heading2"/>
      </w:pPr>
      <w:bookmarkStart w:id="929" w:name="_Toc00000929"/>
      <w:r>
        <w:t xml:space="preserve">A pause switch</w:t>
      </w:r>
      <w:bookmarkEnd w:id="929"/>
    </w:p>
    <w:p>
      <w:pPr>
        <w:pStyle w:val="FirstParagraph"/>
      </w:pPr>
      <w:r>
        <w:t xml:space="preserve">Mis-provisioning at scale — a bad mapping, a reorganization file loaded twice — can disable or re-scope thousands of accounts in one cycle. Keep a documented pause: stop the provisioning job, quarantine the batch, and resume only after review. Pausing a job through Microsoft Graph takes a permission the upload client doesn’t hold, so the pause belongs to an operator role, not to the middleware.</w:t>
      </w:r>
      <w:r>
        <w:rPr>
          <w:rStyle w:val="FootnoteReference"/>
        </w:rPr>
        <w:footnoteReference w:id="746"/>
      </w:r>
      <w:r>
        <w:t xml:space="preserve"> </w:t>
      </w:r>
      <w:r>
        <w:t xml:space="preserve">Detect it, too: a delta far larger than normal for a cycle is held for confirmation before it applies. On the Entra side, accidental deletions prevention quarantines the provisioning job when a cycle’s disables and deletions exceed a set threshold;</w:t>
      </w:r>
      <w:r>
        <w:rPr>
          <w:rStyle w:val="FootnoteReference"/>
        </w:rPr>
        <w:footnoteReference w:id="748"/>
      </w:r>
      <w:r>
        <w:rPr>
          <w:rStyle w:val="FootnoteReference"/>
        </w:rPr>
        <w:footnoteReference w:id="750"/>
      </w:r>
      <w:r>
        <w:t xml:space="preserve"> </w:t>
      </w:r>
      <w:r>
        <w:t xml:space="preserve">the middleware’s own large-delta check covers mass re-scoping, which that threshold doesn’t count.</w:t>
      </w:r>
    </w:p>
    <w:bookmarkEnd w:id="751"/>
    <w:bookmarkStart w:id="752" w:name="isso-review-checklist"/>
    <w:p>
      <w:pPr>
        <w:pStyle w:val="Heading2"/>
      </w:pPr>
      <w:bookmarkStart w:id="930" w:name="_Toc00000930"/>
      <w:r>
        <w:t xml:space="preserve">ISSO review checklist</w:t>
      </w:r>
      <w:bookmarkEnd w:id="930"/>
    </w:p>
    <w:p>
      <w:pPr>
        <w:pStyle w:val="Compact"/>
        <w:numPr>
          <w:ilvl w:val="0"/>
          <w:numId w:val="1059"/>
        </w:numPr>
      </w:pPr>
      <w:r>
        <w:t xml:space="preserve">Disclosure basis confirmed (and any routine use it depends on); SORN coverage checked; PIA updated; interconnection terms cover the feed.</w:t>
      </w:r>
    </w:p>
    <w:p>
      <w:pPr>
        <w:pStyle w:val="Compact"/>
        <w:numPr>
          <w:ilvl w:val="0"/>
          <w:numId w:val="1059"/>
        </w:numPr>
      </w:pPr>
      <w:r>
        <w:t xml:space="preserve">Attribute set minimized and documented against the crosswalk.</w:t>
      </w:r>
    </w:p>
    <w:p>
      <w:pPr>
        <w:pStyle w:val="Compact"/>
        <w:numPr>
          <w:ilvl w:val="0"/>
          <w:numId w:val="1059"/>
        </w:numPr>
      </w:pPr>
      <w:r>
        <w:t xml:space="preserve">Every leg encrypted; PII absent from operational logs, repositories and workstations.</w:t>
      </w:r>
    </w:p>
    <w:p>
      <w:pPr>
        <w:pStyle w:val="Compact"/>
        <w:numPr>
          <w:ilvl w:val="0"/>
          <w:numId w:val="1059"/>
        </w:numPr>
      </w:pPr>
      <w:r>
        <w:t xml:space="preserve">Service identities secretless, least-privileged and reviewed.</w:t>
      </w:r>
    </w:p>
    <w:p>
      <w:pPr>
        <w:pStyle w:val="Compact"/>
        <w:numPr>
          <w:ilvl w:val="0"/>
          <w:numId w:val="1059"/>
        </w:numPr>
      </w:pPr>
      <w:r>
        <w:t xml:space="preserve">Pause and large-delta controls tested.</w:t>
      </w:r>
    </w:p>
    <w:p>
      <w:pPr>
        <w:pStyle w:val="Compact"/>
        <w:numPr>
          <w:ilvl w:val="0"/>
          <w:numId w:val="1059"/>
        </w:numPr>
      </w:pPr>
      <w:r>
        <w:t xml:space="preserve">Evidence of all of the above retained with the phase-gate record (Chapter 12).</w:t>
      </w:r>
    </w:p>
    <w:bookmarkEnd w:id="752"/>
    <w:bookmarkStart w:id="753" w:name="continue-the-book-14"/>
    <w:p>
      <w:pPr>
        <w:pStyle w:val="Heading2"/>
      </w:pPr>
      <w:bookmarkStart w:id="931" w:name="_Toc00000931"/>
      <w:r>
        <w:t xml:space="preserve">Continue the book</w:t>
      </w:r>
      <w:bookmarkEnd w:id="931"/>
    </w:p>
    <w:p>
      <w:pPr>
        <w:pStyle w:val="FirstParagraph"/>
      </w:pPr>
      <w:r>
        <w:t xml:space="preserve">← Previous: Appendix A — Lifecycle Rules · Book index · Next: Appendix C — Acceptance and Cutover →</w:t>
      </w:r>
    </w:p>
    <w:bookmarkEnd w:id="753"/>
    <w:bookmarkEnd w:id="754"/>
    <w:bookmarkStart w:id="775" w:name="appendix-c-acceptance-and-cutover"/>
    <w:p>
      <w:pPr>
        <w:pStyle w:val="Heading1"/>
      </w:pPr>
      <w:bookmarkStart w:id="932" w:name="_Toc00000932"/>
      <w:r>
        <w:t xml:space="preserve">Appendix C — Acceptance and Cutover</w:t>
      </w:r>
      <w:bookmarkEnd w:id="932"/>
    </w:p>
    <w:p>
      <w:pPr>
        <w:pStyle w:val="FirstParagraph"/>
      </w:pPr>
      <w:r>
        <w:rPr>
          <w:i/>
          <w:iCs/>
        </w:rPr>
        <w:t xml:space="preserve">A population is cut over when HR is provably its only source of accounts — not when the pipeline first runs.</w:t>
      </w:r>
    </w:p>
    <w:bookmarkStart w:id="755" w:name="in-this-appendix-2"/>
    <w:p>
      <w:pPr>
        <w:pStyle w:val="Heading2"/>
      </w:pPr>
      <w:bookmarkStart w:id="933" w:name="_Toc00000933"/>
      <w:r>
        <w:t xml:space="preserve">In this appendix</w:t>
      </w:r>
      <w:bookmarkEnd w:id="933"/>
    </w:p>
    <w:p>
      <w:pPr>
        <w:pStyle w:val="FirstParagraph"/>
      </w:pPr>
      <w:r>
        <w:t xml:space="preserve">Acceptance tests and who signs them. The validation report. Dry run, cutover and rollback. Proving HR is the sole source. Closing the ticket path. Where an agency does already run an HR connector.</w:t>
      </w:r>
    </w:p>
    <w:bookmarkEnd w:id="755"/>
    <w:p>
      <w:pPr>
        <w:pStyle w:val="CaptionedFigure"/>
      </w:pPr>
      <w:r>
        <w:drawing>
          <wp:inline>
            <wp:extent cx="5334000" cy="841856"/>
            <wp:effectExtent b="0" l="0" r="0" t="0"/>
            <wp:docPr descr="Acceptance and cutover: acceptance tests by worker type, a signed validation report, a dry run on production data, cutover with rollback ready, seven days of proof that every change came from HR, then the ticket path closes for the population." title="" id="757" name="Picture"/>
            <a:graphic>
              <a:graphicData uri="http://schemas.openxmlformats.org/drawingml/2006/picture">
                <pic:pic>
                  <pic:nvPicPr>
                    <pic:cNvPr descr="/home/runner/work/modernization-workbook/modernization-workbook/docs/images/diagrams/b03-hr-identity/png/appc-cutover-sequence.png" id="758" name="Picture"/>
                    <pic:cNvPicPr>
                      <a:picLocks noChangeArrowheads="1" noChangeAspect="1"/>
                    </pic:cNvPicPr>
                  </pic:nvPicPr>
                  <pic:blipFill>
                    <a:blip r:embed="rId756"/>
                    <a:stretch>
                      <a:fillRect/>
                    </a:stretch>
                  </pic:blipFill>
                  <pic:spPr bwMode="auto">
                    <a:xfrm>
                      <a:off x="0" y="0"/>
                      <a:ext cx="5334000" cy="841856"/>
                    </a:xfrm>
                    <a:prstGeom prst="rect">
                      <a:avLst/>
                    </a:prstGeom>
                    <a:noFill/>
                    <a:ln w="9525">
                      <a:noFill/>
                      <a:headEnd/>
                      <a:tailEnd/>
                    </a:ln>
                  </pic:spPr>
                </pic:pic>
              </a:graphicData>
            </a:graphic>
          </wp:inline>
        </w:drawing>
      </w:r>
    </w:p>
    <w:p>
      <w:pPr>
        <w:pStyle w:val="ImageCaption"/>
      </w:pPr>
      <w:r>
        <w:t xml:space="preserve">Acceptance and cutover: acceptance tests by worker type, a signed validation report, a dry run on production data, cutover with rollback ready, seven days of proof that every change came from HR, then the ticket path closes for the population.</w:t>
      </w:r>
    </w:p>
    <w:bookmarkStart w:id="764" w:name="acceptance"/>
    <w:p>
      <w:pPr>
        <w:pStyle w:val="Heading2"/>
      </w:pPr>
      <w:bookmarkStart w:id="934" w:name="_Toc00000934"/>
      <w:r>
        <w:t xml:space="preserve">Acceptance</w:t>
      </w:r>
      <w:bookmarkEnd w:id="934"/>
    </w:p>
    <w:p>
      <w:pPr>
        <w:pStyle w:val="FirstParagraph"/>
      </w:pPr>
      <w:r>
        <w:t xml:space="preserve">Acceptance tests are written in business terms, by worker type and event, so that HR, the business and security can read them:</w:t>
      </w:r>
    </w:p>
    <w:p>
      <w:pPr>
        <w:pStyle w:val="TableCaption"/>
      </w:pPr>
      <w:r>
        <w:t xml:space="preserve">Acceptance scenarios, stated in business terms</w:t>
      </w:r>
    </w:p>
    <w:tbl>
      <w:tblPr>
        <w:tblStyle w:val="Table"/>
        <w:tblW w:type="pct" w:w="5000"/>
        <w:tblLayout w:type="fixed"/>
        <w:tblLook w:firstRow="1" w:lastRow="0" w:firstColumn="0" w:lastColumn="0" w:noHBand="0" w:noVBand="0" w:val="0020"/>
        <w:tblCaption w:val="Acceptance scenarios, stated in business terms"/>
      </w:tblPr>
      <w:tblGrid>
        <w:gridCol w:w="3960"/>
        <w:gridCol w:w="3960"/>
      </w:tblGrid>
      <w:tr>
        <w:trPr>
          <w:tblHeader w:val="on"/>
        </w:trPr>
        <w:tc>
          <w:tcPr/>
          <w:p>
            <w:pPr>
              <w:pStyle w:val="Compact"/>
            </w:pPr>
            <w:r>
              <w:t xml:space="preserve">Scenario</w:t>
            </w:r>
          </w:p>
        </w:tc>
        <w:tc>
          <w:tcPr/>
          <w:p>
            <w:pPr>
              <w:pStyle w:val="Compact"/>
            </w:pPr>
            <w:r>
              <w:t xml:space="preserve">Expected outcome</w:t>
            </w:r>
          </w:p>
        </w:tc>
      </w:tr>
      <w:tr>
        <w:tc>
          <w:tcPr/>
          <w:p>
            <w:pPr>
              <w:pStyle w:val="Compact"/>
            </w:pPr>
            <w:r>
              <w:t xml:space="preserve">A hire is entered with a start date two weeks out</w:t>
            </w:r>
          </w:p>
        </w:tc>
        <w:tc>
          <w:tcPr/>
          <w:p>
            <w:pPr>
              <w:pStyle w:val="Compact"/>
            </w:pPr>
            <w:r>
              <w:t xml:space="preserve">The account exists, disabled, before day one; baseline access is ready on day one</w:t>
            </w:r>
            <w:r>
              <w:rPr>
                <w:rStyle w:val="FootnoteReference"/>
              </w:rPr>
              <w:footnoteReference w:id="759"/>
            </w:r>
          </w:p>
        </w:tc>
      </w:tr>
      <w:tr>
        <w:tc>
          <w:tcPr/>
          <w:p>
            <w:pPr>
              <w:pStyle w:val="Compact"/>
            </w:pPr>
            <w:r>
              <w:t xml:space="preserve">A reassignment to another organization takes effect</w:t>
            </w:r>
          </w:p>
        </w:tc>
        <w:tc>
          <w:tcPr/>
          <w:p>
            <w:pPr>
              <w:pStyle w:val="Compact"/>
            </w:pPr>
            <w:r>
              <w:t xml:space="preserve">The old organization’s access is gone and the new one’s present within the agreed interval; a review opens on what remains</w:t>
            </w:r>
          </w:p>
        </w:tc>
      </w:tr>
      <w:tr>
        <w:tc>
          <w:tcPr/>
          <w:p>
            <w:pPr>
              <w:pStyle w:val="Compact"/>
            </w:pPr>
            <w:r>
              <w:t xml:space="preserve">A separation takes effect</w:t>
            </w:r>
          </w:p>
        </w:tc>
        <w:tc>
          <w:tcPr/>
          <w:p>
            <w:pPr>
              <w:pStyle w:val="Compact"/>
            </w:pPr>
            <w:r>
              <w:t xml:space="preserve">Sign-in is blocked and sessions revoked at the effective time; PIV, devices and access are revoked and reconciled</w:t>
            </w:r>
            <w:r>
              <w:rPr>
                <w:rStyle w:val="FootnoteReference"/>
              </w:rPr>
              <w:footnoteReference w:id="761"/>
            </w:r>
          </w:p>
        </w:tc>
      </w:tr>
      <w:tr>
        <w:tc>
          <w:tcPr/>
          <w:p>
            <w:pPr>
              <w:pStyle w:val="Compact"/>
            </w:pPr>
            <w:r>
              <w:t xml:space="preserve">An employee goes on leave without pay</w:t>
            </w:r>
          </w:p>
        </w:tc>
        <w:tc>
          <w:tcPr/>
          <w:p>
            <w:pPr>
              <w:pStyle w:val="Compact"/>
            </w:pPr>
            <w:r>
              <w:t xml:space="preserve">The account is kept and restricted; nothing is deprovisioned</w:t>
            </w:r>
          </w:p>
        </w:tc>
      </w:tr>
      <w:tr>
        <w:tc>
          <w:tcPr/>
          <w:p>
            <w:pPr>
              <w:pStyle w:val="Compact"/>
            </w:pPr>
            <w:r>
              <w:t xml:space="preserve">A separation is cancelled</w:t>
            </w:r>
          </w:p>
        </w:tc>
        <w:tc>
          <w:tcPr/>
          <w:p>
            <w:pPr>
              <w:pStyle w:val="Compact"/>
            </w:pPr>
            <w:r>
              <w:t xml:space="preserve">What the separation disabled is re-enabled from the corrected record, with evidence</w:t>
            </w:r>
          </w:p>
        </w:tc>
      </w:tr>
      <w:tr>
        <w:tc>
          <w:tcPr/>
          <w:p>
            <w:pPr>
              <w:pStyle w:val="Compact"/>
            </w:pPr>
            <w:r>
              <w:t xml:space="preserve">A contractor converts to employee</w:t>
            </w:r>
          </w:p>
        </w:tc>
        <w:tc>
          <w:tcPr/>
          <w:p>
            <w:pPr>
              <w:pStyle w:val="Compact"/>
            </w:pPr>
            <w:r>
              <w:t xml:space="preserve">Same person and key; access re-derived; manually assigned contractor access removed</w:t>
            </w:r>
          </w:p>
        </w:tc>
      </w:tr>
      <w:tr>
        <w:tc>
          <w:tcPr/>
          <w:p>
            <w:pPr>
              <w:pStyle w:val="Compact"/>
            </w:pPr>
            <w:r>
              <w:t xml:space="preserve">A record fails validation</w:t>
            </w:r>
          </w:p>
        </w:tc>
        <w:tc>
          <w:tcPr/>
          <w:p>
            <w:pPr>
              <w:pStyle w:val="Compact"/>
            </w:pPr>
            <w:r>
              <w:t xml:space="preserve">It lands in quarantine with a reason; nothing partial reaches the directory</w:t>
            </w:r>
          </w:p>
        </w:tc>
      </w:tr>
    </w:tbl>
    <w:p>
      <w:pPr>
        <w:pStyle w:val="BodyText"/>
      </w:pPr>
      <w:r>
        <w:t xml:space="preserve">Lifecycle Workflows’ templates map onto these rows: the pre-hire and new-hire templates generate a Temporary Access Pass and enable the account on the hire date, and the offboarding templates disable the account and remove group memberships; refresh-token revocation is a separate built-in task.</w:t>
      </w:r>
      <w:r>
        <w:rPr>
          <w:rStyle w:val="FootnoteReference"/>
        </w:rPr>
        <w:footnoteReference w:id="762"/>
      </w:r>
      <w:r>
        <w:rPr>
          <w:rStyle w:val="FootnoteReference"/>
        </w:rPr>
        <w:footnoteReference w:id="763"/>
      </w:r>
      <w:r>
        <w:t xml:space="preserve"> </w:t>
      </w:r>
      <w:r>
        <w:t xml:space="preserve">The tests prove the agency’s configuration of them, not the templates.</w:t>
      </w:r>
    </w:p>
    <w:p>
      <w:pPr>
        <w:pStyle w:val="BodyText"/>
      </w:pPr>
      <w:r>
        <w:t xml:space="preserve">Defects are graded by severity; anything that could leave a separated person with access, or lock out an active one, blocks acceptance. Sign-off comes from HR, the identity owner, the ISSO and the business owner of the population.</w:t>
      </w:r>
    </w:p>
    <w:bookmarkEnd w:id="764"/>
    <w:bookmarkStart w:id="765" w:name="the-validation-report"/>
    <w:p>
      <w:pPr>
        <w:pStyle w:val="Heading2"/>
      </w:pPr>
      <w:bookmarkStart w:id="935" w:name="_Toc00000935"/>
      <w:r>
        <w:t xml:space="preserve">The validation report</w:t>
      </w:r>
      <w:bookmarkEnd w:id="935"/>
    </w:p>
    <w:p>
      <w:pPr>
        <w:pStyle w:val="FirstParagraph"/>
      </w:pPr>
      <w:r>
        <w:t xml:space="preserve">A short report gates every cutover: the acceptance results, open defects and their dispositions, the drift baseline for the population, the privacy and security checks of Appendix B, and the rollback plan. It is signed before the cutover is scheduled.</w:t>
      </w:r>
    </w:p>
    <w:bookmarkEnd w:id="765"/>
    <w:bookmarkStart w:id="767" w:name="dry-run-cutover-and-rollback"/>
    <w:p>
      <w:pPr>
        <w:pStyle w:val="Heading2"/>
      </w:pPr>
      <w:bookmarkStart w:id="936" w:name="_Toc00000936"/>
      <w:r>
        <w:t xml:space="preserve">Dry run, cutover and rollback</w:t>
      </w:r>
      <w:bookmarkEnd w:id="936"/>
    </w:p>
    <w:p>
      <w:pPr>
        <w:pStyle w:val="Compact"/>
        <w:numPr>
          <w:ilvl w:val="0"/>
          <w:numId w:val="1060"/>
        </w:numPr>
      </w:pPr>
      <w:r>
        <w:rPr>
          <w:b/>
          <w:bCs/>
        </w:rPr>
        <w:t xml:space="preserve">Dry run</w:t>
      </w:r>
      <w:r>
        <w:t xml:space="preserve"> </w:t>
      </w:r>
      <w:r>
        <w:t xml:space="preserve">on production data with writes disabled: the pipeline computes what it would do, and every difference from the directory is explained.</w:t>
      </w:r>
    </w:p>
    <w:p>
      <w:pPr>
        <w:pStyle w:val="Compact"/>
        <w:numPr>
          <w:ilvl w:val="0"/>
          <w:numId w:val="1060"/>
        </w:numPr>
      </w:pPr>
      <w:r>
        <w:rPr>
          <w:b/>
          <w:bCs/>
        </w:rPr>
        <w:t xml:space="preserve">Cutover</w:t>
      </w:r>
      <w:r>
        <w:t xml:space="preserve"> </w:t>
      </w:r>
      <w:r>
        <w:t xml:space="preserve">for one population at a time, aligned with that population’s move to Entra ID where the two coincide (Chapter 05). Spot-check named records immediately after the first cycle.</w:t>
      </w:r>
    </w:p>
    <w:p>
      <w:pPr>
        <w:pStyle w:val="Compact"/>
        <w:numPr>
          <w:ilvl w:val="0"/>
          <w:numId w:val="1060"/>
        </w:numPr>
      </w:pPr>
      <w:r>
        <w:rPr>
          <w:b/>
          <w:bCs/>
        </w:rPr>
        <w:t xml:space="preserve">Rollback</w:t>
      </w:r>
      <w:r>
        <w:t xml:space="preserve"> </w:t>
      </w:r>
      <w:r>
        <w:t xml:space="preserve">is written down before cutover: pause the provisioning job (a paused job keeps its state and resumes where it left off),</w:t>
      </w:r>
      <w:r>
        <w:rPr>
          <w:rStyle w:val="FootnoteReference"/>
        </w:rPr>
        <w:footnoteReference w:id="766"/>
      </w:r>
      <w:r>
        <w:t xml:space="preserve"> </w:t>
      </w:r>
      <w:r>
        <w:t xml:space="preserve">quarantine the batch, and return the population to the prior process while the cause is fixed.</w:t>
      </w:r>
    </w:p>
    <w:bookmarkEnd w:id="767"/>
    <w:bookmarkStart w:id="769" w:name="proving-hr-is-the-sole-source"/>
    <w:p>
      <w:pPr>
        <w:pStyle w:val="Heading2"/>
      </w:pPr>
      <w:bookmarkStart w:id="937" w:name="_Toc00000937"/>
      <w:r>
        <w:t xml:space="preserve">Proving HR is the sole source</w:t>
      </w:r>
      <w:bookmarkEnd w:id="937"/>
    </w:p>
    <w:p>
      <w:pPr>
        <w:pStyle w:val="FirstParagraph"/>
      </w:pPr>
      <w:r>
        <w:t xml:space="preserve">For seven days after cutover, every create, change and disable for the population must trace to an HR event and a provenance record. The provisioning logs record the outcome the provisioning service reached for each record it received,</w:t>
      </w:r>
      <w:r>
        <w:rPr>
          <w:rStyle w:val="FootnoteReference"/>
        </w:rPr>
        <w:footnoteReference w:id="768"/>
      </w:r>
      <w:r>
        <w:t xml:space="preserve"> </w:t>
      </w:r>
      <w:r>
        <w:t xml:space="preserve">so the comparison is between those logs and the directory’s audit log: anything in the audit log without a matching provisioning record came from somewhere else. Any change that doesn’t — a ticket, a script, a hand edit — is a finding, and the clock restarts once it is closed.</w:t>
      </w:r>
    </w:p>
    <w:bookmarkEnd w:id="769"/>
    <w:bookmarkStart w:id="770" w:name="closing-the-ticket-path"/>
    <w:p>
      <w:pPr>
        <w:pStyle w:val="Heading2"/>
      </w:pPr>
      <w:bookmarkStart w:id="938" w:name="_Toc00000938"/>
      <w:r>
        <w:t xml:space="preserve">Closing the ticket path</w:t>
      </w:r>
      <w:bookmarkEnd w:id="938"/>
    </w:p>
    <w:p>
      <w:pPr>
        <w:pStyle w:val="FirstParagraph"/>
      </w:pPr>
      <w:r>
        <w:t xml:space="preserve">When the proof holds, the manual path for creating and changing accounts in that population closes: the service desk stops accepting account-creation tickets for it, and any exception goes through the governed exception process (Appendix A). This is the visible end state of HR-driven identity: nobody requests an account for a new hire, because the hire causes it.</w:t>
      </w:r>
    </w:p>
    <w:bookmarkEnd w:id="770"/>
    <w:bookmarkStart w:id="773" w:name="where-an-hr-connector-already-exists"/>
    <w:p>
      <w:pPr>
        <w:pStyle w:val="Heading2"/>
      </w:pPr>
      <w:bookmarkStart w:id="939" w:name="_Toc00000939"/>
      <w:r>
        <w:t xml:space="preserve">Where an HR connector already exists</w:t>
      </w:r>
      <w:bookmarkEnd w:id="939"/>
    </w:p>
    <w:p>
      <w:pPr>
        <w:pStyle w:val="FirstParagraph"/>
      </w:pPr>
      <w:r>
        <w:t xml:space="preserve">Some agencies already run a script or connector that creates accounts from an HR extract. The same sequence applies, with one more step: once HR-driven provisioning is the proven sole source, revoke the old connector’s credentials, keep its state and logs under the applicable approved records schedules and any legal holds (for system access records, often NARA General Records Schedule 3.2, items 030 and 031, as the agency records officer confirms),</w:t>
      </w:r>
      <w:r>
        <w:rPr>
          <w:rStyle w:val="FootnoteReference"/>
        </w:rPr>
        <w:footnoteReference w:id="771"/>
      </w:r>
      <w:r>
        <w:t xml:space="preserve"> </w:t>
      </w:r>
      <w:r>
        <w:t xml:space="preserve">and decommission it — an irreversible step that is signed off like the cutover itself.</w:t>
      </w:r>
    </w:p>
    <w:bookmarkEnd w:id="773"/>
    <w:bookmarkStart w:id="774" w:name="continue-the-book-15"/>
    <w:p>
      <w:pPr>
        <w:pStyle w:val="Heading2"/>
      </w:pPr>
      <w:bookmarkStart w:id="940" w:name="_Toc00000940"/>
      <w:r>
        <w:t xml:space="preserve">Continue the book</w:t>
      </w:r>
      <w:bookmarkEnd w:id="940"/>
    </w:p>
    <w:p>
      <w:pPr>
        <w:pStyle w:val="FirstParagraph"/>
      </w:pPr>
      <w:r>
        <w:t xml:space="preserve">← Previous: Appendix B — Security and Privacy Assessment · Book index</w:t>
      </w:r>
    </w:p>
    <w:bookmarkEnd w:id="774"/>
    <w:bookmarkEnd w:id="7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hyperlink r:id="rId22">
        <w:r>
          <w:rPr>
            <w:rStyle w:val="Hyperlink"/>
          </w:rPr>
          <w:t xml:space="preserve">https://learn.microsoft.com/en-us/entra/identity/app-provisioning/what-is-hr-driven-provisioning</w:t>
        </w:r>
      </w:hyperlink>
      <w:r>
        <w:t xml:space="preserve"> </w:t>
      </w:r>
      <w:r>
        <w:t xml:space="preserve">(accessed Oct 20, 2026).</w:t>
      </w:r>
    </w:p>
  </w:footnote>
  <w:footnote w:id="23">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w:t>
      </w:r>
      <w:r>
        <w:t xml:space="preserve"> </w:t>
      </w:r>
      <w:r>
        <w:t xml:space="preserve">“More than 100 unique Core HCM software systems”</w:t>
      </w:r>
      <w:r>
        <w:t xml:space="preserve"> </w:t>
      </w:r>
      <w:r>
        <w:t xml:space="preserve">(p. 1); exclusion of military personnel and Intelligence Community agencies (p. 1, note 3); data-migration preparation (Appendix C).</w:t>
      </w:r>
    </w:p>
  </w:footnote>
  <w:footnote w:id="25">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26">
        <w:r>
          <w:rPr>
            <w:rStyle w:val="Hyperlink"/>
          </w:rPr>
          <w:t xml:space="preserve">https://www.opm.gov/news/news-releases/opm-awards-contract-for-first-ever-governmentwide-hr-platform/</w:t>
        </w:r>
      </w:hyperlink>
      <w:r>
        <w:t xml:space="preserve"> </w:t>
      </w:r>
      <w:r>
        <w:t xml:space="preserve">(accessed Oct 20, 2026); Oracle,</w:t>
      </w:r>
      <w:r>
        <w:t xml:space="preserve"> </w:t>
      </w:r>
      <w:r>
        <w:t xml:space="preserve">“U.S. Office of Personnel Management Selects Oracle to Power Federal Workforce Modernization,”</w:t>
      </w:r>
      <w:r>
        <w:t xml:space="preserve"> </w:t>
      </w:r>
      <w:r>
        <w:t xml:space="preserve">June 11, 2026 (names Oracle Fusion Cloud Human Capital Management),</w:t>
      </w:r>
      <w:r>
        <w:t xml:space="preserve"> </w:t>
      </w:r>
      <w:hyperlink r:id="rId27">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“Transfer user Source of Authority (SOA) to Microsoft Entra ID,”</w:t>
      </w:r>
      <w:r>
        <w:t xml:space="preserve"> </w:t>
      </w:r>
      <w:hyperlink r:id="rId29">
        <w:r>
          <w:rPr>
            <w:rStyle w:val="Hyperlink"/>
          </w:rPr>
          <w:t xml:space="preserve">https://learn.microsoft.com/en-us/entra/identity/hybrid/user-source-of-authority-overview</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“Transition to the cloud”</w:t>
      </w:r>
      <w:r>
        <w:t xml:space="preserve"> </w:t>
      </w:r>
      <w:r>
        <w:t xml:space="preserve">(Move to cloud HR provisioning),</w:t>
      </w:r>
      <w:r>
        <w:t xml:space="preserve"> </w:t>
      </w:r>
      <w:hyperlink r:id="rId31">
        <w:r>
          <w:rPr>
            <w:rStyle w:val="Hyperlink"/>
          </w:rPr>
          <w:t xml:space="preserve">https://learn.microsoft.com/en-us/entra/architecture/road-to-the-cloud-migrate</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hyperlink r:id="rId22">
        <w:r>
          <w:rPr>
            <w:rStyle w:val="Hyperlink"/>
          </w:rPr>
          <w:t xml:space="preserve">https://learn.microsoft.com/en-us/entra/identity/app-provisioning/what-is-hr-driven-provisioning</w:t>
        </w:r>
      </w:hyperlink>
      <w:r>
        <w:t xml:space="preserve"> </w:t>
      </w:r>
      <w:r>
        <w:t xml:space="preserve">(accessed Oct 20, 2026).</w:t>
      </w:r>
    </w:p>
  </w:footnote>
  <w:footnote w:id="3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7">
        <w:r>
          <w:rPr>
            <w:rStyle w:val="Hyperlink"/>
          </w:rPr>
          <w:t xml:space="preserve">https://www.whitehouse.gov/wp-content/uploads/2022/01/M-22-09.pdf</w:t>
        </w:r>
      </w:hyperlink>
      <w:r>
        <w:t xml:space="preserve"> </w:t>
      </w:r>
      <w:r>
        <w:t xml:space="preserve">(accessed Oct 20, 2026).</w:t>
      </w:r>
    </w:p>
  </w:footnote>
  <w:footnote w:id="38">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w:t>
      </w:r>
      <w:r>
        <w:t xml:space="preserve"> </w:t>
      </w:r>
      <w:hyperlink r:id="rId39">
        <w:r>
          <w:rPr>
            <w:rStyle w:val="Hyperlink"/>
          </w:rPr>
          <w:t xml:space="preserve">https://csrc.nist.gov/pubs/sp/800/207/final</w:t>
        </w:r>
      </w:hyperlink>
      <w:r>
        <w:t xml:space="preserve"> </w:t>
      </w:r>
      <w:r>
        <w:t xml:space="preserve">(accessed Oct 20, 2026).</w:t>
      </w:r>
    </w:p>
  </w:footnote>
  <w:footnote w:id="40">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§5.1 Identity,</w:t>
      </w:r>
      <w:r>
        <w:t xml:space="preserve"> </w:t>
      </w:r>
      <w:hyperlink r:id="rId41">
        <w:r>
          <w:rPr>
            <w:rStyle w:val="Hyperlink"/>
          </w:rPr>
          <w:t xml:space="preserve">https://www.cisa.gov/sites/default/files/2023-04/CISA_Zero_Trust_Maturity_Model_Version_2_508c.pdf</w:t>
        </w:r>
      </w:hyperlink>
      <w:r>
        <w:t xml:space="preserve"> </w:t>
      </w:r>
      <w:r>
        <w:t xml:space="preserve">(accessed Oct 20, 2026).</w:t>
      </w:r>
    </w:p>
  </w:footnote>
  <w:footnote w:id="42">
    <w:p>
      <w:pPr>
        <w:pStyle w:val="FootnoteText"/>
      </w:pPr>
      <w:r>
        <w:rPr>
          <w:rStyle w:val="FootnoteReference"/>
        </w:rPr>
        <w:footnoteRef/>
      </w:r>
      <w:r>
        <w:t xml:space="preserve"> </w:t>
      </w:r>
      <w:r>
        <w:t xml:space="preserve">Office of Management and Budget, M-19-26,</w:t>
      </w:r>
      <w:r>
        <w:t xml:space="preserve"> </w:t>
      </w:r>
      <w:r>
        <w:rPr>
          <w:i/>
          <w:iCs/>
        </w:rPr>
        <w:t xml:space="preserve">Update to the Trusted Internet Connections (TIC) Initiative</w:t>
      </w:r>
      <w:r>
        <w:t xml:space="preserve">, September 12, 2019,</w:t>
      </w:r>
      <w:r>
        <w:t xml:space="preserve"> </w:t>
      </w:r>
      <w:hyperlink r:id="rId43">
        <w:r>
          <w:rPr>
            <w:rStyle w:val="Hyperlink"/>
          </w:rPr>
          <w:t xml:space="preserve">https://www.whitehouse.gov/wp-content/uploads/2019/09/M-19-26.pdf</w:t>
        </w:r>
      </w:hyperlink>
      <w:r>
        <w:t xml:space="preserve"> </w:t>
      </w:r>
      <w:r>
        <w:t xml:space="preserve">(accessed Oct 20, 2026). The memo notes that earlier TIC policy required traffic to flow through a physical TIC access point, which had become an obstacle to cloud adoption.</w:t>
      </w:r>
    </w:p>
  </w:footnote>
  <w:footnote w:id="4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“Plan for Microsoft 365 Government - GCC deployments”</w:t>
      </w:r>
      <w:r>
        <w:t xml:space="preserve"> </w:t>
      </w:r>
      <w:r>
        <w:t xml:space="preserve">(GCC</w:t>
      </w:r>
      <w:r>
        <w:t xml:space="preserve"> </w:t>
      </w:r>
      <w:r>
        <w:t xml:space="preserve">“provides compliance with US government requirements for cloud services, including FedRAMP Moderate”</w:t>
      </w:r>
      <w:r>
        <w:t xml:space="preserve">),</w:t>
      </w:r>
      <w:r>
        <w:t xml:space="preserve"> </w:t>
      </w:r>
      <w:hyperlink r:id="rId58">
        <w:r>
          <w:rPr>
            <w:rStyle w:val="Hyperlink"/>
          </w:rPr>
          <w:t xml:space="preserve">https://learn.microsoft.com/en-us/microsoftteams/plan-for-government-gcc</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“Cross-cloud collaboration with Microsoft 365”</w:t>
      </w:r>
      <w:r>
        <w:t xml:space="preserve"> </w:t>
      </w:r>
      <w:r>
        <w:t xml:space="preserve">(Microsoft 365 GCC is in the Microsoft Azure Commercial cloud environment),</w:t>
      </w:r>
      <w:r>
        <w:t xml:space="preserve"> </w:t>
      </w:r>
      <w:hyperlink r:id="rId60">
        <w:r>
          <w:rPr>
            <w:rStyle w:val="Hyperlink"/>
          </w:rPr>
          <w:t xml:space="preserve">https://learn.microsoft.com/en-us/microsoft-365/enterprise/cross-cloud-collaboration</w:t>
        </w:r>
      </w:hyperlink>
      <w:r>
        <w:t xml:space="preserve"> </w:t>
      </w:r>
      <w:r>
        <w:t xml:space="preserve">(accessed Oct 20, 2026).</w:t>
      </w:r>
    </w:p>
  </w:footnote>
  <w:footnote w:id="62">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w:t>
      </w:r>
      <w:r>
        <w:t xml:space="preserve"> </w:t>
      </w:r>
      <w:r>
        <w:t xml:space="preserve">“More than 100 unique Core HCM software systems”</w:t>
      </w:r>
      <w:r>
        <w:t xml:space="preserve"> </w:t>
      </w:r>
      <w:r>
        <w:t xml:space="preserve">(p. 1); exclusion of military personnel and Intelligence Community agencies (p. 1, note 3); data-migration preparation (Appendix C).</w:t>
      </w:r>
    </w:p>
  </w:footnote>
  <w:footnote w:id="64">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65">
        <w:r>
          <w:rPr>
            <w:rStyle w:val="Hyperlink"/>
          </w:rPr>
          <w:t xml:space="preserve">https://www.whitehouse.gov/wp-content/uploads/2019/05/M-19-17.pdf</w:t>
        </w:r>
      </w:hyperlink>
      <w:r>
        <w:t xml:space="preserve"> </w:t>
      </w:r>
      <w:r>
        <w:t xml:space="preserve">(accessed Oct 20, 2026).</w:t>
      </w:r>
    </w:p>
  </w:footnote>
  <w:footnote w:id="66">
    <w:p>
      <w:pPr>
        <w:pStyle w:val="FootnoteText"/>
      </w:pPr>
      <w:r>
        <w:rPr>
          <w:rStyle w:val="FootnoteReference"/>
        </w:rPr>
        <w:footnoteRef/>
      </w:r>
      <w:r>
        <w:t xml:space="preserve"> </w:t>
      </w:r>
      <w:r>
        <w:t xml:space="preserve">General Services Administration, IDManagement.gov,</w:t>
      </w:r>
      <w:r>
        <w:t xml:space="preserve"> </w:t>
      </w:r>
      <w:r>
        <w:rPr>
          <w:i/>
          <w:iCs/>
        </w:rPr>
        <w:t xml:space="preserve">Identity Lifecycle Management Playbook</w:t>
      </w:r>
      <w:r>
        <w:t xml:space="preserve"> </w:t>
      </w:r>
      <w:r>
        <w:t xml:space="preserve">(Disclaimer; Executive Summary; lifecycle stages),</w:t>
      </w:r>
      <w:r>
        <w:t xml:space="preserve"> </w:t>
      </w:r>
      <w:hyperlink r:id="rId67">
        <w:r>
          <w:rPr>
            <w:rStyle w:val="Hyperlink"/>
          </w:rPr>
          <w:t xml:space="preserve">https://www.idmanagement.gov/playbooks/ilm/</w:t>
        </w:r>
      </w:hyperlink>
      <w:r>
        <w:t xml:space="preserve"> </w:t>
      </w:r>
      <w:r>
        <w:t xml:space="preserve">(accessed Oct 20, 2026).</w:t>
      </w:r>
    </w:p>
  </w:footnote>
  <w:footnote w:id="8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81">
        <w:r>
          <w:rPr>
            <w:rStyle w:val="Hyperlink"/>
          </w:rPr>
          <w:t xml:space="preserve">https://nvlpubs.nist.gov/nistpubs/SpecialPublications/NIST.SP.800-53r5.pdf</w:t>
        </w:r>
      </w:hyperlink>
      <w:r>
        <w:t xml:space="preserve"> </w:t>
      </w:r>
      <w:r>
        <w:t xml:space="preserve">(accessed Oct 20, 2026).</w:t>
      </w:r>
    </w:p>
  </w:footnote>
  <w:footnote w:id="8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7">
        <w:r>
          <w:rPr>
            <w:rStyle w:val="Hyperlink"/>
          </w:rPr>
          <w:t xml:space="preserve">https://www.whitehouse.gov/wp-content/uploads/2022/01/M-22-09.pdf</w:t>
        </w:r>
      </w:hyperlink>
      <w:r>
        <w:t xml:space="preserve"> </w:t>
      </w:r>
      <w:r>
        <w:t xml:space="preserve">(accessed Oct 20, 2026). Identity actions (§III.A): centralized identity management systems for agency users and phishing-resistant MFA for agency staff, contractors and partners; per-request authorization is discussed in the same section.</w:t>
      </w:r>
    </w:p>
  </w:footnote>
  <w:footnote w:id="85">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§2.1 (tenets 3 and 4),</w:t>
      </w:r>
      <w:r>
        <w:t xml:space="preserve"> </w:t>
      </w:r>
      <w:hyperlink r:id="rId39">
        <w:r>
          <w:rPr>
            <w:rStyle w:val="Hyperlink"/>
          </w:rPr>
          <w:t xml:space="preserve">https://csrc.nist.gov/pubs/sp/800/207/final</w:t>
        </w:r>
      </w:hyperlink>
      <w:r>
        <w:t xml:space="preserve"> </w:t>
      </w:r>
      <w:r>
        <w:t xml:space="preserve">(accessed Oct 20, 2026).</w:t>
      </w:r>
    </w:p>
  </w:footnote>
  <w:footnote w:id="86">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§5.1 Identity,</w:t>
      </w:r>
      <w:r>
        <w:t xml:space="preserve"> </w:t>
      </w:r>
      <w:hyperlink r:id="rId41">
        <w:r>
          <w:rPr>
            <w:rStyle w:val="Hyperlink"/>
          </w:rPr>
          <w:t xml:space="preserve">https://www.cisa.gov/sites/default/files/2023-04/CISA_Zero_Trust_Maturity_Model_Version_2_508c.pdf</w:t>
        </w:r>
      </w:hyperlink>
      <w:r>
        <w:t xml:space="preserve"> </w:t>
      </w:r>
      <w:r>
        <w:t xml:space="preserve">(accessed Oct 20, 2026).</w:t>
      </w:r>
    </w:p>
  </w:footnote>
  <w:footnote w:id="87">
    <w:p>
      <w:pPr>
        <w:pStyle w:val="FootnoteText"/>
      </w:pPr>
      <w:r>
        <w:rPr>
          <w:rStyle w:val="FootnoteReference"/>
        </w:rPr>
        <w:footnoteRef/>
      </w:r>
      <w:r>
        <w:t xml:space="preserve"> </w:t>
      </w:r>
      <w:r>
        <w:t xml:space="preserve">Office of Management and Budget, M-19-26,</w:t>
      </w:r>
      <w:r>
        <w:t xml:space="preserve"> </w:t>
      </w:r>
      <w:r>
        <w:rPr>
          <w:i/>
          <w:iCs/>
        </w:rPr>
        <w:t xml:space="preserve">Update to the Trusted Internet Connections (TIC) Initiative</w:t>
      </w:r>
      <w:r>
        <w:t xml:space="preserve">, September 12, 2019,</w:t>
      </w:r>
      <w:r>
        <w:t xml:space="preserve"> </w:t>
      </w:r>
      <w:hyperlink r:id="rId43">
        <w:r>
          <w:rPr>
            <w:rStyle w:val="Hyperlink"/>
          </w:rPr>
          <w:t xml:space="preserve">https://www.whitehouse.gov/wp-content/uploads/2019/09/M-19-26.pdf</w:t>
        </w:r>
      </w:hyperlink>
      <w:r>
        <w:t xml:space="preserve"> </w:t>
      </w:r>
      <w:r>
        <w:t xml:space="preserve">(accessed Oct 20, 2026).</w:t>
      </w:r>
    </w:p>
  </w:footnote>
  <w:footnote w:id="88">
    <w:p>
      <w:pPr>
        <w:pStyle w:val="FootnoteText"/>
      </w:pPr>
      <w:r>
        <w:rPr>
          <w:rStyle w:val="FootnoteReference"/>
        </w:rPr>
        <w:footnoteRef/>
      </w:r>
      <w:r>
        <w:t xml:space="preserve"> </w:t>
      </w:r>
      <w:r>
        <w:t xml:space="preserve">Cybersecurity and Infrastructure Security Agency,</w:t>
      </w:r>
      <w:r>
        <w:t xml:space="preserve"> </w:t>
      </w:r>
      <w:r>
        <w:t xml:space="preserve">“Trusted Internet Connections (TIC)”</w:t>
      </w:r>
      <w:r>
        <w:t xml:space="preserve"> </w:t>
      </w:r>
      <w:r>
        <w:t xml:space="preserve">(TIC 3.0 core guidance and the remote user, branch office and cloud use cases),</w:t>
      </w:r>
      <w:r>
        <w:t xml:space="preserve"> </w:t>
      </w:r>
      <w:hyperlink r:id="rId89">
        <w:r>
          <w:rPr>
            <w:rStyle w:val="Hyperlink"/>
          </w:rPr>
          <w:t xml:space="preserve">https://www.cisa.gov/resources-tools/programs/trusted-internet-connections-tic</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96">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65">
        <w:r>
          <w:rPr>
            <w:rStyle w:val="Hyperlink"/>
          </w:rPr>
          <w:t xml:space="preserve">https://www.whitehouse.gov/wp-content/uploads/2019/05/M-19-17.pdf</w:t>
        </w:r>
      </w:hyperlink>
      <w:r>
        <w:t xml:space="preserve"> </w:t>
      </w:r>
      <w:r>
        <w:t xml:space="preserve">(accessed Oct 20, 2026).</w:t>
      </w:r>
    </w:p>
  </w:footnote>
  <w:footnote w:id="97">
    <w:p>
      <w:pPr>
        <w:pStyle w:val="FootnoteText"/>
      </w:pPr>
      <w:r>
        <w:rPr>
          <w:rStyle w:val="FootnoteReference"/>
        </w:rPr>
        <w:footnoteRef/>
      </w:r>
      <w:r>
        <w:t xml:space="preserve"> </w:t>
      </w:r>
      <w:r>
        <w:t xml:space="preserve">General Services Administration, IDManagement.gov,</w:t>
      </w:r>
      <w:r>
        <w:t xml:space="preserve"> </w:t>
      </w:r>
      <w:r>
        <w:rPr>
          <w:i/>
          <w:iCs/>
        </w:rPr>
        <w:t xml:space="preserve">Identity Lifecycle Management Playbook</w:t>
      </w:r>
      <w:r>
        <w:t xml:space="preserve"> </w:t>
      </w:r>
      <w:r>
        <w:t xml:space="preserve">(Executive Summary; the disclaimer states it</w:t>
      </w:r>
      <w:r>
        <w:t xml:space="preserve"> </w:t>
      </w:r>
      <w:r>
        <w:t xml:space="preserve">“is not official policy”</w:t>
      </w:r>
      <w:r>
        <w:t xml:space="preserve">),</w:t>
      </w:r>
      <w:r>
        <w:t xml:space="preserve"> </w:t>
      </w:r>
      <w:hyperlink r:id="rId67">
        <w:r>
          <w:rPr>
            <w:rStyle w:val="Hyperlink"/>
          </w:rPr>
          <w:t xml:space="preserve">https://www.idmanagement.gov/playbooks/ilm/</w:t>
        </w:r>
      </w:hyperlink>
      <w:r>
        <w:t xml:space="preserve"> </w:t>
      </w:r>
      <w:r>
        <w:t xml:space="preserve">(accessed Oct 20, 2026).</w:t>
      </w:r>
    </w:p>
  </w:footnote>
  <w:footnote w:id="98">
    <w:p>
      <w:pPr>
        <w:pStyle w:val="FootnoteText"/>
      </w:pPr>
      <w:r>
        <w:rPr>
          <w:rStyle w:val="FootnoteReference"/>
        </w:rPr>
        <w:footnoteRef/>
      </w:r>
      <w:r>
        <w:t xml:space="preserve"> </w:t>
      </w:r>
      <w:r>
        <w:t xml:space="preserve">General Services Administration, IDManagement.gov,</w:t>
      </w:r>
      <w:r>
        <w:t xml:space="preserve"> </w:t>
      </w:r>
      <w:r>
        <w:t xml:space="preserve">“FICAM Architecture”</w:t>
      </w:r>
      <w:r>
        <w:t xml:space="preserve"> </w:t>
      </w:r>
      <w:r>
        <w:t xml:space="preserve">(Services Framework: Identity Management; authoritative sources),</w:t>
      </w:r>
      <w:r>
        <w:t xml:space="preserve"> </w:t>
      </w:r>
      <w:hyperlink r:id="rId99">
        <w:r>
          <w:rPr>
            <w:rStyle w:val="Hyperlink"/>
          </w:rPr>
          <w:t xml:space="preserve">https://www.idmanagement.gov/arch/</w:t>
        </w:r>
      </w:hyperlink>
      <w:r>
        <w:t xml:space="preserve"> </w:t>
      </w:r>
      <w:r>
        <w:t xml:space="preserve">(accessed Oct 20, 2026).</w:t>
      </w:r>
    </w:p>
  </w:footnote>
  <w:footnote w:id="10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81">
        <w:r>
          <w:rPr>
            <w:rStyle w:val="Hyperlink"/>
          </w:rPr>
          <w:t xml:space="preserve">https://nvlpubs.nist.gov/nistpubs/SpecialPublications/NIST.SP.800-53r5.pdf</w:t>
        </w:r>
      </w:hyperlink>
      <w:r>
        <w:t xml:space="preserve"> </w:t>
      </w:r>
      <w:r>
        <w:t xml:space="preserve">(accessed Oct 20, 2026).</w:t>
      </w:r>
    </w:p>
  </w:footnote>
  <w:footnote w:id="101">
    <w:p>
      <w:pPr>
        <w:pStyle w:val="FootnoteText"/>
      </w:pPr>
      <w:r>
        <w:rPr>
          <w:rStyle w:val="FootnoteReference"/>
        </w:rPr>
        <w:footnoteRef/>
      </w:r>
      <w:r>
        <w:t xml:space="preserve"> </w:t>
      </w:r>
      <w:r>
        <w:t xml:space="preserve">Foundations for Evidence-Based Policymaking Act of 2018, Pub. L. 115-435, 132 Stat. 5529 (January 14, 2019),</w:t>
      </w:r>
      <w:r>
        <w:t xml:space="preserve"> </w:t>
      </w:r>
      <w:hyperlink r:id="rId102">
        <w:r>
          <w:rPr>
            <w:rStyle w:val="Hyperlink"/>
          </w:rPr>
          <w:t xml:space="preserve">https://www.govinfo.gov/content/pkg/PLAW-115publ435/html/PLAW-115publ435.htm</w:t>
        </w:r>
      </w:hyperlink>
      <w:r>
        <w:t xml:space="preserve"> </w:t>
      </w:r>
      <w:r>
        <w:t xml:space="preserve">(accessed Oct 20, 2026).</w:t>
      </w:r>
    </w:p>
  </w:footnote>
  <w:footnote w:id="103">
    <w:p>
      <w:pPr>
        <w:pStyle w:val="FootnoteText"/>
      </w:pPr>
      <w:r>
        <w:rPr>
          <w:rStyle w:val="FootnoteReference"/>
        </w:rPr>
        <w:footnoteRef/>
      </w:r>
      <w:r>
        <w:t xml:space="preserve"> </w:t>
      </w:r>
      <w:r>
        <w:t xml:space="preserve">Office of Management and Budget, M-19-18,</w:t>
      </w:r>
      <w:r>
        <w:t xml:space="preserve"> </w:t>
      </w:r>
      <w:r>
        <w:rPr>
          <w:i/>
          <w:iCs/>
        </w:rPr>
        <w:t xml:space="preserve">Federal Data Strategy — A Framework for Consistency</w:t>
      </w:r>
      <w:r>
        <w:t xml:space="preserve">, June 4, 2019 (principles on data quality, documentation and provenance),</w:t>
      </w:r>
      <w:r>
        <w:t xml:space="preserve"> </w:t>
      </w:r>
      <w:hyperlink r:id="rId104">
        <w:r>
          <w:rPr>
            <w:rStyle w:val="Hyperlink"/>
          </w:rPr>
          <w:t xml:space="preserve">https://www.whitehouse.gov/wp-content/uploads/2019/06/M-19-18.pdf</w:t>
        </w:r>
      </w:hyperlink>
      <w:r>
        <w:t xml:space="preserve"> </w:t>
      </w:r>
      <w:r>
        <w:t xml:space="preserve">(accessed Oct 20, 2026).</w:t>
      </w:r>
    </w:p>
  </w:footnote>
  <w:footnote w:id="10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81">
        <w:r>
          <w:rPr>
            <w:rStyle w:val="Hyperlink"/>
          </w:rPr>
          <w:t xml:space="preserve">https://nvlpubs.nist.gov/nistpubs/SpecialPublications/NIST.SP.800-53r5.pdf</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r>
        <w:t xml:space="preserve">(definition; enabled scenarios for hiring, updates, terminations and rehires),</w:t>
      </w:r>
      <w:r>
        <w:t xml:space="preserve"> </w:t>
      </w:r>
      <w:hyperlink r:id="rId22">
        <w:r>
          <w:rPr>
            <w:rStyle w:val="Hyperlink"/>
          </w:rPr>
          <w:t xml:space="preserve">https://learn.microsoft.com/en-us/entra/identity/app-provisioning/what-is-hr-driven-provisioning</w:t>
        </w:r>
      </w:hyperlink>
      <w:r>
        <w:t xml:space="preserve"> </w:t>
      </w:r>
      <w:r>
        <w:t xml:space="preserve">(accessed Oct 20, 2026).</w:t>
      </w:r>
    </w:p>
  </w:footnote>
  <w:footnote w:id="114">
    <w:p>
      <w:pPr>
        <w:pStyle w:val="FootnoteText"/>
      </w:pPr>
      <w:r>
        <w:rPr>
          <w:rStyle w:val="FootnoteReference"/>
        </w:rPr>
        <w:footnoteRef/>
      </w:r>
      <w:r>
        <w:t xml:space="preserve"> </w:t>
      </w:r>
      <w:r>
        <w:t xml:space="preserve">Office of Personnel Management,</w:t>
      </w:r>
      <w:r>
        <w:t xml:space="preserve"> </w:t>
      </w:r>
      <w:r>
        <w:t xml:space="preserve">“Enterprise Human Resources Integration,”</w:t>
      </w:r>
      <w:r>
        <w:t xml:space="preserve"> </w:t>
      </w:r>
      <w:hyperlink r:id="rId115">
        <w:r>
          <w:rPr>
            <w:rStyle w:val="Hyperlink"/>
          </w:rPr>
          <w:t xml:space="preserve">https://www.opm.gov/policy-data-oversight/data-analysis-documentation/enterprise-human-resources-integration</w:t>
        </w:r>
      </w:hyperlink>
      <w:r>
        <w:t xml:space="preserve"> </w:t>
      </w:r>
      <w:r>
        <w:t xml:space="preserve">(accessed Oct 20, 2026). Describes EHRI as one of five OPM-led e-Government initiatives, responsible for the integrity of eOPF and for government-wide HR data.</w:t>
      </w:r>
    </w:p>
  </w:footnote>
  <w:footnote w:id="116">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17">
    <w:p>
      <w:pPr>
        <w:pStyle w:val="FootnoteText"/>
      </w:pPr>
      <w:r>
        <w:rPr>
          <w:rStyle w:val="FootnoteReference"/>
        </w:rPr>
        <w:footnoteRef/>
      </w:r>
      <w:r>
        <w:t xml:space="preserve"> </w:t>
      </w:r>
      <w:r>
        <w:t xml:space="preserve">Office of Management and Budget, M-19-16,</w:t>
      </w:r>
      <w:r>
        <w:t xml:space="preserve"> </w:t>
      </w:r>
      <w:r>
        <w:rPr>
          <w:i/>
          <w:iCs/>
        </w:rPr>
        <w:t xml:space="preserve">Centralized Mission Support Capabilities for the Federal Government</w:t>
      </w:r>
      <w:r>
        <w:t xml:space="preserve">, April 26, 2019,</w:t>
      </w:r>
      <w:r>
        <w:t xml:space="preserve"> </w:t>
      </w:r>
      <w:hyperlink r:id="rId118">
        <w:r>
          <w:rPr>
            <w:rStyle w:val="Hyperlink"/>
          </w:rPr>
          <w:t xml:space="preserve">https://www.whitehouse.gov/wp-content/uploads/2019/04/M-19-16.pdf</w:t>
        </w:r>
      </w:hyperlink>
      <w:r>
        <w:t xml:space="preserve"> </w:t>
      </w:r>
      <w:r>
        <w:t xml:space="preserve">(accessed Oct 20, 2026).</w:t>
      </w:r>
    </w:p>
  </w:footnote>
  <w:footnote w:id="119">
    <w:p>
      <w:pPr>
        <w:pStyle w:val="FootnoteText"/>
      </w:pPr>
      <w:r>
        <w:rPr>
          <w:rStyle w:val="FootnoteReference"/>
        </w:rPr>
        <w:footnoteRef/>
      </w:r>
      <w:r>
        <w:t xml:space="preserve"> </w:t>
      </w:r>
      <w:r>
        <w:t xml:space="preserve">FedScoop (trade press),</w:t>
      </w:r>
      <w:r>
        <w:t xml:space="preserve"> </w:t>
      </w:r>
      <w:r>
        <w:t xml:space="preserve">“OPM was quietly redesignated the point office for HR shared services,”</w:t>
      </w:r>
      <w:r>
        <w:t xml:space="preserve"> </w:t>
      </w:r>
      <w:r>
        <w:t xml:space="preserve">April 28, 2022,</w:t>
      </w:r>
      <w:r>
        <w:t xml:space="preserve"> </w:t>
      </w:r>
      <w:hyperlink r:id="rId120">
        <w:r>
          <w:rPr>
            <w:rStyle w:val="Hyperlink"/>
          </w:rPr>
          <w:t xml:space="preserve">https://fedscoop.com/opm-hr-shared-services-qsmo/</w:t>
        </w:r>
      </w:hyperlink>
      <w:r>
        <w:t xml:space="preserve"> </w:t>
      </w:r>
      <w:r>
        <w:t xml:space="preserve">(accessed Oct 20, 2026). Reports that OMB redesignated OPM as the HR QSMO on March 30, 2022, a role first given to GSA.</w:t>
      </w:r>
    </w:p>
  </w:footnote>
  <w:footnote w:id="121">
    <w:p>
      <w:pPr>
        <w:pStyle w:val="FootnoteText"/>
      </w:pPr>
      <w:r>
        <w:rPr>
          <w:rStyle w:val="FootnoteReference"/>
        </w:rPr>
        <w:footnoteRef/>
      </w:r>
      <w:r>
        <w:t xml:space="preserve"> </w:t>
      </w:r>
      <w:r>
        <w:t xml:space="preserve">Office of Personnel Management,</w:t>
      </w:r>
      <w:r>
        <w:t xml:space="preserve"> </w:t>
      </w:r>
      <w:r>
        <w:t xml:space="preserve">“HR Quality Services Management Office,”</w:t>
      </w:r>
      <w:r>
        <w:t xml:space="preserve"> </w:t>
      </w:r>
      <w:hyperlink r:id="rId122">
        <w:r>
          <w:rPr>
            <w:rStyle w:val="Hyperlink"/>
          </w:rPr>
          <w:t xml:space="preserve">https://www.opm.gov/agency-services/hr-governance/hr-quality-services-management-office/</w:t>
        </w:r>
      </w:hyperlink>
      <w:r>
        <w:t xml:space="preserve"> </w:t>
      </w:r>
      <w:r>
        <w:t xml:space="preserve">(accessed Oct 20, 2026).</w:t>
      </w:r>
    </w:p>
  </w:footnote>
  <w:footnote w:id="125">
    <w:p>
      <w:pPr>
        <w:pStyle w:val="FootnoteText"/>
      </w:pPr>
      <w:r>
        <w:rPr>
          <w:rStyle w:val="FootnoteReference"/>
        </w:rPr>
        <w:footnoteRef/>
      </w:r>
      <w:r>
        <w:t xml:space="preserve"> </w:t>
      </w:r>
      <w:r>
        <w:t xml:space="preserve">National Partnership for Reinventing Government (archived), OPM announcement on the Central Personnel Data File, July 16, 1998 (</w:t>
      </w:r>
      <w:r>
        <w:t xml:space="preserve">“The CPDF started in 1972”</w:t>
      </w:r>
      <w:r>
        <w:t xml:space="preserve">),</w:t>
      </w:r>
      <w:r>
        <w:t xml:space="preserve"> </w:t>
      </w:r>
      <w:hyperlink r:id="rId126">
        <w:r>
          <w:rPr>
            <w:rStyle w:val="Hyperlink"/>
          </w:rPr>
          <w:t xml:space="preserve">https://govinfo.library.unt.edu/npr/library/announc/cpdf.htm</w:t>
        </w:r>
      </w:hyperlink>
      <w:r>
        <w:t xml:space="preserve"> </w:t>
      </w:r>
      <w:r>
        <w:t xml:space="preserve">(accessed Oct 20, 2026).</w:t>
      </w:r>
    </w:p>
  </w:footnote>
  <w:footnote w:id="127">
    <w:p>
      <w:pPr>
        <w:pStyle w:val="FootnoteText"/>
      </w:pPr>
      <w:r>
        <w:rPr>
          <w:rStyle w:val="FootnoteReference"/>
        </w:rPr>
        <w:footnoteRef/>
      </w:r>
      <w:r>
        <w:t xml:space="preserve"> </w:t>
      </w:r>
      <w:r>
        <w:t xml:space="preserve">Office of Management and Budget, E-Government initiatives (archived),</w:t>
      </w:r>
      <w:r>
        <w:t xml:space="preserve"> </w:t>
      </w:r>
      <w:r>
        <w:t xml:space="preserve">“e-Payroll”</w:t>
      </w:r>
      <w:r>
        <w:t xml:space="preserve"> </w:t>
      </w:r>
      <w:r>
        <w:t xml:space="preserve">(consolidating 26 executive branch payroll providers to four, with OPM leading),</w:t>
      </w:r>
      <w:r>
        <w:t xml:space="preserve"> </w:t>
      </w:r>
      <w:hyperlink r:id="rId128">
        <w:r>
          <w:rPr>
            <w:rStyle w:val="Hyperlink"/>
          </w:rPr>
          <w:t xml:space="preserve">https://georgewbush-whitehouse.archives.gov/omb/egov/c-4-5-ePay.html</w:t>
        </w:r>
      </w:hyperlink>
      <w:r>
        <w:t xml:space="preserve"> </w:t>
      </w:r>
      <w:r>
        <w:t xml:space="preserve">(accessed Oct 20, 2026).</w:t>
      </w:r>
    </w:p>
  </w:footnote>
  <w:footnote w:id="129">
    <w:p>
      <w:pPr>
        <w:pStyle w:val="FootnoteText"/>
      </w:pPr>
      <w:r>
        <w:rPr>
          <w:rStyle w:val="FootnoteReference"/>
        </w:rPr>
        <w:footnoteRef/>
      </w:r>
      <w:r>
        <w:t xml:space="preserve"> </w:t>
      </w:r>
      <w:r>
        <w:t xml:space="preserve">Nextgov (trade press),</w:t>
      </w:r>
      <w:r>
        <w:t xml:space="preserve"> </w:t>
      </w:r>
      <w:r>
        <w:t xml:space="preserve">“OPM claims victory in huge e-payroll system consolidation,”</w:t>
      </w:r>
      <w:r>
        <w:t xml:space="preserve"> </w:t>
      </w:r>
      <w:r>
        <w:t xml:space="preserve">October 21, 2009 (the migration from 26 payroll systems to four shared-service centers took seven years),</w:t>
      </w:r>
      <w:r>
        <w:t xml:space="preserve"> </w:t>
      </w:r>
      <w:hyperlink r:id="rId130">
        <w:r>
          <w:rPr>
            <w:rStyle w:val="Hyperlink"/>
          </w:rPr>
          <w:t xml:space="preserve">https://www.nextgov.com/digital-government/2009/10/opm-claims-victory-in-huge-e-payroll-system-consolidation/45086/</w:t>
        </w:r>
      </w:hyperlink>
      <w:r>
        <w:t xml:space="preserve"> </w:t>
      </w:r>
      <w:r>
        <w:t xml:space="preserve">(accessed Oct 20, 2026).</w:t>
      </w:r>
    </w:p>
  </w:footnote>
  <w:footnote w:id="131">
    <w:p>
      <w:pPr>
        <w:pStyle w:val="FootnoteText"/>
      </w:pPr>
      <w:r>
        <w:rPr>
          <w:rStyle w:val="FootnoteReference"/>
        </w:rPr>
        <w:footnoteRef/>
      </w:r>
      <w:r>
        <w:t xml:space="preserve"> </w:t>
      </w:r>
      <w:r>
        <w:t xml:space="preserve">Office of Management and Budget, E-Government press release (archived), Human Resources Line of Business, January 31, 2005 (OPM formed and led an inter-agency task force of 22 agencies; government-wide shared service centers),</w:t>
      </w:r>
      <w:r>
        <w:t xml:space="preserve"> </w:t>
      </w:r>
      <w:hyperlink r:id="rId132">
        <w:r>
          <w:rPr>
            <w:rStyle w:val="Hyperlink"/>
          </w:rPr>
          <w:t xml:space="preserve">https://georgewbush-whitehouse.archives.gov/omb/egov/press_releases/lines_business/050131_OPM_hr_lines_bus.html</w:t>
        </w:r>
      </w:hyperlink>
      <w:r>
        <w:t xml:space="preserve"> </w:t>
      </w:r>
      <w:r>
        <w:t xml:space="preserve">(accessed Oct 20, 2026).</w:t>
      </w:r>
    </w:p>
  </w:footnote>
  <w:footnote w:id="133">
    <w:p>
      <w:pPr>
        <w:pStyle w:val="FootnoteText"/>
      </w:pPr>
      <w:r>
        <w:rPr>
          <w:rStyle w:val="FootnoteReference"/>
        </w:rPr>
        <w:footnoteRef/>
      </w:r>
      <w:r>
        <w:t xml:space="preserve"> </w:t>
      </w:r>
      <w:r>
        <w:t xml:space="preserve">Office of Personnel Management,</w:t>
      </w:r>
      <w:r>
        <w:t xml:space="preserve"> </w:t>
      </w:r>
      <w:r>
        <w:t xml:space="preserve">“Enterprise Human Resources Integration,”</w:t>
      </w:r>
      <w:r>
        <w:t xml:space="preserve"> </w:t>
      </w:r>
      <w:hyperlink r:id="rId115">
        <w:r>
          <w:rPr>
            <w:rStyle w:val="Hyperlink"/>
          </w:rPr>
          <w:t xml:space="preserve">https://www.opm.gov/policy-data-oversight/data-analysis-documentation/enterprise-human-resources-integration</w:t>
        </w:r>
      </w:hyperlink>
      <w:r>
        <w:t xml:space="preserve"> </w:t>
      </w:r>
      <w:r>
        <w:t xml:space="preserve">(accessed Oct 20, 2026). Describes EHRI as one of five OPM-led e-Government initiatives, responsible for the integrity of eOPF and for government-wide HR data.</w:t>
      </w:r>
    </w:p>
  </w:footnote>
  <w:footnote w:id="134">
    <w:p>
      <w:pPr>
        <w:pStyle w:val="FootnoteText"/>
      </w:pPr>
      <w:r>
        <w:rPr>
          <w:rStyle w:val="FootnoteReference"/>
        </w:rPr>
        <w:footnoteRef/>
      </w:r>
      <w:r>
        <w:t xml:space="preserve"> </w:t>
      </w:r>
      <w:r>
        <w:t xml:space="preserve">Office of Personnel Management,</w:t>
      </w:r>
      <w:r>
        <w:t xml:space="preserve"> </w:t>
      </w:r>
      <w:r>
        <w:t xml:space="preserve">“Central Personnel Data File (CPDF),”</w:t>
      </w:r>
      <w:r>
        <w:t xml:space="preserve"> </w:t>
      </w:r>
      <w:r>
        <w:t xml:space="preserve">Data.gov catalog (</w:t>
      </w:r>
      <w:r>
        <w:t xml:space="preserve">“Precursor to the Enterprise Human Resources Integration-Statistical Data Mart”</w:t>
      </w:r>
      <w:r>
        <w:t xml:space="preserve">),</w:t>
      </w:r>
      <w:r>
        <w:t xml:space="preserve"> </w:t>
      </w:r>
      <w:hyperlink r:id="rId135">
        <w:r>
          <w:rPr>
            <w:rStyle w:val="Hyperlink"/>
          </w:rPr>
          <w:t xml:space="preserve">https://catalog.data.gov/dataset/central-personnel-data-file-cpdf</w:t>
        </w:r>
      </w:hyperlink>
      <w:r>
        <w:t xml:space="preserve"> </w:t>
      </w:r>
      <w:r>
        <w:t xml:space="preserve">(accessed Oct 20, 2026).</w:t>
      </w:r>
    </w:p>
  </w:footnote>
  <w:footnote w:id="136">
    <w:p>
      <w:pPr>
        <w:pStyle w:val="FootnoteText"/>
      </w:pPr>
      <w:r>
        <w:rPr>
          <w:rStyle w:val="FootnoteReference"/>
        </w:rPr>
        <w:footnoteRef/>
      </w:r>
      <w:r>
        <w:t xml:space="preserve"> </w:t>
      </w:r>
      <w:r>
        <w:t xml:space="preserve">Office of Management and Budget, M-19-16,</w:t>
      </w:r>
      <w:r>
        <w:t xml:space="preserve"> </w:t>
      </w:r>
      <w:r>
        <w:rPr>
          <w:i/>
          <w:iCs/>
        </w:rPr>
        <w:t xml:space="preserve">Centralized Mission Support Capabilities for the Federal Government</w:t>
      </w:r>
      <w:r>
        <w:t xml:space="preserve">, April 26, 2019,</w:t>
      </w:r>
      <w:r>
        <w:t xml:space="preserve"> </w:t>
      </w:r>
      <w:hyperlink r:id="rId118">
        <w:r>
          <w:rPr>
            <w:rStyle w:val="Hyperlink"/>
          </w:rPr>
          <w:t xml:space="preserve">https://www.whitehouse.gov/wp-content/uploads/2019/04/M-19-16.pdf</w:t>
        </w:r>
      </w:hyperlink>
      <w:r>
        <w:t xml:space="preserve"> </w:t>
      </w:r>
      <w:r>
        <w:t xml:space="preserve">(accessed Oct 20, 2026).</w:t>
      </w:r>
    </w:p>
  </w:footnote>
  <w:footnote w:id="137">
    <w:p>
      <w:pPr>
        <w:pStyle w:val="FootnoteText"/>
      </w:pPr>
      <w:r>
        <w:rPr>
          <w:rStyle w:val="FootnoteReference"/>
        </w:rPr>
        <w:footnoteRef/>
      </w:r>
      <w:r>
        <w:t xml:space="preserve"> </w:t>
      </w:r>
      <w:r>
        <w:t xml:space="preserve">FedScoop (trade press),</w:t>
      </w:r>
      <w:r>
        <w:t xml:space="preserve"> </w:t>
      </w:r>
      <w:r>
        <w:t xml:space="preserve">“OPM was quietly redesignated the point office for HR shared services,”</w:t>
      </w:r>
      <w:r>
        <w:t xml:space="preserve"> </w:t>
      </w:r>
      <w:r>
        <w:t xml:space="preserve">April 28, 2022,</w:t>
      </w:r>
      <w:r>
        <w:t xml:space="preserve"> </w:t>
      </w:r>
      <w:hyperlink r:id="rId120">
        <w:r>
          <w:rPr>
            <w:rStyle w:val="Hyperlink"/>
          </w:rPr>
          <w:t xml:space="preserve">https://fedscoop.com/opm-hr-shared-services-qsmo/</w:t>
        </w:r>
      </w:hyperlink>
      <w:r>
        <w:t xml:space="preserve"> </w:t>
      </w:r>
      <w:r>
        <w:t xml:space="preserve">(accessed Oct 20, 2026). Reports that OMB redesignated OPM as the HR QSMO on March 30, 2022, a role first given to GSA.</w:t>
      </w:r>
    </w:p>
  </w:footnote>
  <w:footnote w:id="138">
    <w:p>
      <w:pPr>
        <w:pStyle w:val="FootnoteText"/>
      </w:pPr>
      <w:r>
        <w:rPr>
          <w:rStyle w:val="FootnoteReference"/>
        </w:rPr>
        <w:footnoteRef/>
      </w:r>
      <w:r>
        <w:t xml:space="preserve"> </w:t>
      </w:r>
      <w:r>
        <w:t xml:space="preserve">FedScoop (trade press),</w:t>
      </w:r>
      <w:r>
        <w:t xml:space="preserve"> </w:t>
      </w:r>
      <w:r>
        <w:t xml:space="preserve">“OPM’s new HR Marketplace aims to be</w:t>
      </w:r>
      <w:r>
        <w:t xml:space="preserve"> </w:t>
      </w:r>
      <w:r>
        <w:t xml:space="preserve">‘community center’</w:t>
      </w:r>
      <w:r>
        <w:t xml:space="preserve"> </w:t>
      </w:r>
      <w:r>
        <w:t xml:space="preserve">for federal services,”</w:t>
      </w:r>
      <w:r>
        <w:t xml:space="preserve"> </w:t>
      </w:r>
      <w:r>
        <w:t xml:space="preserve">May 1, 2024,</w:t>
      </w:r>
      <w:r>
        <w:t xml:space="preserve"> </w:t>
      </w:r>
      <w:hyperlink r:id="rId139">
        <w:r>
          <w:rPr>
            <w:rStyle w:val="Hyperlink"/>
          </w:rPr>
          <w:t xml:space="preserve">https://fedscoop.com/opm-launches-hr-marketplace/</w:t>
        </w:r>
      </w:hyperlink>
      <w:r>
        <w:t xml:space="preserve"> </w:t>
      </w:r>
      <w:r>
        <w:t xml:space="preserve">(accessed Oct 20, 2026).</w:t>
      </w:r>
    </w:p>
  </w:footnote>
  <w:footnote w:id="140">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41">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26">
        <w:r>
          <w:rPr>
            <w:rStyle w:val="Hyperlink"/>
          </w:rPr>
          <w:t xml:space="preserve">https://www.opm.gov/news/news-releases/opm-awards-contract-for-first-ever-governmentwide-hr-platform/</w:t>
        </w:r>
      </w:hyperlink>
      <w:r>
        <w:t xml:space="preserve"> </w:t>
      </w:r>
      <w:r>
        <w:t xml:space="preserve">(accessed Oct 20, 2026).</w:t>
      </w:r>
    </w:p>
  </w:footnote>
  <w:footnote w:id="142">
    <w:p>
      <w:pPr>
        <w:pStyle w:val="FootnoteText"/>
      </w:pPr>
      <w:r>
        <w:rPr>
          <w:rStyle w:val="FootnoteReference"/>
        </w:rPr>
        <w:footnoteRef/>
      </w:r>
      <w:r>
        <w:t xml:space="preserve"> </w:t>
      </w:r>
      <w:r>
        <w:t xml:space="preserve">Oracle,</w:t>
      </w:r>
      <w:r>
        <w:t xml:space="preserve"> </w:t>
      </w:r>
      <w:r>
        <w:t xml:space="preserve">“U.S. Office of Personnel Management Selects Oracle to Power Federal Workforce Modernization,”</w:t>
      </w:r>
      <w:r>
        <w:t xml:space="preserve"> </w:t>
      </w:r>
      <w:r>
        <w:t xml:space="preserve">June 11, 2026 (Oracle Fusion Cloud Human Capital Management; $395.8 million Federal HRIT Modernization Core HCM contract),</w:t>
      </w:r>
      <w:r>
        <w:t xml:space="preserve"> </w:t>
      </w:r>
      <w:hyperlink r:id="rId27">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143">
    <w:p>
      <w:pPr>
        <w:pStyle w:val="FootnoteText"/>
      </w:pPr>
      <w:r>
        <w:rPr>
          <w:rStyle w:val="FootnoteReference"/>
        </w:rPr>
        <w:footnoteRef/>
      </w:r>
      <w:r>
        <w:t xml:space="preserve"> </w:t>
      </w:r>
      <w:r>
        <w:t xml:space="preserve">Federal News Network (trade press),</w:t>
      </w:r>
      <w:r>
        <w:t xml:space="preserve"> </w:t>
      </w:r>
      <w:r>
        <w:t xml:space="preserve">“OPM awards major HR IT modernization contract to Oracle,”</w:t>
      </w:r>
      <w:r>
        <w:t xml:space="preserve"> </w:t>
      </w:r>
      <w:r>
        <w:t xml:space="preserve">June 10, 2026 (initial July 2027 launch target likely to slip by at least six months; first wave expected to onboard early in FY 2027),</w:t>
      </w:r>
      <w:r>
        <w:t xml:space="preserve"> </w:t>
      </w:r>
      <w:hyperlink r:id="rId144">
        <w:r>
          <w:rPr>
            <w:rStyle w:val="Hyperlink"/>
          </w:rPr>
          <w:t xml:space="preserve">https://federalnewsnetwork.com/contracting/2026/06/opm-awards-major-hr-it-modernization-contract-to-oracle/</w:t>
        </w:r>
      </w:hyperlink>
      <w:r>
        <w:t xml:space="preserve"> </w:t>
      </w:r>
      <w:r>
        <w:t xml:space="preserve">(accessed Oct 20, 2026).</w:t>
      </w:r>
    </w:p>
  </w:footnote>
  <w:footnote w:id="145">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46">
    <w:p>
      <w:pPr>
        <w:pStyle w:val="FootnoteText"/>
      </w:pPr>
      <w:r>
        <w:rPr>
          <w:rStyle w:val="FootnoteReference"/>
        </w:rPr>
        <w:footnoteRef/>
      </w:r>
      <w:r>
        <w:t xml:space="preserve"> </w:t>
      </w:r>
      <w:r>
        <w:t xml:space="preserve">MeriTalk (trade press),</w:t>
      </w:r>
      <w:r>
        <w:t xml:space="preserve"> </w:t>
      </w:r>
      <w:r>
        <w:t xml:space="preserve">“OPM Eyes $40M Annual Cost for Governmentwide HR Platform,”</w:t>
      </w:r>
      <w:r>
        <w:t xml:space="preserve"> </w:t>
      </w:r>
      <w:r>
        <w:t xml:space="preserve">September 1, 2026,</w:t>
      </w:r>
      <w:r>
        <w:t xml:space="preserve"> </w:t>
      </w:r>
      <w:hyperlink r:id="rId147">
        <w:r>
          <w:rPr>
            <w:rStyle w:val="Hyperlink"/>
          </w:rPr>
          <w:t xml:space="preserve">https://www.meritalk.com/articles/opm-eyes-40m-annual-cost-for-governmentwide-hr-platform/</w:t>
        </w:r>
      </w:hyperlink>
      <w:r>
        <w:t xml:space="preserve"> </w:t>
      </w:r>
      <w:r>
        <w:t xml:space="preserve">(accessed Oct 20, 2026). Reports OPM Director Scott Kupor’s August 31 remarks that the first agencies would start moving onto the platform as the new fiscal year began; the January-to-March go-live window is the reporter’s summary.</w:t>
      </w:r>
    </w:p>
  </w:footnote>
  <w:footnote w:id="148">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50">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51">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26">
        <w:r>
          <w:rPr>
            <w:rStyle w:val="Hyperlink"/>
          </w:rPr>
          <w:t xml:space="preserve">https://www.opm.gov/news/news-releases/opm-awards-contract-for-first-ever-governmentwide-hr-platform/</w:t>
        </w:r>
      </w:hyperlink>
      <w:r>
        <w:t xml:space="preserve"> </w:t>
      </w:r>
      <w:r>
        <w:t xml:space="preserve">(accessed Oct 20, 2026).</w:t>
      </w:r>
    </w:p>
  </w:footnote>
  <w:footnote w:id="152">
    <w:p>
      <w:pPr>
        <w:pStyle w:val="FootnoteText"/>
      </w:pPr>
      <w:r>
        <w:rPr>
          <w:rStyle w:val="FootnoteReference"/>
        </w:rPr>
        <w:footnoteRef/>
      </w:r>
      <w:r>
        <w:t xml:space="preserve"> </w:t>
      </w:r>
      <w:r>
        <w:t xml:space="preserve">Oracle,</w:t>
      </w:r>
      <w:r>
        <w:t xml:space="preserve"> </w:t>
      </w:r>
      <w:r>
        <w:t xml:space="preserve">“U.S. Office of Personnel Management Selects Oracle to Power Federal Workforce Modernization,”</w:t>
      </w:r>
      <w:r>
        <w:t xml:space="preserve"> </w:t>
      </w:r>
      <w:r>
        <w:t xml:space="preserve">June 11, 2026 (Oracle Fusion Cloud Human Capital Management; $395.8 million Federal HRIT Modernization Core HCM contract),</w:t>
      </w:r>
      <w:r>
        <w:t xml:space="preserve"> </w:t>
      </w:r>
      <w:hyperlink r:id="rId27">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153">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5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55">
    <w:p>
      <w:pPr>
        <w:pStyle w:val="FootnoteText"/>
      </w:pPr>
      <w:r>
        <w:rPr>
          <w:rStyle w:val="FootnoteReference"/>
        </w:rPr>
        <w:footnoteRef/>
      </w:r>
      <w:r>
        <w:t xml:space="preserve"> </w:t>
      </w:r>
      <w:r>
        <w:t xml:space="preserve">MeriTalk (trade press),</w:t>
      </w:r>
      <w:r>
        <w:t xml:space="preserve"> </w:t>
      </w:r>
      <w:r>
        <w:t xml:space="preserve">“OPM Eyes $40M Annual Cost for Governmentwide HR Platform,”</w:t>
      </w:r>
      <w:r>
        <w:t xml:space="preserve"> </w:t>
      </w:r>
      <w:r>
        <w:t xml:space="preserve">September 1, 2026,</w:t>
      </w:r>
      <w:r>
        <w:t xml:space="preserve"> </w:t>
      </w:r>
      <w:hyperlink r:id="rId147">
        <w:r>
          <w:rPr>
            <w:rStyle w:val="Hyperlink"/>
          </w:rPr>
          <w:t xml:space="preserve">https://www.meritalk.com/articles/opm-eyes-40m-annual-cost-for-governmentwide-hr-platform/</w:t>
        </w:r>
      </w:hyperlink>
      <w:r>
        <w:t xml:space="preserve"> </w:t>
      </w:r>
      <w:r>
        <w:t xml:space="preserve">(accessed Oct 20, 2026). Reports OPM Director Scott Kupor’s August 31 remarks that the first agencies would start moving onto the platform as the new fiscal year began; the January-to-March go-live window is the reporter’s summary.</w:t>
      </w:r>
    </w:p>
  </w:footnote>
  <w:footnote w:id="156">
    <w:p>
      <w:pPr>
        <w:pStyle w:val="FootnoteText"/>
      </w:pPr>
      <w:r>
        <w:rPr>
          <w:rStyle w:val="FootnoteReference"/>
        </w:rPr>
        <w:footnoteRef/>
      </w:r>
      <w:r>
        <w:t xml:space="preserve"> </w:t>
      </w:r>
      <w:r>
        <w:t xml:space="preserve">Federal News Network (trade press),</w:t>
      </w:r>
      <w:r>
        <w:t xml:space="preserve"> </w:t>
      </w:r>
      <w:r>
        <w:t xml:space="preserve">“OPM awards major HR IT modernization contract to Oracle,”</w:t>
      </w:r>
      <w:r>
        <w:t xml:space="preserve"> </w:t>
      </w:r>
      <w:r>
        <w:t xml:space="preserve">June 10, 2026 (initial July 2027 launch target likely to slip by at least six months; first wave expected to onboard early in FY 2027),</w:t>
      </w:r>
      <w:r>
        <w:t xml:space="preserve"> </w:t>
      </w:r>
      <w:hyperlink r:id="rId144">
        <w:r>
          <w:rPr>
            <w:rStyle w:val="Hyperlink"/>
          </w:rPr>
          <w:t xml:space="preserve">https://federalnewsnetwork.com/contracting/2026/06/opm-awards-major-hr-it-modernization-contract-to-oracle/</w:t>
        </w:r>
      </w:hyperlink>
      <w:r>
        <w:t xml:space="preserve"> </w:t>
      </w:r>
      <w:r>
        <w:t xml:space="preserve">(accessed Oct 20, 2026).</w:t>
      </w:r>
    </w:p>
  </w:footnote>
  <w:footnote w:id="157">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58">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5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60">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61">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162">
        <w:r>
          <w:rPr>
            <w:rStyle w:val="Hyperlink"/>
          </w:rPr>
          <w:t xml:space="preserve">https://sam.gov/workspace/contract/opp/8cfe1844758c4fb2b10f5ef192b62f89/view</w:t>
        </w:r>
      </w:hyperlink>
      <w:r>
        <w:t xml:space="preserve"> </w:t>
      </w:r>
      <w:r>
        <w:t xml:space="preserve">(accessed Oct 20, 2026).</w:t>
      </w:r>
    </w:p>
  </w:footnote>
  <w:footnote w:id="163">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64">
    <w:p>
      <w:pPr>
        <w:pStyle w:val="FootnoteText"/>
      </w:pPr>
      <w:r>
        <w:rPr>
          <w:rStyle w:val="FootnoteReference"/>
        </w:rPr>
        <w:footnoteRef/>
      </w:r>
      <w:r>
        <w:t xml:space="preserve"> </w:t>
      </w:r>
      <w:r>
        <w:t xml:space="preserve">Office of Personnel Management,</w:t>
      </w:r>
      <w:r>
        <w:t xml:space="preserve"> </w:t>
      </w:r>
      <w:r>
        <w:t xml:space="preserve">“Core HCM,”</w:t>
      </w:r>
      <w:r>
        <w:t xml:space="preserve"> </w:t>
      </w:r>
      <w:hyperlink r:id="rId165">
        <w:r>
          <w:rPr>
            <w:rStyle w:val="Hyperlink"/>
          </w:rPr>
          <w:t xml:space="preserve">https://www.opm.gov/services-for-agencies/talent-systems/core-hcm/</w:t>
        </w:r>
      </w:hyperlink>
      <w:r>
        <w:t xml:space="preserve"> </w:t>
      </w:r>
      <w:r>
        <w:t xml:space="preserve">(accessed Oct 20, 2026).</w:t>
      </w:r>
    </w:p>
  </w:footnote>
  <w:footnote w:id="167">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162">
        <w:r>
          <w:rPr>
            <w:rStyle w:val="Hyperlink"/>
          </w:rPr>
          <w:t xml:space="preserve">https://sam.gov/workspace/contract/opp/8cfe1844758c4fb2b10f5ef192b62f89/view</w:t>
        </w:r>
      </w:hyperlink>
      <w:r>
        <w:t xml:space="preserve"> </w:t>
      </w:r>
      <w:r>
        <w:t xml:space="preserve">(accessed Oct 20, 2026).</w:t>
      </w:r>
    </w:p>
  </w:footnote>
  <w:footnote w:id="168">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17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175">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162">
        <w:r>
          <w:rPr>
            <w:rStyle w:val="Hyperlink"/>
          </w:rPr>
          <w:t xml:space="preserve">https://sam.gov/workspace/contract/opp/8cfe1844758c4fb2b10f5ef192b62f89/view</w:t>
        </w:r>
      </w:hyperlink>
      <w:r>
        <w:t xml:space="preserve"> </w:t>
      </w:r>
      <w:r>
        <w:t xml:space="preserve">(accessed Oct 20, 2026).</w:t>
      </w:r>
    </w:p>
  </w:footnote>
  <w:footnote w:id="176">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181">
    <w:p>
      <w:pPr>
        <w:pStyle w:val="FootnoteText"/>
      </w:pPr>
      <w:r>
        <w:rPr>
          <w:rStyle w:val="FootnoteReference"/>
        </w:rPr>
        <w:footnoteRef/>
      </w:r>
      <w:r>
        <w:t xml:space="preserve"> </w:t>
      </w:r>
      <w:r>
        <w:t xml:space="preserve">U.S. Office of Personnel Management,</w:t>
      </w:r>
      <w:r>
        <w:t xml:space="preserve"> </w:t>
      </w:r>
      <w:r>
        <w:t xml:space="preserve">“OPM Awards Contract for First-Ever Governmentwide HR Platform”</w:t>
      </w:r>
      <w:r>
        <w:t xml:space="preserve"> </w:t>
      </w:r>
      <w:r>
        <w:t xml:space="preserve">(Federal HRIT Modernization Core HCM contract awarded to Oracle; a FedRAMP-certified, cloud-based SaaS platform),</w:t>
      </w:r>
      <w:r>
        <w:t xml:space="preserve"> </w:t>
      </w:r>
      <w:hyperlink r:id="rId26">
        <w:r>
          <w:rPr>
            <w:rStyle w:val="Hyperlink"/>
          </w:rPr>
          <w:t xml:space="preserve">https://www.opm.gov/news/news-releases/opm-awards-contract-for-first-ever-governmentwide-hr-platform/</w:t>
        </w:r>
      </w:hyperlink>
      <w:r>
        <w:t xml:space="preserve"> </w:t>
      </w:r>
      <w:r>
        <w:t xml:space="preserve">(accessed Oct 20, 2026).</w:t>
      </w:r>
    </w:p>
  </w:footnote>
  <w:footnote w:id="182">
    <w:p>
      <w:pPr>
        <w:pStyle w:val="FootnoteText"/>
      </w:pPr>
      <w:r>
        <w:rPr>
          <w:rStyle w:val="FootnoteReference"/>
        </w:rPr>
        <w:footnoteRef/>
      </w:r>
      <w:r>
        <w:t xml:space="preserve"> </w:t>
      </w:r>
      <w:r>
        <w:t xml:space="preserve">General Services Administration, FedRAMP Marketplace data, product F1603257882,</w:t>
      </w:r>
      <w:r>
        <w:t xml:space="preserve"> </w:t>
      </w:r>
      <w:r>
        <w:t xml:space="preserve">“Oracle — Fusion Cloud”</w:t>
      </w:r>
      <w:r>
        <w:t xml:space="preserve"> </w:t>
      </w:r>
      <w:r>
        <w:t xml:space="preserve">(FedRAMP Authorized, Moderate; the SaaS suite includes Human Capital Management),</w:t>
      </w:r>
      <w:r>
        <w:t xml:space="preserve"> </w:t>
      </w:r>
      <w:hyperlink r:id="rId183">
        <w:r>
          <w:rPr>
            <w:rStyle w:val="Hyperlink"/>
          </w:rPr>
          <w:t xml:space="preserve">https://raw.githubusercontent.com/GSA/marketplace-fedramp-gov-data/main/data.json</w:t>
        </w:r>
      </w:hyperlink>
      <w:r>
        <w:t xml:space="preserve"> </w:t>
      </w:r>
      <w:r>
        <w:t xml:space="preserve">(accessed Oct 20, 2026).</w:t>
      </w:r>
    </w:p>
  </w:footnote>
  <w:footnote w:id="184">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“Considerations for Using Jobs and Positions”</w:t>
      </w:r>
      <w:r>
        <w:t xml:space="preserve"> </w:t>
      </w:r>
      <w:r>
        <w:t xml:space="preserve">(positions are</w:t>
      </w:r>
      <w:r>
        <w:t xml:space="preserve"> </w:t>
      </w:r>
      <w:r>
        <w:t xml:space="preserve">“independent of the person performing the job”</w:t>
      </w:r>
      <w:r>
        <w:t xml:space="preserve">),</w:t>
      </w:r>
      <w:r>
        <w:t xml:space="preserve"> </w:t>
      </w:r>
      <w:hyperlink r:id="rId185">
        <w:r>
          <w:rPr>
            <w:rStyle w:val="Hyperlink"/>
          </w:rPr>
          <w:t xml:space="preserve">https://docs.oracle.com/en/cloud/saas/human-resources/faucf/considerations-for-using-jobs-and-positions.html</w:t>
        </w:r>
      </w:hyperlink>
      <w:r>
        <w:t xml:space="preserve"> </w:t>
      </w:r>
      <w:r>
        <w:t xml:space="preserve">(accessed Oct 20, 2026).</w:t>
      </w:r>
    </w:p>
  </w:footnote>
  <w:footnote w:id="186">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 Feeds”</w:t>
      </w:r>
      <w:r>
        <w:t xml:space="preserve"> </w:t>
      </w:r>
      <w:r>
        <w:t xml:space="preserve">(the</w:t>
      </w:r>
      <w:r>
        <w:t xml:space="preserve"> </w:t>
      </w:r>
      <w:r>
        <w:rPr>
          <w:rStyle w:val="VerbatimChar"/>
        </w:rPr>
        <w:t xml:space="preserve">empassignment</w:t>
      </w:r>
      <w:r>
        <w:t xml:space="preserve"> </w:t>
      </w:r>
      <w:r>
        <w:t xml:space="preserve">feed fires when assignment, salary or manager information changes; feeds cover employee, contingent worker and pending worker types),</w:t>
      </w:r>
      <w:r>
        <w:t xml:space="preserve"> </w:t>
      </w:r>
      <w:hyperlink r:id="rId187">
        <w:r>
          <w:rPr>
            <w:rStyle w:val="Hyperlink"/>
          </w:rPr>
          <w:t xml:space="preserve">https://docs.oracle.com/en/cloud/saas/human-resources/farws/Employee_Atom_Feeds.html</w:t>
        </w:r>
      </w:hyperlink>
      <w:r>
        <w:t xml:space="preserve"> </w:t>
      </w:r>
      <w:r>
        <w:t xml:space="preserve">(accessed Oct 20, 2026).</w:t>
      </w:r>
    </w:p>
  </w:footnote>
  <w:footnote w:id="190">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“Date Effectivity,”</w:t>
      </w:r>
      <w:r>
        <w:t xml:space="preserve"> </w:t>
      </w:r>
      <w:hyperlink r:id="rId191">
        <w:r>
          <w:rPr>
            <w:rStyle w:val="Hyperlink"/>
          </w:rPr>
          <w:t xml:space="preserve">https://docs.oracle.com/en/cloud/saas/human-resources/faucf/date-effectivity.html</w:t>
        </w:r>
      </w:hyperlink>
      <w:r>
        <w:t xml:space="preserve"> </w:t>
      </w:r>
      <w:r>
        <w:t xml:space="preserve">(accessed Oct 20, 2026).</w:t>
      </w:r>
    </w:p>
  </w:footnote>
  <w:footnote w:id="19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(Release 5.2.0, August 2025), controls IA-4 and IA-4(4) and its discussion,</w:t>
      </w:r>
      <w:r>
        <w:t xml:space="preserve"> </w:t>
      </w:r>
      <w:hyperlink r:id="rId198">
        <w:r>
          <w:rPr>
            <w:rStyle w:val="Hyperlink"/>
          </w:rPr>
          <w:t xml:space="preserve">https://csrc.nist.gov/pubs/sp/800/53/r5/upd1/final</w:t>
        </w:r>
      </w:hyperlink>
      <w:r>
        <w:t xml:space="preserve"> </w:t>
      </w:r>
      <w:r>
        <w:t xml:space="preserve">(accessed Oct 20, 2026).</w:t>
      </w:r>
    </w:p>
  </w:footnote>
  <w:footnote w:id="202">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(reissuance generates a new FASC-N and card UUID; the optional cardholder UUID is a persistent cardholder identifier),</w:t>
      </w:r>
      <w:r>
        <w:t xml:space="preserve"> </w:t>
      </w:r>
      <w:hyperlink r:id="rId203">
        <w:r>
          <w:rPr>
            <w:rStyle w:val="Hyperlink"/>
          </w:rPr>
          <w:t xml:space="preserve">https://nvlpubs.nist.gov/nistpubs/FIPS/NIST.FIPS.201-3.pdf</w:t>
        </w:r>
      </w:hyperlink>
      <w:r>
        <w:t xml:space="preserve"> </w:t>
      </w:r>
      <w:r>
        <w:t xml:space="preserve">(accessed Oct 20, 2026).</w:t>
      </w:r>
    </w:p>
  </w:footnote>
  <w:footnote w:id="20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(reissuance generates a new FASC-N and card UUID; the optional cardholder UUID is a persistent cardholder identifier),</w:t>
      </w:r>
      <w:r>
        <w:t xml:space="preserve"> </w:t>
      </w:r>
      <w:hyperlink r:id="rId203">
        <w:r>
          <w:rPr>
            <w:rStyle w:val="Hyperlink"/>
          </w:rPr>
          <w:t xml:space="preserve">https://nvlpubs.nist.gov/nistpubs/FIPS/NIST.FIPS.201-3.pdf</w:t>
        </w:r>
      </w:hyperlink>
      <w:r>
        <w:t xml:space="preserve"> </w:t>
      </w:r>
      <w:r>
        <w:t xml:space="preserve">(accessed Oct 20, 2026).</w:t>
      </w:r>
    </w:p>
  </w:footnote>
  <w:footnote w:id="205">
    <w:p>
      <w:pPr>
        <w:pStyle w:val="FootnoteText"/>
      </w:pPr>
      <w:r>
        <w:rPr>
          <w:rStyle w:val="FootnoteReference"/>
        </w:rPr>
        <w:footnoteRef/>
      </w:r>
      <w:r>
        <w:t xml:space="preserve"> </w:t>
      </w:r>
      <w:r>
        <w:t xml:space="preserve">Microsoft Learn,</w:t>
      </w:r>
      <w:r>
        <w:t xml:space="preserve"> </w:t>
      </w:r>
      <w:r>
        <w:t xml:space="preserve">“user resource type”</w:t>
      </w:r>
      <w:r>
        <w:t xml:space="preserve"> </w:t>
      </w:r>
      <w:r>
        <w:t xml:space="preserve">(Microsoft Graph v1.0;</w:t>
      </w:r>
      <w:r>
        <w:t xml:space="preserve"> </w:t>
      </w:r>
      <w:r>
        <w:rPr>
          <w:rStyle w:val="VerbatimChar"/>
        </w:rPr>
        <w:t xml:space="preserve">employeeId</w:t>
      </w:r>
      <w:r>
        <w:t xml:space="preserve"> </w:t>
      </w:r>
      <w:r>
        <w:t xml:space="preserve">maximum length 16 characters),</w:t>
      </w:r>
      <w:r>
        <w:t xml:space="preserve"> </w:t>
      </w:r>
      <w:hyperlink r:id="rId206">
        <w:r>
          <w:rPr>
            <w:rStyle w:val="Hyperlink"/>
          </w:rPr>
          <w:t xml:space="preserve">https://learn.microsoft.com/en-us/graph/api/resources/user</w:t>
        </w:r>
      </w:hyperlink>
      <w:r>
        <w:t xml:space="preserve"> </w:t>
      </w:r>
      <w:r>
        <w:t xml:space="preserve">(accessed Oct 20, 2026).</w:t>
      </w:r>
    </w:p>
  </w:footnote>
  <w:footnote w:id="208">
    <w:p>
      <w:pPr>
        <w:pStyle w:val="FootnoteText"/>
      </w:pPr>
      <w:r>
        <w:rPr>
          <w:rStyle w:val="FootnoteReference"/>
        </w:rPr>
        <w:footnoteRef/>
      </w:r>
      <w:r>
        <w:t xml:space="preserve"> </w:t>
      </w:r>
      <w:r>
        <w:t xml:space="preserve">Oracle,</w:t>
      </w:r>
      <w:r>
        <w:t xml:space="preserve"> </w:t>
      </w:r>
      <w:r>
        <w:rPr>
          <w:i/>
          <w:iCs/>
        </w:rPr>
        <w:t xml:space="preserve">Oracle Fusion Cloud Human Resources 26B What’s New</w:t>
      </w:r>
      <w:r>
        <w:t xml:space="preserve">,</w:t>
      </w:r>
      <w:r>
        <w:t xml:space="preserve"> </w:t>
      </w:r>
      <w:r>
        <w:t xml:space="preserve">“New Redwood Process to Change Worker Type,”</w:t>
      </w:r>
      <w:r>
        <w:t xml:space="preserve"> </w:t>
      </w:r>
      <w:hyperlink r:id="rId209">
        <w:r>
          <w:rPr>
            <w:rStyle w:val="Hyperlink"/>
          </w:rPr>
          <w:t xml:space="preserve">https://docs.oracle.com/en/cloud/saas/readiness/hcm/26b/hure-26b/26B-hr-wn-f43513.htm</w:t>
        </w:r>
      </w:hyperlink>
      <w:r>
        <w:t xml:space="preserve"> </w:t>
      </w:r>
      <w:r>
        <w:t xml:space="preserve">(accessed Oct 20, 2026).</w:t>
      </w:r>
    </w:p>
  </w:footnote>
  <w:footnote w:id="21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(Release 5.2.0, August 2025), controls IA-4 and IA-4(4) and its discussion,</w:t>
      </w:r>
      <w:r>
        <w:t xml:space="preserve"> </w:t>
      </w:r>
      <w:hyperlink r:id="rId198">
        <w:r>
          <w:rPr>
            <w:rStyle w:val="Hyperlink"/>
          </w:rPr>
          <w:t xml:space="preserve">https://csrc.nist.gov/pubs/sp/800/53/r5/upd1/final</w:t>
        </w:r>
      </w:hyperlink>
      <w:r>
        <w:t xml:space="preserve"> </w:t>
      </w:r>
      <w:r>
        <w:t xml:space="preserve">(accessed Oct 20, 2026).</w:t>
      </w:r>
    </w:p>
  </w:footnote>
  <w:footnote w:id="212">
    <w:p>
      <w:pPr>
        <w:pStyle w:val="FootnoteText"/>
      </w:pPr>
      <w:r>
        <w:rPr>
          <w:rStyle w:val="FootnoteReference"/>
        </w:rPr>
        <w:footnoteRef/>
      </w:r>
      <w:r>
        <w:t xml:space="preserve"> </w:t>
      </w:r>
      <w:r>
        <w:t xml:space="preserve">Privacy Act of 1974, 5 U.S.C. § 552a(b)(1) (disclosure to officers and employees of the maintaining agency who need the record in the performance of their duties) and § 552a(b)(3) (routine use),</w:t>
      </w:r>
      <w:r>
        <w:t xml:space="preserve"> </w:t>
      </w:r>
      <w:hyperlink r:id="rId213">
        <w:r>
          <w:rPr>
            <w:rStyle w:val="Hyperlink"/>
          </w:rPr>
          <w:t xml:space="preserve">https://www.law.cornell.edu/uscode/text/5/552a</w:t>
        </w:r>
      </w:hyperlink>
      <w:r>
        <w:t xml:space="preserve"> </w:t>
      </w:r>
      <w:r>
        <w:t xml:space="preserve">(accessed Oct 20, 2026).</w:t>
      </w:r>
    </w:p>
  </w:footnote>
  <w:footnote w:id="214">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December 2016,</w:t>
      </w:r>
      <w:r>
        <w:t xml:space="preserve"> </w:t>
      </w:r>
      <w:r>
        <w:t xml:space="preserve">“Routine Uses,”</w:t>
      </w:r>
      <w:r>
        <w:t xml:space="preserve"> </w:t>
      </w:r>
      <w:hyperlink r:id="rId215">
        <w:r>
          <w:rPr>
            <w:rStyle w:val="Hyperlink"/>
          </w:rPr>
          <w:t xml:space="preserve">https://www.whitehouse.gov/wp-content/uploads/legacy_drupal_files/omb/circulars/A108/omb_circular_a_108_12_12_16.pdf</w:t>
        </w:r>
      </w:hyperlink>
      <w:r>
        <w:t xml:space="preserve"> </w:t>
      </w:r>
      <w:r>
        <w:t xml:space="preserve">(accessed Oct 20, 2026).</w:t>
      </w:r>
    </w:p>
  </w:footnote>
  <w:footnote w:id="216">
    <w:p>
      <w:pPr>
        <w:pStyle w:val="FootnoteText"/>
      </w:pPr>
      <w:r>
        <w:rPr>
          <w:rStyle w:val="FootnoteReference"/>
        </w:rPr>
        <w:footnoteRef/>
      </w:r>
      <w:r>
        <w:t xml:space="preserve"> </w:t>
      </w:r>
      <w:r>
        <w:t xml:space="preserve">Office of Personnel Management,</w:t>
      </w:r>
      <w:r>
        <w:t xml:space="preserve"> </w:t>
      </w:r>
      <w:r>
        <w:t xml:space="preserve">“Privacy Act of 1974; System of Records”</w:t>
      </w:r>
      <w:r>
        <w:t xml:space="preserve"> </w:t>
      </w:r>
      <w:r>
        <w:t xml:space="preserve">(notice of a modified system of records, OPM/GOVT-1 General Personnel Records),</w:t>
      </w:r>
      <w:r>
        <w:t xml:space="preserve"> </w:t>
      </w:r>
      <w:r>
        <w:rPr>
          <w:i/>
          <w:iCs/>
        </w:rPr>
        <w:t xml:space="preserve">Federal Register</w:t>
      </w:r>
      <w:r>
        <w:t xml:space="preserve"> </w:t>
      </w:r>
      <w:r>
        <w:t xml:space="preserve">88, no. 158, August 17, 2023,</w:t>
      </w:r>
      <w:r>
        <w:t xml:space="preserve"> </w:t>
      </w:r>
      <w:hyperlink r:id="rId217">
        <w:r>
          <w:rPr>
            <w:rStyle w:val="Hyperlink"/>
          </w:rPr>
          <w:t xml:space="preserve">https://www.govinfo.gov/content/pkg/FR-2023-08-17/html/2023-17651.htm</w:t>
        </w:r>
      </w:hyperlink>
      <w:r>
        <w:t xml:space="preserve"> </w:t>
      </w:r>
      <w:r>
        <w:t xml:space="preserve">(accessed Oct 20, 2026).</w:t>
      </w:r>
    </w:p>
  </w:footnote>
  <w:footnote w:id="226">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229">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230">
        <w:r>
          <w:rPr>
            <w:rStyle w:val="Hyperlink"/>
          </w:rPr>
          <w:t xml:space="preserve">https://learn.microsoft.com/en-us/entra/identity/app-provisioning/plan-cloud-hr-provision</w:t>
        </w:r>
      </w:hyperlink>
      <w:r>
        <w:t xml:space="preserve"> </w:t>
      </w:r>
      <w:r>
        <w:t xml:space="preserve">(accessed Oct 20, 2026).</w:t>
      </w:r>
    </w:p>
  </w:footnote>
  <w:footnote w:id="23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233">
    <w:p>
      <w:pPr>
        <w:pStyle w:val="FootnoteText"/>
      </w:pPr>
      <w:r>
        <w:rPr>
          <w:rStyle w:val="FootnoteReference"/>
        </w:rPr>
        <w:footnoteRef/>
      </w:r>
      <w:r>
        <w:t xml:space="preserve"> </w:t>
      </w:r>
      <w:r>
        <w:t xml:space="preserve">Oracle,</w:t>
      </w:r>
      <w:r>
        <w:t xml:space="preserve"> </w:t>
      </w:r>
      <w:r>
        <w:rPr>
          <w:i/>
          <w:iCs/>
        </w:rPr>
        <w:t xml:space="preserve">Oracle Fusion Cloud HCM: HCM Extracts</w:t>
      </w:r>
      <w:r>
        <w:t xml:space="preserve">,</w:t>
      </w:r>
      <w:r>
        <w:t xml:space="preserve"> </w:t>
      </w:r>
      <w:r>
        <w:t xml:space="preserve">“Introduction to HCM Extracts”</w:t>
      </w:r>
      <w:r>
        <w:t xml:space="preserve"> </w:t>
      </w:r>
      <w:r>
        <w:t xml:space="preserve">(the main way to retrieve data in bulk; CSV among the output formats),</w:t>
      </w:r>
      <w:r>
        <w:t xml:space="preserve"> </w:t>
      </w:r>
      <w:hyperlink r:id="rId234">
        <w:r>
          <w:rPr>
            <w:rStyle w:val="Hyperlink"/>
          </w:rPr>
          <w:t xml:space="preserve">https://docs.oracle.com/en/cloud/saas/human-resources/fahex/introduction-to-hcm-extracts.html</w:t>
        </w:r>
      </w:hyperlink>
      <w:r>
        <w:t xml:space="preserve"> </w:t>
      </w:r>
      <w:r>
        <w:t xml:space="preserve">(accessed Oct 20, 2026).</w:t>
      </w:r>
    </w:p>
  </w:footnote>
  <w:footnote w:id="235">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 Feeds,”</w:t>
      </w:r>
      <w:r>
        <w:t xml:space="preserve"> </w:t>
      </w:r>
      <w:hyperlink r:id="rId187">
        <w:r>
          <w:rPr>
            <w:rStyle w:val="Hyperlink"/>
          </w:rPr>
          <w:t xml:space="preserve">https://docs.oracle.com/en/cloud/saas/human-resources/farws/Employee_Atom_Feeds.html</w:t>
        </w:r>
      </w:hyperlink>
      <w:r>
        <w:t xml:space="preserve"> </w:t>
      </w:r>
      <w:r>
        <w:t xml:space="preserve">(accessed Oct 20, 2026).</w:t>
      </w:r>
    </w:p>
  </w:footnote>
  <w:footnote w:id="236">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237">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“Employees REST Endpoints”</w:t>
      </w:r>
      <w:r>
        <w:t xml:space="preserve"> </w:t>
      </w:r>
      <w:r>
        <w:t xml:space="preserve">(deprecation notice) and</w:t>
      </w:r>
      <w:r>
        <w:t xml:space="preserve"> </w:t>
      </w:r>
      <w:r>
        <w:t xml:space="preserve">“Workers REST Endpoints”</w:t>
      </w:r>
      <w:r>
        <w:t xml:space="preserve"> </w:t>
      </w:r>
      <w:r>
        <w:t xml:space="preserve">(employee, contingent worker and pending worker types),</w:t>
      </w:r>
      <w:r>
        <w:t xml:space="preserve"> </w:t>
      </w:r>
      <w:hyperlink r:id="rId238">
        <w:r>
          <w:rPr>
            <w:rStyle w:val="Hyperlink"/>
          </w:rPr>
          <w:t xml:space="preserve">https://docs.oracle.com/en/cloud/saas/human-resources/farws/api-employees.html</w:t>
        </w:r>
      </w:hyperlink>
      <w:r>
        <w:t xml:space="preserve"> </w:t>
      </w:r>
      <w:r>
        <w:t xml:space="preserve">and</w:t>
      </w:r>
      <w:r>
        <w:t xml:space="preserve"> </w:t>
      </w:r>
      <w:hyperlink r:id="rId239">
        <w:r>
          <w:rPr>
            <w:rStyle w:val="Hyperlink"/>
          </w:rPr>
          <w:t xml:space="preserve">https://docs.oracle.com/en/cloud/saas/human-resources/farws/api-workers.html</w:t>
        </w:r>
      </w:hyperlink>
      <w:r>
        <w:t xml:space="preserve"> </w:t>
      </w:r>
      <w:r>
        <w:t xml:space="preserve">(accessed Oct 20, 2026).</w:t>
      </w:r>
    </w:p>
  </w:footnote>
  <w:footnote w:id="241">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242">
    <w:p>
      <w:pPr>
        <w:pStyle w:val="FootnoteText"/>
      </w:pPr>
      <w:r>
        <w:rPr>
          <w:rStyle w:val="FootnoteReference"/>
        </w:rPr>
        <w:footnoteRef/>
      </w:r>
      <w:r>
        <w:t xml:space="preserve"> </w:t>
      </w:r>
      <w:r>
        <w:t xml:space="preserve">Internet Engineering Task Force, RFC 7644,</w:t>
      </w:r>
      <w:r>
        <w:t xml:space="preserve"> </w:t>
      </w:r>
      <w:r>
        <w:rPr>
          <w:i/>
          <w:iCs/>
        </w:rPr>
        <w:t xml:space="preserve">System for Cross-domain Identity Management: Protocol</w:t>
      </w:r>
      <w:r>
        <w:t xml:space="preserve">, September 2015, §3.7 (bulk operations),</w:t>
      </w:r>
      <w:r>
        <w:t xml:space="preserve"> </w:t>
      </w:r>
      <w:hyperlink r:id="rId243">
        <w:r>
          <w:rPr>
            <w:rStyle w:val="Hyperlink"/>
          </w:rPr>
          <w:t xml:space="preserve">https://www.rfc-editor.org/rfc/rfc7644</w:t>
        </w:r>
      </w:hyperlink>
      <w:r>
        <w:t xml:space="preserve">; and RFC 7643,</w:t>
      </w:r>
      <w:r>
        <w:t xml:space="preserve"> </w:t>
      </w:r>
      <w:r>
        <w:rPr>
          <w:i/>
          <w:iCs/>
        </w:rPr>
        <w:t xml:space="preserve">SCIM: Core Schema</w:t>
      </w:r>
      <w:r>
        <w:t xml:space="preserve">, September 2015, §4.3 (enterprise user extension),</w:t>
      </w:r>
      <w:r>
        <w:t xml:space="preserve"> </w:t>
      </w:r>
      <w:hyperlink r:id="rId244">
        <w:r>
          <w:rPr>
            <w:rStyle w:val="Hyperlink"/>
          </w:rPr>
          <w:t xml:space="preserve">https://www.rfc-editor.org/rfc/rfc7643</w:t>
        </w:r>
      </w:hyperlink>
      <w:r>
        <w:t xml:space="preserve"> </w:t>
      </w:r>
      <w:r>
        <w:t xml:space="preserve">(accessed Oct 20, 2026).</w:t>
      </w:r>
    </w:p>
  </w:footnote>
  <w:footnote w:id="245">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247">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248">
    <w:p>
      <w:pPr>
        <w:pStyle w:val="FootnoteText"/>
      </w:pPr>
      <w:r>
        <w:rPr>
          <w:rStyle w:val="FootnoteReference"/>
        </w:rPr>
        <w:footnoteRef/>
      </w:r>
      <w:r>
        <w:t xml:space="preserve"> </w:t>
      </w:r>
      <w:r>
        <w:t xml:space="preserve">Microsoft Learn,</w:t>
      </w:r>
      <w:r>
        <w:t xml:space="preserve"> </w:t>
      </w:r>
      <w:r>
        <w:t xml:space="preserve">“National cloud deployments”</w:t>
      </w:r>
      <w:r>
        <w:t xml:space="preserve"> </w:t>
      </w:r>
      <w:r>
        <w:t xml:space="preserve">(Microsoft Graph):</w:t>
      </w:r>
      <w:r>
        <w:t xml:space="preserve"> </w:t>
      </w:r>
      <w:r>
        <w:t xml:space="preserve">“If you’re working in a Microsoft 365 GCC environment, continue using the worldwide endpoints,”</w:t>
      </w:r>
      <w:r>
        <w:t xml:space="preserve"> </w:t>
      </w:r>
      <w:hyperlink r:id="rId249">
        <w:r>
          <w:rPr>
            <w:rStyle w:val="Hyperlink"/>
          </w:rPr>
          <w:t xml:space="preserve">https://learn.microsoft.com/en-us/graph/deployments</w:t>
        </w:r>
      </w:hyperlink>
      <w:r>
        <w:t xml:space="preserve"> </w:t>
      </w:r>
      <w:r>
        <w:t xml:space="preserve">(accessed Oct 20, 2026).</w:t>
      </w:r>
    </w:p>
  </w:footnote>
  <w:footnote w:id="250">
    <w:p>
      <w:pPr>
        <w:pStyle w:val="FootnoteText"/>
      </w:pPr>
      <w:r>
        <w:rPr>
          <w:rStyle w:val="FootnoteReference"/>
        </w:rPr>
        <w:footnoteRef/>
      </w:r>
      <w:r>
        <w:t xml:space="preserve"> </w:t>
      </w:r>
      <w:r>
        <w:t xml:space="preserve">Microsoft Learn,</w:t>
      </w:r>
      <w:r>
        <w:t xml:space="preserve"> </w:t>
      </w:r>
      <w:r>
        <w:t xml:space="preserve">“Perform bulkUpload”</w:t>
      </w:r>
      <w:r>
        <w:t xml:space="preserve"> </w:t>
      </w:r>
      <w:r>
        <w:t xml:space="preserve">(Microsoft Graph v1.0 API reference: rate limit and permissions),</w:t>
      </w:r>
      <w:r>
        <w:t xml:space="preserve"> </w:t>
      </w:r>
      <w:hyperlink r:id="rId251">
        <w:r>
          <w:rPr>
            <w:rStyle w:val="Hyperlink"/>
          </w:rPr>
          <w:t xml:space="preserve">https://learn.microsoft.com/en-us/graph/api/synchronization-synchronizationjob-post-bulkupload</w:t>
        </w:r>
      </w:hyperlink>
      <w:r>
        <w:t xml:space="preserve"> </w:t>
      </w:r>
      <w:r>
        <w:t xml:space="preserve">(accessed Oct 20, 2026).</w:t>
      </w:r>
    </w:p>
  </w:footnote>
  <w:footnote w:id="252">
    <w:p>
      <w:pPr>
        <w:pStyle w:val="FootnoteText"/>
      </w:pPr>
      <w:r>
        <w:rPr>
          <w:rStyle w:val="FootnoteReference"/>
        </w:rPr>
        <w:footnoteRef/>
      </w:r>
      <w:r>
        <w:t xml:space="preserve"> </w:t>
      </w:r>
      <w:r>
        <w:t xml:space="preserve">Microsoft Learn,</w:t>
      </w:r>
      <w:r>
        <w:t xml:space="preserve"> </w:t>
      </w:r>
      <w:r>
        <w:t xml:space="preserve">“Perform bulkUpload”</w:t>
      </w:r>
      <w:r>
        <w:t xml:space="preserve"> </w:t>
      </w:r>
      <w:r>
        <w:t xml:space="preserve">(Microsoft Graph v1.0 API reference: rate limit and permissions),</w:t>
      </w:r>
      <w:r>
        <w:t xml:space="preserve"> </w:t>
      </w:r>
      <w:hyperlink r:id="rId251">
        <w:r>
          <w:rPr>
            <w:rStyle w:val="Hyperlink"/>
          </w:rPr>
          <w:t xml:space="preserve">https://learn.microsoft.com/en-us/graph/api/synchronization-synchronizationjob-post-bulkupload</w:t>
        </w:r>
      </w:hyperlink>
      <w:r>
        <w:t xml:space="preserve"> </w:t>
      </w:r>
      <w:r>
        <w:t xml:space="preserve">(accessed Oct 20, 2026).</w:t>
      </w:r>
    </w:p>
  </w:footnote>
  <w:footnote w:id="253">
    <w:p>
      <w:pPr>
        <w:pStyle w:val="FootnoteText"/>
      </w:pPr>
      <w:r>
        <w:rPr>
          <w:rStyle w:val="FootnoteReference"/>
        </w:rPr>
        <w:footnoteRef/>
      </w:r>
      <w:r>
        <w:t xml:space="preserve"> </w:t>
      </w:r>
      <w:r>
        <w:t xml:space="preserve">Microsoft Learn,</w:t>
      </w:r>
      <w:r>
        <w:t xml:space="preserve"> </w:t>
      </w:r>
      <w:r>
        <w:t xml:space="preserve">“Grant access to the inbound provisioning API,”</w:t>
      </w:r>
      <w:r>
        <w:t xml:space="preserve"> </w:t>
      </w:r>
      <w:hyperlink r:id="rId254">
        <w:r>
          <w:rPr>
            <w:rStyle w:val="Hyperlink"/>
          </w:rPr>
          <w:t xml:space="preserve">https://learn.microsoft.com/en-us/entra/identity/app-provisioning/inbound-provisioning-api-grant-access</w:t>
        </w:r>
      </w:hyperlink>
      <w:r>
        <w:t xml:space="preserve"> </w:t>
      </w:r>
      <w:r>
        <w:t xml:space="preserve">(accessed Oct 20, 2026).</w:t>
      </w:r>
    </w:p>
  </w:footnote>
  <w:footnote w:id="255">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256">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262">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26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264">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230">
        <w:r>
          <w:rPr>
            <w:rStyle w:val="Hyperlink"/>
          </w:rPr>
          <w:t xml:space="preserve">https://learn.microsoft.com/en-us/entra/identity/app-provisioning/plan-cloud-hr-provision</w:t>
        </w:r>
      </w:hyperlink>
      <w:r>
        <w:t xml:space="preserve"> </w:t>
      </w:r>
      <w:r>
        <w:t xml:space="preserve">(accessed Oct 20, 2026).</w:t>
      </w:r>
    </w:p>
  </w:footnote>
  <w:footnote w:id="265">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230">
        <w:r>
          <w:rPr>
            <w:rStyle w:val="Hyperlink"/>
          </w:rPr>
          <w:t xml:space="preserve">https://learn.microsoft.com/en-us/entra/identity/app-provisioning/plan-cloud-hr-provision</w:t>
        </w:r>
      </w:hyperlink>
      <w:r>
        <w:t xml:space="preserve"> </w:t>
      </w:r>
      <w:r>
        <w:t xml:space="preserve">(accessed Oct 20, 2026).</w:t>
      </w:r>
    </w:p>
  </w:footnote>
  <w:footnote w:id="266">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230">
        <w:r>
          <w:rPr>
            <w:rStyle w:val="Hyperlink"/>
          </w:rPr>
          <w:t xml:space="preserve">https://learn.microsoft.com/en-us/entra/identity/app-provisioning/plan-cloud-hr-provision</w:t>
        </w:r>
      </w:hyperlink>
      <w:r>
        <w:t xml:space="preserve"> </w:t>
      </w:r>
      <w:r>
        <w:t xml:space="preserve">(accessed Oct 20, 2026).</w:t>
      </w:r>
    </w:p>
  </w:footnote>
  <w:footnote w:id="267">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r>
        <w:t xml:space="preserve">(gMSA requirements; three active agents recommended; Tier 0 hardening),</w:t>
      </w:r>
      <w:r>
        <w:t xml:space="preserve"> </w:t>
      </w:r>
      <w:hyperlink r:id="rId268">
        <w:r>
          <w:rPr>
            <w:rStyle w:val="Hyperlink"/>
          </w:rPr>
          <w:t xml:space="preserve">https://learn.microsoft.com/en-us/entra/identity/hybrid/cloud-sync/how-to-prerequisites</w:t>
        </w:r>
      </w:hyperlink>
      <w:r>
        <w:t xml:space="preserve"> </w:t>
      </w:r>
      <w:r>
        <w:t xml:space="preserve">(accessed Oct 20, 2026).</w:t>
      </w:r>
    </w:p>
  </w:footnote>
  <w:footnote w:id="269">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r>
        <w:t xml:space="preserve">(gMSA requirements; three active agents recommended; Tier 0 hardening),</w:t>
      </w:r>
      <w:r>
        <w:t xml:space="preserve"> </w:t>
      </w:r>
      <w:hyperlink r:id="rId268">
        <w:r>
          <w:rPr>
            <w:rStyle w:val="Hyperlink"/>
          </w:rPr>
          <w:t xml:space="preserve">https://learn.microsoft.com/en-us/entra/identity/hybrid/cloud-sync/how-to-prerequisites</w:t>
        </w:r>
      </w:hyperlink>
      <w:r>
        <w:t xml:space="preserve"> </w:t>
      </w:r>
      <w:r>
        <w:t xml:space="preserve">(accessed Oct 20, 2026).</w:t>
      </w:r>
    </w:p>
  </w:footnote>
  <w:footnote w:id="270">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271">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230">
        <w:r>
          <w:rPr>
            <w:rStyle w:val="Hyperlink"/>
          </w:rPr>
          <w:t xml:space="preserve">https://learn.microsoft.com/en-us/entra/identity/app-provisioning/plan-cloud-hr-provision</w:t>
        </w:r>
      </w:hyperlink>
      <w:r>
        <w:t xml:space="preserve"> </w:t>
      </w:r>
      <w:r>
        <w:t xml:space="preserve">(accessed Oct 20, 2026).</w:t>
      </w:r>
    </w:p>
  </w:footnote>
  <w:footnote w:id="273">
    <w:p>
      <w:pPr>
        <w:pStyle w:val="FootnoteText"/>
      </w:pPr>
      <w:r>
        <w:rPr>
          <w:rStyle w:val="FootnoteReference"/>
        </w:rPr>
        <w:footnoteRef/>
      </w:r>
      <w:r>
        <w:t xml:space="preserve"> </w:t>
      </w:r>
      <w:r>
        <w:t xml:space="preserve">Microsoft Learn,</w:t>
      </w:r>
      <w:r>
        <w:t xml:space="preserve"> </w:t>
      </w:r>
      <w:r>
        <w:t xml:space="preserve">“Introducing Org Explorer”</w:t>
      </w:r>
      <w:r>
        <w:t xml:space="preserve"> </w:t>
      </w:r>
      <w:r>
        <w:t xml:space="preserve">(available in Teams and Outlook; org information comes from Microsoft Entra ID and needs the manager relationship),</w:t>
      </w:r>
      <w:r>
        <w:t xml:space="preserve"> </w:t>
      </w:r>
      <w:hyperlink r:id="rId274">
        <w:r>
          <w:rPr>
            <w:rStyle w:val="Hyperlink"/>
          </w:rPr>
          <w:t xml:space="preserve">https://learn.microsoft.com/en-us/viva/people-in-viva/introducing-org-explorer</w:t>
        </w:r>
      </w:hyperlink>
      <w:r>
        <w:t xml:space="preserve"> </w:t>
      </w:r>
      <w:r>
        <w:t xml:space="preserve">(accessed Oct 20, 2026).</w:t>
      </w:r>
    </w:p>
  </w:footnote>
  <w:footnote w:id="275">
    <w:p>
      <w:pPr>
        <w:pStyle w:val="FootnoteText"/>
      </w:pPr>
      <w:r>
        <w:rPr>
          <w:rStyle w:val="FootnoteReference"/>
        </w:rPr>
        <w:footnoteRef/>
      </w:r>
      <w:r>
        <w:t xml:space="preserve"> </w:t>
      </w:r>
      <w:r>
        <w:t xml:space="preserve">Microsoft Learn,</w:t>
      </w:r>
      <w:r>
        <w:t xml:space="preserve"> </w:t>
      </w:r>
      <w:r>
        <w:t xml:space="preserve">“user resource type”</w:t>
      </w:r>
      <w:r>
        <w:t xml:space="preserve"> </w:t>
      </w:r>
      <w:r>
        <w:t xml:space="preserve">(Microsoft Graph v1.0:</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w:t>
      </w:r>
      <w:r>
        <w:t xml:space="preserve"> </w:t>
      </w:r>
      <w:r>
        <w:rPr>
          <w:rStyle w:val="VerbatimChar"/>
        </w:rPr>
        <w:t xml:space="preserve">employeeOrgData</w:t>
      </w:r>
      <w:r>
        <w:t xml:space="preserve">),</w:t>
      </w:r>
      <w:r>
        <w:t xml:space="preserve"> </w:t>
      </w:r>
      <w:hyperlink r:id="rId206">
        <w:r>
          <w:rPr>
            <w:rStyle w:val="Hyperlink"/>
          </w:rPr>
          <w:t xml:space="preserve">https://learn.microsoft.com/en-us/graph/api/resources/user</w:t>
        </w:r>
      </w:hyperlink>
      <w:r>
        <w:t xml:space="preserve"> </w:t>
      </w:r>
      <w:r>
        <w:t xml:space="preserve">(accessed Oct 20, 2026).</w:t>
      </w:r>
    </w:p>
  </w:footnote>
  <w:footnote w:id="276">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277">
        <w:r>
          <w:rPr>
            <w:rStyle w:val="Hyperlink"/>
          </w:rPr>
          <w:t xml:space="preserve">https://learn.microsoft.com/en-us/entra/identity/role-based-access-control/administrative-units</w:t>
        </w:r>
      </w:hyperlink>
      <w:r>
        <w:t xml:space="preserve"> </w:t>
      </w:r>
      <w:r>
        <w:t xml:space="preserve">(accessed Oct 20, 2026).</w:t>
      </w:r>
    </w:p>
  </w:footnote>
  <w:footnote w:id="279">
    <w:p>
      <w:pPr>
        <w:pStyle w:val="FootnoteText"/>
      </w:pPr>
      <w:r>
        <w:rPr>
          <w:rStyle w:val="FootnoteReference"/>
        </w:rPr>
        <w:footnoteRef/>
      </w:r>
      <w:r>
        <w:t xml:space="preserve"> </w:t>
      </w:r>
      <w:r>
        <w:t xml:space="preserve">Microsoft Learn,</w:t>
      </w:r>
      <w:r>
        <w:t xml:space="preserve"> </w:t>
      </w:r>
      <w:r>
        <w:t xml:space="preserve">“Transfer user Source of Authority (SOA) to Microsoft Entra ID,”</w:t>
      </w:r>
      <w:r>
        <w:t xml:space="preserve"> </w:t>
      </w:r>
      <w:hyperlink r:id="rId29">
        <w:r>
          <w:rPr>
            <w:rStyle w:val="Hyperlink"/>
          </w:rPr>
          <w:t xml:space="preserve">https://learn.microsoft.com/en-us/entra/identity/hybrid/user-source-of-authority-overview</w:t>
        </w:r>
      </w:hyperlink>
      <w:r>
        <w:t xml:space="preserve"> </w:t>
      </w:r>
      <w:r>
        <w:t xml:space="preserve">(accessed Oct 20, 2026).</w:t>
      </w:r>
    </w:p>
  </w:footnote>
  <w:footnote w:id="280">
    <w:p>
      <w:pPr>
        <w:pStyle w:val="FootnoteText"/>
      </w:pPr>
      <w:r>
        <w:rPr>
          <w:rStyle w:val="FootnoteReference"/>
        </w:rPr>
        <w:footnoteRef/>
      </w:r>
      <w:r>
        <w:t xml:space="preserve"> </w:t>
      </w:r>
      <w:r>
        <w:t xml:space="preserve">Microsoft Learn,</w:t>
      </w:r>
      <w:r>
        <w:t xml:space="preserve"> </w:t>
      </w:r>
      <w:r>
        <w:t xml:space="preserve">“Transition to the cloud”</w:t>
      </w:r>
      <w:r>
        <w:t xml:space="preserve"> </w:t>
      </w:r>
      <w:r>
        <w:t xml:space="preserve">(Move to cloud HR provisioning),</w:t>
      </w:r>
      <w:r>
        <w:t xml:space="preserve"> </w:t>
      </w:r>
      <w:hyperlink r:id="rId31">
        <w:r>
          <w:rPr>
            <w:rStyle w:val="Hyperlink"/>
          </w:rPr>
          <w:t xml:space="preserve">https://learn.microsoft.com/en-us/entra/architecture/road-to-the-cloud-migrate</w:t>
        </w:r>
      </w:hyperlink>
      <w:r>
        <w:t xml:space="preserve"> </w:t>
      </w:r>
      <w:r>
        <w:t xml:space="preserve">(accessed Oct 20, 2026).</w:t>
      </w:r>
    </w:p>
  </w:footnote>
  <w:footnote w:id="284">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285">
    <w:p>
      <w:pPr>
        <w:pStyle w:val="FootnoteText"/>
      </w:pPr>
      <w:r>
        <w:rPr>
          <w:rStyle w:val="FootnoteReference"/>
        </w:rPr>
        <w:footnoteRef/>
      </w:r>
      <w:r>
        <w:t xml:space="preserve"> </w:t>
      </w:r>
      <w:r>
        <w:t xml:space="preserve">Oracle,</w:t>
      </w:r>
      <w:r>
        <w:t xml:space="preserve"> </w:t>
      </w:r>
      <w:r>
        <w:rPr>
          <w:i/>
          <w:iCs/>
        </w:rPr>
        <w:t xml:space="preserve">REST API for Common Features in Oracle Fusion Cloud Applications</w:t>
      </w:r>
      <w:r>
        <w:t xml:space="preserve">,</w:t>
      </w:r>
      <w:r>
        <w:t xml:space="preserve"> </w:t>
      </w:r>
      <w:r>
        <w:t xml:space="preserve">“Get all users”</w:t>
      </w:r>
      <w:r>
        <w:t xml:space="preserve"> </w:t>
      </w:r>
      <w:r>
        <w:t xml:space="preserve">(</w:t>
      </w:r>
      <w:r>
        <w:rPr>
          <w:rStyle w:val="VerbatimChar"/>
        </w:rPr>
        <w:t xml:space="preserve">/hcmRestApi/scim/Users</w:t>
      </w:r>
      <w:r>
        <w:t xml:space="preserve">),</w:t>
      </w:r>
      <w:r>
        <w:t xml:space="preserve"> </w:t>
      </w:r>
      <w:hyperlink r:id="rId286">
        <w:r>
          <w:rPr>
            <w:rStyle w:val="Hyperlink"/>
          </w:rPr>
          <w:t xml:space="preserve">https://docs.oracle.com/en/cloud/saas/applications-common/25d/farca/op-hcmrestapi-scim-users-get.html</w:t>
        </w:r>
      </w:hyperlink>
      <w:r>
        <w:t xml:space="preserve"> </w:t>
      </w:r>
      <w:r>
        <w:t xml:space="preserve">(accessed Oct 20, 2026).</w:t>
      </w:r>
    </w:p>
  </w:footnote>
  <w:footnote w:id="287">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292">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(data standards and the metadata repository that replaced the PDF</w:t>
      </w:r>
      <w:r>
        <w:t xml:space="preserve"> </w:t>
      </w:r>
      <w:r>
        <w:rPr>
          <w:i/>
          <w:iCs/>
        </w:rPr>
        <w:t xml:space="preserve">Guide to Data Standards</w:t>
      </w:r>
      <w:r>
        <w:t xml:space="preserve">),</w:t>
      </w:r>
      <w:r>
        <w:t xml:space="preserve"> </w:t>
      </w:r>
      <w:hyperlink r:id="rId293">
        <w:r>
          <w:rPr>
            <w:rStyle w:val="Hyperlink"/>
          </w:rPr>
          <w:t xml:space="preserve">https://www.opm.gov/policy-data-oversight/data-analysis-documentation/data-policy-guidance/</w:t>
        </w:r>
      </w:hyperlink>
      <w:r>
        <w:t xml:space="preserve"> </w:t>
      </w:r>
      <w:r>
        <w:t xml:space="preserve">(accessed Oct 20, 2026).</w:t>
      </w:r>
    </w:p>
  </w:footnote>
  <w:footnote w:id="294">
    <w:p>
      <w:pPr>
        <w:pStyle w:val="FootnoteText"/>
      </w:pPr>
      <w:r>
        <w:rPr>
          <w:rStyle w:val="FootnoteReference"/>
        </w:rPr>
        <w:footnoteRef/>
      </w:r>
      <w:r>
        <w:t xml:space="preserve"> </w:t>
      </w:r>
      <w:r>
        <w:t xml:space="preserve">U.S. Office of Personnel Management, Federal Workforce Data,</w:t>
      </w:r>
      <w:r>
        <w:t xml:space="preserve"> </w:t>
      </w:r>
      <w:r>
        <w:t xml:space="preserve">“EHRI Data Standards,”</w:t>
      </w:r>
      <w:r>
        <w:t xml:space="preserve"> </w:t>
      </w:r>
      <w:hyperlink r:id="rId295">
        <w:r>
          <w:rPr>
            <w:rStyle w:val="Hyperlink"/>
          </w:rPr>
          <w:t xml:space="preserve">https://data.opm.gov/data-standards/ehri-data-standards</w:t>
        </w:r>
      </w:hyperlink>
      <w:r>
        <w:t xml:space="preserve"> </w:t>
      </w:r>
      <w:r>
        <w:t xml:space="preserve">(accessed Oct 20, 2026).</w:t>
      </w:r>
    </w:p>
  </w:footnote>
  <w:footnote w:id="296">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301">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303">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“Create a worker work relationship”</w:t>
      </w:r>
      <w:r>
        <w:t xml:space="preserve"> </w:t>
      </w:r>
      <w:r>
        <w:t xml:space="preserve">(</w:t>
      </w:r>
      <w:r>
        <w:rPr>
          <w:rStyle w:val="VerbatimChar"/>
        </w:rPr>
        <w:t xml:space="preserve">WorkerType</w:t>
      </w:r>
      <w:r>
        <w:t xml:space="preserve"> </w:t>
      </w:r>
      <w:r>
        <w:t xml:space="preserve">values Employee (E), Contingent Worker (C), Pending Worker (P), Nonworker (N)),</w:t>
      </w:r>
      <w:r>
        <w:t xml:space="preserve"> </w:t>
      </w:r>
      <w:hyperlink r:id="rId304">
        <w:r>
          <w:rPr>
            <w:rStyle w:val="Hyperlink"/>
          </w:rPr>
          <w:t xml:space="preserve">https://docs.oracle.com/en/cloud/saas/human-resources/farws/op-workers-workersuniqid-child-workrelationships-post.html</w:t>
        </w:r>
      </w:hyperlink>
      <w:r>
        <w:t xml:space="preserve"> </w:t>
      </w:r>
      <w:r>
        <w:t xml:space="preserve">(accessed Oct 20, 2026).</w:t>
      </w:r>
    </w:p>
  </w:footnote>
  <w:footnote w:id="305">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“How You Convert Pending Workers”</w:t>
      </w:r>
      <w:r>
        <w:t xml:space="preserve"> </w:t>
      </w:r>
      <w:r>
        <w:t xml:space="preserve">(Add Contingent Worker, Add Contingent Work Relationship and Renew Contingent Worker actions),</w:t>
      </w:r>
      <w:r>
        <w:t xml:space="preserve"> </w:t>
      </w:r>
      <w:hyperlink r:id="rId306">
        <w:r>
          <w:rPr>
            <w:rStyle w:val="Hyperlink"/>
          </w:rPr>
          <w:t xml:space="preserve">https://docs.oracle.com/en/cloud/saas/human-resources/fawhr/how-you-convert-pending-workers.html</w:t>
        </w:r>
      </w:hyperlink>
      <w:r>
        <w:t xml:space="preserve"> </w:t>
      </w:r>
      <w:r>
        <w:t xml:space="preserve">(accessed Oct 20, 2026).</w:t>
      </w:r>
    </w:p>
  </w:footnote>
  <w:footnote w:id="307">
    <w:p>
      <w:pPr>
        <w:pStyle w:val="FootnoteText"/>
      </w:pPr>
      <w:r>
        <w:rPr>
          <w:rStyle w:val="FootnoteReference"/>
        </w:rPr>
        <w:footnoteRef/>
      </w:r>
      <w:r>
        <w:t xml:space="preserve"> </w:t>
      </w:r>
      <w:r>
        <w:t xml:space="preserve">Oracle,</w:t>
      </w:r>
      <w:r>
        <w:t xml:space="preserve"> </w:t>
      </w:r>
      <w:r>
        <w:rPr>
          <w:i/>
          <w:iCs/>
        </w:rPr>
        <w:t xml:space="preserve">Oracle Fusion Cloud Human Resources 26B What’s New</w:t>
      </w:r>
      <w:r>
        <w:t xml:space="preserve">,</w:t>
      </w:r>
      <w:r>
        <w:t xml:space="preserve"> </w:t>
      </w:r>
      <w:r>
        <w:t xml:space="preserve">“New Redwood Process to Change Worker Type”</w:t>
      </w:r>
      <w:r>
        <w:t xml:space="preserve"> </w:t>
      </w:r>
      <w:r>
        <w:t xml:space="preserve">(contingent worker to employee in one transaction),</w:t>
      </w:r>
      <w:r>
        <w:t xml:space="preserve"> </w:t>
      </w:r>
      <w:hyperlink r:id="rId209">
        <w:r>
          <w:rPr>
            <w:rStyle w:val="Hyperlink"/>
          </w:rPr>
          <w:t xml:space="preserve">https://docs.oracle.com/en/cloud/saas/readiness/hcm/26b/hure-26b/26B-hr-wn-f43513.htm</w:t>
        </w:r>
      </w:hyperlink>
      <w:r>
        <w:t xml:space="preserve"> </w:t>
      </w:r>
      <w:r>
        <w:t xml:space="preserve">(accessed Oct 20, 2026).</w:t>
      </w:r>
    </w:p>
  </w:footnote>
  <w:footnote w:id="308">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(background investigation and adjudication before issuance; identity proofing and registration meet IAL3; card validity of no more than six years),</w:t>
      </w:r>
      <w:r>
        <w:t xml:space="preserve"> </w:t>
      </w:r>
      <w:hyperlink r:id="rId203">
        <w:r>
          <w:rPr>
            <w:rStyle w:val="Hyperlink"/>
          </w:rPr>
          <w:t xml:space="preserve">https://nvlpubs.nist.gov/nistpubs/FIPS/NIST.FIPS.201-3.pdf</w:t>
        </w:r>
      </w:hyperlink>
      <w:r>
        <w:t xml:space="preserve"> </w:t>
      </w:r>
      <w:r>
        <w:t xml:space="preserve">(accessed Oct 20, 2026).</w:t>
      </w:r>
    </w:p>
  </w:footnote>
  <w:footnote w:id="309">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(background investigation and adjudication before issuance; identity proofing and registration meet IAL3; card validity of no more than six years),</w:t>
      </w:r>
      <w:r>
        <w:t xml:space="preserve"> </w:t>
      </w:r>
      <w:hyperlink r:id="rId203">
        <w:r>
          <w:rPr>
            <w:rStyle w:val="Hyperlink"/>
          </w:rPr>
          <w:t xml:space="preserve">https://nvlpubs.nist.gov/nistpubs/FIPS/NIST.FIPS.201-3.pdf</w:t>
        </w:r>
      </w:hyperlink>
      <w:r>
        <w:t xml:space="preserve"> </w:t>
      </w:r>
      <w:r>
        <w:t xml:space="preserve">(accessed Oct 20, 2026).</w:t>
      </w:r>
    </w:p>
  </w:footnote>
  <w:footnote w:id="31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315">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316">
        <w:r>
          <w:rPr>
            <w:rStyle w:val="Hyperlink"/>
          </w:rPr>
          <w:t xml:space="preserve">https://learn.microsoft.com/en-us/graph/api/resources/onpremisesextensionattributes</w:t>
        </w:r>
      </w:hyperlink>
      <w:r>
        <w:t xml:space="preserve"> </w:t>
      </w:r>
      <w:r>
        <w:t xml:space="preserve">(accessed Oct 20, 2026).</w:t>
      </w:r>
    </w:p>
  </w:footnote>
  <w:footnote w:id="318">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319">
    <w:p>
      <w:pPr>
        <w:pStyle w:val="FootnoteText"/>
      </w:pPr>
      <w:r>
        <w:rPr>
          <w:rStyle w:val="FootnoteReference"/>
        </w:rPr>
        <w:footnoteRef/>
      </w:r>
      <w:r>
        <w:t xml:space="preserve"> </w:t>
      </w:r>
      <w:r>
        <w:t xml:space="preserve">Microsoft Learn,</w:t>
      </w:r>
      <w:r>
        <w:t xml:space="preserve"> </w:t>
      </w:r>
      <w:r>
        <w:t xml:space="preserve">“Extend API-driven provisioning to sync custom attributes,”</w:t>
      </w:r>
      <w:r>
        <w:t xml:space="preserve"> </w:t>
      </w:r>
      <w:hyperlink r:id="rId320">
        <w:r>
          <w:rPr>
            <w:rStyle w:val="Hyperlink"/>
          </w:rPr>
          <w:t xml:space="preserve">https://learn.microsoft.com/en-us/entra/identity/app-provisioning/inbound-provisioning-api-custom-attributes</w:t>
        </w:r>
      </w:hyperlink>
      <w:r>
        <w:t xml:space="preserve"> </w:t>
      </w:r>
      <w:r>
        <w:t xml:space="preserve">(accessed Oct 20, 2026).</w:t>
      </w:r>
    </w:p>
  </w:footnote>
  <w:footnote w:id="32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322">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20, 2026).</w:t>
      </w:r>
    </w:p>
  </w:footnote>
  <w:footnote w:id="323">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324">
        <w:r>
          <w:rPr>
            <w:rStyle w:val="Hyperlink"/>
          </w:rPr>
          <w:t xml:space="preserve">https://learn.microsoft.com/en-us/entra/id-governance/how-to-lifecycle-workflow-sync-attributes</w:t>
        </w:r>
      </w:hyperlink>
      <w:r>
        <w:t xml:space="preserve"> </w:t>
      </w:r>
      <w:r>
        <w:t xml:space="preserve">(accessed Oct 20, 2026).</w:t>
      </w:r>
    </w:p>
  </w:footnote>
  <w:footnote w:id="325">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316">
        <w:r>
          <w:rPr>
            <w:rStyle w:val="Hyperlink"/>
          </w:rPr>
          <w:t xml:space="preserve">https://learn.microsoft.com/en-us/graph/api/resources/onpremisesextensionattributes</w:t>
        </w:r>
      </w:hyperlink>
      <w:r>
        <w:t xml:space="preserve"> </w:t>
      </w:r>
      <w:r>
        <w:t xml:space="preserve">(accessed Oct 20, 2026).</w:t>
      </w:r>
    </w:p>
  </w:footnote>
  <w:footnote w:id="32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32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334">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 §IV</w:t>
      </w:r>
      <w:r>
        <w:t xml:space="preserve"> </w:t>
      </w:r>
      <w:r>
        <w:t xml:space="preserve">“Governance,”</w:t>
      </w:r>
      <w:r>
        <w:t xml:space="preserve"> </w:t>
      </w:r>
      <w:hyperlink r:id="rId65">
        <w:r>
          <w:rPr>
            <w:rStyle w:val="Hyperlink"/>
          </w:rPr>
          <w:t xml:space="preserve">https://www.whitehouse.gov/wp-content/uploads/2019/05/M-19-17.pdf</w:t>
        </w:r>
      </w:hyperlink>
      <w:r>
        <w:t xml:space="preserve"> </w:t>
      </w:r>
      <w:r>
        <w:t xml:space="preserve">(accessed Oct 20, 2026).</w:t>
      </w:r>
    </w:p>
  </w:footnote>
  <w:footnote w:id="33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336">
        <w:r>
          <w:rPr>
            <w:rStyle w:val="Hyperlink"/>
          </w:rPr>
          <w:t xml:space="preserve">https://nvlpubs.nist.gov/nistpubs/SpecialPublications/NIST.SP.800-37r2.pdf</w:t>
        </w:r>
      </w:hyperlink>
      <w:r>
        <w:t xml:space="preserve"> </w:t>
      </w:r>
      <w:r>
        <w:t xml:space="preserve">(accessed Oct 20, 2026).</w:t>
      </w:r>
    </w:p>
  </w:footnote>
  <w:footnote w:id="337">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203">
        <w:r>
          <w:rPr>
            <w:rStyle w:val="Hyperlink"/>
          </w:rPr>
          <w:t xml:space="preserve">https://nvlpubs.nist.gov/nistpubs/FIPS/NIST.FIPS.201-3.pdf</w:t>
        </w:r>
      </w:hyperlink>
      <w:r>
        <w:t xml:space="preserve"> </w:t>
      </w:r>
      <w:r>
        <w:t xml:space="preserve">(accessed Oct 20, 2026).</w:t>
      </w:r>
    </w:p>
  </w:footnote>
  <w:footnote w:id="338">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339">
        <w:r>
          <w:rPr>
            <w:rStyle w:val="Hyperlink"/>
          </w:rPr>
          <w:t xml:space="preserve">https://nvlpubs.nist.gov/nistpubs/SpecialPublications/NIST.SP.800-79-2.pdf</w:t>
        </w:r>
      </w:hyperlink>
      <w:r>
        <w:t xml:space="preserve"> </w:t>
      </w:r>
      <w:r>
        <w:t xml:space="preserve">(accessed Oct 20, 2026).</w:t>
      </w:r>
    </w:p>
  </w:footnote>
  <w:footnote w:id="344">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(Metadata Repository for data standards; Data Element Request Form; guidance for agency officials who prepare, submit and correct HR, payroll and training data),</w:t>
      </w:r>
      <w:r>
        <w:t xml:space="preserve"> </w:t>
      </w:r>
      <w:hyperlink r:id="rId293">
        <w:r>
          <w:rPr>
            <w:rStyle w:val="Hyperlink"/>
          </w:rPr>
          <w:t xml:space="preserve">https://www.opm.gov/policy-data-oversight/data-analysis-documentation/data-policy-guidance/</w:t>
        </w:r>
      </w:hyperlink>
      <w:r>
        <w:t xml:space="preserve"> </w:t>
      </w:r>
      <w:r>
        <w:t xml:space="preserve">(accessed Oct 20, 2026).</w:t>
      </w:r>
    </w:p>
  </w:footnote>
  <w:footnote w:id="34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336">
        <w:r>
          <w:rPr>
            <w:rStyle w:val="Hyperlink"/>
          </w:rPr>
          <w:t xml:space="preserve">https://nvlpubs.nist.gov/nistpubs/SpecialPublications/NIST.SP.800-37r2.pdf</w:t>
        </w:r>
      </w:hyperlink>
      <w:r>
        <w:t xml:space="preserve"> </w:t>
      </w:r>
      <w:r>
        <w:t xml:space="preserve">(accessed Oct 20, 2026).</w:t>
      </w:r>
    </w:p>
  </w:footnote>
  <w:footnote w:id="347">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(Metadata Repository for data standards; Data Element Request Form; guidance for agency officials who prepare, submit and correct HR, payroll and training data),</w:t>
      </w:r>
      <w:r>
        <w:t xml:space="preserve"> </w:t>
      </w:r>
      <w:hyperlink r:id="rId293">
        <w:r>
          <w:rPr>
            <w:rStyle w:val="Hyperlink"/>
          </w:rPr>
          <w:t xml:space="preserve">https://www.opm.gov/policy-data-oversight/data-analysis-documentation/data-policy-guidance/</w:t>
        </w:r>
      </w:hyperlink>
      <w:r>
        <w:t xml:space="preserve"> </w:t>
      </w:r>
      <w:r>
        <w:t xml:space="preserve">(accessed Oct 20, 2026).</w:t>
      </w:r>
    </w:p>
  </w:footnote>
  <w:footnote w:id="348">
    <w:p>
      <w:pPr>
        <w:pStyle w:val="FootnoteText"/>
      </w:pPr>
      <w:r>
        <w:rPr>
          <w:rStyle w:val="FootnoteReference"/>
        </w:rPr>
        <w:footnoteRef/>
      </w:r>
      <w:r>
        <w:t xml:space="preserve"> </w:t>
      </w:r>
      <w:r>
        <w:t xml:space="preserve">Office of Management and Budget and Office of Personnel Management,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p. 3 and Appendix C,</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350">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339">
        <w:r>
          <w:rPr>
            <w:rStyle w:val="Hyperlink"/>
          </w:rPr>
          <w:t xml:space="preserve">https://nvlpubs.nist.gov/nistpubs/SpecialPublications/NIST.SP.800-79-2.pdf</w:t>
        </w:r>
      </w:hyperlink>
      <w:r>
        <w:t xml:space="preserve"> </w:t>
      </w:r>
      <w:r>
        <w:t xml:space="preserve">(accessed Oct 20, 2026).</w:t>
      </w:r>
    </w:p>
  </w:footnote>
  <w:footnote w:id="353">
    <w:p>
      <w:pPr>
        <w:pStyle w:val="FootnoteText"/>
      </w:pPr>
      <w:r>
        <w:rPr>
          <w:rStyle w:val="FootnoteReference"/>
        </w:rPr>
        <w:footnoteRef/>
      </w:r>
      <w:r>
        <w:t xml:space="preserve"> </w:t>
      </w:r>
      <w:r>
        <w:t xml:space="preserve">Microsoft Learn,</w:t>
      </w:r>
      <w:r>
        <w:t xml:space="preserve"> </w:t>
      </w:r>
      <w:r>
        <w:t xml:space="preserve">“Configure API-driven inbound provisioning app”</w:t>
      </w:r>
      <w:r>
        <w:t xml:space="preserve"> </w:t>
      </w:r>
      <w:r>
        <w:t xml:space="preserve">(prerequisites),</w:t>
      </w:r>
      <w:r>
        <w:t xml:space="preserve"> </w:t>
      </w:r>
      <w:hyperlink r:id="rId354">
        <w:r>
          <w:rPr>
            <w:rStyle w:val="Hyperlink"/>
          </w:rPr>
          <w:t xml:space="preserve">https://learn.microsoft.com/entra/identity/app-provisioning/inbound-provisioning-api-configure-app</w:t>
        </w:r>
      </w:hyperlink>
      <w:r>
        <w:t xml:space="preserve"> </w:t>
      </w:r>
      <w:r>
        <w:t xml:space="preserve">(accessed Oct 20, 2026).</w:t>
      </w:r>
    </w:p>
  </w:footnote>
  <w:footnote w:id="355">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56">
        <w:r>
          <w:rPr>
            <w:rStyle w:val="Hyperlink"/>
          </w:rPr>
          <w:t xml:space="preserve">https://learn.microsoft.com/entra/identity/role-based-access-control/permissions-reference</w:t>
        </w:r>
      </w:hyperlink>
      <w:r>
        <w:t xml:space="preserve"> </w:t>
      </w:r>
      <w:r>
        <w:t xml:space="preserve">(accessed Oct 20, 2026).</w:t>
      </w:r>
    </w:p>
  </w:footnote>
  <w:footnote w:id="357">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56">
        <w:r>
          <w:rPr>
            <w:rStyle w:val="Hyperlink"/>
          </w:rPr>
          <w:t xml:space="preserve">https://learn.microsoft.com/entra/identity/role-based-access-control/permissions-reference</w:t>
        </w:r>
      </w:hyperlink>
      <w:r>
        <w:t xml:space="preserve"> </w:t>
      </w:r>
      <w:r>
        <w:t xml:space="preserve">(accessed Oct 20, 2026).</w:t>
      </w:r>
    </w:p>
  </w:footnote>
  <w:footnote w:id="35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(Helpdesk Administrator, Identity Governance Administrator, Lifecycle Workflows Administrator, User Administrator),</w:t>
      </w:r>
      <w:r>
        <w:t xml:space="preserve"> </w:t>
      </w:r>
      <w:hyperlink r:id="rId356">
        <w:r>
          <w:rPr>
            <w:rStyle w:val="Hyperlink"/>
          </w:rPr>
          <w:t xml:space="preserve">https://learn.microsoft.com/entra/identity/role-based-access-control/permissions-reference</w:t>
        </w:r>
      </w:hyperlink>
      <w:r>
        <w:t xml:space="preserve"> </w:t>
      </w:r>
      <w:r>
        <w:t xml:space="preserve">(accessed Oct 20, 2026).</w:t>
      </w:r>
    </w:p>
  </w:footnote>
  <w:footnote w:id="359">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336">
        <w:r>
          <w:rPr>
            <w:rStyle w:val="Hyperlink"/>
          </w:rPr>
          <w:t xml:space="preserve">https://nvlpubs.nist.gov/nistpubs/SpecialPublications/NIST.SP.800-37r2.pdf</w:t>
        </w:r>
      </w:hyperlink>
      <w:r>
        <w:t xml:space="preserve"> </w:t>
      </w:r>
      <w:r>
        <w:t xml:space="preserve">(accessed Oct 20, 2026).</w:t>
      </w:r>
    </w:p>
  </w:footnote>
  <w:footnote w:id="361">
    <w:p>
      <w:pPr>
        <w:pStyle w:val="FootnoteText"/>
      </w:pPr>
      <w:r>
        <w:rPr>
          <w:rStyle w:val="FootnoteReference"/>
        </w:rPr>
        <w:footnoteRef/>
      </w:r>
      <w:r>
        <w:t xml:space="preserve"> </w:t>
      </w:r>
      <w:r>
        <w:t xml:space="preserve">Privacy Act of 1974, 5 U.S.C. § 552a(a)(7), (b)(1), (b)(3) and (e)(4)(D), via Legal Information Institute, Cornell Law School,</w:t>
      </w:r>
      <w:r>
        <w:t xml:space="preserve"> </w:t>
      </w:r>
      <w:hyperlink r:id="rId213">
        <w:r>
          <w:rPr>
            <w:rStyle w:val="Hyperlink"/>
          </w:rPr>
          <w:t xml:space="preserve">https://www.law.cornell.edu/uscode/text/5/552a</w:t>
        </w:r>
      </w:hyperlink>
      <w:r>
        <w:t xml:space="preserve"> </w:t>
      </w:r>
      <w:r>
        <w:t xml:space="preserve">(accessed Oct 20, 2026).</w:t>
      </w:r>
    </w:p>
  </w:footnote>
  <w:footnote w:id="362">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 (publication of new or significantly modified routine uses) and §6.k</w:t>
      </w:r>
      <w:r>
        <w:t xml:space="preserve"> </w:t>
      </w:r>
      <w:r>
        <w:t xml:space="preserve">“Routine Uses,”</w:t>
      </w:r>
      <w:r>
        <w:t xml:space="preserve"> </w:t>
      </w:r>
      <w:hyperlink r:id="rId363">
        <w:r>
          <w:rPr>
            <w:rStyle w:val="Hyperlink"/>
          </w:rPr>
          <w:t xml:space="preserve">https://www.whitehouse.gov/wp-content/uploads/legacy_drupal_files/omb/circulars/A108/omb_circular_a-108.pdf</w:t>
        </w:r>
      </w:hyperlink>
      <w:r>
        <w:t xml:space="preserve"> </w:t>
      </w:r>
      <w:r>
        <w:t xml:space="preserve">(accessed Oct 20, 2026).</w:t>
      </w:r>
    </w:p>
  </w:footnote>
  <w:footnote w:id="364">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and Appendix I §4.e,</w:t>
      </w:r>
      <w:r>
        <w:t xml:space="preserve"> </w:t>
      </w:r>
      <w:hyperlink r:id="rId365">
        <w:r>
          <w:rPr>
            <w:rStyle w:val="Hyperlink"/>
          </w:rPr>
          <w:t xml:space="preserve">https://www.whitehouse.gov/wp-content/uploads/legacy_drupal_files/omb/circulars/A130/a130revised.pdf</w:t>
        </w:r>
      </w:hyperlink>
      <w:r>
        <w:t xml:space="preserve"> </w:t>
      </w:r>
      <w:r>
        <w:t xml:space="preserve">(accessed Oct 20, 2026).</w:t>
      </w:r>
    </w:p>
  </w:footnote>
  <w:footnote w:id="36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336">
        <w:r>
          <w:rPr>
            <w:rStyle w:val="Hyperlink"/>
          </w:rPr>
          <w:t xml:space="preserve">https://nvlpubs.nist.gov/nistpubs/SpecialPublications/NIST.SP.800-37r2.pdf</w:t>
        </w:r>
      </w:hyperlink>
      <w:r>
        <w:t xml:space="preserve"> </w:t>
      </w:r>
      <w:r>
        <w:t xml:space="preserve">(accessed Oct 20, 2026).</w:t>
      </w:r>
    </w:p>
  </w:footnote>
  <w:footnote w:id="367">
    <w:p>
      <w:pPr>
        <w:pStyle w:val="FootnoteText"/>
      </w:pPr>
      <w:r>
        <w:rPr>
          <w:rStyle w:val="FootnoteReference"/>
        </w:rPr>
        <w:footnoteRef/>
      </w:r>
      <w:r>
        <w:t xml:space="preserve"> </w:t>
      </w:r>
      <w:r>
        <w:t xml:space="preserve">Office of Management and Budget, M-03-22,</w:t>
      </w:r>
      <w:r>
        <w:t xml:space="preserve"> </w:t>
      </w:r>
      <w:r>
        <w:rPr>
          <w:i/>
          <w:iCs/>
        </w:rPr>
        <w:t xml:space="preserve">OMB Guidance for Implementing the Privacy Provisions of the E-Government Act of 2002</w:t>
      </w:r>
      <w:r>
        <w:t xml:space="preserve">, September 26, 2003, §II.B (when to conduct a PIA),</w:t>
      </w:r>
      <w:r>
        <w:t xml:space="preserve"> </w:t>
      </w:r>
      <w:hyperlink r:id="rId368">
        <w:r>
          <w:rPr>
            <w:rStyle w:val="Hyperlink"/>
          </w:rPr>
          <w:t xml:space="preserve">https://www.whitehouse.gov/wp-content/uploads/2017/11/203-M-03-22-OMB-Guidance-for-Implementing-the-Privacy-Provisions-of-the-E-Government-Act-of-2002-1.pdf</w:t>
        </w:r>
      </w:hyperlink>
      <w:r>
        <w:t xml:space="preserve"> </w:t>
      </w:r>
      <w:r>
        <w:t xml:space="preserve">(accessed Oct 20, 2026).</w:t>
      </w:r>
    </w:p>
  </w:footnote>
  <w:footnote w:id="370">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203">
        <w:r>
          <w:rPr>
            <w:rStyle w:val="Hyperlink"/>
          </w:rPr>
          <w:t xml:space="preserve">https://nvlpubs.nist.gov/nistpubs/FIPS/NIST.FIPS.201-3.pdf</w:t>
        </w:r>
      </w:hyperlink>
      <w:r>
        <w:t xml:space="preserve"> </w:t>
      </w:r>
      <w:r>
        <w:t xml:space="preserve">(accessed Oct 20, 2026).</w:t>
      </w:r>
    </w:p>
  </w:footnote>
  <w:footnote w:id="371">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339">
        <w:r>
          <w:rPr>
            <w:rStyle w:val="Hyperlink"/>
          </w:rPr>
          <w:t xml:space="preserve">https://nvlpubs.nist.gov/nistpubs/SpecialPublications/NIST.SP.800-79-2.pdf</w:t>
        </w:r>
      </w:hyperlink>
      <w:r>
        <w:t xml:space="preserve"> </w:t>
      </w:r>
      <w:r>
        <w:t xml:space="preserve">(accessed Oct 20, 2026).</w:t>
      </w:r>
    </w:p>
  </w:footnote>
  <w:footnote w:id="372">
    <w:p>
      <w:pPr>
        <w:pStyle w:val="FootnoteText"/>
      </w:pPr>
      <w:r>
        <w:rPr>
          <w:rStyle w:val="FootnoteReference"/>
        </w:rPr>
        <w:footnoteRef/>
      </w:r>
      <w:r>
        <w:t xml:space="preserve"> </w:t>
      </w:r>
      <w:r>
        <w:t xml:space="preserve">National Institute of Standards and Technology, SP 800-79-2,</w:t>
      </w:r>
      <w:r>
        <w:t xml:space="preserve"> </w:t>
      </w:r>
      <w:r>
        <w:rPr>
          <w:i/>
          <w:iCs/>
        </w:rPr>
        <w:t xml:space="preserve">Guidelines for the Authorization of Personal Identity Verification Card Issuers (PCI) and Derived PIV Credential Issuers (DPCI)</w:t>
      </w:r>
      <w:r>
        <w:t xml:space="preserve">, July 2015, §2.1</w:t>
      </w:r>
      <w:r>
        <w:t xml:space="preserve"> </w:t>
      </w:r>
      <w:r>
        <w:t xml:space="preserve">“Issuer”</w:t>
      </w:r>
      <w:r>
        <w:t xml:space="preserve"> </w:t>
      </w:r>
      <w:r>
        <w:t xml:space="preserve">and §2.3</w:t>
      </w:r>
      <w:r>
        <w:t xml:space="preserve"> </w:t>
      </w:r>
      <w:r>
        <w:t xml:space="preserve">“Outsourcing of Issuing Functions,”</w:t>
      </w:r>
      <w:r>
        <w:t xml:space="preserve"> </w:t>
      </w:r>
      <w:hyperlink r:id="rId339">
        <w:r>
          <w:rPr>
            <w:rStyle w:val="Hyperlink"/>
          </w:rPr>
          <w:t xml:space="preserve">https://nvlpubs.nist.gov/nistpubs/SpecialPublications/NIST.SP.800-79-2.pdf</w:t>
        </w:r>
      </w:hyperlink>
      <w:r>
        <w:t xml:space="preserve"> </w:t>
      </w:r>
      <w:r>
        <w:t xml:space="preserve">(accessed Oct 20, 2026).</w:t>
      </w:r>
    </w:p>
  </w:footnote>
  <w:footnote w:id="373">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§2.1 control objectives, §2.7 identity proofing and registration requirements (separation of duties), and §2.9.4 PIV Card termination requirements,</w:t>
      </w:r>
      <w:r>
        <w:t xml:space="preserve"> </w:t>
      </w:r>
      <w:hyperlink r:id="rId203">
        <w:r>
          <w:rPr>
            <w:rStyle w:val="Hyperlink"/>
          </w:rPr>
          <w:t xml:space="preserve">https://nvlpubs.nist.gov/nistpubs/FIPS/NIST.FIPS.201-3.pdf</w:t>
        </w:r>
      </w:hyperlink>
      <w:r>
        <w:t xml:space="preserve"> </w:t>
      </w:r>
      <w:r>
        <w:t xml:space="preserve">(accessed Oct 20, 2026).</w:t>
      </w:r>
    </w:p>
  </w:footnote>
  <w:footnote w:id="37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336">
        <w:r>
          <w:rPr>
            <w:rStyle w:val="Hyperlink"/>
          </w:rPr>
          <w:t xml:space="preserve">https://nvlpubs.nist.gov/nistpubs/SpecialPublications/NIST.SP.800-37r2.pdf</w:t>
        </w:r>
      </w:hyperlink>
      <w:r>
        <w:t xml:space="preserve"> </w:t>
      </w:r>
      <w:r>
        <w:t xml:space="preserve">(accessed Oct 20, 2026).</w:t>
      </w:r>
    </w:p>
  </w:footnote>
  <w:footnote w:id="376">
    <w:p>
      <w:pPr>
        <w:pStyle w:val="FootnoteText"/>
      </w:pPr>
      <w:r>
        <w:rPr>
          <w:rStyle w:val="FootnoteReference"/>
        </w:rPr>
        <w:footnoteRef/>
      </w:r>
      <w:r>
        <w:t xml:space="preserve"> </w:t>
      </w:r>
      <w:r>
        <w:t xml:space="preserve">National Institute of Standards and Technology, SP 800-47 Rev. 1,</w:t>
      </w:r>
      <w:r>
        <w:t xml:space="preserve"> </w:t>
      </w:r>
      <w:r>
        <w:rPr>
          <w:i/>
          <w:iCs/>
        </w:rPr>
        <w:t xml:space="preserve">Managing the Security of Information Exchanges</w:t>
      </w:r>
      <w:r>
        <w:t xml:space="preserve">, July 2021,</w:t>
      </w:r>
      <w:r>
        <w:t xml:space="preserve"> </w:t>
      </w:r>
      <w:hyperlink r:id="rId377">
        <w:r>
          <w:rPr>
            <w:rStyle w:val="Hyperlink"/>
          </w:rPr>
          <w:t xml:space="preserve">https://csrc.nist.gov/pubs/sp/800/47/r1/final</w:t>
        </w:r>
      </w:hyperlink>
      <w:r>
        <w:t xml:space="preserve"> </w:t>
      </w:r>
      <w:r>
        <w:t xml:space="preserve">(accessed Oct 20, 2026).</w:t>
      </w:r>
    </w:p>
  </w:footnote>
  <w:footnote w:id="380">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 Appendix D (Authorizing Official; Enterprise Architect; Information Owner or Steward; Senior Agency Official for Privacy; System Owner, including note 122; System Security or Privacy Officer),</w:t>
      </w:r>
      <w:r>
        <w:t xml:space="preserve"> </w:t>
      </w:r>
      <w:hyperlink r:id="rId336">
        <w:r>
          <w:rPr>
            <w:rStyle w:val="Hyperlink"/>
          </w:rPr>
          <w:t xml:space="preserve">https://nvlpubs.nist.gov/nistpubs/SpecialPublications/NIST.SP.800-37r2.pdf</w:t>
        </w:r>
      </w:hyperlink>
      <w:r>
        <w:t xml:space="preserve"> </w:t>
      </w:r>
      <w:r>
        <w:t xml:space="preserve">(accessed Oct 20, 2026).</w:t>
      </w:r>
    </w:p>
  </w:footnote>
  <w:footnote w:id="381">
    <w:p>
      <w:pPr>
        <w:pStyle w:val="FootnoteText"/>
      </w:pPr>
      <w:r>
        <w:rPr>
          <w:rStyle w:val="FootnoteReference"/>
        </w:rPr>
        <w:footnoteRef/>
      </w:r>
      <w:r>
        <w:t xml:space="preserve"> </w:t>
      </w:r>
      <w:r>
        <w:t xml:space="preserve">Office of Management and Budget, M-19-23,</w:t>
      </w:r>
      <w:r>
        <w:t xml:space="preserve"> </w:t>
      </w:r>
      <w:r>
        <w:rPr>
          <w:i/>
          <w:iCs/>
        </w:rPr>
        <w:t xml:space="preserve">Phase 1 Implementation of the Foundations for Evidence-Based Policymaking Act of 2018: Learning Agendas, Personnel, and Planning Guidance</w:t>
      </w:r>
      <w:r>
        <w:t xml:space="preserve">, July 10, 2019 (Data Governance Body; Chief Data Officer governance responsibilities),</w:t>
      </w:r>
      <w:r>
        <w:t xml:space="preserve"> </w:t>
      </w:r>
      <w:hyperlink r:id="rId382">
        <w:r>
          <w:rPr>
            <w:rStyle w:val="Hyperlink"/>
          </w:rPr>
          <w:t xml:space="preserve">https://www.whitehouse.gov/wp-content/uploads/2019/07/M-19-23.pdf</w:t>
        </w:r>
      </w:hyperlink>
      <w:r>
        <w:t xml:space="preserve"> </w:t>
      </w:r>
      <w:r>
        <w:t xml:space="preserve">(accessed Oct 20, 2026).</w:t>
      </w:r>
    </w:p>
  </w:footnote>
  <w:footnote w:id="38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(security consideration: evaluate attribute write permissions),</w:t>
      </w:r>
      <w:r>
        <w:t xml:space="preserve"> </w:t>
      </w:r>
      <w:hyperlink r:id="rId388">
        <w:r>
          <w:rPr>
            <w:rStyle w:val="Hyperlink"/>
          </w:rPr>
          <w:t xml:space="preserve">https://learn.microsoft.com/entra/identity/users/groups-dynamic-membership</w:t>
        </w:r>
      </w:hyperlink>
      <w:r>
        <w:t xml:space="preserve"> </w:t>
      </w:r>
      <w:r>
        <w:t xml:space="preserve">(accessed Oct 20, 2026).</w:t>
      </w:r>
    </w:p>
  </w:footnote>
  <w:footnote w:id="395">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controls IA-4, PS-4 and PS-5,</w:t>
      </w:r>
      <w:r>
        <w:t xml:space="preserve"> </w:t>
      </w:r>
      <w:hyperlink r:id="rId198">
        <w:r>
          <w:rPr>
            <w:rStyle w:val="Hyperlink"/>
          </w:rPr>
          <w:t xml:space="preserve">https://csrc.nist.gov/pubs/sp/800/53/r5/upd1/final</w:t>
        </w:r>
      </w:hyperlink>
      <w:r>
        <w:t xml:space="preserve"> </w:t>
      </w:r>
      <w:r>
        <w:t xml:space="preserve">(accessed Oct 20, 2026).</w:t>
      </w:r>
    </w:p>
  </w:footnote>
  <w:footnote w:id="397">
    <w:p>
      <w:pPr>
        <w:pStyle w:val="FootnoteText"/>
      </w:pPr>
      <w:r>
        <w:rPr>
          <w:rStyle w:val="FootnoteReference"/>
        </w:rPr>
        <w:footnoteRef/>
      </w:r>
      <w:r>
        <w:t xml:space="preserve"> </w:t>
      </w:r>
      <w:r>
        <w:t xml:space="preserve">U.S. Office of Personnel Management,</w:t>
      </w:r>
      <w:r>
        <w:t xml:space="preserve"> </w:t>
      </w:r>
      <w:r>
        <w:rPr>
          <w:i/>
          <w:iCs/>
        </w:rPr>
        <w:t xml:space="preserve">The Guide to Processing Personnel Actions</w:t>
      </w:r>
      <w:r>
        <w:t xml:space="preserve">, October 2026 edition (chapter list with nature-of-action codes per chapter; Chapter 1 §4, nature of action, and the SF-50 documentation requirement; Chapter 4 job aid for blocks 5-A and 6-A),</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398">
    <w:p>
      <w:pPr>
        <w:pStyle w:val="FootnoteText"/>
      </w:pPr>
      <w:r>
        <w:rPr>
          <w:rStyle w:val="FootnoteReference"/>
        </w:rPr>
        <w:footnoteRef/>
      </w:r>
      <w:r>
        <w:t xml:space="preserve"> </w:t>
      </w:r>
      <w:r>
        <w:t xml:space="preserve">U.S. Office of Personnel Management,</w:t>
      </w:r>
      <w:r>
        <w:t xml:space="preserve"> </w:t>
      </w:r>
      <w:r>
        <w:rPr>
          <w:i/>
          <w:iCs/>
        </w:rPr>
        <w:t xml:space="preserve">The Guide to Processing Personnel Actions</w:t>
      </w:r>
      <w:r>
        <w:t xml:space="preserve">, October 2026 edition (chapter list with nature-of-action codes per chapter; Chapter 1 §4, nature of action, and the SF-50 documentation requirement; Chapter 4 job aid for blocks 5-A and 6-A),</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402">
    <w:p>
      <w:pPr>
        <w:pStyle w:val="FootnoteText"/>
      </w:pPr>
      <w:r>
        <w:rPr>
          <w:rStyle w:val="FootnoteReference"/>
        </w:rPr>
        <w:footnoteRef/>
      </w:r>
      <w:r>
        <w:t xml:space="preserve"> </w:t>
      </w:r>
      <w:r>
        <w:t xml:space="preserve">U.S. Office of Personnel Management,</w:t>
      </w:r>
      <w:r>
        <w:t xml:space="preserve"> </w:t>
      </w:r>
      <w:r>
        <w:rPr>
          <w:i/>
          <w:iCs/>
        </w:rPr>
        <w:t xml:space="preserve">The Guide to Processing Personnel Actions</w:t>
      </w:r>
      <w:r>
        <w:t xml:space="preserve">, October 2026 edition (chapter list with nature-of-action codes per chapter; Chapter 1 §4, nature of action, and the SF-50 documentation requirement; Chapter 4 job aid for blocks 5-A and 6-A),</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404">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406">
    <w:p>
      <w:pPr>
        <w:pStyle w:val="FootnoteText"/>
      </w:pPr>
      <w:r>
        <w:rPr>
          <w:rStyle w:val="FootnoteReference"/>
        </w:rPr>
        <w:footnoteRef/>
      </w:r>
      <w:r>
        <w:t xml:space="preserve"> </w:t>
      </w:r>
      <w:r>
        <w:t xml:space="preserve">Microsoft Learn,</w:t>
      </w:r>
      <w:r>
        <w:t xml:space="preserve"> </w:t>
      </w:r>
      <w:r>
        <w:t xml:space="preserve">“Automate identity lifecycle management with Microsoft Entra ID Governance”</w:t>
      </w:r>
      <w:r>
        <w:t xml:space="preserve"> </w:t>
      </w:r>
      <w:r>
        <w:t xml:space="preserve">(enabled HR scenarios),</w:t>
      </w:r>
      <w:r>
        <w:t xml:space="preserve"> </w:t>
      </w:r>
      <w:hyperlink r:id="rId407">
        <w:r>
          <w:rPr>
            <w:rStyle w:val="Hyperlink"/>
          </w:rPr>
          <w:t xml:space="preserve">https://learn.microsoft.com/en-us/entra/id-governance/scenarios/automate-identity-lifecycle</w:t>
        </w:r>
      </w:hyperlink>
      <w:r>
        <w:t xml:space="preserve"> </w:t>
      </w:r>
      <w:r>
        <w:t xml:space="preserve">(accessed Oct 20, 2026).</w:t>
      </w:r>
    </w:p>
  </w:footnote>
  <w:footnote w:id="408">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40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410">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hyperlink r:id="rId411">
        <w:r>
          <w:rPr>
            <w:rStyle w:val="Hyperlink"/>
          </w:rPr>
          <w:t xml:space="preserve">https://learn.microsoft.com/en-us/entra/id-governance/what-are-lifecycle-workflows</w:t>
        </w:r>
      </w:hyperlink>
      <w:r>
        <w:t xml:space="preserve"> </w:t>
      </w:r>
      <w:r>
        <w:t xml:space="preserve">(accessed Oct 20, 2026).</w:t>
      </w:r>
    </w:p>
  </w:footnote>
  <w:footnote w:id="41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414">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hyperlink r:id="rId411">
        <w:r>
          <w:rPr>
            <w:rStyle w:val="Hyperlink"/>
          </w:rPr>
          <w:t xml:space="preserve">https://learn.microsoft.com/en-us/entra/id-governance/what-are-lifecycle-workflows</w:t>
        </w:r>
      </w:hyperlink>
      <w:r>
        <w:t xml:space="preserve"> </w:t>
      </w:r>
      <w:r>
        <w:t xml:space="preserve">(accessed Oct 20, 2026).</w:t>
      </w:r>
    </w:p>
  </w:footnote>
  <w:footnote w:id="415">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419">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420">
        <w:r>
          <w:rPr>
            <w:rStyle w:val="Hyperlink"/>
          </w:rPr>
          <w:t xml:space="preserve">https://learn.microsoft.com/en-us/entra/id-governance/lifecycle-workflow-execution-conditions</w:t>
        </w:r>
      </w:hyperlink>
      <w:r>
        <w:t xml:space="preserve"> </w:t>
      </w:r>
      <w:r>
        <w:t xml:space="preserve">(accessed Oct 20, 2026).</w:t>
      </w:r>
    </w:p>
  </w:footnote>
  <w:footnote w:id="421">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420">
        <w:r>
          <w:rPr>
            <w:rStyle w:val="Hyperlink"/>
          </w:rPr>
          <w:t xml:space="preserve">https://learn.microsoft.com/en-us/entra/id-governance/lifecycle-workflow-execution-conditions</w:t>
        </w:r>
      </w:hyperlink>
      <w:r>
        <w:t xml:space="preserve"> </w:t>
      </w:r>
      <w:r>
        <w:t xml:space="preserve">(accessed Oct 20, 2026).</w:t>
      </w:r>
    </w:p>
  </w:footnote>
  <w:footnote w:id="422">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420">
        <w:r>
          <w:rPr>
            <w:rStyle w:val="Hyperlink"/>
          </w:rPr>
          <w:t xml:space="preserve">https://learn.microsoft.com/en-us/entra/id-governance/lifecycle-workflow-execution-conditions</w:t>
        </w:r>
      </w:hyperlink>
      <w:r>
        <w:t xml:space="preserve"> </w:t>
      </w:r>
      <w:r>
        <w:t xml:space="preserve">(accessed Oct 20, 2026).</w:t>
      </w:r>
    </w:p>
  </w:footnote>
  <w:footnote w:id="423">
    <w:p>
      <w:pPr>
        <w:pStyle w:val="FootnoteText"/>
      </w:pPr>
      <w:r>
        <w:rPr>
          <w:rStyle w:val="FootnoteReference"/>
        </w:rPr>
        <w:footnoteRef/>
      </w:r>
      <w:r>
        <w:t xml:space="preserve"> </w:t>
      </w:r>
      <w:r>
        <w:t xml:space="preserve">Microsoft Learn,</w:t>
      </w:r>
      <w:r>
        <w:t xml:space="preserve"> </w:t>
      </w:r>
      <w:r>
        <w:t xml:space="preserve">“Customize the schedule of workflows,”</w:t>
      </w:r>
      <w:r>
        <w:t xml:space="preserve"> </w:t>
      </w:r>
      <w:hyperlink r:id="rId424">
        <w:r>
          <w:rPr>
            <w:rStyle w:val="Hyperlink"/>
          </w:rPr>
          <w:t xml:space="preserve">https://learn.microsoft.com/en-us/entra/id-governance/customize-workflow-schedule</w:t>
        </w:r>
      </w:hyperlink>
      <w:r>
        <w:t xml:space="preserve"> </w:t>
      </w:r>
      <w:r>
        <w:t xml:space="preserve">(accessed Oct 20, 2026).</w:t>
      </w:r>
    </w:p>
  </w:footnote>
  <w:footnote w:id="425">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420">
        <w:r>
          <w:rPr>
            <w:rStyle w:val="Hyperlink"/>
          </w:rPr>
          <w:t xml:space="preserve">https://learn.microsoft.com/en-us/entra/id-governance/lifecycle-workflow-execution-conditions</w:t>
        </w:r>
      </w:hyperlink>
      <w:r>
        <w:t xml:space="preserve"> </w:t>
      </w:r>
      <w:r>
        <w:t xml:space="preserve">(accessed Oct 20, 2026).</w:t>
      </w:r>
    </w:p>
  </w:footnote>
  <w:footnote w:id="426">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r>
        <w:t xml:space="preserve">(Importance of time),</w:t>
      </w:r>
      <w:r>
        <w:t xml:space="preserve"> </w:t>
      </w:r>
      <w:hyperlink r:id="rId324">
        <w:r>
          <w:rPr>
            <w:rStyle w:val="Hyperlink"/>
          </w:rPr>
          <w:t xml:space="preserve">https://learn.microsoft.com/en-us/entra/id-governance/how-to-lifecycle-workflow-sync-attributes</w:t>
        </w:r>
      </w:hyperlink>
      <w:r>
        <w:t xml:space="preserve"> </w:t>
      </w:r>
      <w:r>
        <w:t xml:space="preserve">(accessed Oct 20, 2026).</w:t>
      </w:r>
    </w:p>
  </w:footnote>
  <w:footnote w:id="427">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420">
        <w:r>
          <w:rPr>
            <w:rStyle w:val="Hyperlink"/>
          </w:rPr>
          <w:t xml:space="preserve">https://learn.microsoft.com/en-us/entra/id-governance/lifecycle-workflow-execution-conditions</w:t>
        </w:r>
      </w:hyperlink>
      <w:r>
        <w:t xml:space="preserve"> </w:t>
      </w:r>
      <w:r>
        <w:t xml:space="preserve">(accessed Oct 20, 2026).</w:t>
      </w:r>
    </w:p>
  </w:footnote>
  <w:footnote w:id="42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432">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r>
        <w:t xml:space="preserve">(Importance of time),</w:t>
      </w:r>
      <w:r>
        <w:t xml:space="preserve"> </w:t>
      </w:r>
      <w:hyperlink r:id="rId324">
        <w:r>
          <w:rPr>
            <w:rStyle w:val="Hyperlink"/>
          </w:rPr>
          <w:t xml:space="preserve">https://learn.microsoft.com/en-us/entra/id-governance/how-to-lifecycle-workflow-sync-attributes</w:t>
        </w:r>
      </w:hyperlink>
      <w:r>
        <w:t xml:space="preserve"> </w:t>
      </w:r>
      <w:r>
        <w:t xml:space="preserve">(accessed Oct 20, 2026).</w:t>
      </w:r>
    </w:p>
  </w:footnote>
  <w:footnote w:id="435">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r>
        <w:t xml:space="preserve">(the Real-time employee termination template),</w:t>
      </w:r>
      <w:r>
        <w:t xml:space="preserve"> </w:t>
      </w:r>
      <w:hyperlink r:id="rId436">
        <w:r>
          <w:rPr>
            <w:rStyle w:val="Hyperlink"/>
          </w:rPr>
          <w:t xml:space="preserve">https://learn.microsoft.com/en-us/entra/id-governance/tutorial-offboard-custom-workflow-portal</w:t>
        </w:r>
      </w:hyperlink>
      <w:r>
        <w:t xml:space="preserve"> </w:t>
      </w:r>
      <w:r>
        <w:t xml:space="preserve">(accessed Oct 20, 2026).</w:t>
      </w:r>
    </w:p>
  </w:footnote>
  <w:footnote w:id="439">
    <w:p>
      <w:pPr>
        <w:pStyle w:val="FootnoteText"/>
      </w:pPr>
      <w:r>
        <w:rPr>
          <w:rStyle w:val="FootnoteReference"/>
        </w:rPr>
        <w:footnoteRef/>
      </w:r>
      <w:r>
        <w:t xml:space="preserve"> </w:t>
      </w:r>
      <w:r>
        <w:t xml:space="preserve">Microsoft Learn,</w:t>
      </w:r>
      <w:r>
        <w:t xml:space="preserve"> </w:t>
      </w:r>
      <w:r>
        <w:t xml:space="preserve">“Automate identity lifecycle management with Microsoft Entra ID Governance”</w:t>
      </w:r>
      <w:r>
        <w:t xml:space="preserve"> </w:t>
      </w:r>
      <w:r>
        <w:t xml:space="preserve">(enabled HR scenarios),</w:t>
      </w:r>
      <w:r>
        <w:t xml:space="preserve"> </w:t>
      </w:r>
      <w:hyperlink r:id="rId407">
        <w:r>
          <w:rPr>
            <w:rStyle w:val="Hyperlink"/>
          </w:rPr>
          <w:t xml:space="preserve">https://learn.microsoft.com/en-us/entra/id-governance/scenarios/automate-identity-lifecycle</w:t>
        </w:r>
      </w:hyperlink>
      <w:r>
        <w:t xml:space="preserve"> </w:t>
      </w:r>
      <w:r>
        <w:t xml:space="preserve">(accessed Oct 20, 2026).</w:t>
      </w:r>
    </w:p>
  </w:footnote>
  <w:footnote w:id="440">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442">
    <w:p>
      <w:pPr>
        <w:pStyle w:val="FootnoteText"/>
      </w:pPr>
      <w:r>
        <w:rPr>
          <w:rStyle w:val="FootnoteReference"/>
        </w:rPr>
        <w:footnoteRef/>
      </w:r>
      <w:r>
        <w:t xml:space="preserve"> </w:t>
      </w:r>
      <w:r>
        <w:t xml:space="preserve">Microsoft Learn,</w:t>
      </w:r>
      <w:r>
        <w:t xml:space="preserve"> </w:t>
      </w:r>
      <w:r>
        <w:t xml:space="preserve">“Restore or remove a recently deleted user,”</w:t>
      </w:r>
      <w:r>
        <w:t xml:space="preserve"> </w:t>
      </w:r>
      <w:hyperlink r:id="rId443">
        <w:r>
          <w:rPr>
            <w:rStyle w:val="Hyperlink"/>
          </w:rPr>
          <w:t xml:space="preserve">https://learn.microsoft.com/en-us/entra/fundamentals/users-restore</w:t>
        </w:r>
      </w:hyperlink>
      <w:r>
        <w:t xml:space="preserve"> </w:t>
      </w:r>
      <w:r>
        <w:t xml:space="preserve">(accessed Oct 20, 2026).</w:t>
      </w:r>
    </w:p>
  </w:footnote>
  <w:footnote w:id="444">
    <w:p>
      <w:pPr>
        <w:pStyle w:val="FootnoteText"/>
      </w:pPr>
      <w:r>
        <w:rPr>
          <w:rStyle w:val="FootnoteReference"/>
        </w:rPr>
        <w:footnoteRef/>
      </w:r>
      <w:r>
        <w:t xml:space="preserve"> </w:t>
      </w:r>
      <w:r>
        <w:t xml:space="preserve">Microsoft Learn,</w:t>
      </w:r>
      <w:r>
        <w:t xml:space="preserve"> </w:t>
      </w:r>
      <w:r>
        <w:t xml:space="preserve">“Restore or remove a recently deleted user,”</w:t>
      </w:r>
      <w:r>
        <w:t xml:space="preserve"> </w:t>
      </w:r>
      <w:hyperlink r:id="rId443">
        <w:r>
          <w:rPr>
            <w:rStyle w:val="Hyperlink"/>
          </w:rPr>
          <w:t xml:space="preserve">https://learn.microsoft.com/en-us/entra/fundamentals/users-restore</w:t>
        </w:r>
      </w:hyperlink>
      <w:r>
        <w:t xml:space="preserve"> </w:t>
      </w:r>
      <w:r>
        <w:t xml:space="preserve">(accessed Oct 20, 2026).</w:t>
      </w:r>
    </w:p>
  </w:footnote>
  <w:footnote w:id="449">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451">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67">
        <w:r>
          <w:rPr>
            <w:rStyle w:val="Hyperlink"/>
          </w:rPr>
          <w:t xml:space="preserve">https://www.idmanagement.gov/playbooks/ilm/</w:t>
        </w:r>
      </w:hyperlink>
      <w:r>
        <w:t xml:space="preserve"> </w:t>
      </w:r>
      <w:r>
        <w:t xml:space="preserve">(accessed Oct 20, 2026).</w:t>
      </w:r>
    </w:p>
  </w:footnote>
  <w:footnote w:id="452">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67">
        <w:r>
          <w:rPr>
            <w:rStyle w:val="Hyperlink"/>
          </w:rPr>
          <w:t xml:space="preserve">https://www.idmanagement.gov/playbooks/ilm/</w:t>
        </w:r>
      </w:hyperlink>
      <w:r>
        <w:t xml:space="preserve"> </w:t>
      </w:r>
      <w:r>
        <w:t xml:space="preserve">(accessed Oct 20, 2026).</w:t>
      </w:r>
    </w:p>
  </w:footnote>
  <w:footnote w:id="457">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67">
        <w:r>
          <w:rPr>
            <w:rStyle w:val="Hyperlink"/>
          </w:rPr>
          <w:t xml:space="preserve">https://www.idmanagement.gov/playbooks/ilm/</w:t>
        </w:r>
      </w:hyperlink>
      <w:r>
        <w:t xml:space="preserve"> </w:t>
      </w:r>
      <w:r>
        <w:t xml:space="preserve">(accessed Oct 20, 2026).</w:t>
      </w:r>
    </w:p>
  </w:footnote>
  <w:footnote w:id="458">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459">
    <w:p>
      <w:pPr>
        <w:pStyle w:val="FootnoteText"/>
      </w:pPr>
      <w:r>
        <w:rPr>
          <w:rStyle w:val="FootnoteReference"/>
        </w:rPr>
        <w:footnoteRef/>
      </w:r>
      <w:r>
        <w:t xml:space="preserve"> </w:t>
      </w:r>
      <w:r>
        <w:t xml:space="preserve">NIST, SP 800-63-4,</w:t>
      </w:r>
      <w:r>
        <w:t xml:space="preserve"> </w:t>
      </w:r>
      <w:r>
        <w:rPr>
          <w:i/>
          <w:iCs/>
        </w:rPr>
        <w:t xml:space="preserve">Digital Identity Guidelines</w:t>
      </w:r>
      <w:r>
        <w:t xml:space="preserve">, July 2025,</w:t>
      </w:r>
      <w:r>
        <w:t xml:space="preserve"> </w:t>
      </w:r>
      <w:hyperlink r:id="rId460">
        <w:r>
          <w:rPr>
            <w:rStyle w:val="Hyperlink"/>
          </w:rPr>
          <w:t xml:space="preserve">https://csrc.nist.gov/pubs/sp/800/63/4/final</w:t>
        </w:r>
      </w:hyperlink>
      <w:r>
        <w:t xml:space="preserve"> </w:t>
      </w:r>
      <w:r>
        <w:t xml:space="preserve">(accessed Oct 20, 2026).</w:t>
      </w:r>
    </w:p>
  </w:footnote>
  <w:footnote w:id="461">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67">
        <w:r>
          <w:rPr>
            <w:rStyle w:val="Hyperlink"/>
          </w:rPr>
          <w:t xml:space="preserve">https://www.idmanagement.gov/playbooks/ilm/</w:t>
        </w:r>
      </w:hyperlink>
      <w:r>
        <w:t xml:space="preserve"> </w:t>
      </w:r>
      <w:r>
        <w:t xml:space="preserve">(accessed Oct 20, 2026).</w:t>
      </w:r>
    </w:p>
  </w:footnote>
  <w:footnote w:id="46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65">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66">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6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6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6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470">
        <w:r>
          <w:rPr>
            <w:rStyle w:val="Hyperlink"/>
          </w:rPr>
          <w:t xml:space="preserve">https://learn.microsoft.com/en-us/entra/identity/authentication/how-to-certificate-based-authentication</w:t>
        </w:r>
      </w:hyperlink>
      <w:r>
        <w:t xml:space="preserve"> </w:t>
      </w:r>
      <w:r>
        <w:t xml:space="preserve">(accessed Oct 20, 2026).</w:t>
      </w:r>
    </w:p>
  </w:footnote>
  <w:footnote w:id="471">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47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73">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474">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75">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474">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7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470">
        <w:r>
          <w:rPr>
            <w:rStyle w:val="Hyperlink"/>
          </w:rPr>
          <w:t xml:space="preserve">https://learn.microsoft.com/en-us/entra/identity/authentication/how-to-certificate-based-authentication</w:t>
        </w:r>
      </w:hyperlink>
      <w:r>
        <w:t xml:space="preserve"> </w:t>
      </w:r>
      <w:r>
        <w:t xml:space="preserve">(accessed Oct 20, 2026).</w:t>
      </w:r>
    </w:p>
  </w:footnote>
  <w:footnote w:id="477">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474">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78">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474">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79">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474">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8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470">
        <w:r>
          <w:rPr>
            <w:rStyle w:val="Hyperlink"/>
          </w:rPr>
          <w:t xml:space="preserve">https://learn.microsoft.com/en-us/entra/identity/authentication/how-to-certificate-based-authentication</w:t>
        </w:r>
      </w:hyperlink>
      <w:r>
        <w:t xml:space="preserve"> </w:t>
      </w:r>
      <w:r>
        <w:t xml:space="preserve">(accessed Oct 20, 2026).</w:t>
      </w:r>
    </w:p>
  </w:footnote>
  <w:footnote w:id="481">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46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82">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474">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84">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8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470">
        <w:r>
          <w:rPr>
            <w:rStyle w:val="Hyperlink"/>
          </w:rPr>
          <w:t xml:space="preserve">https://learn.microsoft.com/en-us/entra/identity/authentication/how-to-certificate-based-authentication</w:t>
        </w:r>
      </w:hyperlink>
      <w:r>
        <w:t xml:space="preserve"> </w:t>
      </w:r>
      <w:r>
        <w:t xml:space="preserve">(accessed Oct 20, 2026).</w:t>
      </w:r>
    </w:p>
  </w:footnote>
  <w:footnote w:id="487">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88">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89">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90">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91">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493">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494">
    <w:p>
      <w:pPr>
        <w:pStyle w:val="FootnoteText"/>
      </w:pPr>
      <w:r>
        <w:rPr>
          <w:rStyle w:val="FootnoteReference"/>
        </w:rPr>
        <w:footnoteRef/>
      </w:r>
      <w:r>
        <w:t xml:space="preserve"> </w:t>
      </w:r>
      <w:r>
        <w:t xml:space="preserve">NIST, SP 800-157,</w:t>
      </w:r>
      <w:r>
        <w:t xml:space="preserve"> </w:t>
      </w:r>
      <w:r>
        <w:rPr>
          <w:i/>
          <w:iCs/>
        </w:rPr>
        <w:t xml:space="preserve">Guidelines for Derived Personal Identity Verification (PIV) Credentials</w:t>
      </w:r>
      <w:r>
        <w:t xml:space="preserve">, December 2014,</w:t>
      </w:r>
      <w:r>
        <w:t xml:space="preserve"> </w:t>
      </w:r>
      <w:hyperlink r:id="rId495">
        <w:r>
          <w:rPr>
            <w:rStyle w:val="Hyperlink"/>
          </w:rPr>
          <w:t xml:space="preserve">https://csrc.nist.gov/pubs/sp/800/157/final</w:t>
        </w:r>
      </w:hyperlink>
      <w:r>
        <w:t xml:space="preserve"> </w:t>
      </w:r>
      <w:r>
        <w:t xml:space="preserve">(accessed Oct 20, 2026).</w:t>
      </w:r>
    </w:p>
  </w:footnote>
  <w:footnote w:id="496">
    <w:p>
      <w:pPr>
        <w:pStyle w:val="FootnoteText"/>
      </w:pPr>
      <w:r>
        <w:rPr>
          <w:rStyle w:val="FootnoteReference"/>
        </w:rPr>
        <w:footnoteRef/>
      </w:r>
      <w:r>
        <w:t xml:space="preserve"> </w:t>
      </w:r>
      <w:r>
        <w:t xml:space="preserve">NIST, SP 800-157 Rev. 1 (Final Public Draft),</w:t>
      </w:r>
      <w:r>
        <w:t xml:space="preserve"> </w:t>
      </w:r>
      <w:r>
        <w:rPr>
          <w:i/>
          <w:iCs/>
        </w:rPr>
        <w:t xml:space="preserve">Guidelines for Derived Personal Identity Verification (PIV) Credentials</w:t>
      </w:r>
      <w:r>
        <w:t xml:space="preserve">, November 14, 2024,</w:t>
      </w:r>
      <w:r>
        <w:t xml:space="preserve"> </w:t>
      </w:r>
      <w:hyperlink r:id="rId497">
        <w:r>
          <w:rPr>
            <w:rStyle w:val="Hyperlink"/>
          </w:rPr>
          <w:t xml:space="preserve">https://csrc.nist.gov/pubs/sp/800/157/r1/fpd</w:t>
        </w:r>
      </w:hyperlink>
      <w:r>
        <w:t xml:space="preserve"> </w:t>
      </w:r>
      <w:r>
        <w:t xml:space="preserve">(accessed Oct 20, 2026).</w:t>
      </w:r>
    </w:p>
  </w:footnote>
  <w:footnote w:id="499">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37">
        <w:r>
          <w:rPr>
            <w:rStyle w:val="Hyperlink"/>
          </w:rPr>
          <w:t xml:space="preserve">https://www.whitehouse.gov/wp-content/uploads/2022/01/M-22-09.pdf</w:t>
        </w:r>
      </w:hyperlink>
      <w:r>
        <w:t xml:space="preserve"> </w:t>
      </w:r>
      <w:r>
        <w:t xml:space="preserve">(accessed Oct 20, 2026).</w:t>
      </w:r>
    </w:p>
  </w:footnote>
  <w:footnote w:id="502">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503">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50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w:t>
      </w:r>
      <w:r>
        <w:t xml:space="preserve"> </w:t>
      </w:r>
      <w:hyperlink r:id="rId506">
        <w:r>
          <w:rPr>
            <w:rStyle w:val="Hyperlink"/>
          </w:rPr>
          <w:t xml:space="preserve">https://learn.microsoft.com/en-us/intune/cloud-pki/</w:t>
        </w:r>
      </w:hyperlink>
      <w:r>
        <w:t xml:space="preserve"> </w:t>
      </w:r>
      <w:r>
        <w:t xml:space="preserve">(accessed Oct 20, 2026).</w:t>
      </w:r>
    </w:p>
  </w:footnote>
  <w:footnote w:id="507">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508">
        <w:r>
          <w:rPr>
            <w:rStyle w:val="Hyperlink"/>
          </w:rPr>
          <w:t xml:space="preserve">https://learn.microsoft.com/en-us/intune/device-configuration/certificates/remove-profiles</w:t>
        </w:r>
      </w:hyperlink>
      <w:r>
        <w:t xml:space="preserve"> </w:t>
      </w:r>
      <w:r>
        <w:t xml:space="preserve">(accessed Oct 20, 2026).</w:t>
      </w:r>
    </w:p>
  </w:footnote>
  <w:footnote w:id="509">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508">
        <w:r>
          <w:rPr>
            <w:rStyle w:val="Hyperlink"/>
          </w:rPr>
          <w:t xml:space="preserve">https://learn.microsoft.com/en-us/intune/device-configuration/certificates/remove-profiles</w:t>
        </w:r>
      </w:hyperlink>
      <w:r>
        <w:t xml:space="preserve"> </w:t>
      </w:r>
      <w:r>
        <w:t xml:space="preserve">(accessed Oct 20, 2026).</w:t>
      </w:r>
    </w:p>
  </w:footnote>
  <w:footnote w:id="510">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508">
        <w:r>
          <w:rPr>
            <w:rStyle w:val="Hyperlink"/>
          </w:rPr>
          <w:t xml:space="preserve">https://learn.microsoft.com/en-us/intune/device-configuration/certificates/remove-profiles</w:t>
        </w:r>
      </w:hyperlink>
      <w:r>
        <w:t xml:space="preserve"> </w:t>
      </w:r>
      <w:r>
        <w:t xml:space="preserve">(accessed Oct 20, 2026).</w:t>
      </w:r>
    </w:p>
  </w:footnote>
  <w:footnote w:id="511">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508">
        <w:r>
          <w:rPr>
            <w:rStyle w:val="Hyperlink"/>
          </w:rPr>
          <w:t xml:space="preserve">https://learn.microsoft.com/en-us/intune/device-configuration/certificates/remove-profiles</w:t>
        </w:r>
      </w:hyperlink>
      <w:r>
        <w:t xml:space="preserve"> </w:t>
      </w:r>
      <w:r>
        <w:t xml:space="preserve">(accessed Oct 20, 2026).</w:t>
      </w:r>
    </w:p>
  </w:footnote>
  <w:footnote w:id="512">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513">
        <w:r>
          <w:rPr>
            <w:rStyle w:val="Hyperlink"/>
          </w:rPr>
          <w:t xml:space="preserve">https://learn.microsoft.com/en-us/intune/cloud-pki/monitor-certificates</w:t>
        </w:r>
      </w:hyperlink>
      <w:r>
        <w:t xml:space="preserve"> </w:t>
      </w:r>
      <w:r>
        <w:t xml:space="preserve">(accessed Oct 20, 2026).</w:t>
      </w:r>
    </w:p>
  </w:footnote>
  <w:footnote w:id="518">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519">
        <w:r>
          <w:rPr>
            <w:rStyle w:val="Hyperlink"/>
          </w:rPr>
          <w:t xml:space="preserve">https://learn.microsoft.com/en-us/entra/identity/users/users-revoke-access</w:t>
        </w:r>
      </w:hyperlink>
      <w:r>
        <w:t xml:space="preserve"> </w:t>
      </w:r>
      <w:r>
        <w:t xml:space="preserve">(accessed Oct 20, 2026).</w:t>
      </w:r>
    </w:p>
  </w:footnote>
  <w:footnote w:id="520">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519">
        <w:r>
          <w:rPr>
            <w:rStyle w:val="Hyperlink"/>
          </w:rPr>
          <w:t xml:space="preserve">https://learn.microsoft.com/en-us/entra/identity/users/users-revoke-access</w:t>
        </w:r>
      </w:hyperlink>
      <w:r>
        <w:t xml:space="preserve"> </w:t>
      </w:r>
      <w:r>
        <w:t xml:space="preserve">(accessed Oct 20, 2026).</w:t>
      </w:r>
    </w:p>
  </w:footnote>
  <w:footnote w:id="521">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22">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450">
        <w:r>
          <w:rPr>
            <w:rStyle w:val="Hyperlink"/>
          </w:rPr>
          <w:t xml:space="preserve">https://csrc.nist.gov/pubs/fips/201-3/final</w:t>
        </w:r>
      </w:hyperlink>
      <w:r>
        <w:t xml:space="preserve"> </w:t>
      </w:r>
      <w:r>
        <w:t xml:space="preserve">(accessed Oct 20, 2026).</w:t>
      </w:r>
    </w:p>
  </w:footnote>
  <w:footnote w:id="523">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508">
        <w:r>
          <w:rPr>
            <w:rStyle w:val="Hyperlink"/>
          </w:rPr>
          <w:t xml:space="preserve">https://learn.microsoft.com/en-us/intune/device-configuration/certificates/remove-profiles</w:t>
        </w:r>
      </w:hyperlink>
      <w:r>
        <w:t xml:space="preserve"> </w:t>
      </w:r>
      <w:r>
        <w:t xml:space="preserve">(accessed Oct 20, 2026).</w:t>
      </w:r>
    </w:p>
  </w:footnote>
  <w:footnote w:id="524">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519">
        <w:r>
          <w:rPr>
            <w:rStyle w:val="Hyperlink"/>
          </w:rPr>
          <w:t xml:space="preserve">https://learn.microsoft.com/en-us/entra/identity/users/users-revoke-access</w:t>
        </w:r>
      </w:hyperlink>
      <w:r>
        <w:t xml:space="preserve"> </w:t>
      </w:r>
      <w:r>
        <w:t xml:space="preserve">(accessed Oct 20, 2026).</w:t>
      </w:r>
    </w:p>
  </w:footnote>
  <w:footnote w:id="525">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513">
        <w:r>
          <w:rPr>
            <w:rStyle w:val="Hyperlink"/>
          </w:rPr>
          <w:t xml:space="preserve">https://learn.microsoft.com/en-us/intune/cloud-pki/monitor-certificates</w:t>
        </w:r>
      </w:hyperlink>
      <w:r>
        <w:t xml:space="preserve"> </w:t>
      </w:r>
      <w:r>
        <w:t xml:space="preserve">(accessed Oct 20, 2026).</w:t>
      </w:r>
    </w:p>
  </w:footnote>
  <w:footnote w:id="526">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519">
        <w:r>
          <w:rPr>
            <w:rStyle w:val="Hyperlink"/>
          </w:rPr>
          <w:t xml:space="preserve">https://learn.microsoft.com/en-us/entra/identity/users/users-revoke-access</w:t>
        </w:r>
      </w:hyperlink>
      <w:r>
        <w:t xml:space="preserve"> </w:t>
      </w:r>
      <w:r>
        <w:t xml:space="preserve">(accessed Oct 20, 2026).</w:t>
      </w:r>
    </w:p>
  </w:footnote>
  <w:footnote w:id="527">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528">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hyperlink r:id="rId436">
        <w:r>
          <w:rPr>
            <w:rStyle w:val="Hyperlink"/>
          </w:rPr>
          <w:t xml:space="preserve">https://learn.microsoft.com/en-us/entra/id-governance/tutorial-offboard-custom-workflow-portal</w:t>
        </w:r>
      </w:hyperlink>
      <w:r>
        <w:t xml:space="preserve"> </w:t>
      </w:r>
      <w:r>
        <w:t xml:space="preserve">(accessed Oct 20, 2026).</w:t>
      </w:r>
    </w:p>
  </w:footnote>
  <w:footnote w:id="529">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530">
        <w:r>
          <w:rPr>
            <w:rStyle w:val="Hyperlink"/>
          </w:rPr>
          <w:t xml:space="preserve">https://learn.microsoft.com/en-us/entra/id-governance/lifecycle-workflow-extensibility</w:t>
        </w:r>
      </w:hyperlink>
      <w:r>
        <w:t xml:space="preserve"> </w:t>
      </w:r>
      <w:r>
        <w:t xml:space="preserve">(accessed Oct 20, 2026).</w:t>
      </w:r>
    </w:p>
  </w:footnote>
  <w:footnote w:id="531">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530">
        <w:r>
          <w:rPr>
            <w:rStyle w:val="Hyperlink"/>
          </w:rPr>
          <w:t xml:space="preserve">https://learn.microsoft.com/en-us/entra/id-governance/lifecycle-workflow-extensibility</w:t>
        </w:r>
      </w:hyperlink>
      <w:r>
        <w:t xml:space="preserve"> </w:t>
      </w:r>
      <w:r>
        <w:t xml:space="preserve">(accessed Oct 20, 2026).</w:t>
      </w:r>
    </w:p>
  </w:footnote>
  <w:footnote w:id="532">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530">
        <w:r>
          <w:rPr>
            <w:rStyle w:val="Hyperlink"/>
          </w:rPr>
          <w:t xml:space="preserve">https://learn.microsoft.com/en-us/entra/id-governance/lifecycle-workflow-extensibility</w:t>
        </w:r>
      </w:hyperlink>
      <w:r>
        <w:t xml:space="preserve"> </w:t>
      </w:r>
      <w:r>
        <w:t xml:space="preserve">(accessed Oct 20, 2026).</w:t>
      </w:r>
    </w:p>
  </w:footnote>
  <w:footnote w:id="533">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530">
        <w:r>
          <w:rPr>
            <w:rStyle w:val="Hyperlink"/>
          </w:rPr>
          <w:t xml:space="preserve">https://learn.microsoft.com/en-us/entra/id-governance/lifecycle-workflow-extensibility</w:t>
        </w:r>
      </w:hyperlink>
      <w:r>
        <w:t xml:space="preserve"> </w:t>
      </w:r>
      <w:r>
        <w:t xml:space="preserve">(accessed Oct 20, 2026).</w:t>
      </w:r>
    </w:p>
  </w:footnote>
  <w:footnote w:id="534">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535">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538">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 PS-4,</w:t>
      </w:r>
      <w:r>
        <w:t xml:space="preserve"> </w:t>
      </w:r>
      <w:hyperlink r:id="rId198">
        <w:r>
          <w:rPr>
            <w:rStyle w:val="Hyperlink"/>
          </w:rPr>
          <w:t xml:space="preserve">https://csrc.nist.gov/pubs/sp/800/53/r5/upd1/final</w:t>
        </w:r>
      </w:hyperlink>
      <w:r>
        <w:t xml:space="preserve"> </w:t>
      </w:r>
      <w:r>
        <w:t xml:space="preserve">(accessed Oct 20, 2026).</w:t>
      </w:r>
    </w:p>
  </w:footnote>
  <w:footnote w:id="54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48">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549">
        <w:r>
          <w:rPr>
            <w:rStyle w:val="Hyperlink"/>
          </w:rPr>
          <w:t xml:space="preserve">https://learn.microsoft.com/en-us/entra/identity/conditional-access/concept-conditional-access-users-groups</w:t>
        </w:r>
      </w:hyperlink>
      <w:r>
        <w:t xml:space="preserve"> </w:t>
      </w:r>
      <w:r>
        <w:t xml:space="preserve">(accessed Oct 20, 2026).</w:t>
      </w:r>
    </w:p>
  </w:footnote>
  <w:footnote w:id="55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 AC-2,</w:t>
      </w:r>
      <w:r>
        <w:t xml:space="preserve"> </w:t>
      </w:r>
      <w:hyperlink r:id="rId198">
        <w:r>
          <w:rPr>
            <w:rStyle w:val="Hyperlink"/>
          </w:rPr>
          <w:t xml:space="preserve">https://csrc.nist.gov/pubs/sp/800/53/r5/upd1/final</w:t>
        </w:r>
      </w:hyperlink>
      <w:r>
        <w:t xml:space="preserve"> </w:t>
      </w:r>
      <w:r>
        <w:t xml:space="preserve">(accessed Oct 20, 2026).</w:t>
      </w:r>
    </w:p>
  </w:footnote>
  <w:footnote w:id="551">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549">
        <w:r>
          <w:rPr>
            <w:rStyle w:val="Hyperlink"/>
          </w:rPr>
          <w:t xml:space="preserve">https://learn.microsoft.com/en-us/entra/identity/conditional-access/concept-conditional-access-users-groups</w:t>
        </w:r>
      </w:hyperlink>
      <w:r>
        <w:t xml:space="preserve"> </w:t>
      </w:r>
      <w:r>
        <w:t xml:space="preserve">(accessed Oct 20, 2026).</w:t>
      </w:r>
    </w:p>
  </w:footnote>
  <w:footnote w:id="55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5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5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5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5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5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5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6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61">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562">
        <w:r>
          <w:rPr>
            <w:rStyle w:val="Hyperlink"/>
          </w:rPr>
          <w:t xml:space="preserve">https://learn.microsoft.com/entra/identity/role-based-access-control/admin-units-faq-troubleshoot</w:t>
        </w:r>
      </w:hyperlink>
      <w:r>
        <w:t xml:space="preserve"> </w:t>
      </w:r>
      <w:r>
        <w:t xml:space="preserve">(accessed Oct 20, 2026).</w:t>
      </w:r>
    </w:p>
  </w:footnote>
  <w:footnote w:id="563">
    <w:p>
      <w:pPr>
        <w:pStyle w:val="FootnoteText"/>
      </w:pPr>
      <w:r>
        <w:rPr>
          <w:rStyle w:val="FootnoteReference"/>
        </w:rPr>
        <w:footnoteRef/>
      </w:r>
      <w:r>
        <w:t xml:space="preserve"> </w:t>
      </w:r>
      <w:r>
        <w:t xml:space="preserve">Microsoft Learn,</w:t>
      </w:r>
      <w:r>
        <w:t xml:space="preserve"> </w:t>
      </w:r>
      <w:r>
        <w:t xml:space="preserve">“Create simpler, more efficient rules for dynamic membership groups in Microsoft Entra ID,”</w:t>
      </w:r>
      <w:r>
        <w:t xml:space="preserve"> </w:t>
      </w:r>
      <w:hyperlink r:id="rId564">
        <w:r>
          <w:rPr>
            <w:rStyle w:val="Hyperlink"/>
          </w:rPr>
          <w:t xml:space="preserve">https://learn.microsoft.com/en-us/entra/identity/users/groups-dynamic-rule-more-efficient</w:t>
        </w:r>
      </w:hyperlink>
      <w:r>
        <w:t xml:space="preserve"> </w:t>
      </w:r>
      <w:r>
        <w:t xml:space="preserve">(accessed Oct 20, 2026).</w:t>
      </w:r>
    </w:p>
  </w:footnote>
  <w:footnote w:id="56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6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70">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277">
        <w:r>
          <w:rPr>
            <w:rStyle w:val="Hyperlink"/>
          </w:rPr>
          <w:t xml:space="preserve">https://learn.microsoft.com/en-us/entra/identity/role-based-access-control/administrative-units</w:t>
        </w:r>
      </w:hyperlink>
      <w:r>
        <w:t xml:space="preserve"> </w:t>
      </w:r>
      <w:r>
        <w:t xml:space="preserve">(accessed Oct 20, 2026).</w:t>
      </w:r>
    </w:p>
  </w:footnote>
  <w:footnote w:id="571">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277">
        <w:r>
          <w:rPr>
            <w:rStyle w:val="Hyperlink"/>
          </w:rPr>
          <w:t xml:space="preserve">https://learn.microsoft.com/en-us/entra/identity/role-based-access-control/administrative-units</w:t>
        </w:r>
      </w:hyperlink>
      <w:r>
        <w:t xml:space="preserve"> </w:t>
      </w:r>
      <w:r>
        <w:t xml:space="preserve">(accessed Oct 20, 2026).</w:t>
      </w:r>
    </w:p>
  </w:footnote>
  <w:footnote w:id="572">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573">
        <w:r>
          <w:rPr>
            <w:rStyle w:val="Hyperlink"/>
          </w:rPr>
          <w:t xml:space="preserve">https://learn.microsoft.com/en-us/entra/identity/role-based-access-control/admin-units-members-dynamic</w:t>
        </w:r>
      </w:hyperlink>
      <w:r>
        <w:t xml:space="preserve"> </w:t>
      </w:r>
      <w:r>
        <w:t xml:space="preserve">(accessed Oct 20, 2026).</w:t>
      </w:r>
    </w:p>
  </w:footnote>
  <w:footnote w:id="574">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277">
        <w:r>
          <w:rPr>
            <w:rStyle w:val="Hyperlink"/>
          </w:rPr>
          <w:t xml:space="preserve">https://learn.microsoft.com/en-us/entra/identity/role-based-access-control/administrative-units</w:t>
        </w:r>
      </w:hyperlink>
      <w:r>
        <w:t xml:space="preserve"> </w:t>
      </w:r>
      <w:r>
        <w:t xml:space="preserve">(accessed Oct 20, 2026).</w:t>
      </w:r>
    </w:p>
  </w:footnote>
  <w:footnote w:id="575">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573">
        <w:r>
          <w:rPr>
            <w:rStyle w:val="Hyperlink"/>
          </w:rPr>
          <w:t xml:space="preserve">https://learn.microsoft.com/en-us/entra/identity/role-based-access-control/admin-units-members-dynamic</w:t>
        </w:r>
      </w:hyperlink>
      <w:r>
        <w:t xml:space="preserve"> </w:t>
      </w:r>
      <w:r>
        <w:t xml:space="preserve">(accessed Oct 20, 2026).</w:t>
      </w:r>
    </w:p>
  </w:footnote>
  <w:footnote w:id="576">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(FAQ:</w:t>
      </w:r>
      <w:r>
        <w:t xml:space="preserve"> </w:t>
      </w:r>
      <w:r>
        <w:t xml:space="preserve">“Why does Office 365 GCC use Microsoft Entra Public?”</w:t>
      </w:r>
      <w:r>
        <w:t xml:space="preserve">),</w:t>
      </w:r>
      <w:r>
        <w:t xml:space="preserve"> </w:t>
      </w:r>
      <w:hyperlink r:id="rId577">
        <w:r>
          <w:rPr>
            <w:rStyle w:val="Hyperlink"/>
          </w:rPr>
          <w:t xml:space="preserve">https://learn.microsoft.com/en-us/azure/azure-government/documentation-government-plan-identity</w:t>
        </w:r>
      </w:hyperlink>
      <w:r>
        <w:t xml:space="preserve"> </w:t>
      </w:r>
      <w:r>
        <w:t xml:space="preserve">(accessed Oct 20, 2026).</w:t>
      </w:r>
    </w:p>
  </w:footnote>
  <w:footnote w:id="57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79">
        <w:r>
          <w:rPr>
            <w:rStyle w:val="Hyperlink"/>
          </w:rPr>
          <w:t xml:space="preserve">https://learn.microsoft.com/en-us/entra/identity/role-based-access-control/admin-units-restricted-management</w:t>
        </w:r>
      </w:hyperlink>
      <w:r>
        <w:t xml:space="preserve"> </w:t>
      </w:r>
      <w:r>
        <w:t xml:space="preserve">(accessed Oct 20, 2026).</w:t>
      </w:r>
    </w:p>
  </w:footnote>
  <w:footnote w:id="580">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79">
        <w:r>
          <w:rPr>
            <w:rStyle w:val="Hyperlink"/>
          </w:rPr>
          <w:t xml:space="preserve">https://learn.microsoft.com/en-us/entra/identity/role-based-access-control/admin-units-restricted-management</w:t>
        </w:r>
      </w:hyperlink>
      <w:r>
        <w:t xml:space="preserve"> </w:t>
      </w:r>
      <w:r>
        <w:t xml:space="preserve">(accessed Oct 20, 2026).</w:t>
      </w:r>
    </w:p>
  </w:footnote>
  <w:footnote w:id="582">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583">
        <w:r>
          <w:rPr>
            <w:rStyle w:val="Hyperlink"/>
          </w:rPr>
          <w:t xml:space="preserve">https://learn.microsoft.com/en-us/entra/id-governance/entitlement-management-access-package-approval-policy</w:t>
        </w:r>
      </w:hyperlink>
      <w:r>
        <w:t xml:space="preserve"> </w:t>
      </w:r>
      <w:r>
        <w:t xml:space="preserve">(accessed Oct 20, 2026).</w:t>
      </w:r>
    </w:p>
  </w:footnote>
  <w:footnote w:id="584">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583">
        <w:r>
          <w:rPr>
            <w:rStyle w:val="Hyperlink"/>
          </w:rPr>
          <w:t xml:space="preserve">https://learn.microsoft.com/en-us/entra/id-governance/entitlement-management-access-package-approval-policy</w:t>
        </w:r>
      </w:hyperlink>
      <w:r>
        <w:t xml:space="preserve"> </w:t>
      </w:r>
      <w:r>
        <w:t xml:space="preserve">(accessed Oct 20, 2026).</w:t>
      </w:r>
    </w:p>
  </w:footnote>
  <w:footnote w:id="585">
    <w:p>
      <w:pPr>
        <w:pStyle w:val="FootnoteText"/>
      </w:pPr>
      <w:r>
        <w:rPr>
          <w:rStyle w:val="FootnoteReference"/>
        </w:rPr>
        <w:footnoteRef/>
      </w:r>
      <w:r>
        <w:t xml:space="preserve"> </w:t>
      </w:r>
      <w:r>
        <w:t xml:space="preserve">Microsoft Learn,</w:t>
      </w:r>
      <w:r>
        <w:t xml:space="preserve"> </w:t>
      </w:r>
      <w:r>
        <w:t xml:space="preserve">“Create an access review of groups and applications,”</w:t>
      </w:r>
      <w:r>
        <w:t xml:space="preserve"> </w:t>
      </w:r>
      <w:hyperlink r:id="rId586">
        <w:r>
          <w:rPr>
            <w:rStyle w:val="Hyperlink"/>
          </w:rPr>
          <w:t xml:space="preserve">https://learn.microsoft.com/en-us/entra/id-governance/create-access-review</w:t>
        </w:r>
      </w:hyperlink>
      <w:r>
        <w:t xml:space="preserve"> </w:t>
      </w:r>
      <w:r>
        <w:t xml:space="preserve">(accessed Oct 20, 2026).</w:t>
      </w:r>
    </w:p>
  </w:footnote>
  <w:footnote w:id="58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58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58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59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59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5">
        <w:r>
          <w:rPr>
            <w:rStyle w:val="Hyperlink"/>
          </w:rPr>
          <w:t xml:space="preserve">https://learn.microsoft.com/en-us/entra/identity/users/groups-dynamic-membership</w:t>
        </w:r>
      </w:hyperlink>
      <w:r>
        <w:t xml:space="preserve"> </w:t>
      </w:r>
      <w:r>
        <w:t xml:space="preserve">(accessed Oct 20, 2026).</w:t>
      </w:r>
    </w:p>
  </w:footnote>
  <w:footnote w:id="594">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95">
        <w:r>
          <w:rPr>
            <w:rStyle w:val="Hyperlink"/>
          </w:rPr>
          <w:t xml:space="preserve">https://learn.microsoft.com/en-us/entra/id-governance/privileged-identity-management/concept-pim-for-groups</w:t>
        </w:r>
      </w:hyperlink>
      <w:r>
        <w:t xml:space="preserve"> </w:t>
      </w:r>
      <w:r>
        <w:t xml:space="preserve">(accessed Oct 20, 2026).</w:t>
      </w:r>
    </w:p>
  </w:footnote>
  <w:footnote w:id="596">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95">
        <w:r>
          <w:rPr>
            <w:rStyle w:val="Hyperlink"/>
          </w:rPr>
          <w:t xml:space="preserve">https://learn.microsoft.com/en-us/entra/id-governance/privileged-identity-management/concept-pim-for-groups</w:t>
        </w:r>
      </w:hyperlink>
      <w:r>
        <w:t xml:space="preserve"> </w:t>
      </w:r>
      <w:r>
        <w:t xml:space="preserve">(accessed Oct 20, 2026).</w:t>
      </w:r>
    </w:p>
  </w:footnote>
  <w:footnote w:id="597">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95">
        <w:r>
          <w:rPr>
            <w:rStyle w:val="Hyperlink"/>
          </w:rPr>
          <w:t xml:space="preserve">https://learn.microsoft.com/en-us/entra/id-governance/privileged-identity-management/concept-pim-for-groups</w:t>
        </w:r>
      </w:hyperlink>
      <w:r>
        <w:t xml:space="preserve"> </w:t>
      </w:r>
      <w:r>
        <w:t xml:space="preserve">(accessed Oct 20, 2026).</w:t>
      </w:r>
    </w:p>
  </w:footnote>
  <w:footnote w:id="598">
    <w:p>
      <w:pPr>
        <w:pStyle w:val="FootnoteText"/>
      </w:pPr>
      <w:r>
        <w:rPr>
          <w:rStyle w:val="FootnoteReference"/>
        </w:rPr>
        <w:footnoteRef/>
      </w:r>
      <w:r>
        <w:t xml:space="preserve"> </w:t>
      </w:r>
      <w:r>
        <w:t xml:space="preserve">Microsoft Learn,</w:t>
      </w:r>
      <w:r>
        <w:t xml:space="preserve"> </w:t>
      </w:r>
      <w:r>
        <w:t xml:space="preserve">“Manage emergency access admin accounts,”</w:t>
      </w:r>
      <w:r>
        <w:t xml:space="preserve"> </w:t>
      </w:r>
      <w:hyperlink r:id="rId599">
        <w:r>
          <w:rPr>
            <w:rStyle w:val="Hyperlink"/>
          </w:rPr>
          <w:t xml:space="preserve">https://learn.microsoft.com/en-us/entra/identity/role-based-access-control/security-emergency-access</w:t>
        </w:r>
      </w:hyperlink>
      <w:r>
        <w:t xml:space="preserve"> </w:t>
      </w:r>
      <w:r>
        <w:t xml:space="preserve">(accessed Oct 20, 2026).</w:t>
      </w:r>
    </w:p>
  </w:footnote>
  <w:footnote w:id="604">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98">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605">
        <w:r>
          <w:rPr>
            <w:rStyle w:val="Hyperlink"/>
          </w:rPr>
          <w:t xml:space="preserve">https://raw.githubusercontent.com/usnistgov/oscal-content/main/nist.gov/SP800-53/rev5/json/NIST_SP-800-53_rev5_catalog.json</w:t>
        </w:r>
      </w:hyperlink>
      <w:r>
        <w:t xml:space="preserve"> </w:t>
      </w:r>
      <w:r>
        <w:t xml:space="preserve">(accessed Oct 20, 2026).</w:t>
      </w:r>
    </w:p>
  </w:footnote>
  <w:footnote w:id="606">
    <w:p>
      <w:pPr>
        <w:pStyle w:val="FootnoteText"/>
      </w:pPr>
      <w:r>
        <w:rPr>
          <w:rStyle w:val="FootnoteReference"/>
        </w:rPr>
        <w:footnoteRef/>
      </w:r>
      <w:r>
        <w:t xml:space="preserve"> </w:t>
      </w:r>
      <w:r>
        <w:t xml:space="preserve">Microsoft Learn,</w:t>
      </w:r>
      <w:r>
        <w:t xml:space="preserve"> </w:t>
      </w:r>
      <w:r>
        <w:t xml:space="preserve">“Customize a workflow schedule,”</w:t>
      </w:r>
      <w:r>
        <w:t xml:space="preserve"> </w:t>
      </w:r>
      <w:hyperlink r:id="rId424">
        <w:r>
          <w:rPr>
            <w:rStyle w:val="Hyperlink"/>
          </w:rPr>
          <w:t xml:space="preserve">https://learn.microsoft.com/en-us/entra/id-governance/customize-workflow-schedule</w:t>
        </w:r>
      </w:hyperlink>
      <w:r>
        <w:t xml:space="preserve"> </w:t>
      </w:r>
      <w:r>
        <w:t xml:space="preserve">(accessed Oct 20, 2026).</w:t>
      </w:r>
    </w:p>
  </w:footnote>
  <w:footnote w:id="60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98">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605">
        <w:r>
          <w:rPr>
            <w:rStyle w:val="Hyperlink"/>
          </w:rPr>
          <w:t xml:space="preserve">https://raw.githubusercontent.com/usnistgov/oscal-content/main/nist.gov/SP800-53/rev5/json/NIST_SP-800-53_rev5_catalog.json</w:t>
        </w:r>
      </w:hyperlink>
      <w:r>
        <w:t xml:space="preserve"> </w:t>
      </w:r>
      <w:r>
        <w:t xml:space="preserve">(accessed Oct 20, 2026).</w:t>
      </w:r>
    </w:p>
  </w:footnote>
  <w:footnote w:id="61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“Account Discovery”</w:t>
      </w:r>
      <w:r>
        <w:t xml:space="preserve">),</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615">
    <w:p>
      <w:pPr>
        <w:pStyle w:val="FootnoteText"/>
      </w:pPr>
      <w:r>
        <w:rPr>
          <w:rStyle w:val="FootnoteReference"/>
        </w:rPr>
        <w:footnoteRef/>
      </w:r>
      <w:r>
        <w:t xml:space="preserve"> </w:t>
      </w:r>
      <w:r>
        <w:t xml:space="preserve">Microsoft Learn,</w:t>
      </w:r>
      <w:r>
        <w:t xml:space="preserve"> </w:t>
      </w:r>
      <w:r>
        <w:t xml:space="preserve">“How to download and analyze the Microsoft Entra provisioning logs”</w:t>
      </w:r>
      <w:r>
        <w:t xml:space="preserve"> </w:t>
      </w:r>
      <w:r>
        <w:t xml:space="preserve">(section</w:t>
      </w:r>
      <w:r>
        <w:t xml:space="preserve"> </w:t>
      </w:r>
      <w:r>
        <w:t xml:space="preserve">“What you should know”</w:t>
      </w:r>
      <w:r>
        <w:t xml:space="preserve">),</w:t>
      </w:r>
      <w:r>
        <w:t xml:space="preserve"> </w:t>
      </w:r>
      <w:hyperlink r:id="rId616">
        <w:r>
          <w:rPr>
            <w:rStyle w:val="Hyperlink"/>
          </w:rPr>
          <w:t xml:space="preserve">https://learn.microsoft.com/en-us/entra/identity/monitoring-health/howto-analyze-provisioning-logs</w:t>
        </w:r>
      </w:hyperlink>
      <w:r>
        <w:t xml:space="preserve"> </w:t>
      </w:r>
      <w:r>
        <w:t xml:space="preserve">(accessed Oct 20, 2026).</w:t>
      </w:r>
    </w:p>
  </w:footnote>
  <w:footnote w:id="617">
    <w:p>
      <w:pPr>
        <w:pStyle w:val="FootnoteText"/>
      </w:pPr>
      <w:r>
        <w:rPr>
          <w:rStyle w:val="FootnoteReference"/>
        </w:rPr>
        <w:footnoteRef/>
      </w:r>
      <w:r>
        <w:t xml:space="preserve"> </w:t>
      </w:r>
      <w:r>
        <w:t xml:space="preserve">Microsoft Learn,</w:t>
      </w:r>
      <w:r>
        <w:t xml:space="preserve"> </w:t>
      </w:r>
      <w:r>
        <w:t xml:space="preserve">“Lifecycle Workflows history,”</w:t>
      </w:r>
      <w:r>
        <w:t xml:space="preserve"> </w:t>
      </w:r>
      <w:hyperlink r:id="rId618">
        <w:r>
          <w:rPr>
            <w:rStyle w:val="Hyperlink"/>
          </w:rPr>
          <w:t xml:space="preserve">https://learn.microsoft.com/en-us/entra/id-governance/lifecycle-workflow-history</w:t>
        </w:r>
      </w:hyperlink>
      <w:r>
        <w:t xml:space="preserve"> </w:t>
      </w:r>
      <w:r>
        <w:t xml:space="preserve">(accessed Oct 20, 2026).</w:t>
      </w:r>
    </w:p>
  </w:footnote>
  <w:footnote w:id="619">
    <w:p>
      <w:pPr>
        <w:pStyle w:val="FootnoteText"/>
      </w:pPr>
      <w:r>
        <w:rPr>
          <w:rStyle w:val="FootnoteReference"/>
        </w:rPr>
        <w:footnoteRef/>
      </w:r>
      <w:r>
        <w:t xml:space="preserve"> </w:t>
      </w:r>
      <w:r>
        <w:t xml:space="preserve">Microsoft Learn,</w:t>
      </w:r>
      <w:r>
        <w:t xml:space="preserve"> </w:t>
      </w:r>
      <w:r>
        <w:t xml:space="preserve">“Download workflow history reports,”</w:t>
      </w:r>
      <w:r>
        <w:t xml:space="preserve"> </w:t>
      </w:r>
      <w:hyperlink r:id="rId620">
        <w:r>
          <w:rPr>
            <w:rStyle w:val="Hyperlink"/>
          </w:rPr>
          <w:t xml:space="preserve">https://learn.microsoft.com/en-us/entra/id-governance/download-workflow-history</w:t>
        </w:r>
      </w:hyperlink>
      <w:r>
        <w:t xml:space="preserve"> </w:t>
      </w:r>
      <w:r>
        <w:t xml:space="preserve">(accessed Oct 20, 2026).</w:t>
      </w:r>
    </w:p>
  </w:footnote>
  <w:footnote w:id="621">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622">
        <w:r>
          <w:rPr>
            <w:rStyle w:val="Hyperlink"/>
          </w:rPr>
          <w:t xml:space="preserve">https://learn.microsoft.com/en-us/entra/identity/monitoring-health/reference-reports-data-retention</w:t>
        </w:r>
      </w:hyperlink>
      <w:r>
        <w:t xml:space="preserve"> </w:t>
      </w:r>
      <w:r>
        <w:t xml:space="preserve">(accessed Oct 20, 2026).</w:t>
      </w:r>
    </w:p>
  </w:footnote>
  <w:footnote w:id="623">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624">
        <w:r>
          <w:rPr>
            <w:rStyle w:val="Hyperlink"/>
          </w:rPr>
          <w:t xml:space="preserve">https://learn.microsoft.com/en-us/entra/id-governance/access-reviews-downloadable-review-history</w:t>
        </w:r>
      </w:hyperlink>
      <w:r>
        <w:t xml:space="preserve"> </w:t>
      </w:r>
      <w:r>
        <w:t xml:space="preserve">(accessed Oct 20, 2026).</w:t>
      </w:r>
    </w:p>
  </w:footnote>
  <w:footnote w:id="625">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622">
        <w:r>
          <w:rPr>
            <w:rStyle w:val="Hyperlink"/>
          </w:rPr>
          <w:t xml:space="preserve">https://learn.microsoft.com/en-us/entra/identity/monitoring-health/reference-reports-data-retention</w:t>
        </w:r>
      </w:hyperlink>
      <w:r>
        <w:t xml:space="preserve"> </w:t>
      </w:r>
      <w:r>
        <w:t xml:space="preserve">(accessed Oct 20, 2026).</w:t>
      </w:r>
    </w:p>
  </w:footnote>
  <w:footnote w:id="626">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622">
        <w:r>
          <w:rPr>
            <w:rStyle w:val="Hyperlink"/>
          </w:rPr>
          <w:t xml:space="preserve">https://learn.microsoft.com/en-us/entra/identity/monitoring-health/reference-reports-data-retention</w:t>
        </w:r>
      </w:hyperlink>
      <w:r>
        <w:t xml:space="preserve"> </w:t>
      </w:r>
      <w:r>
        <w:t xml:space="preserve">(accessed Oct 20, 2026).</w:t>
      </w:r>
    </w:p>
  </w:footnote>
  <w:footnote w:id="627">
    <w:p>
      <w:pPr>
        <w:pStyle w:val="FootnoteText"/>
      </w:pPr>
      <w:r>
        <w:rPr>
          <w:rStyle w:val="FootnoteReference"/>
        </w:rPr>
        <w:footnoteRef/>
      </w:r>
      <w:r>
        <w:t xml:space="preserve"> </w:t>
      </w:r>
      <w:r>
        <w:t xml:space="preserve">Microsoft Learn,</w:t>
      </w:r>
      <w:r>
        <w:t xml:space="preserve"> </w:t>
      </w:r>
      <w:r>
        <w:t xml:space="preserve">“How to download and analyze the Microsoft Entra provisioning logs”</w:t>
      </w:r>
      <w:r>
        <w:t xml:space="preserve"> </w:t>
      </w:r>
      <w:r>
        <w:t xml:space="preserve">(section</w:t>
      </w:r>
      <w:r>
        <w:t xml:space="preserve"> </w:t>
      </w:r>
      <w:r>
        <w:t xml:space="preserve">“What you should know”</w:t>
      </w:r>
      <w:r>
        <w:t xml:space="preserve">),</w:t>
      </w:r>
      <w:r>
        <w:t xml:space="preserve"> </w:t>
      </w:r>
      <w:hyperlink r:id="rId616">
        <w:r>
          <w:rPr>
            <w:rStyle w:val="Hyperlink"/>
          </w:rPr>
          <w:t xml:space="preserve">https://learn.microsoft.com/en-us/entra/identity/monitoring-health/howto-analyze-provisioning-logs</w:t>
        </w:r>
      </w:hyperlink>
      <w:r>
        <w:t xml:space="preserve"> </w:t>
      </w:r>
      <w:r>
        <w:t xml:space="preserve">(accessed Oct 20, 2026).</w:t>
      </w:r>
    </w:p>
  </w:footnote>
  <w:footnote w:id="628">
    <w:p>
      <w:pPr>
        <w:pStyle w:val="FootnoteText"/>
      </w:pPr>
      <w:r>
        <w:rPr>
          <w:rStyle w:val="FootnoteReference"/>
        </w:rPr>
        <w:footnoteRef/>
      </w:r>
      <w:r>
        <w:t xml:space="preserve"> </w:t>
      </w:r>
      <w:r>
        <w:t xml:space="preserve">Microsoft Learn,</w:t>
      </w:r>
      <w:r>
        <w:t xml:space="preserve"> </w:t>
      </w:r>
      <w:r>
        <w:t xml:space="preserve">“Archive logs and reporting on entitlement management in Azure Monitor,”</w:t>
      </w:r>
      <w:r>
        <w:t xml:space="preserve"> </w:t>
      </w:r>
      <w:hyperlink r:id="rId629">
        <w:r>
          <w:rPr>
            <w:rStyle w:val="Hyperlink"/>
          </w:rPr>
          <w:t xml:space="preserve">https://learn.microsoft.com/en-us/entra/id-governance/entitlement-management-logs-and-reporting</w:t>
        </w:r>
      </w:hyperlink>
      <w:r>
        <w:t xml:space="preserve"> </w:t>
      </w:r>
      <w:r>
        <w:t xml:space="preserve">(accessed Oct 20, 2026).</w:t>
      </w:r>
    </w:p>
  </w:footnote>
  <w:footnote w:id="63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98">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605">
        <w:r>
          <w:rPr>
            <w:rStyle w:val="Hyperlink"/>
          </w:rPr>
          <w:t xml:space="preserve">https://raw.githubusercontent.com/usnistgov/oscal-content/main/nist.gov/SP800-53/rev5/json/NIST_SP-800-53_rev5_catalog.json</w:t>
        </w:r>
      </w:hyperlink>
      <w:r>
        <w:t xml:space="preserve"> </w:t>
      </w:r>
      <w:r>
        <w:t xml:space="preserve">(accessed Oct 20, 2026).</w:t>
      </w:r>
    </w:p>
  </w:footnote>
  <w:footnote w:id="632">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98">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605">
        <w:r>
          <w:rPr>
            <w:rStyle w:val="Hyperlink"/>
          </w:rPr>
          <w:t xml:space="preserve">https://raw.githubusercontent.com/usnistgov/oscal-content/main/nist.gov/SP800-53/rev5/json/NIST_SP-800-53_rev5_catalog.json</w:t>
        </w:r>
      </w:hyperlink>
      <w:r>
        <w:t xml:space="preserve"> </w:t>
      </w:r>
      <w:r>
        <w:t xml:space="preserve">(accessed Oct 20, 2026).</w:t>
      </w:r>
    </w:p>
  </w:footnote>
  <w:footnote w:id="633">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65">
        <w:r>
          <w:rPr>
            <w:rStyle w:val="Hyperlink"/>
          </w:rPr>
          <w:t xml:space="preserve">https://www.whitehouse.gov/wp-content/uploads/2019/05/M-19-17.pdf</w:t>
        </w:r>
      </w:hyperlink>
      <w:r>
        <w:t xml:space="preserve"> </w:t>
      </w:r>
      <w:r>
        <w:t xml:space="preserve">(accessed Oct 20, 2026).</w:t>
      </w:r>
    </w:p>
  </w:footnote>
  <w:footnote w:id="63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w:t>
      </w:r>
      <w:r>
        <w:t xml:space="preserve"> </w:t>
      </w:r>
      <w:hyperlink r:id="rId450">
        <w:r>
          <w:rPr>
            <w:rStyle w:val="Hyperlink"/>
          </w:rPr>
          <w:t xml:space="preserve">https://csrc.nist.gov/pubs/fips/201-3/final</w:t>
        </w:r>
      </w:hyperlink>
      <w:r>
        <w:t xml:space="preserve"> </w:t>
      </w:r>
      <w:r>
        <w:t xml:space="preserve">(accessed Oct 20, 2026).</w:t>
      </w:r>
    </w:p>
  </w:footnote>
  <w:footnote w:id="635">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(Disclaimer),</w:t>
      </w:r>
      <w:r>
        <w:t xml:space="preserve"> </w:t>
      </w:r>
      <w:hyperlink r:id="rId67">
        <w:r>
          <w:rPr>
            <w:rStyle w:val="Hyperlink"/>
          </w:rPr>
          <w:t xml:space="preserve">https://www.idmanagement.gov/playbooks/ilm/</w:t>
        </w:r>
      </w:hyperlink>
      <w:r>
        <w:t xml:space="preserve"> </w:t>
      </w:r>
      <w:r>
        <w:t xml:space="preserve">(accessed Oct 20, 2026).</w:t>
      </w:r>
    </w:p>
  </w:footnote>
  <w:footnote w:id="636">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w:t>
      </w:r>
      <w:r>
        <w:t xml:space="preserve"> </w:t>
      </w:r>
      <w:hyperlink r:id="rId41">
        <w:r>
          <w:rPr>
            <w:rStyle w:val="Hyperlink"/>
          </w:rPr>
          <w:t xml:space="preserve">https://www.cisa.gov/sites/default/files/2023-04/CISA_Zero_Trust_Maturity_Model_Version_2_508c.pdf</w:t>
        </w:r>
      </w:hyperlink>
      <w:r>
        <w:t xml:space="preserve"> </w:t>
      </w:r>
      <w:r>
        <w:t xml:space="preserve">(accessed Oct 20, 2026).</w:t>
      </w:r>
    </w:p>
  </w:footnote>
  <w:footnote w:id="645">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on eOPF and EHRI; §II, Immediate Agency Actions; Appendix C, What Agencies Should Do Now),</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648">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r>
        <w:t xml:space="preserve">(license requirements; workflow history and auditing),</w:t>
      </w:r>
      <w:r>
        <w:t xml:space="preserve"> </w:t>
      </w:r>
      <w:hyperlink r:id="rId411">
        <w:r>
          <w:rPr>
            <w:rStyle w:val="Hyperlink"/>
          </w:rPr>
          <w:t xml:space="preserve">https://learn.microsoft.com/en-us/entra/id-governance/what-are-lifecycle-workflows</w:t>
        </w:r>
      </w:hyperlink>
      <w:r>
        <w:t xml:space="preserve"> </w:t>
      </w:r>
      <w:r>
        <w:t xml:space="preserve">(accessed Oct 20, 2026).</w:t>
      </w:r>
    </w:p>
  </w:footnote>
  <w:footnote w:id="64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(Run a Custom Task Extension),</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650">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r>
        <w:t xml:space="preserve">(throttling limits: 40 calls in any 5-second window; 2,000 calls per 24 hours under Entra ID P1/P2 and 6,000 under Entra ID Governance; up to 50 operations per call),</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653">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r>
        <w:t xml:space="preserve">(Manager as approver; fallback approvers; the manager is found from the user’s Manager attribute),</w:t>
      </w:r>
      <w:r>
        <w:t xml:space="preserve"> </w:t>
      </w:r>
      <w:hyperlink r:id="rId583">
        <w:r>
          <w:rPr>
            <w:rStyle w:val="Hyperlink"/>
          </w:rPr>
          <w:t xml:space="preserve">https://learn.microsoft.com/en-us/entra/id-governance/entitlement-management-access-package-approval-policy</w:t>
        </w:r>
      </w:hyperlink>
      <w:r>
        <w:t xml:space="preserve"> </w:t>
      </w:r>
      <w:r>
        <w:t xml:space="preserve">(accessed Oct 20, 2026).</w:t>
      </w:r>
    </w:p>
  </w:footnote>
  <w:footnote w:id="65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on eOPF and EHRI; §II, Immediate Agency Actions; Appendix C, What Agencies Should Do Now),</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660">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66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413">
        <w:r>
          <w:rPr>
            <w:rStyle w:val="Hyperlink"/>
          </w:rPr>
          <w:t xml:space="preserve">https://learn.microsoft.com/en-us/entra/id-governance/licensing-fundamentals</w:t>
        </w:r>
      </w:hyperlink>
      <w:r>
        <w:t xml:space="preserve"> </w:t>
      </w:r>
      <w:r>
        <w:t xml:space="preserve">(accessed Oct 20, 2026).</w:t>
      </w:r>
    </w:p>
  </w:footnote>
  <w:footnote w:id="662">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r>
        <w:t xml:space="preserve">(HR provisioning apps: API-driven inbound provisioning),</w:t>
      </w:r>
      <w:r>
        <w:t xml:space="preserve"> </w:t>
      </w:r>
      <w:hyperlink r:id="rId663">
        <w:r>
          <w:rPr>
            <w:rStyle w:val="Hyperlink"/>
          </w:rPr>
          <w:t xml:space="preserve">https://learn.microsoft.com/en-us/entra/identity/authentication/feature-availability</w:t>
        </w:r>
      </w:hyperlink>
      <w:r>
        <w:t xml:space="preserve"> </w:t>
      </w:r>
      <w:r>
        <w:t xml:space="preserve">(accessed Oct 20, 2026).</w:t>
      </w:r>
    </w:p>
  </w:footnote>
  <w:footnote w:id="664">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r>
        <w:t xml:space="preserve">(FAQ: CRL size limits for</w:t>
      </w:r>
      <w:r>
        <w:t xml:space="preserve"> </w:t>
      </w:r>
      <w:r>
        <w:t xml:space="preserve">“Azure Global includes GCC”</w:t>
      </w:r>
      <w:r>
        <w:t xml:space="preserve">),</w:t>
      </w:r>
      <w:r>
        <w:t xml:space="preserve"> </w:t>
      </w:r>
      <w:hyperlink r:id="rId485">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670">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and Appendix A, Agency Transitions: Wave 2 is all remaining agencies, transitioning fully in FY 2027; wave membership is listed in the memo’s Appendix A),</w:t>
      </w:r>
      <w:r>
        <w:t xml:space="preserve"> </w:t>
      </w:r>
      <w:hyperlink r:id="rId24">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671">
    <w:p>
      <w:pPr>
        <w:pStyle w:val="FootnoteText"/>
      </w:pPr>
      <w:r>
        <w:rPr>
          <w:rStyle w:val="FootnoteReference"/>
        </w:rPr>
        <w:footnoteRef/>
      </w:r>
      <w:r>
        <w:t xml:space="preserve"> </w:t>
      </w:r>
      <w:r>
        <w:t xml:space="preserve">Microsoft Learn,</w:t>
      </w:r>
      <w:r>
        <w:t xml:space="preserve"> </w:t>
      </w:r>
      <w:r>
        <w:t xml:space="preserve">“Plan for Microsoft 365 Government - GCC deployments”</w:t>
      </w:r>
      <w:r>
        <w:t xml:space="preserve"> </w:t>
      </w:r>
      <w:r>
        <w:t xml:space="preserve">(</w:t>
      </w:r>
      <w:r>
        <w:t xml:space="preserve">“provides compliance with US government requirements for cloud services, including FedRAMP Moderate”</w:t>
      </w:r>
      <w:r>
        <w:t xml:space="preserve">),</w:t>
      </w:r>
      <w:r>
        <w:t xml:space="preserve"> </w:t>
      </w:r>
      <w:hyperlink r:id="rId58">
        <w:r>
          <w:rPr>
            <w:rStyle w:val="Hyperlink"/>
          </w:rPr>
          <w:t xml:space="preserve">https://learn.microsoft.com/en-us/microsoftteams/plan-for-government-gcc</w:t>
        </w:r>
      </w:hyperlink>
      <w:r>
        <w:t xml:space="preserve"> </w:t>
      </w:r>
      <w:r>
        <w:t xml:space="preserve">(accessed Oct 20, 2026).</w:t>
      </w:r>
    </w:p>
  </w:footnote>
  <w:footnote w:id="672">
    <w:p>
      <w:pPr>
        <w:pStyle w:val="FootnoteText"/>
      </w:pPr>
      <w:r>
        <w:rPr>
          <w:rStyle w:val="FootnoteReference"/>
        </w:rPr>
        <w:footnoteRef/>
      </w:r>
      <w:r>
        <w:t xml:space="preserve"> </w:t>
      </w:r>
      <w:r>
        <w:t xml:space="preserve">Microsoft Learn,</w:t>
      </w:r>
      <w:r>
        <w:t xml:space="preserve"> </w:t>
      </w:r>
      <w:r>
        <w:t xml:space="preserve">“Cloud feature availability for US Government customers”</w:t>
      </w:r>
      <w:r>
        <w:t xml:space="preserve"> </w:t>
      </w:r>
      <w:r>
        <w:t xml:space="preserve">(Microsoft 365 integration:</w:t>
      </w:r>
      <w:r>
        <w:t xml:space="preserve"> </w:t>
      </w:r>
      <w:r>
        <w:t xml:space="preserve">“Office 365 and Office 365 GCC are paired with Microsoft Entra ID in Azure”</w:t>
      </w:r>
      <w:r>
        <w:t xml:space="preserve">),</w:t>
      </w:r>
      <w:r>
        <w:t xml:space="preserve"> </w:t>
      </w:r>
      <w:hyperlink r:id="rId673">
        <w:r>
          <w:rPr>
            <w:rStyle w:val="Hyperlink"/>
          </w:rPr>
          <w:t xml:space="preserve">https://learn.microsoft.com/en-us/azure/security/fundamentals/feature-availability</w:t>
        </w:r>
      </w:hyperlink>
      <w:r>
        <w:t xml:space="preserve"> </w:t>
      </w:r>
      <w:r>
        <w:t xml:space="preserve">(accessed Oct 20, 2026).</w:t>
      </w:r>
    </w:p>
  </w:footnote>
  <w:footnote w:id="674">
    <w:p>
      <w:pPr>
        <w:pStyle w:val="FootnoteText"/>
      </w:pPr>
      <w:r>
        <w:rPr>
          <w:rStyle w:val="FootnoteReference"/>
        </w:rPr>
        <w:footnoteRef/>
      </w:r>
      <w:r>
        <w:t xml:space="preserve"> </w:t>
      </w:r>
      <w:r>
        <w:t xml:space="preserve">U.S. Office of Personnel Management,</w:t>
      </w:r>
      <w:r>
        <w:t xml:space="preserve"> </w:t>
      </w:r>
      <w:r>
        <w:rPr>
          <w:i/>
          <w:iCs/>
        </w:rPr>
        <w:t xml:space="preserve">Privacy Impact Assessment for USA Staffing</w:t>
      </w:r>
      <w:r>
        <w:t xml:space="preserve"> </w:t>
      </w:r>
      <w:r>
        <w:t xml:space="preserve">(OPM Form 5003), August 12, 2026 (Abstract; §6.1, sharing with subscribing agencies during hiring and onboarding),</w:t>
      </w:r>
      <w:r>
        <w:t xml:space="preserve"> </w:t>
      </w:r>
      <w:hyperlink r:id="rId675">
        <w:r>
          <w:rPr>
            <w:rStyle w:val="Hyperlink"/>
          </w:rPr>
          <w:t xml:space="preserve">https://www.opm.gov/information-management/privacy-policy/privacy-policy/usas-pia/</w:t>
        </w:r>
      </w:hyperlink>
      <w:r>
        <w:t xml:space="preserve"> </w:t>
      </w:r>
      <w:r>
        <w:t xml:space="preserve">(accessed Oct 20, 2026).</w:t>
      </w:r>
    </w:p>
  </w:footnote>
  <w:footnote w:id="681">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r>
        <w:t xml:space="preserve">(workflow history and auditing),</w:t>
      </w:r>
      <w:r>
        <w:t xml:space="preserve"> </w:t>
      </w:r>
      <w:hyperlink r:id="rId411">
        <w:r>
          <w:rPr>
            <w:rStyle w:val="Hyperlink"/>
          </w:rPr>
          <w:t xml:space="preserve">https://learn.microsoft.com/en-us/entra/id-governance/what-are-lifecycle-workflows</w:t>
        </w:r>
      </w:hyperlink>
      <w:r>
        <w:t xml:space="preserve"> </w:t>
      </w:r>
      <w:r>
        <w:t xml:space="preserve">(accessed Oct 20, 2026).</w:t>
      </w:r>
    </w:p>
  </w:footnote>
  <w:footnote w:id="688">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r>
        <w:t xml:space="preserve">(scoping filters; matching attribute pair, by default</w:t>
      </w:r>
      <w:r>
        <w:t xml:space="preserve"> </w:t>
      </w:r>
      <w:r>
        <w:rPr>
          <w:rStyle w:val="VerbatimChar"/>
        </w:rPr>
        <w:t xml:space="preserve">externalId</w:t>
      </w:r>
      <w:r>
        <w:t xml:space="preserve"> </w:t>
      </w:r>
      <w:r>
        <w:t xml:space="preserve">to</w:t>
      </w:r>
      <w:r>
        <w:t xml:space="preserve"> </w:t>
      </w:r>
      <w:r>
        <w:rPr>
          <w:rStyle w:val="VerbatimChar"/>
        </w:rPr>
        <w:t xml:space="preserve">employeeId</w:t>
      </w:r>
      <w:r>
        <w:t xml:space="preserve">),</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690">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 (Chapter 1, nature-of-action series; Chapter 15, Placement in Nonpay or Nonduty Status; Chapter 16, Return to Duty from Nonpay Status; Chapter 32, Corrections and Cancellations),</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691">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 (Chapter 1, nature-of-action series; Chapter 15, Placement in Nonpay or Nonduty Status; Chapter 16, Return to Duty from Nonpay Status; Chapter 32, Corrections and Cancellations),</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697">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 (Chapter 1, nature-of-action series; Chapter 15, Placement in Nonpay or Nonduty Status; Chapter 16, Return to Duty from Nonpay Status; Chapter 32, Corrections and Cancellations),</w:t>
      </w:r>
      <w:r>
        <w:t xml:space="preserve"> </w:t>
      </w:r>
      <w:hyperlink r:id="rId29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69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(Disable user account; Revoke all refresh tokens for user),</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702">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r>
        <w:t xml:space="preserve">(the manager is found from the user’s Manager attribute),</w:t>
      </w:r>
      <w:r>
        <w:t xml:space="preserve"> </w:t>
      </w:r>
      <w:hyperlink r:id="rId583">
        <w:r>
          <w:rPr>
            <w:rStyle w:val="Hyperlink"/>
          </w:rPr>
          <w:t xml:space="preserve">https://learn.microsoft.com/en-us/entra/id-governance/entitlement-management-access-package-approval-policy</w:t>
        </w:r>
      </w:hyperlink>
      <w:r>
        <w:t xml:space="preserve"> </w:t>
      </w:r>
      <w:r>
        <w:t xml:space="preserve">(accessed Oct 20, 2026).</w:t>
      </w:r>
    </w:p>
  </w:footnote>
  <w:footnote w:id="704">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r>
        <w:t xml:space="preserve">(scoping filters; matching attribute pair, by default</w:t>
      </w:r>
      <w:r>
        <w:t xml:space="preserve"> </w:t>
      </w:r>
      <w:r>
        <w:rPr>
          <w:rStyle w:val="VerbatimChar"/>
        </w:rPr>
        <w:t xml:space="preserve">externalId</w:t>
      </w:r>
      <w:r>
        <w:t xml:space="preserve"> </w:t>
      </w:r>
      <w:r>
        <w:t xml:space="preserve">to</w:t>
      </w:r>
      <w:r>
        <w:t xml:space="preserve"> </w:t>
      </w:r>
      <w:r>
        <w:rPr>
          <w:rStyle w:val="VerbatimChar"/>
        </w:rPr>
        <w:t xml:space="preserve">employeeId</w:t>
      </w:r>
      <w:r>
        <w:t xml:space="preserve">),</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712">
    <w:p>
      <w:pPr>
        <w:pStyle w:val="FootnoteText"/>
      </w:pPr>
      <w:r>
        <w:rPr>
          <w:rStyle w:val="FootnoteReference"/>
        </w:rPr>
        <w:footnoteRef/>
      </w:r>
      <w:r>
        <w:t xml:space="preserve"> </w:t>
      </w:r>
      <w:r>
        <w:t xml:space="preserve">U.S. Office of Personnel Management,</w:t>
      </w:r>
      <w:r>
        <w:t xml:space="preserve"> </w:t>
      </w:r>
      <w:r>
        <w:t xml:space="preserve">“Privacy Act of 1974; System of Records”</w:t>
      </w:r>
      <w:r>
        <w:t xml:space="preserve"> </w:t>
      </w:r>
      <w:r>
        <w:t xml:space="preserve">(notice of a modified system of records, OPM/GOVT-1, General Personnel Records; records on current employees are located within the employing agency),</w:t>
      </w:r>
      <w:r>
        <w:t xml:space="preserve"> </w:t>
      </w:r>
      <w:r>
        <w:rPr>
          <w:i/>
          <w:iCs/>
        </w:rPr>
        <w:t xml:space="preserve">Federal Register</w:t>
      </w:r>
      <w:r>
        <w:t xml:space="preserve">, August 17, 2023, Docket OPM-2023-0024,</w:t>
      </w:r>
      <w:r>
        <w:t xml:space="preserve"> </w:t>
      </w:r>
      <w:hyperlink r:id="rId217">
        <w:r>
          <w:rPr>
            <w:rStyle w:val="Hyperlink"/>
          </w:rPr>
          <w:t xml:space="preserve">https://www.govinfo.gov/content/pkg/FR-2023-08-17/html/2023-17651.htm</w:t>
        </w:r>
      </w:hyperlink>
      <w:r>
        <w:t xml:space="preserve"> </w:t>
      </w:r>
      <w:r>
        <w:t xml:space="preserve">(accessed Oct 20, 2026).</w:t>
      </w:r>
    </w:p>
  </w:footnote>
  <w:footnote w:id="713">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(§6.b, significant changes; §6.i, government-wide systems of records; §6.k, routine uses as disclosures outside the agency maintaining the system),</w:t>
      </w:r>
      <w:r>
        <w:t xml:space="preserve"> </w:t>
      </w:r>
      <w:hyperlink r:id="rId363">
        <w:r>
          <w:rPr>
            <w:rStyle w:val="Hyperlink"/>
          </w:rPr>
          <w:t xml:space="preserve">https://www.whitehouse.gov/wp-content/uploads/legacy_drupal_files/omb/circulars/A108/omb_circular_a-108.pdf</w:t>
        </w:r>
      </w:hyperlink>
      <w:r>
        <w:t xml:space="preserve"> </w:t>
      </w:r>
      <w:r>
        <w:t xml:space="preserve">(accessed Oct 20, 2026).</w:t>
      </w:r>
    </w:p>
  </w:footnote>
  <w:footnote w:id="714">
    <w:p>
      <w:pPr>
        <w:pStyle w:val="FootnoteText"/>
      </w:pPr>
      <w:r>
        <w:rPr>
          <w:rStyle w:val="FootnoteReference"/>
        </w:rPr>
        <w:footnoteRef/>
      </w:r>
      <w:r>
        <w:t xml:space="preserve"> </w:t>
      </w:r>
      <w:r>
        <w:t xml:space="preserve">Privacy Act of 1974, 5 U.S.C. § 552a(a)(7), (b)(1) and (b)(3),</w:t>
      </w:r>
      <w:r>
        <w:t xml:space="preserve"> </w:t>
      </w:r>
      <w:hyperlink r:id="rId213">
        <w:r>
          <w:rPr>
            <w:rStyle w:val="Hyperlink"/>
          </w:rPr>
          <w:t xml:space="preserve">https://www.law.cornell.edu/uscode/text/5/552a</w:t>
        </w:r>
      </w:hyperlink>
      <w:r>
        <w:t xml:space="preserve"> </w:t>
      </w:r>
      <w:r>
        <w:t xml:space="preserve">(accessed Oct 20, 2026).</w:t>
      </w:r>
    </w:p>
  </w:footnote>
  <w:footnote w:id="715">
    <w:p>
      <w:pPr>
        <w:pStyle w:val="FootnoteText"/>
      </w:pPr>
      <w:r>
        <w:rPr>
          <w:rStyle w:val="FootnoteReference"/>
        </w:rPr>
        <w:footnoteRef/>
      </w:r>
      <w:r>
        <w:t xml:space="preserve"> </w:t>
      </w:r>
      <w:r>
        <w:t xml:space="preserve">Privacy Act of 1974, 5 U.S.C. § 552a(a)(7), (b)(1) and (b)(3),</w:t>
      </w:r>
      <w:r>
        <w:t xml:space="preserve"> </w:t>
      </w:r>
      <w:hyperlink r:id="rId213">
        <w:r>
          <w:rPr>
            <w:rStyle w:val="Hyperlink"/>
          </w:rPr>
          <w:t xml:space="preserve">https://www.law.cornell.edu/uscode/text/5/552a</w:t>
        </w:r>
      </w:hyperlink>
      <w:r>
        <w:t xml:space="preserve"> </w:t>
      </w:r>
      <w:r>
        <w:t xml:space="preserve">(accessed Oct 20, 2026).</w:t>
      </w:r>
    </w:p>
  </w:footnote>
  <w:footnote w:id="716">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(§6.b, significant changes; §6.i, government-wide systems of records; §6.k, routine uses as disclosures outside the agency maintaining the system),</w:t>
      </w:r>
      <w:r>
        <w:t xml:space="preserve"> </w:t>
      </w:r>
      <w:hyperlink r:id="rId363">
        <w:r>
          <w:rPr>
            <w:rStyle w:val="Hyperlink"/>
          </w:rPr>
          <w:t xml:space="preserve">https://www.whitehouse.gov/wp-content/uploads/legacy_drupal_files/omb/circulars/A108/omb_circular_a-108.pdf</w:t>
        </w:r>
      </w:hyperlink>
      <w:r>
        <w:t xml:space="preserve"> </w:t>
      </w:r>
      <w:r>
        <w:t xml:space="preserve">(accessed Oct 20, 2026).</w:t>
      </w:r>
    </w:p>
  </w:footnote>
  <w:footnote w:id="717">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(§6.b, significant changes; §6.i, government-wide systems of records; §6.k, routine uses as disclosures outside the agency maintaining the system),</w:t>
      </w:r>
      <w:r>
        <w:t xml:space="preserve"> </w:t>
      </w:r>
      <w:hyperlink r:id="rId363">
        <w:r>
          <w:rPr>
            <w:rStyle w:val="Hyperlink"/>
          </w:rPr>
          <w:t xml:space="preserve">https://www.whitehouse.gov/wp-content/uploads/legacy_drupal_files/omb/circulars/A108/omb_circular_a-108.pdf</w:t>
        </w:r>
      </w:hyperlink>
      <w:r>
        <w:t xml:space="preserve"> </w:t>
      </w:r>
      <w:r>
        <w:t xml:space="preserve">(accessed Oct 20, 2026).</w:t>
      </w:r>
    </w:p>
  </w:footnote>
  <w:footnote w:id="718">
    <w:p>
      <w:pPr>
        <w:pStyle w:val="FootnoteText"/>
      </w:pPr>
      <w:r>
        <w:rPr>
          <w:rStyle w:val="FootnoteReference"/>
        </w:rPr>
        <w:footnoteRef/>
      </w:r>
      <w:r>
        <w:t xml:space="preserve"> </w:t>
      </w:r>
      <w:r>
        <w:t xml:space="preserve">Microsoft Learn,</w:t>
      </w:r>
      <w:r>
        <w:t xml:space="preserve"> </w:t>
      </w:r>
      <w:r>
        <w:t xml:space="preserve">“What are the default user permissions in Microsoft Entra ID?”</w:t>
      </w:r>
      <w:r>
        <w:t xml:space="preserve"> </w:t>
      </w:r>
      <w:r>
        <w:t xml:space="preserve">(member users can enumerate all users and read all public properties of users),</w:t>
      </w:r>
      <w:r>
        <w:t xml:space="preserve"> </w:t>
      </w:r>
      <w:hyperlink r:id="rId719">
        <w:r>
          <w:rPr>
            <w:rStyle w:val="Hyperlink"/>
          </w:rPr>
          <w:t xml:space="preserve">https://learn.microsoft.com/en-us/entra/fundamentals/users-default-permissions</w:t>
        </w:r>
      </w:hyperlink>
      <w:r>
        <w:t xml:space="preserve"> </w:t>
      </w:r>
      <w:r>
        <w:t xml:space="preserve">(accessed Oct 20, 2026).</w:t>
      </w:r>
    </w:p>
  </w:footnote>
  <w:footnote w:id="720">
    <w:p>
      <w:pPr>
        <w:pStyle w:val="FootnoteText"/>
      </w:pPr>
      <w:r>
        <w:rPr>
          <w:rStyle w:val="FootnoteReference"/>
        </w:rPr>
        <w:footnoteRef/>
      </w:r>
      <w:r>
        <w:t xml:space="preserve"> </w:t>
      </w:r>
      <w:r>
        <w:t xml:space="preserve">Office of Management and Budget, M-03-22,</w:t>
      </w:r>
      <w:r>
        <w:t xml:space="preserve"> </w:t>
      </w:r>
      <w:r>
        <w:rPr>
          <w:i/>
          <w:iCs/>
        </w:rPr>
        <w:t xml:space="preserve">OMB Guidance for Implementing the Privacy Provisions of the E-Government Act of 2002</w:t>
      </w:r>
      <w:r>
        <w:t xml:space="preserve">, September 26, 2003 (§II.B, when to conduct and update a PIA, and the note on systems about government personnel),</w:t>
      </w:r>
      <w:r>
        <w:t xml:space="preserve"> </w:t>
      </w:r>
      <w:hyperlink r:id="rId721">
        <w:r>
          <w:rPr>
            <w:rStyle w:val="Hyperlink"/>
          </w:rPr>
          <w:t xml:space="preserve">https://georgewbush-whitehouse.archives.gov/omb/memoranda/m03-22.html</w:t>
        </w:r>
      </w:hyperlink>
      <w:r>
        <w:t xml:space="preserve"> </w:t>
      </w:r>
      <w:r>
        <w:t xml:space="preserve">(accessed Oct 20, 2026).</w:t>
      </w:r>
    </w:p>
  </w:footnote>
  <w:footnote w:id="722">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privacy, including reducing the use of Social Security numbers; Appendix II, §3, Fair Information Practice Principles, Minimization; Appendix II, §5.e, Privacy Impact Assessments),</w:t>
      </w:r>
      <w:r>
        <w:t xml:space="preserve"> </w:t>
      </w:r>
      <w:hyperlink r:id="rId365">
        <w:r>
          <w:rPr>
            <w:rStyle w:val="Hyperlink"/>
          </w:rPr>
          <w:t xml:space="preserve">https://www.whitehouse.gov/wp-content/uploads/legacy_drupal_files/omb/circulars/A130/a130revised.pdf</w:t>
        </w:r>
      </w:hyperlink>
      <w:r>
        <w:t xml:space="preserve"> </w:t>
      </w:r>
      <w:r>
        <w:t xml:space="preserve">(accessed Oct 20, 2026).</w:t>
      </w:r>
    </w:p>
  </w:footnote>
  <w:footnote w:id="723">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198">
        <w:r>
          <w:rPr>
            <w:rStyle w:val="Hyperlink"/>
          </w:rPr>
          <w:t xml:space="preserve">https://csrc.nist.gov/pubs/sp/800/53/r5/upd1/final</w:t>
        </w:r>
      </w:hyperlink>
      <w:r>
        <w:t xml:space="preserve"> </w:t>
      </w:r>
      <w:r>
        <w:t xml:space="preserve">(accessed Oct 20, 2026).</w:t>
      </w:r>
    </w:p>
  </w:footnote>
  <w:footnote w:id="724">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 September 2020 (the privacy baseline, applied irrespective of impact level),</w:t>
      </w:r>
      <w:r>
        <w:t xml:space="preserve"> </w:t>
      </w:r>
      <w:hyperlink r:id="rId725">
        <w:r>
          <w:rPr>
            <w:rStyle w:val="Hyperlink"/>
          </w:rPr>
          <w:t xml:space="preserve">https://csrc.nist.gov/pubs/sp/800/53/b/upd1/final</w:t>
        </w:r>
      </w:hyperlink>
      <w:r>
        <w:t xml:space="preserve"> </w:t>
      </w:r>
      <w:r>
        <w:t xml:space="preserve">(accessed Oct 20, 2026).</w:t>
      </w:r>
    </w:p>
  </w:footnote>
  <w:footnote w:id="726">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198">
        <w:r>
          <w:rPr>
            <w:rStyle w:val="Hyperlink"/>
          </w:rPr>
          <w:t xml:space="preserve">https://csrc.nist.gov/pubs/sp/800/53/r5/upd1/final</w:t>
        </w:r>
      </w:hyperlink>
      <w:r>
        <w:t xml:space="preserve"> </w:t>
      </w:r>
      <w:r>
        <w:t xml:space="preserve">(accessed Oct 20, 2026).</w:t>
      </w:r>
    </w:p>
  </w:footnote>
  <w:footnote w:id="727">
    <w:p>
      <w:pPr>
        <w:pStyle w:val="FootnoteText"/>
      </w:pPr>
      <w:r>
        <w:rPr>
          <w:rStyle w:val="FootnoteReference"/>
        </w:rPr>
        <w:footnoteRef/>
      </w:r>
      <w:r>
        <w:t xml:space="preserve"> </w:t>
      </w:r>
      <w:r>
        <w:t xml:space="preserve">NIST, SP 800-47 Rev. 1,</w:t>
      </w:r>
      <w:r>
        <w:t xml:space="preserve"> </w:t>
      </w:r>
      <w:r>
        <w:rPr>
          <w:i/>
          <w:iCs/>
        </w:rPr>
        <w:t xml:space="preserve">Managing the Security of Information Exchanges</w:t>
      </w:r>
      <w:r>
        <w:t xml:space="preserve">, July 2021,</w:t>
      </w:r>
      <w:r>
        <w:t xml:space="preserve"> </w:t>
      </w:r>
      <w:hyperlink r:id="rId377">
        <w:r>
          <w:rPr>
            <w:rStyle w:val="Hyperlink"/>
          </w:rPr>
          <w:t xml:space="preserve">https://csrc.nist.gov/pubs/sp/800/47/r1/final</w:t>
        </w:r>
      </w:hyperlink>
      <w:r>
        <w:t xml:space="preserve"> </w:t>
      </w:r>
      <w:r>
        <w:t xml:space="preserve">(accessed Oct 20, 2026).</w:t>
      </w:r>
    </w:p>
  </w:footnote>
  <w:footnote w:id="729">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privacy, including reducing the use of Social Security numbers; Appendix II, §3, Fair Information Practice Principles, Minimization; Appendix II, §5.e, Privacy Impact Assessments),</w:t>
      </w:r>
      <w:r>
        <w:t xml:space="preserve"> </w:t>
      </w:r>
      <w:hyperlink r:id="rId365">
        <w:r>
          <w:rPr>
            <w:rStyle w:val="Hyperlink"/>
          </w:rPr>
          <w:t xml:space="preserve">https://www.whitehouse.gov/wp-content/uploads/legacy_drupal_files/omb/circulars/A130/a130revised.pdf</w:t>
        </w:r>
      </w:hyperlink>
      <w:r>
        <w:t xml:space="preserve"> </w:t>
      </w:r>
      <w:r>
        <w:t xml:space="preserve">(accessed Oct 20, 2026).</w:t>
      </w:r>
    </w:p>
  </w:footnote>
  <w:footnote w:id="73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198">
        <w:r>
          <w:rPr>
            <w:rStyle w:val="Hyperlink"/>
          </w:rPr>
          <w:t xml:space="preserve">https://csrc.nist.gov/pubs/sp/800/53/r5/upd1/final</w:t>
        </w:r>
      </w:hyperlink>
      <w:r>
        <w:t xml:space="preserve"> </w:t>
      </w:r>
      <w:r>
        <w:t xml:space="preserve">(accessed Oct 20, 2026).</w:t>
      </w:r>
    </w:p>
  </w:footnote>
  <w:footnote w:id="731">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privacy, including reducing the use of Social Security numbers; Appendix II, §3, Fair Information Practice Principles, Minimization; Appendix II, §5.e, Privacy Impact Assessments),</w:t>
      </w:r>
      <w:r>
        <w:t xml:space="preserve"> </w:t>
      </w:r>
      <w:hyperlink r:id="rId365">
        <w:r>
          <w:rPr>
            <w:rStyle w:val="Hyperlink"/>
          </w:rPr>
          <w:t xml:space="preserve">https://www.whitehouse.gov/wp-content/uploads/legacy_drupal_files/omb/circulars/A130/a130revised.pdf</w:t>
        </w:r>
      </w:hyperlink>
      <w:r>
        <w:t xml:space="preserve"> </w:t>
      </w:r>
      <w:r>
        <w:t xml:space="preserve">(accessed Oct 20, 2026).</w:t>
      </w:r>
    </w:p>
  </w:footnote>
  <w:footnote w:id="733">
    <w:p>
      <w:pPr>
        <w:pStyle w:val="FootnoteText"/>
      </w:pPr>
      <w:r>
        <w:rPr>
          <w:rStyle w:val="FootnoteReference"/>
        </w:rPr>
        <w:footnoteRef/>
      </w:r>
      <w:r>
        <w:t xml:space="preserve"> </w:t>
      </w:r>
      <w:r>
        <w:t xml:space="preserve">Microsoft Learn,</w:t>
      </w:r>
      <w:r>
        <w:t xml:space="preserve"> </w:t>
      </w:r>
      <w:r>
        <w:t xml:space="preserve">“Enable TLS 1.2 support in your environment for Microsoft Entra”</w:t>
      </w:r>
      <w:r>
        <w:t xml:space="preserve"> </w:t>
      </w:r>
      <w:r>
        <w:t xml:space="preserve">(TLS 1.0, TLS 1.1 and 3DES deprecated; completed for U.S. government instances March 31, 2021 and public instances January 31, 2022),</w:t>
      </w:r>
      <w:r>
        <w:t xml:space="preserve"> </w:t>
      </w:r>
      <w:hyperlink r:id="rId734">
        <w:r>
          <w:rPr>
            <w:rStyle w:val="Hyperlink"/>
          </w:rPr>
          <w:t xml:space="preserve">https://learn.microsoft.com/en-us/troubleshoot/entra/entra-id/ad-dmn-services/enable-support-tls-environment</w:t>
        </w:r>
      </w:hyperlink>
      <w:r>
        <w:t xml:space="preserve"> </w:t>
      </w:r>
      <w:r>
        <w:t xml:space="preserve">(accessed Oct 20, 2026).</w:t>
      </w:r>
    </w:p>
  </w:footnote>
  <w:footnote w:id="735">
    <w:p>
      <w:pPr>
        <w:pStyle w:val="FootnoteText"/>
      </w:pPr>
      <w:r>
        <w:rPr>
          <w:rStyle w:val="FootnoteReference"/>
        </w:rPr>
        <w:footnoteRef/>
      </w:r>
      <w:r>
        <w:t xml:space="preserve"> </w:t>
      </w:r>
      <w:r>
        <w:t xml:space="preserve">Microsoft Learn,</w:t>
      </w:r>
      <w:r>
        <w:t xml:space="preserve"> </w:t>
      </w:r>
      <w:r>
        <w:t xml:space="preserve">“Microsoft Entra on-premises application identity provisioning architecture”</w:t>
      </w:r>
      <w:r>
        <w:t xml:space="preserve"> </w:t>
      </w:r>
      <w:r>
        <w:t xml:space="preserve">(firewall requirements: the provisioning agents use only outbound connections),</w:t>
      </w:r>
      <w:r>
        <w:t xml:space="preserve"> </w:t>
      </w:r>
      <w:hyperlink r:id="rId736">
        <w:r>
          <w:rPr>
            <w:rStyle w:val="Hyperlink"/>
          </w:rPr>
          <w:t xml:space="preserve">https://learn.microsoft.com/en-us/entra/identity/app-provisioning/on-premises-application-provisioning-architecture</w:t>
        </w:r>
      </w:hyperlink>
      <w:r>
        <w:t xml:space="preserve"> </w:t>
      </w:r>
      <w:r>
        <w:t xml:space="preserve">(accessed Oct 20, 2026).</w:t>
      </w:r>
    </w:p>
  </w:footnote>
  <w:footnote w:id="73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198">
        <w:r>
          <w:rPr>
            <w:rStyle w:val="Hyperlink"/>
          </w:rPr>
          <w:t xml:space="preserve">https://csrc.nist.gov/pubs/sp/800/53/r5/upd1/final</w:t>
        </w:r>
      </w:hyperlink>
      <w:r>
        <w:t xml:space="preserve"> </w:t>
      </w:r>
      <w:r>
        <w:t xml:space="preserve">(accessed Oct 20, 2026).</w:t>
      </w:r>
    </w:p>
  </w:footnote>
  <w:footnote w:id="739">
    <w:p>
      <w:pPr>
        <w:pStyle w:val="FootnoteText"/>
      </w:pPr>
      <w:r>
        <w:rPr>
          <w:rStyle w:val="FootnoteReference"/>
        </w:rPr>
        <w:footnoteRef/>
      </w:r>
      <w:r>
        <w:t xml:space="preserve"> </w:t>
      </w:r>
      <w:r>
        <w:t xml:space="preserve">Microsoft Learn,</w:t>
      </w:r>
      <w:r>
        <w:t xml:space="preserve"> </w:t>
      </w:r>
      <w:r>
        <w:t xml:space="preserve">“Grant access to the inbound provisioning API”</w:t>
      </w:r>
      <w:r>
        <w:t xml:space="preserve"> </w:t>
      </w:r>
      <w:r>
        <w:t xml:space="preserve">(service principal or managed identity;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 certificate authentication or managed identities recommended for production),</w:t>
      </w:r>
      <w:r>
        <w:t xml:space="preserve"> </w:t>
      </w:r>
      <w:hyperlink r:id="rId254">
        <w:r>
          <w:rPr>
            <w:rStyle w:val="Hyperlink"/>
          </w:rPr>
          <w:t xml:space="preserve">https://learn.microsoft.com/en-us/entra/identity/app-provisioning/inbound-provisioning-api-grant-access</w:t>
        </w:r>
      </w:hyperlink>
      <w:r>
        <w:t xml:space="preserve"> </w:t>
      </w:r>
      <w:r>
        <w:t xml:space="preserve">(accessed Oct 20, 2026).</w:t>
      </w:r>
    </w:p>
  </w:footnote>
  <w:footnote w:id="740">
    <w:p>
      <w:pPr>
        <w:pStyle w:val="FootnoteText"/>
      </w:pPr>
      <w:r>
        <w:rPr>
          <w:rStyle w:val="FootnoteReference"/>
        </w:rPr>
        <w:footnoteRef/>
      </w:r>
      <w:r>
        <w:t xml:space="preserve"> </w:t>
      </w:r>
      <w:r>
        <w:t xml:space="preserve">Microsoft Learn,</w:t>
      </w:r>
      <w:r>
        <w:t xml:space="preserve"> </w:t>
      </w:r>
      <w:r>
        <w:t xml:space="preserve">“Grant access to the inbound provisioning API”</w:t>
      </w:r>
      <w:r>
        <w:t xml:space="preserve"> </w:t>
      </w:r>
      <w:r>
        <w:t xml:space="preserve">(service principal or managed identity;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 certificate authentication or managed identities recommended for production),</w:t>
      </w:r>
      <w:r>
        <w:t xml:space="preserve"> </w:t>
      </w:r>
      <w:hyperlink r:id="rId254">
        <w:r>
          <w:rPr>
            <w:rStyle w:val="Hyperlink"/>
          </w:rPr>
          <w:t xml:space="preserve">https://learn.microsoft.com/en-us/entra/identity/app-provisioning/inbound-provisioning-api-grant-access</w:t>
        </w:r>
      </w:hyperlink>
      <w:r>
        <w:t xml:space="preserve"> </w:t>
      </w:r>
      <w:r>
        <w:t xml:space="preserve">(accessed Oct 20, 2026).</w:t>
      </w:r>
    </w:p>
  </w:footnote>
  <w:footnote w:id="741">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r>
        <w:t xml:space="preserve">(deletion not supported by</w:t>
      </w:r>
      <w:r>
        <w:t xml:space="preserve"> </w:t>
      </w:r>
      <w:r>
        <w:rPr>
          <w:rStyle w:val="VerbatimChar"/>
        </w:rPr>
        <w:t xml:space="preserve">/bulkUpload</w:t>
      </w:r>
      <w:r>
        <w:t xml:space="preserve">; preventing accidental disabling and deletion),</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742">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743">
        <w:r>
          <w:rPr>
            <w:rStyle w:val="Hyperlink"/>
          </w:rPr>
          <w:t xml:space="preserve">https://learn.microsoft.com/en-us/entra/identity/conditional-access/workload-identity</w:t>
        </w:r>
      </w:hyperlink>
      <w:r>
        <w:t xml:space="preserve"> </w:t>
      </w:r>
      <w:r>
        <w:t xml:space="preserve">(accessed Oct 20, 2026).</w:t>
      </w:r>
    </w:p>
  </w:footnote>
  <w:footnote w:id="744">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198">
        <w:r>
          <w:rPr>
            <w:rStyle w:val="Hyperlink"/>
          </w:rPr>
          <w:t xml:space="preserve">https://csrc.nist.gov/pubs/sp/800/53/r5/upd1/final</w:t>
        </w:r>
      </w:hyperlink>
      <w:r>
        <w:t xml:space="preserve"> </w:t>
      </w:r>
      <w:r>
        <w:t xml:space="preserve">(accessed Oct 20, 2026).</w:t>
      </w:r>
    </w:p>
  </w:footnote>
  <w:footnote w:id="746">
    <w:p>
      <w:pPr>
        <w:pStyle w:val="FootnoteText"/>
      </w:pPr>
      <w:r>
        <w:rPr>
          <w:rStyle w:val="FootnoteReference"/>
        </w:rPr>
        <w:footnoteRef/>
      </w:r>
      <w:r>
        <w:t xml:space="preserve"> </w:t>
      </w:r>
      <w:r>
        <w:t xml:space="preserve">Microsoft Learn,</w:t>
      </w:r>
      <w:r>
        <w:t xml:space="preserve"> </w:t>
      </w:r>
      <w:r>
        <w:t xml:space="preserve">“synchronizationJob: pause”</w:t>
      </w:r>
      <w:r>
        <w:t xml:space="preserve"> </w:t>
      </w:r>
      <w:r>
        <w:t xml:space="preserve">(Microsoft Graph v1.0; application permissions</w:t>
      </w:r>
      <w:r>
        <w:t xml:space="preserve"> </w:t>
      </w:r>
      <w:r>
        <w:rPr>
          <w:rStyle w:val="VerbatimChar"/>
        </w:rPr>
        <w:t xml:space="preserve">Application.ReadWrite.OwnedBy</w:t>
      </w:r>
      <w:r>
        <w:t xml:space="preserve"> </w:t>
      </w:r>
      <w:r>
        <w:t xml:space="preserve">or</w:t>
      </w:r>
      <w:r>
        <w:t xml:space="preserve"> </w:t>
      </w:r>
      <w:r>
        <w:rPr>
          <w:rStyle w:val="VerbatimChar"/>
        </w:rPr>
        <w:t xml:space="preserve">Synchronization.ReadWrite.All</w:t>
      </w:r>
      <w:r>
        <w:t xml:space="preserve">),</w:t>
      </w:r>
      <w:r>
        <w:t xml:space="preserve"> </w:t>
      </w:r>
      <w:hyperlink r:id="rId747">
        <w:r>
          <w:rPr>
            <w:rStyle w:val="Hyperlink"/>
          </w:rPr>
          <w:t xml:space="preserve">https://learn.microsoft.com/en-us/graph/api/synchronization-synchronizationjob-pause</w:t>
        </w:r>
      </w:hyperlink>
      <w:r>
        <w:t xml:space="preserve"> </w:t>
      </w:r>
      <w:r>
        <w:t xml:space="preserve">(accessed Oct 20, 2026).</w:t>
      </w:r>
    </w:p>
  </w:footnote>
  <w:footnote w:id="748">
    <w:p>
      <w:pPr>
        <w:pStyle w:val="FootnoteText"/>
      </w:pPr>
      <w:r>
        <w:rPr>
          <w:rStyle w:val="FootnoteReference"/>
        </w:rPr>
        <w:footnoteRef/>
      </w:r>
      <w:r>
        <w:t xml:space="preserve"> </w:t>
      </w:r>
      <w:r>
        <w:t xml:space="preserve">Microsoft Learn,</w:t>
      </w:r>
      <w:r>
        <w:t xml:space="preserve"> </w:t>
      </w:r>
      <w:r>
        <w:t xml:space="preserve">“Enable accidental deletions prevention in the Microsoft Entra provisioning service”</w:t>
      </w:r>
      <w:r>
        <w:t xml:space="preserve"> </w:t>
      </w:r>
      <w:r>
        <w:t xml:space="preserve">(threshold evaluated per cycle; counts disables as well as deletions; the job goes into quarantine),</w:t>
      </w:r>
      <w:r>
        <w:t xml:space="preserve"> </w:t>
      </w:r>
      <w:hyperlink r:id="rId749">
        <w:r>
          <w:rPr>
            <w:rStyle w:val="Hyperlink"/>
          </w:rPr>
          <w:t xml:space="preserve">https://learn.microsoft.com/en-us/entra/identity/app-provisioning/accidental-deletions</w:t>
        </w:r>
      </w:hyperlink>
      <w:r>
        <w:t xml:space="preserve"> </w:t>
      </w:r>
      <w:r>
        <w:t xml:space="preserve">(accessed Oct 20, 2026).</w:t>
      </w:r>
    </w:p>
  </w:footnote>
  <w:footnote w:id="750">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r>
        <w:t xml:space="preserve">(deletion not supported by</w:t>
      </w:r>
      <w:r>
        <w:t xml:space="preserve"> </w:t>
      </w:r>
      <w:r>
        <w:rPr>
          <w:rStyle w:val="VerbatimChar"/>
        </w:rPr>
        <w:t xml:space="preserve">/bulkUpload</w:t>
      </w:r>
      <w:r>
        <w:t xml:space="preserve">; preventing accidental disabling and deletion),</w:t>
      </w:r>
      <w:r>
        <w:t xml:space="preserve"> </w:t>
      </w:r>
      <w:hyperlink r:id="rId257">
        <w:r>
          <w:rPr>
            <w:rStyle w:val="Hyperlink"/>
          </w:rPr>
          <w:t xml:space="preserve">https://learn.microsoft.com/en-us/entra/identity/app-provisioning/inbound-provisioning-api-faqs</w:t>
        </w:r>
      </w:hyperlink>
      <w:r>
        <w:t xml:space="preserve"> </w:t>
      </w:r>
      <w:r>
        <w:t xml:space="preserve">(accessed Oct 20, 2026).</w:t>
      </w:r>
    </w:p>
  </w:footnote>
  <w:footnote w:id="759">
    <w:p>
      <w:pPr>
        <w:pStyle w:val="FootnoteText"/>
      </w:pPr>
      <w:r>
        <w:rPr>
          <w:rStyle w:val="FootnoteReference"/>
        </w:rPr>
        <w:footnoteRef/>
      </w:r>
      <w:r>
        <w:t xml:space="preserve"> </w:t>
      </w:r>
      <w:r>
        <w:t xml:space="preserve">Microsoft Learn,</w:t>
      </w:r>
      <w:r>
        <w:t xml:space="preserve"> </w:t>
      </w:r>
      <w:r>
        <w:t xml:space="preserve">“Plan a Lifecycle Workflow deployment”</w:t>
      </w:r>
      <w:r>
        <w:t xml:space="preserve"> </w:t>
      </w:r>
      <w:r>
        <w:t xml:space="preserve">(scenarios and predefined tasks: Onboard prehire employee, Onboard new hire employee, Offboard an employee),</w:t>
      </w:r>
      <w:r>
        <w:t xml:space="preserve"> </w:t>
      </w:r>
      <w:hyperlink r:id="rId760">
        <w:r>
          <w:rPr>
            <w:rStyle w:val="Hyperlink"/>
          </w:rPr>
          <w:t xml:space="preserve">https://learn.microsoft.com/en-us/entra/id-governance/lifecycle-workflows-deployment</w:t>
        </w:r>
      </w:hyperlink>
      <w:r>
        <w:t xml:space="preserve"> </w:t>
      </w:r>
      <w:r>
        <w:t xml:space="preserve">(accessed Oct 20, 2026).</w:t>
      </w:r>
    </w:p>
  </w:footnote>
  <w:footnote w:id="761">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(Disable user account; Revoke all refresh tokens for user),</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762">
    <w:p>
      <w:pPr>
        <w:pStyle w:val="FootnoteText"/>
      </w:pPr>
      <w:r>
        <w:rPr>
          <w:rStyle w:val="FootnoteReference"/>
        </w:rPr>
        <w:footnoteRef/>
      </w:r>
      <w:r>
        <w:t xml:space="preserve"> </w:t>
      </w:r>
      <w:r>
        <w:t xml:space="preserve">Microsoft Learn,</w:t>
      </w:r>
      <w:r>
        <w:t xml:space="preserve"> </w:t>
      </w:r>
      <w:r>
        <w:t xml:space="preserve">“Plan a Lifecycle Workflow deployment”</w:t>
      </w:r>
      <w:r>
        <w:t xml:space="preserve"> </w:t>
      </w:r>
      <w:r>
        <w:t xml:space="preserve">(scenarios and predefined tasks: Onboard prehire employee, Onboard new hire employee, Offboard an employee),</w:t>
      </w:r>
      <w:r>
        <w:t xml:space="preserve"> </w:t>
      </w:r>
      <w:hyperlink r:id="rId760">
        <w:r>
          <w:rPr>
            <w:rStyle w:val="Hyperlink"/>
          </w:rPr>
          <w:t xml:space="preserve">https://learn.microsoft.com/en-us/entra/id-governance/lifecycle-workflows-deployment</w:t>
        </w:r>
      </w:hyperlink>
      <w:r>
        <w:t xml:space="preserve"> </w:t>
      </w:r>
      <w:r>
        <w:t xml:space="preserve">(accessed Oct 20, 2026).</w:t>
      </w:r>
    </w:p>
  </w:footnote>
  <w:footnote w:id="763">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(Disable user account; Revoke all refresh tokens for user),</w:t>
      </w:r>
      <w:r>
        <w:t xml:space="preserve"> </w:t>
      </w:r>
      <w:hyperlink r:id="rId405">
        <w:r>
          <w:rPr>
            <w:rStyle w:val="Hyperlink"/>
          </w:rPr>
          <w:t xml:space="preserve">https://learn.microsoft.com/en-us/entra/id-governance/lifecycle-workflow-tasks</w:t>
        </w:r>
      </w:hyperlink>
      <w:r>
        <w:t xml:space="preserve"> </w:t>
      </w:r>
      <w:r>
        <w:t xml:space="preserve">(accessed Oct 20, 2026).</w:t>
      </w:r>
    </w:p>
  </w:footnote>
  <w:footnote w:id="766">
    <w:p>
      <w:pPr>
        <w:pStyle w:val="FootnoteText"/>
      </w:pPr>
      <w:r>
        <w:rPr>
          <w:rStyle w:val="FootnoteReference"/>
        </w:rPr>
        <w:footnoteRef/>
      </w:r>
      <w:r>
        <w:t xml:space="preserve"> </w:t>
      </w:r>
      <w:r>
        <w:t xml:space="preserve">Microsoft Learn,</w:t>
      </w:r>
      <w:r>
        <w:t xml:space="preserve"> </w:t>
      </w:r>
      <w:r>
        <w:t xml:space="preserve">“synchronizationJob: pause”</w:t>
      </w:r>
      <w:r>
        <w:t xml:space="preserve"> </w:t>
      </w:r>
      <w:r>
        <w:t xml:space="preserve">(Microsoft Graph v1.0: progress and job state persist, and the job continues from where it left off on start),</w:t>
      </w:r>
      <w:r>
        <w:t xml:space="preserve"> </w:t>
      </w:r>
      <w:hyperlink r:id="rId747">
        <w:r>
          <w:rPr>
            <w:rStyle w:val="Hyperlink"/>
          </w:rPr>
          <w:t xml:space="preserve">https://learn.microsoft.com/en-us/graph/api/synchronization-synchronizationjob-pause</w:t>
        </w:r>
      </w:hyperlink>
      <w:r>
        <w:t xml:space="preserve"> </w:t>
      </w:r>
      <w:r>
        <w:t xml:space="preserve">(accessed Oct 20, 2026).</w:t>
      </w:r>
    </w:p>
  </w:footnote>
  <w:footnote w:id="768">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r>
        <w:t xml:space="preserve">(admins and API clients track the outcome of each record through the provisioning logs and the provisioning logs API),</w:t>
      </w:r>
      <w:r>
        <w:t xml:space="preserve"> </w:t>
      </w:r>
      <w:hyperlink r:id="rId227">
        <w:r>
          <w:rPr>
            <w:rStyle w:val="Hyperlink"/>
          </w:rPr>
          <w:t xml:space="preserve">https://learn.microsoft.com/en-us/entra/identity/app-provisioning/inbound-provisioning-api-concepts</w:t>
        </w:r>
      </w:hyperlink>
      <w:r>
        <w:t xml:space="preserve"> </w:t>
      </w:r>
      <w:r>
        <w:t xml:space="preserve">(accessed Oct 20, 2026).</w:t>
      </w:r>
    </w:p>
  </w:footnote>
  <w:footnote w:id="771">
    <w:p>
      <w:pPr>
        <w:pStyle w:val="FootnoteText"/>
      </w:pPr>
      <w:r>
        <w:rPr>
          <w:rStyle w:val="FootnoteReference"/>
        </w:rPr>
        <w:footnoteRef/>
      </w:r>
      <w:r>
        <w:t xml:space="preserve"> </w:t>
      </w:r>
      <w:r>
        <w:t xml:space="preserve">National Archives and Records Administration, General Records Schedule 3.2,</w:t>
      </w:r>
      <w:r>
        <w:t xml:space="preserve"> </w:t>
      </w:r>
      <w:r>
        <w:rPr>
          <w:i/>
          <w:iCs/>
        </w:rPr>
        <w:t xml:space="preserve">Information Systems Security Records</w:t>
      </w:r>
      <w:r>
        <w:t xml:space="preserve">, Transmittal No. 33, January 2023 (items 030 and 031, system access records),</w:t>
      </w:r>
      <w:r>
        <w:t xml:space="preserve"> </w:t>
      </w:r>
      <w:hyperlink r:id="rId772">
        <w:r>
          <w:rPr>
            <w:rStyle w:val="Hyperlink"/>
          </w:rPr>
          <w:t xml:space="preserve">https://www.archives.gov/files/records-mgmt/grs/grs03-2.pdf</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93" Target="media/rId693.png" /><Relationship Type="http://schemas.openxmlformats.org/officeDocument/2006/relationships/image" Id="rId709" Target="media/rId709.png" /><Relationship Type="http://schemas.openxmlformats.org/officeDocument/2006/relationships/image" Id="rId756" Target="media/rId756.png" /><Relationship Type="http://schemas.openxmlformats.org/officeDocument/2006/relationships/image" Id="rId13" Target="media/rId13.png" /><Relationship Type="http://schemas.openxmlformats.org/officeDocument/2006/relationships/image" Id="rId76" Target="media/rId76.png" /><Relationship Type="http://schemas.openxmlformats.org/officeDocument/2006/relationships/image" Id="rId90" Target="media/rId90.png" /><Relationship Type="http://schemas.openxmlformats.org/officeDocument/2006/relationships/image" Id="rId169" Target="media/rId169.png" /><Relationship Type="http://schemas.openxmlformats.org/officeDocument/2006/relationships/image" Id="rId193" Target="media/rId193.png" /><Relationship Type="http://schemas.openxmlformats.org/officeDocument/2006/relationships/image" Id="rId199" Target="media/rId199.png" /><Relationship Type="http://schemas.openxmlformats.org/officeDocument/2006/relationships/image" Id="rId223" Target="media/rId223.png" /><Relationship Type="http://schemas.openxmlformats.org/officeDocument/2006/relationships/image" Id="rId259" Target="media/rId259.png" /><Relationship Type="http://schemas.openxmlformats.org/officeDocument/2006/relationships/image" Id="rId298" Target="media/rId298.png" /><Relationship Type="http://schemas.openxmlformats.org/officeDocument/2006/relationships/image" Id="rId383" Target="media/rId383.png" /><Relationship Type="http://schemas.openxmlformats.org/officeDocument/2006/relationships/image" Id="rId340" Target="media/rId340.png" /><Relationship Type="http://schemas.openxmlformats.org/officeDocument/2006/relationships/image" Id="rId399" Target="media/rId399.png" /><Relationship Type="http://schemas.openxmlformats.org/officeDocument/2006/relationships/image" Id="rId416" Target="media/rId416.png" /><Relationship Type="http://schemas.openxmlformats.org/officeDocument/2006/relationships/image" Id="rId454" Target="media/rId454.png" /><Relationship Type="http://schemas.openxmlformats.org/officeDocument/2006/relationships/image" Id="rId515" Target="media/rId515.png" /><Relationship Type="http://schemas.openxmlformats.org/officeDocument/2006/relationships/image" Id="rId543" Target="media/rId543.png" /><Relationship Type="http://schemas.openxmlformats.org/officeDocument/2006/relationships/image" Id="rId609" Target="media/rId609.png" /><Relationship Type="http://schemas.openxmlformats.org/officeDocument/2006/relationships/image" Id="rId641" Target="media/rId641.png" /><Relationship Type="http://schemas.openxmlformats.org/officeDocument/2006/relationships/image" Id="rId676" Target="media/rId676.png" /><Relationship Type="http://schemas.openxmlformats.org/officeDocument/2006/relationships/hyperlink" Id="rId135" Target="https://catalog.data.gov/dataset/central-personnel-data-file-cpdf" TargetMode="External" /><Relationship Type="http://schemas.openxmlformats.org/officeDocument/2006/relationships/hyperlink" Id="rId450" Target="https://csrc.nist.gov/pubs/fips/201-3/final" TargetMode="External" /><Relationship Type="http://schemas.openxmlformats.org/officeDocument/2006/relationships/hyperlink" Id="rId495" Target="https://csrc.nist.gov/pubs/sp/800/157/final" TargetMode="External" /><Relationship Type="http://schemas.openxmlformats.org/officeDocument/2006/relationships/hyperlink" Id="rId497" Target="https://csrc.nist.gov/pubs/sp/800/157/r1/fpd" TargetMode="External" /><Relationship Type="http://schemas.openxmlformats.org/officeDocument/2006/relationships/hyperlink" Id="rId39" Target="https://csrc.nist.gov/pubs/sp/800/207/final" TargetMode="External" /><Relationship Type="http://schemas.openxmlformats.org/officeDocument/2006/relationships/hyperlink" Id="rId377" Target="https://csrc.nist.gov/pubs/sp/800/47/r1/final" TargetMode="External" /><Relationship Type="http://schemas.openxmlformats.org/officeDocument/2006/relationships/hyperlink" Id="rId725" Target="https://csrc.nist.gov/pubs/sp/800/53/b/upd1/final" TargetMode="External" /><Relationship Type="http://schemas.openxmlformats.org/officeDocument/2006/relationships/hyperlink" Id="rId198" Target="https://csrc.nist.gov/pubs/sp/800/53/r5/upd1/final" TargetMode="External" /><Relationship Type="http://schemas.openxmlformats.org/officeDocument/2006/relationships/hyperlink" Id="rId460" Target="https://csrc.nist.gov/pubs/sp/800/63/4/final" TargetMode="External" /><Relationship Type="http://schemas.openxmlformats.org/officeDocument/2006/relationships/hyperlink" Id="rId295" Target="https://data.opm.gov/data-standards/ehri-data-standards" TargetMode="External" /><Relationship Type="http://schemas.openxmlformats.org/officeDocument/2006/relationships/hyperlink" Id="rId286" Target="https://docs.oracle.com/en/cloud/saas/applications-common/25d/farca/op-hcmrestapi-scim-users-get.html" TargetMode="External" /><Relationship Type="http://schemas.openxmlformats.org/officeDocument/2006/relationships/hyperlink" Id="rId234" Target="https://docs.oracle.com/en/cloud/saas/human-resources/fahex/introduction-to-hcm-extracts.html" TargetMode="External" /><Relationship Type="http://schemas.openxmlformats.org/officeDocument/2006/relationships/hyperlink" Id="rId187" Target="https://docs.oracle.com/en/cloud/saas/human-resources/farws/Employee_Atom_Feeds.html" TargetMode="External" /><Relationship Type="http://schemas.openxmlformats.org/officeDocument/2006/relationships/hyperlink" Id="rId238" Target="https://docs.oracle.com/en/cloud/saas/human-resources/farws/api-employees.html" TargetMode="External" /><Relationship Type="http://schemas.openxmlformats.org/officeDocument/2006/relationships/hyperlink" Id="rId239" Target="https://docs.oracle.com/en/cloud/saas/human-resources/farws/api-workers.html" TargetMode="External" /><Relationship Type="http://schemas.openxmlformats.org/officeDocument/2006/relationships/hyperlink" Id="rId304" Target="https://docs.oracle.com/en/cloud/saas/human-resources/farws/op-workers-workersuniqid-child-workrelationships-post.html" TargetMode="External" /><Relationship Type="http://schemas.openxmlformats.org/officeDocument/2006/relationships/hyperlink" Id="rId185" Target="https://docs.oracle.com/en/cloud/saas/human-resources/faucf/considerations-for-using-jobs-and-positions.html" TargetMode="External" /><Relationship Type="http://schemas.openxmlformats.org/officeDocument/2006/relationships/hyperlink" Id="rId191" Target="https://docs.oracle.com/en/cloud/saas/human-resources/faucf/date-effectivity.html" TargetMode="External" /><Relationship Type="http://schemas.openxmlformats.org/officeDocument/2006/relationships/hyperlink" Id="rId306" Target="https://docs.oracle.com/en/cloud/saas/human-resources/fawhr/how-you-convert-pending-workers.html" TargetMode="External" /><Relationship Type="http://schemas.openxmlformats.org/officeDocument/2006/relationships/hyperlink" Id="rId209" Target="https://docs.oracle.com/en/cloud/saas/readiness/hcm/26b/hure-26b/26B-hr-wn-f43513.htm" TargetMode="External" /><Relationship Type="http://schemas.openxmlformats.org/officeDocument/2006/relationships/hyperlink" Id="rId144" Target="https://federalnewsnetwork.com/contracting/2026/06/opm-awards-major-hr-it-modernization-contract-to-oracle/" TargetMode="External" /><Relationship Type="http://schemas.openxmlformats.org/officeDocument/2006/relationships/hyperlink" Id="rId120" Target="https://fedscoop.com/opm-hr-shared-services-qsmo/" TargetMode="External" /><Relationship Type="http://schemas.openxmlformats.org/officeDocument/2006/relationships/hyperlink" Id="rId139" Target="https://fedscoop.com/opm-launches-hr-marketplace/" TargetMode="External" /><Relationship Type="http://schemas.openxmlformats.org/officeDocument/2006/relationships/hyperlink" Id="rId128" Target="https://georgewbush-whitehouse.archives.gov/omb/egov/c-4-5-ePay.html" TargetMode="External" /><Relationship Type="http://schemas.openxmlformats.org/officeDocument/2006/relationships/hyperlink" Id="rId132" Target="https://georgewbush-whitehouse.archives.gov/omb/egov/press_releases/lines_business/050131_OPM_hr_lines_bus.html" TargetMode="External" /><Relationship Type="http://schemas.openxmlformats.org/officeDocument/2006/relationships/hyperlink" Id="rId721" Target="https://georgewbush-whitehouse.archives.gov/omb/memoranda/m03-22.html" TargetMode="External" /><Relationship Type="http://schemas.openxmlformats.org/officeDocument/2006/relationships/hyperlink" Id="rId9" Target="https://github.com/WhalerMike/modernization-workbook/tree/main/archive/b03-hr-identity" TargetMode="External" /><Relationship Type="http://schemas.openxmlformats.org/officeDocument/2006/relationships/hyperlink" Id="rId11" Target="https://github.com/WhalerMike/modernization-workbook/tree/main/presentations/b03-hr-identity" TargetMode="External" /><Relationship Type="http://schemas.openxmlformats.org/officeDocument/2006/relationships/hyperlink" Id="rId12" Target="https://github.com/WhalerMike/modernization-workbook/tree/main/presentations/hr-driven-identity-interview" TargetMode="External" /><Relationship Type="http://schemas.openxmlformats.org/officeDocument/2006/relationships/hyperlink" Id="rId126" Target="https://govinfo.library.unt.edu/npr/library/announc/cpdf.htm" TargetMode="External" /><Relationship Type="http://schemas.openxmlformats.org/officeDocument/2006/relationships/hyperlink" Id="rId577" Target="https://learn.microsoft.com/en-us/azure/azure-government/documentation-government-plan-identity" TargetMode="External" /><Relationship Type="http://schemas.openxmlformats.org/officeDocument/2006/relationships/hyperlink" Id="rId673" Target="https://learn.microsoft.com/en-us/azure/security/fundamentals/feature-availability" TargetMode="External" /><Relationship Type="http://schemas.openxmlformats.org/officeDocument/2006/relationships/hyperlink" Id="rId31" Target="https://learn.microsoft.com/en-us/entra/architecture/road-to-the-cloud-migrate" TargetMode="External" /><Relationship Type="http://schemas.openxmlformats.org/officeDocument/2006/relationships/hyperlink" Id="rId719" Target="https://learn.microsoft.com/en-us/entra/fundamentals/users-default-permissions" TargetMode="External" /><Relationship Type="http://schemas.openxmlformats.org/officeDocument/2006/relationships/hyperlink" Id="rId443" Target="https://learn.microsoft.com/en-us/entra/fundamentals/users-restore" TargetMode="External" /><Relationship Type="http://schemas.openxmlformats.org/officeDocument/2006/relationships/hyperlink" Id="rId624" Target="https://learn.microsoft.com/en-us/entra/id-governance/access-reviews-downloadable-review-history" TargetMode="External" /><Relationship Type="http://schemas.openxmlformats.org/officeDocument/2006/relationships/hyperlink" Id="rId586" Target="https://learn.microsoft.com/en-us/entra/id-governance/create-access-review" TargetMode="External" /><Relationship Type="http://schemas.openxmlformats.org/officeDocument/2006/relationships/hyperlink" Id="rId424" Target="https://learn.microsoft.com/en-us/entra/id-governance/customize-workflow-schedule" TargetMode="External" /><Relationship Type="http://schemas.openxmlformats.org/officeDocument/2006/relationships/hyperlink" Id="rId620" Target="https://learn.microsoft.com/en-us/entra/id-governance/download-workflow-history" TargetMode="External" /><Relationship Type="http://schemas.openxmlformats.org/officeDocument/2006/relationships/hyperlink" Id="rId583" Target="https://learn.microsoft.com/en-us/entra/id-governance/entitlement-management-access-package-approval-policy" TargetMode="External" /><Relationship Type="http://schemas.openxmlformats.org/officeDocument/2006/relationships/hyperlink" Id="rId629" Target="https://learn.microsoft.com/en-us/entra/id-governance/entitlement-management-logs-and-reporting" TargetMode="External" /><Relationship Type="http://schemas.openxmlformats.org/officeDocument/2006/relationships/hyperlink" Id="rId324" Target="https://learn.microsoft.com/en-us/entra/id-governance/how-to-lifecycle-workflow-sync-attributes" TargetMode="External" /><Relationship Type="http://schemas.openxmlformats.org/officeDocument/2006/relationships/hyperlink" Id="rId413" Target="https://learn.microsoft.com/en-us/entra/id-governance/licensing-fundamentals" TargetMode="External" /><Relationship Type="http://schemas.openxmlformats.org/officeDocument/2006/relationships/hyperlink" Id="rId420" Target="https://learn.microsoft.com/en-us/entra/id-governance/lifecycle-workflow-execution-conditions" TargetMode="External" /><Relationship Type="http://schemas.openxmlformats.org/officeDocument/2006/relationships/hyperlink" Id="rId530" Target="https://learn.microsoft.com/en-us/entra/id-governance/lifecycle-workflow-extensibility" TargetMode="External" /><Relationship Type="http://schemas.openxmlformats.org/officeDocument/2006/relationships/hyperlink" Id="rId618" Target="https://learn.microsoft.com/en-us/entra/id-governance/lifecycle-workflow-history" TargetMode="External" /><Relationship Type="http://schemas.openxmlformats.org/officeDocument/2006/relationships/hyperlink" Id="rId405" Target="https://learn.microsoft.com/en-us/entra/id-governance/lifecycle-workflow-tasks" TargetMode="External" /><Relationship Type="http://schemas.openxmlformats.org/officeDocument/2006/relationships/hyperlink" Id="rId760" Target="https://learn.microsoft.com/en-us/entra/id-governance/lifecycle-workflows-deployment" TargetMode="External" /><Relationship Type="http://schemas.openxmlformats.org/officeDocument/2006/relationships/hyperlink" Id="rId595" Target="https://learn.microsoft.com/en-us/entra/id-governance/privileged-identity-management/concept-pim-for-groups" TargetMode="External" /><Relationship Type="http://schemas.openxmlformats.org/officeDocument/2006/relationships/hyperlink" Id="rId407" Target="https://learn.microsoft.com/en-us/entra/id-governance/scenarios/automate-identity-lifecycle" TargetMode="External" /><Relationship Type="http://schemas.openxmlformats.org/officeDocument/2006/relationships/hyperlink" Id="rId436" Target="https://learn.microsoft.com/en-us/entra/id-governance/tutorial-offboard-custom-workflow-portal" TargetMode="External" /><Relationship Type="http://schemas.openxmlformats.org/officeDocument/2006/relationships/hyperlink" Id="rId411" Target="https://learn.microsoft.com/en-us/entra/id-governance/what-are-lifecycle-workflows" TargetMode="External" /><Relationship Type="http://schemas.openxmlformats.org/officeDocument/2006/relationships/hyperlink" Id="rId749" Target="https://learn.microsoft.com/en-us/entra/identity/app-provisioning/accidental-deletions" TargetMode="External" /><Relationship Type="http://schemas.openxmlformats.org/officeDocument/2006/relationships/hyperlink" Id="rId227" Target="https://learn.microsoft.com/en-us/entra/identity/app-provisioning/inbound-provisioning-api-concepts" TargetMode="External" /><Relationship Type="http://schemas.openxmlformats.org/officeDocument/2006/relationships/hyperlink" Id="rId320" Target="https://learn.microsoft.com/en-us/entra/identity/app-provisioning/inbound-provisioning-api-custom-attributes" TargetMode="External" /><Relationship Type="http://schemas.openxmlformats.org/officeDocument/2006/relationships/hyperlink" Id="rId257" Target="https://learn.microsoft.com/en-us/entra/identity/app-provisioning/inbound-provisioning-api-faqs" TargetMode="External" /><Relationship Type="http://schemas.openxmlformats.org/officeDocument/2006/relationships/hyperlink" Id="rId254" Target="https://learn.microsoft.com/en-us/entra/identity/app-provisioning/inbound-provisioning-api-grant-access" TargetMode="External" /><Relationship Type="http://schemas.openxmlformats.org/officeDocument/2006/relationships/hyperlink" Id="rId736" Target="https://learn.microsoft.com/en-us/entra/identity/app-provisioning/on-premises-application-provisioning-architecture" TargetMode="External" /><Relationship Type="http://schemas.openxmlformats.org/officeDocument/2006/relationships/hyperlink" Id="rId230" Target="https://learn.microsoft.com/en-us/entra/identity/app-provisioning/plan-cloud-hr-provision" TargetMode="External" /><Relationship Type="http://schemas.openxmlformats.org/officeDocument/2006/relationships/hyperlink" Id="rId22" Target="https://learn.microsoft.com/en-us/entra/identity/app-provisioning/what-is-hr-driven-provisioning" TargetMode="External" /><Relationship Type="http://schemas.openxmlformats.org/officeDocument/2006/relationships/hyperlink" Id="rId485" Target="https://learn.microsoft.com/en-us/entra/identity/authentication/concept-certificate-based-authentication-certificate-revocation-list" TargetMode="External" /><Relationship Type="http://schemas.openxmlformats.org/officeDocument/2006/relationships/hyperlink" Id="rId474" Target="https://learn.microsoft.com/en-us/entra/identity/authentication/concept-certificate-based-authentication-certificateuserids" TargetMode="External" /><Relationship Type="http://schemas.openxmlformats.org/officeDocument/2006/relationships/hyperlink" Id="rId464" Target="https://learn.microsoft.com/en-us/entra/identity/authentication/concept-certificate-based-authentication-technical-deep-dive" TargetMode="External" /><Relationship Type="http://schemas.openxmlformats.org/officeDocument/2006/relationships/hyperlink" Id="rId663" Target="https://learn.microsoft.com/en-us/entra/identity/authentication/feature-availability" TargetMode="External" /><Relationship Type="http://schemas.openxmlformats.org/officeDocument/2006/relationships/hyperlink" Id="rId470" Target="https://learn.microsoft.com/en-us/entra/identity/authentication/how-to-certificate-based-authentication" TargetMode="External" /><Relationship Type="http://schemas.openxmlformats.org/officeDocument/2006/relationships/hyperlink" Id="rId549" Target="https://learn.microsoft.com/en-us/entra/identity/conditional-access/concept-conditional-access-users-groups" TargetMode="External" /><Relationship Type="http://schemas.openxmlformats.org/officeDocument/2006/relationships/hyperlink" Id="rId743" Target="https://learn.microsoft.com/en-us/entra/identity/conditional-access/workload-identity" TargetMode="External" /><Relationship Type="http://schemas.openxmlformats.org/officeDocument/2006/relationships/hyperlink" Id="rId268" Target="https://learn.microsoft.com/en-us/entra/identity/hybrid/cloud-sync/how-to-prerequisites" TargetMode="External" /><Relationship Type="http://schemas.openxmlformats.org/officeDocument/2006/relationships/hyperlink" Id="rId29" Target="https://learn.microsoft.com/en-us/entra/identity/hybrid/user-source-of-authority-overview" TargetMode="External" /><Relationship Type="http://schemas.openxmlformats.org/officeDocument/2006/relationships/hyperlink" Id="rId616" Target="https://learn.microsoft.com/en-us/entra/identity/monitoring-health/howto-analyze-provisioning-logs" TargetMode="External" /><Relationship Type="http://schemas.openxmlformats.org/officeDocument/2006/relationships/hyperlink" Id="rId622" Target="https://learn.microsoft.com/en-us/entra/identity/monitoring-health/reference-reports-data-retention" TargetMode="External" /><Relationship Type="http://schemas.openxmlformats.org/officeDocument/2006/relationships/hyperlink" Id="rId573" Target="https://learn.microsoft.com/en-us/entra/identity/role-based-access-control/admin-units-members-dynamic" TargetMode="External" /><Relationship Type="http://schemas.openxmlformats.org/officeDocument/2006/relationships/hyperlink" Id="rId579" Target="https://learn.microsoft.com/en-us/entra/identity/role-based-access-control/admin-units-restricted-management" TargetMode="External" /><Relationship Type="http://schemas.openxmlformats.org/officeDocument/2006/relationships/hyperlink" Id="rId277" Target="https://learn.microsoft.com/en-us/entra/identity/role-based-access-control/administrative-units" TargetMode="External" /><Relationship Type="http://schemas.openxmlformats.org/officeDocument/2006/relationships/hyperlink" Id="rId599" Target="https://learn.microsoft.com/en-us/entra/identity/role-based-access-control/security-emergency-access" TargetMode="External" /><Relationship Type="http://schemas.openxmlformats.org/officeDocument/2006/relationships/hyperlink" Id="rId52" Target="https://learn.microsoft.com/en-us/entra/identity/saas-apps/oracle-hcm-provisioning-tutorial" TargetMode="External" /><Relationship Type="http://schemas.openxmlformats.org/officeDocument/2006/relationships/hyperlink" Id="rId45" Target="https://learn.microsoft.com/en-us/entra/identity/users/groups-dynamic-membership" TargetMode="External" /><Relationship Type="http://schemas.openxmlformats.org/officeDocument/2006/relationships/hyperlink" Id="rId564" Target="https://learn.microsoft.com/en-us/entra/identity/users/groups-dynamic-rule-more-efficient" TargetMode="External" /><Relationship Type="http://schemas.openxmlformats.org/officeDocument/2006/relationships/hyperlink" Id="rId519" Target="https://learn.microsoft.com/en-us/entra/identity/users/users-revoke-access" TargetMode="External" /><Relationship Type="http://schemas.openxmlformats.org/officeDocument/2006/relationships/hyperlink" Id="rId316" Target="https://learn.microsoft.com/en-us/graph/api/resources/onpremisesextensionattributes" TargetMode="External" /><Relationship Type="http://schemas.openxmlformats.org/officeDocument/2006/relationships/hyperlink" Id="rId206" Target="https://learn.microsoft.com/en-us/graph/api/resources/user" TargetMode="External" /><Relationship Type="http://schemas.openxmlformats.org/officeDocument/2006/relationships/hyperlink" Id="rId747" Target="https://learn.microsoft.com/en-us/graph/api/synchronization-synchronizationjob-pause" TargetMode="External" /><Relationship Type="http://schemas.openxmlformats.org/officeDocument/2006/relationships/hyperlink" Id="rId251" Target="https://learn.microsoft.com/en-us/graph/api/synchronization-synchronizationjob-post-bulkupload" TargetMode="External" /><Relationship Type="http://schemas.openxmlformats.org/officeDocument/2006/relationships/hyperlink" Id="rId249" Target="https://learn.microsoft.com/en-us/graph/deployments" TargetMode="External" /><Relationship Type="http://schemas.openxmlformats.org/officeDocument/2006/relationships/hyperlink" Id="rId506" Target="https://learn.microsoft.com/en-us/intune/cloud-pki/" TargetMode="External" /><Relationship Type="http://schemas.openxmlformats.org/officeDocument/2006/relationships/hyperlink" Id="rId513" Target="https://learn.microsoft.com/en-us/intune/cloud-pki/monitor-certificates" TargetMode="External" /><Relationship Type="http://schemas.openxmlformats.org/officeDocument/2006/relationships/hyperlink" Id="rId508" Target="https://learn.microsoft.com/en-us/intune/device-configuration/certificates/remove-profiles" TargetMode="External" /><Relationship Type="http://schemas.openxmlformats.org/officeDocument/2006/relationships/hyperlink" Id="rId60" Target="https://learn.microsoft.com/en-us/microsoft-365/enterprise/cross-cloud-collaboration" TargetMode="External" /><Relationship Type="http://schemas.openxmlformats.org/officeDocument/2006/relationships/hyperlink" Id="rId58" Target="https://learn.microsoft.com/en-us/microsoftteams/plan-for-government-gcc" TargetMode="External" /><Relationship Type="http://schemas.openxmlformats.org/officeDocument/2006/relationships/hyperlink" Id="rId734" Target="https://learn.microsoft.com/en-us/troubleshoot/entra/entra-id/ad-dmn-services/enable-support-tls-environment" TargetMode="External" /><Relationship Type="http://schemas.openxmlformats.org/officeDocument/2006/relationships/hyperlink" Id="rId274" Target="https://learn.microsoft.com/en-us/viva/people-in-viva/introducing-org-explorer" TargetMode="External" /><Relationship Type="http://schemas.openxmlformats.org/officeDocument/2006/relationships/hyperlink" Id="rId354" Target="https://learn.microsoft.com/entra/identity/app-provisioning/inbound-provisioning-api-configure-app" TargetMode="External" /><Relationship Type="http://schemas.openxmlformats.org/officeDocument/2006/relationships/hyperlink" Id="rId562" Target="https://learn.microsoft.com/entra/identity/role-based-access-control/admin-units-faq-troubleshoot" TargetMode="External" /><Relationship Type="http://schemas.openxmlformats.org/officeDocument/2006/relationships/hyperlink" Id="rId356" Target="https://learn.microsoft.com/entra/identity/role-based-access-control/permissions-reference" TargetMode="External" /><Relationship Type="http://schemas.openxmlformats.org/officeDocument/2006/relationships/hyperlink" Id="rId388" Target="https://learn.microsoft.com/entra/identity/users/groups-dynamic-membership" TargetMode="External" /><Relationship Type="http://schemas.openxmlformats.org/officeDocument/2006/relationships/hyperlink" Id="rId203" Target="https://nvlpubs.nist.gov/nistpubs/FIPS/NIST.FIPS.201-3.pdf" TargetMode="External" /><Relationship Type="http://schemas.openxmlformats.org/officeDocument/2006/relationships/hyperlink" Id="rId336" Target="https://nvlpubs.nist.gov/nistpubs/SpecialPublications/NIST.SP.800-37r2.pdf" TargetMode="External" /><Relationship Type="http://schemas.openxmlformats.org/officeDocument/2006/relationships/hyperlink" Id="rId81" Target="https://nvlpubs.nist.gov/nistpubs/SpecialPublications/NIST.SP.800-53r5.pdf" TargetMode="External" /><Relationship Type="http://schemas.openxmlformats.org/officeDocument/2006/relationships/hyperlink" Id="rId339" Target="https://nvlpubs.nist.gov/nistpubs/SpecialPublications/NIST.SP.800-79-2.pdf" TargetMode="External" /><Relationship Type="http://schemas.openxmlformats.org/officeDocument/2006/relationships/hyperlink" Id="rId183" Target="https://raw.githubusercontent.com/GSA/marketplace-fedramp-gov-data/main/data.json" TargetMode="External" /><Relationship Type="http://schemas.openxmlformats.org/officeDocument/2006/relationships/hyperlink" Id="rId605" Target="https://raw.githubusercontent.com/usnistgov/oscal-content/main/nist.gov/SP800-53/rev5/json/NIST_SP-800-53_rev5_catalog.json" TargetMode="External" /><Relationship Type="http://schemas.openxmlformats.org/officeDocument/2006/relationships/hyperlink" Id="rId162" Target="https://sam.gov/workspace/contract/opp/8cfe1844758c4fb2b10f5ef192b62f89/view" TargetMode="External" /><Relationship Type="http://schemas.openxmlformats.org/officeDocument/2006/relationships/hyperlink" Id="rId772" Target="https://www.archives.gov/files/records-mgmt/grs/grs03-2.pdf" TargetMode="External" /><Relationship Type="http://schemas.openxmlformats.org/officeDocument/2006/relationships/hyperlink" Id="rId89" Target="https://www.cisa.gov/resources-tools/programs/trusted-internet-connections-tic" TargetMode="External" /><Relationship Type="http://schemas.openxmlformats.org/officeDocument/2006/relationships/hyperlink" Id="rId41" Target="https://www.cisa.gov/sites/default/files/2023-04/CISA_Zero_Trust_Maturity_Model_Version_2_508c.pdf" TargetMode="External" /><Relationship Type="http://schemas.openxmlformats.org/officeDocument/2006/relationships/hyperlink" Id="rId217" Target="https://www.govinfo.gov/content/pkg/FR-2023-08-17/html/2023-17651.htm" TargetMode="External" /><Relationship Type="http://schemas.openxmlformats.org/officeDocument/2006/relationships/hyperlink" Id="rId102" Target="https://www.govinfo.gov/content/pkg/PLAW-115publ435/html/PLAW-115publ435.htm" TargetMode="External" /><Relationship Type="http://schemas.openxmlformats.org/officeDocument/2006/relationships/hyperlink" Id="rId99" Target="https://www.idmanagement.gov/arch/" TargetMode="External" /><Relationship Type="http://schemas.openxmlformats.org/officeDocument/2006/relationships/hyperlink" Id="rId67" Target="https://www.idmanagement.gov/playbooks/ilm/" TargetMode="External" /><Relationship Type="http://schemas.openxmlformats.org/officeDocument/2006/relationships/hyperlink" Id="rId213" Target="https://www.law.cornell.edu/uscode/text/5/552a" TargetMode="External" /><Relationship Type="http://schemas.openxmlformats.org/officeDocument/2006/relationships/hyperlink" Id="rId147" Target="https://www.meritalk.com/articles/opm-eyes-40m-annual-cost-for-governmentwide-hr-platform/" TargetMode="External" /><Relationship Type="http://schemas.openxmlformats.org/officeDocument/2006/relationships/hyperlink" Id="rId130" Target="https://www.nextgov.com/digital-government/2009/10/opm-claims-victory-in-huge-e-payroll-system-consolidation/45086/" TargetMode="External" /><Relationship Type="http://schemas.openxmlformats.org/officeDocument/2006/relationships/hyperlink" Id="rId122" Target="https://www.opm.gov/agency-services/hr-governance/hr-quality-services-management-office/" TargetMode="External" /><Relationship Type="http://schemas.openxmlformats.org/officeDocument/2006/relationships/hyperlink" Id="rId24" Target="https://www.opm.gov/chcoc/latest-memos/creating-federal-hr-20-by-consolidating-core-human-capital-management-across-the-federal-government.pdf" TargetMode="External" /><Relationship Type="http://schemas.openxmlformats.org/officeDocument/2006/relationships/hyperlink" Id="rId675" Target="https://www.opm.gov/information-management/privacy-policy/privacy-policy/usas-pia/" TargetMode="External" /><Relationship Type="http://schemas.openxmlformats.org/officeDocument/2006/relationships/hyperlink" Id="rId26" Target="https://www.opm.gov/news/news-releases/opm-awards-contract-for-first-ever-governmentwide-hr-platform/" TargetMode="External" /><Relationship Type="http://schemas.openxmlformats.org/officeDocument/2006/relationships/hyperlink" Id="rId293" Target="https://www.opm.gov/policy-data-oversight/data-analysis-documentation/data-policy-guidance/" TargetMode="External" /><Relationship Type="http://schemas.openxmlformats.org/officeDocument/2006/relationships/hyperlink" Id="rId115" Target="https://www.opm.gov/policy-data-oversight/data-analysis-documentation/enterprise-human-resources-integration" TargetMode="External" /><Relationship Type="http://schemas.openxmlformats.org/officeDocument/2006/relationships/hyperlink" Id="rId297" Target="https://www.opm.gov/policy-data-oversight/data-analysis-documentation/personnel-documentation/processing-personnel-actions/guide_to_processing_personnel_actions.pdf" TargetMode="External" /><Relationship Type="http://schemas.openxmlformats.org/officeDocument/2006/relationships/hyperlink" Id="rId165" Target="https://www.opm.gov/services-for-agencies/talent-systems/core-hcm/" TargetMode="External" /><Relationship Type="http://schemas.openxmlformats.org/officeDocument/2006/relationships/hyperlink" Id="rId27" Target="https://www.prnewswire.com/news-releases/us-office-of-personnel-management-selects-oracle-to-power-federal-workforce-modernization-302798451.html" TargetMode="External" /><Relationship Type="http://schemas.openxmlformats.org/officeDocument/2006/relationships/hyperlink" Id="rId244" Target="https://www.rfc-editor.org/rfc/rfc7643" TargetMode="External" /><Relationship Type="http://schemas.openxmlformats.org/officeDocument/2006/relationships/hyperlink" Id="rId243" Target="https://www.rfc-editor.org/rfc/rfc7644" TargetMode="External" /><Relationship Type="http://schemas.openxmlformats.org/officeDocument/2006/relationships/hyperlink" Id="rId368" Target="https://www.whitehouse.gov/wp-content/uploads/2017/11/203-M-03-22-OMB-Guidance-for-Implementing-the-Privacy-Provisions-of-the-E-Government-Act-of-2002-1.pdf" TargetMode="External" /><Relationship Type="http://schemas.openxmlformats.org/officeDocument/2006/relationships/hyperlink" Id="rId118" Target="https://www.whitehouse.gov/wp-content/uploads/2019/04/M-19-16.pdf" TargetMode="External" /><Relationship Type="http://schemas.openxmlformats.org/officeDocument/2006/relationships/hyperlink" Id="rId65" Target="https://www.whitehouse.gov/wp-content/uploads/2019/05/M-19-17.pdf" TargetMode="External" /><Relationship Type="http://schemas.openxmlformats.org/officeDocument/2006/relationships/hyperlink" Id="rId104" Target="https://www.whitehouse.gov/wp-content/uploads/2019/06/M-19-18.pdf" TargetMode="External" /><Relationship Type="http://schemas.openxmlformats.org/officeDocument/2006/relationships/hyperlink" Id="rId382" Target="https://www.whitehouse.gov/wp-content/uploads/2019/07/M-19-23.pdf" TargetMode="External" /><Relationship Type="http://schemas.openxmlformats.org/officeDocument/2006/relationships/hyperlink" Id="rId43" Target="https://www.whitehouse.gov/wp-content/uploads/2019/09/M-19-26.pdf" TargetMode="External" /><Relationship Type="http://schemas.openxmlformats.org/officeDocument/2006/relationships/hyperlink" Id="rId37" Target="https://www.whitehouse.gov/wp-content/uploads/2022/01/M-22-09.pdf" TargetMode="External" /><Relationship Type="http://schemas.openxmlformats.org/officeDocument/2006/relationships/hyperlink" Id="rId363" Target="https://www.whitehouse.gov/wp-content/uploads/legacy_drupal_files/omb/circulars/A108/omb_circular_a-108.pdf" TargetMode="External" /><Relationship Type="http://schemas.openxmlformats.org/officeDocument/2006/relationships/hyperlink" Id="rId215" Target="https://www.whitehouse.gov/wp-content/uploads/legacy_drupal_files/omb/circulars/A108/omb_circular_a_108_12_12_16.pdf" TargetMode="External" /><Relationship Type="http://schemas.openxmlformats.org/officeDocument/2006/relationships/hyperlink" Id="rId36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35" Target="https://catalog.data.gov/dataset/central-personnel-data-file-cpdf" TargetMode="External" /><Relationship Type="http://schemas.openxmlformats.org/officeDocument/2006/relationships/hyperlink" Id="rId450" Target="https://csrc.nist.gov/pubs/fips/201-3/final" TargetMode="External" /><Relationship Type="http://schemas.openxmlformats.org/officeDocument/2006/relationships/hyperlink" Id="rId495" Target="https://csrc.nist.gov/pubs/sp/800/157/final" TargetMode="External" /><Relationship Type="http://schemas.openxmlformats.org/officeDocument/2006/relationships/hyperlink" Id="rId497" Target="https://csrc.nist.gov/pubs/sp/800/157/r1/fpd" TargetMode="External" /><Relationship Type="http://schemas.openxmlformats.org/officeDocument/2006/relationships/hyperlink" Id="rId39" Target="https://csrc.nist.gov/pubs/sp/800/207/final" TargetMode="External" /><Relationship Type="http://schemas.openxmlformats.org/officeDocument/2006/relationships/hyperlink" Id="rId377" Target="https://csrc.nist.gov/pubs/sp/800/47/r1/final" TargetMode="External" /><Relationship Type="http://schemas.openxmlformats.org/officeDocument/2006/relationships/hyperlink" Id="rId725" Target="https://csrc.nist.gov/pubs/sp/800/53/b/upd1/final" TargetMode="External" /><Relationship Type="http://schemas.openxmlformats.org/officeDocument/2006/relationships/hyperlink" Id="rId198" Target="https://csrc.nist.gov/pubs/sp/800/53/r5/upd1/final" TargetMode="External" /><Relationship Type="http://schemas.openxmlformats.org/officeDocument/2006/relationships/hyperlink" Id="rId460" Target="https://csrc.nist.gov/pubs/sp/800/63/4/final" TargetMode="External" /><Relationship Type="http://schemas.openxmlformats.org/officeDocument/2006/relationships/hyperlink" Id="rId295" Target="https://data.opm.gov/data-standards/ehri-data-standards" TargetMode="External" /><Relationship Type="http://schemas.openxmlformats.org/officeDocument/2006/relationships/hyperlink" Id="rId286" Target="https://docs.oracle.com/en/cloud/saas/applications-common/25d/farca/op-hcmrestapi-scim-users-get.html" TargetMode="External" /><Relationship Type="http://schemas.openxmlformats.org/officeDocument/2006/relationships/hyperlink" Id="rId234" Target="https://docs.oracle.com/en/cloud/saas/human-resources/fahex/introduction-to-hcm-extracts.html" TargetMode="External" /><Relationship Type="http://schemas.openxmlformats.org/officeDocument/2006/relationships/hyperlink" Id="rId187" Target="https://docs.oracle.com/en/cloud/saas/human-resources/farws/Employee_Atom_Feeds.html" TargetMode="External" /><Relationship Type="http://schemas.openxmlformats.org/officeDocument/2006/relationships/hyperlink" Id="rId238" Target="https://docs.oracle.com/en/cloud/saas/human-resources/farws/api-employees.html" TargetMode="External" /><Relationship Type="http://schemas.openxmlformats.org/officeDocument/2006/relationships/hyperlink" Id="rId239" Target="https://docs.oracle.com/en/cloud/saas/human-resources/farws/api-workers.html" TargetMode="External" /><Relationship Type="http://schemas.openxmlformats.org/officeDocument/2006/relationships/hyperlink" Id="rId304" Target="https://docs.oracle.com/en/cloud/saas/human-resources/farws/op-workers-workersuniqid-child-workrelationships-post.html" TargetMode="External" /><Relationship Type="http://schemas.openxmlformats.org/officeDocument/2006/relationships/hyperlink" Id="rId185" Target="https://docs.oracle.com/en/cloud/saas/human-resources/faucf/considerations-for-using-jobs-and-positions.html" TargetMode="External" /><Relationship Type="http://schemas.openxmlformats.org/officeDocument/2006/relationships/hyperlink" Id="rId191" Target="https://docs.oracle.com/en/cloud/saas/human-resources/faucf/date-effectivity.html" TargetMode="External" /><Relationship Type="http://schemas.openxmlformats.org/officeDocument/2006/relationships/hyperlink" Id="rId306" Target="https://docs.oracle.com/en/cloud/saas/human-resources/fawhr/how-you-convert-pending-workers.html" TargetMode="External" /><Relationship Type="http://schemas.openxmlformats.org/officeDocument/2006/relationships/hyperlink" Id="rId209" Target="https://docs.oracle.com/en/cloud/saas/readiness/hcm/26b/hure-26b/26B-hr-wn-f43513.htm" TargetMode="External" /><Relationship Type="http://schemas.openxmlformats.org/officeDocument/2006/relationships/hyperlink" Id="rId144" Target="https://federalnewsnetwork.com/contracting/2026/06/opm-awards-major-hr-it-modernization-contract-to-oracle/" TargetMode="External" /><Relationship Type="http://schemas.openxmlformats.org/officeDocument/2006/relationships/hyperlink" Id="rId120" Target="https://fedscoop.com/opm-hr-shared-services-qsmo/" TargetMode="External" /><Relationship Type="http://schemas.openxmlformats.org/officeDocument/2006/relationships/hyperlink" Id="rId139" Target="https://fedscoop.com/opm-launches-hr-marketplace/" TargetMode="External" /><Relationship Type="http://schemas.openxmlformats.org/officeDocument/2006/relationships/hyperlink" Id="rId128" Target="https://georgewbush-whitehouse.archives.gov/omb/egov/c-4-5-ePay.html" TargetMode="External" /><Relationship Type="http://schemas.openxmlformats.org/officeDocument/2006/relationships/hyperlink" Id="rId132" Target="https://georgewbush-whitehouse.archives.gov/omb/egov/press_releases/lines_business/050131_OPM_hr_lines_bus.html" TargetMode="External" /><Relationship Type="http://schemas.openxmlformats.org/officeDocument/2006/relationships/hyperlink" Id="rId721" Target="https://georgewbush-whitehouse.archives.gov/omb/memoranda/m03-22.html" TargetMode="External" /><Relationship Type="http://schemas.openxmlformats.org/officeDocument/2006/relationships/hyperlink" Id="rId9" Target="https://github.com/WhalerMike/modernization-workbook/tree/main/archive/b03-hr-identity" TargetMode="External" /><Relationship Type="http://schemas.openxmlformats.org/officeDocument/2006/relationships/hyperlink" Id="rId11" Target="https://github.com/WhalerMike/modernization-workbook/tree/main/presentations/b03-hr-identity" TargetMode="External" /><Relationship Type="http://schemas.openxmlformats.org/officeDocument/2006/relationships/hyperlink" Id="rId12" Target="https://github.com/WhalerMike/modernization-workbook/tree/main/presentations/hr-driven-identity-interview" TargetMode="External" /><Relationship Type="http://schemas.openxmlformats.org/officeDocument/2006/relationships/hyperlink" Id="rId126" Target="https://govinfo.library.unt.edu/npr/library/announc/cpdf.htm" TargetMode="External" /><Relationship Type="http://schemas.openxmlformats.org/officeDocument/2006/relationships/hyperlink" Id="rId577" Target="https://learn.microsoft.com/en-us/azure/azure-government/documentation-government-plan-identity" TargetMode="External" /><Relationship Type="http://schemas.openxmlformats.org/officeDocument/2006/relationships/hyperlink" Id="rId673" Target="https://learn.microsoft.com/en-us/azure/security/fundamentals/feature-availability" TargetMode="External" /><Relationship Type="http://schemas.openxmlformats.org/officeDocument/2006/relationships/hyperlink" Id="rId31" Target="https://learn.microsoft.com/en-us/entra/architecture/road-to-the-cloud-migrate" TargetMode="External" /><Relationship Type="http://schemas.openxmlformats.org/officeDocument/2006/relationships/hyperlink" Id="rId719" Target="https://learn.microsoft.com/en-us/entra/fundamentals/users-default-permissions" TargetMode="External" /><Relationship Type="http://schemas.openxmlformats.org/officeDocument/2006/relationships/hyperlink" Id="rId443" Target="https://learn.microsoft.com/en-us/entra/fundamentals/users-restore" TargetMode="External" /><Relationship Type="http://schemas.openxmlformats.org/officeDocument/2006/relationships/hyperlink" Id="rId624" Target="https://learn.microsoft.com/en-us/entra/id-governance/access-reviews-downloadable-review-history" TargetMode="External" /><Relationship Type="http://schemas.openxmlformats.org/officeDocument/2006/relationships/hyperlink" Id="rId586" Target="https://learn.microsoft.com/en-us/entra/id-governance/create-access-review" TargetMode="External" /><Relationship Type="http://schemas.openxmlformats.org/officeDocument/2006/relationships/hyperlink" Id="rId424" Target="https://learn.microsoft.com/en-us/entra/id-governance/customize-workflow-schedule" TargetMode="External" /><Relationship Type="http://schemas.openxmlformats.org/officeDocument/2006/relationships/hyperlink" Id="rId620" Target="https://learn.microsoft.com/en-us/entra/id-governance/download-workflow-history" TargetMode="External" /><Relationship Type="http://schemas.openxmlformats.org/officeDocument/2006/relationships/hyperlink" Id="rId583" Target="https://learn.microsoft.com/en-us/entra/id-governance/entitlement-management-access-package-approval-policy" TargetMode="External" /><Relationship Type="http://schemas.openxmlformats.org/officeDocument/2006/relationships/hyperlink" Id="rId629" Target="https://learn.microsoft.com/en-us/entra/id-governance/entitlement-management-logs-and-reporting" TargetMode="External" /><Relationship Type="http://schemas.openxmlformats.org/officeDocument/2006/relationships/hyperlink" Id="rId324" Target="https://learn.microsoft.com/en-us/entra/id-governance/how-to-lifecycle-workflow-sync-attributes" TargetMode="External" /><Relationship Type="http://schemas.openxmlformats.org/officeDocument/2006/relationships/hyperlink" Id="rId413" Target="https://learn.microsoft.com/en-us/entra/id-governance/licensing-fundamentals" TargetMode="External" /><Relationship Type="http://schemas.openxmlformats.org/officeDocument/2006/relationships/hyperlink" Id="rId420" Target="https://learn.microsoft.com/en-us/entra/id-governance/lifecycle-workflow-execution-conditions" TargetMode="External" /><Relationship Type="http://schemas.openxmlformats.org/officeDocument/2006/relationships/hyperlink" Id="rId530" Target="https://learn.microsoft.com/en-us/entra/id-governance/lifecycle-workflow-extensibility" TargetMode="External" /><Relationship Type="http://schemas.openxmlformats.org/officeDocument/2006/relationships/hyperlink" Id="rId618" Target="https://learn.microsoft.com/en-us/entra/id-governance/lifecycle-workflow-history" TargetMode="External" /><Relationship Type="http://schemas.openxmlformats.org/officeDocument/2006/relationships/hyperlink" Id="rId405" Target="https://learn.microsoft.com/en-us/entra/id-governance/lifecycle-workflow-tasks" TargetMode="External" /><Relationship Type="http://schemas.openxmlformats.org/officeDocument/2006/relationships/hyperlink" Id="rId760" Target="https://learn.microsoft.com/en-us/entra/id-governance/lifecycle-workflows-deployment" TargetMode="External" /><Relationship Type="http://schemas.openxmlformats.org/officeDocument/2006/relationships/hyperlink" Id="rId595" Target="https://learn.microsoft.com/en-us/entra/id-governance/privileged-identity-management/concept-pim-for-groups" TargetMode="External" /><Relationship Type="http://schemas.openxmlformats.org/officeDocument/2006/relationships/hyperlink" Id="rId407" Target="https://learn.microsoft.com/en-us/entra/id-governance/scenarios/automate-identity-lifecycle" TargetMode="External" /><Relationship Type="http://schemas.openxmlformats.org/officeDocument/2006/relationships/hyperlink" Id="rId436" Target="https://learn.microsoft.com/en-us/entra/id-governance/tutorial-offboard-custom-workflow-portal" TargetMode="External" /><Relationship Type="http://schemas.openxmlformats.org/officeDocument/2006/relationships/hyperlink" Id="rId411" Target="https://learn.microsoft.com/en-us/entra/id-governance/what-are-lifecycle-workflows" TargetMode="External" /><Relationship Type="http://schemas.openxmlformats.org/officeDocument/2006/relationships/hyperlink" Id="rId749" Target="https://learn.microsoft.com/en-us/entra/identity/app-provisioning/accidental-deletions" TargetMode="External" /><Relationship Type="http://schemas.openxmlformats.org/officeDocument/2006/relationships/hyperlink" Id="rId227" Target="https://learn.microsoft.com/en-us/entra/identity/app-provisioning/inbound-provisioning-api-concepts" TargetMode="External" /><Relationship Type="http://schemas.openxmlformats.org/officeDocument/2006/relationships/hyperlink" Id="rId320" Target="https://learn.microsoft.com/en-us/entra/identity/app-provisioning/inbound-provisioning-api-custom-attributes" TargetMode="External" /><Relationship Type="http://schemas.openxmlformats.org/officeDocument/2006/relationships/hyperlink" Id="rId257" Target="https://learn.microsoft.com/en-us/entra/identity/app-provisioning/inbound-provisioning-api-faqs" TargetMode="External" /><Relationship Type="http://schemas.openxmlformats.org/officeDocument/2006/relationships/hyperlink" Id="rId254" Target="https://learn.microsoft.com/en-us/entra/identity/app-provisioning/inbound-provisioning-api-grant-access" TargetMode="External" /><Relationship Type="http://schemas.openxmlformats.org/officeDocument/2006/relationships/hyperlink" Id="rId736" Target="https://learn.microsoft.com/en-us/entra/identity/app-provisioning/on-premises-application-provisioning-architecture" TargetMode="External" /><Relationship Type="http://schemas.openxmlformats.org/officeDocument/2006/relationships/hyperlink" Id="rId230" Target="https://learn.microsoft.com/en-us/entra/identity/app-provisioning/plan-cloud-hr-provision" TargetMode="External" /><Relationship Type="http://schemas.openxmlformats.org/officeDocument/2006/relationships/hyperlink" Id="rId22" Target="https://learn.microsoft.com/en-us/entra/identity/app-provisioning/what-is-hr-driven-provisioning" TargetMode="External" /><Relationship Type="http://schemas.openxmlformats.org/officeDocument/2006/relationships/hyperlink" Id="rId485" Target="https://learn.microsoft.com/en-us/entra/identity/authentication/concept-certificate-based-authentication-certificate-revocation-list" TargetMode="External" /><Relationship Type="http://schemas.openxmlformats.org/officeDocument/2006/relationships/hyperlink" Id="rId474" Target="https://learn.microsoft.com/en-us/entra/identity/authentication/concept-certificate-based-authentication-certificateuserids" TargetMode="External" /><Relationship Type="http://schemas.openxmlformats.org/officeDocument/2006/relationships/hyperlink" Id="rId464" Target="https://learn.microsoft.com/en-us/entra/identity/authentication/concept-certificate-based-authentication-technical-deep-dive" TargetMode="External" /><Relationship Type="http://schemas.openxmlformats.org/officeDocument/2006/relationships/hyperlink" Id="rId663" Target="https://learn.microsoft.com/en-us/entra/identity/authentication/feature-availability" TargetMode="External" /><Relationship Type="http://schemas.openxmlformats.org/officeDocument/2006/relationships/hyperlink" Id="rId470" Target="https://learn.microsoft.com/en-us/entra/identity/authentication/how-to-certificate-based-authentication" TargetMode="External" /><Relationship Type="http://schemas.openxmlformats.org/officeDocument/2006/relationships/hyperlink" Id="rId549" Target="https://learn.microsoft.com/en-us/entra/identity/conditional-access/concept-conditional-access-users-groups" TargetMode="External" /><Relationship Type="http://schemas.openxmlformats.org/officeDocument/2006/relationships/hyperlink" Id="rId743" Target="https://learn.microsoft.com/en-us/entra/identity/conditional-access/workload-identity" TargetMode="External" /><Relationship Type="http://schemas.openxmlformats.org/officeDocument/2006/relationships/hyperlink" Id="rId268" Target="https://learn.microsoft.com/en-us/entra/identity/hybrid/cloud-sync/how-to-prerequisites" TargetMode="External" /><Relationship Type="http://schemas.openxmlformats.org/officeDocument/2006/relationships/hyperlink" Id="rId29" Target="https://learn.microsoft.com/en-us/entra/identity/hybrid/user-source-of-authority-overview" TargetMode="External" /><Relationship Type="http://schemas.openxmlformats.org/officeDocument/2006/relationships/hyperlink" Id="rId616" Target="https://learn.microsoft.com/en-us/entra/identity/monitoring-health/howto-analyze-provisioning-logs" TargetMode="External" /><Relationship Type="http://schemas.openxmlformats.org/officeDocument/2006/relationships/hyperlink" Id="rId622" Target="https://learn.microsoft.com/en-us/entra/identity/monitoring-health/reference-reports-data-retention" TargetMode="External" /><Relationship Type="http://schemas.openxmlformats.org/officeDocument/2006/relationships/hyperlink" Id="rId573" Target="https://learn.microsoft.com/en-us/entra/identity/role-based-access-control/admin-units-members-dynamic" TargetMode="External" /><Relationship Type="http://schemas.openxmlformats.org/officeDocument/2006/relationships/hyperlink" Id="rId579" Target="https://learn.microsoft.com/en-us/entra/identity/role-based-access-control/admin-units-restricted-management" TargetMode="External" /><Relationship Type="http://schemas.openxmlformats.org/officeDocument/2006/relationships/hyperlink" Id="rId277" Target="https://learn.microsoft.com/en-us/entra/identity/role-based-access-control/administrative-units" TargetMode="External" /><Relationship Type="http://schemas.openxmlformats.org/officeDocument/2006/relationships/hyperlink" Id="rId599" Target="https://learn.microsoft.com/en-us/entra/identity/role-based-access-control/security-emergency-access" TargetMode="External" /><Relationship Type="http://schemas.openxmlformats.org/officeDocument/2006/relationships/hyperlink" Id="rId52" Target="https://learn.microsoft.com/en-us/entra/identity/saas-apps/oracle-hcm-provisioning-tutorial" TargetMode="External" /><Relationship Type="http://schemas.openxmlformats.org/officeDocument/2006/relationships/hyperlink" Id="rId45" Target="https://learn.microsoft.com/en-us/entra/identity/users/groups-dynamic-membership" TargetMode="External" /><Relationship Type="http://schemas.openxmlformats.org/officeDocument/2006/relationships/hyperlink" Id="rId564" Target="https://learn.microsoft.com/en-us/entra/identity/users/groups-dynamic-rule-more-efficient" TargetMode="External" /><Relationship Type="http://schemas.openxmlformats.org/officeDocument/2006/relationships/hyperlink" Id="rId519" Target="https://learn.microsoft.com/en-us/entra/identity/users/users-revoke-access" TargetMode="External" /><Relationship Type="http://schemas.openxmlformats.org/officeDocument/2006/relationships/hyperlink" Id="rId316" Target="https://learn.microsoft.com/en-us/graph/api/resources/onpremisesextensionattributes" TargetMode="External" /><Relationship Type="http://schemas.openxmlformats.org/officeDocument/2006/relationships/hyperlink" Id="rId206" Target="https://learn.microsoft.com/en-us/graph/api/resources/user" TargetMode="External" /><Relationship Type="http://schemas.openxmlformats.org/officeDocument/2006/relationships/hyperlink" Id="rId747" Target="https://learn.microsoft.com/en-us/graph/api/synchronization-synchronizationjob-pause" TargetMode="External" /><Relationship Type="http://schemas.openxmlformats.org/officeDocument/2006/relationships/hyperlink" Id="rId251" Target="https://learn.microsoft.com/en-us/graph/api/synchronization-synchronizationjob-post-bulkupload" TargetMode="External" /><Relationship Type="http://schemas.openxmlformats.org/officeDocument/2006/relationships/hyperlink" Id="rId249" Target="https://learn.microsoft.com/en-us/graph/deployments" TargetMode="External" /><Relationship Type="http://schemas.openxmlformats.org/officeDocument/2006/relationships/hyperlink" Id="rId506" Target="https://learn.microsoft.com/en-us/intune/cloud-pki/" TargetMode="External" /><Relationship Type="http://schemas.openxmlformats.org/officeDocument/2006/relationships/hyperlink" Id="rId513" Target="https://learn.microsoft.com/en-us/intune/cloud-pki/monitor-certificates" TargetMode="External" /><Relationship Type="http://schemas.openxmlformats.org/officeDocument/2006/relationships/hyperlink" Id="rId508" Target="https://learn.microsoft.com/en-us/intune/device-configuration/certificates/remove-profiles" TargetMode="External" /><Relationship Type="http://schemas.openxmlformats.org/officeDocument/2006/relationships/hyperlink" Id="rId60" Target="https://learn.microsoft.com/en-us/microsoft-365/enterprise/cross-cloud-collaboration" TargetMode="External" /><Relationship Type="http://schemas.openxmlformats.org/officeDocument/2006/relationships/hyperlink" Id="rId58" Target="https://learn.microsoft.com/en-us/microsoftteams/plan-for-government-gcc" TargetMode="External" /><Relationship Type="http://schemas.openxmlformats.org/officeDocument/2006/relationships/hyperlink" Id="rId734" Target="https://learn.microsoft.com/en-us/troubleshoot/entra/entra-id/ad-dmn-services/enable-support-tls-environment" TargetMode="External" /><Relationship Type="http://schemas.openxmlformats.org/officeDocument/2006/relationships/hyperlink" Id="rId274" Target="https://learn.microsoft.com/en-us/viva/people-in-viva/introducing-org-explorer" TargetMode="External" /><Relationship Type="http://schemas.openxmlformats.org/officeDocument/2006/relationships/hyperlink" Id="rId354" Target="https://learn.microsoft.com/entra/identity/app-provisioning/inbound-provisioning-api-configure-app" TargetMode="External" /><Relationship Type="http://schemas.openxmlformats.org/officeDocument/2006/relationships/hyperlink" Id="rId562" Target="https://learn.microsoft.com/entra/identity/role-based-access-control/admin-units-faq-troubleshoot" TargetMode="External" /><Relationship Type="http://schemas.openxmlformats.org/officeDocument/2006/relationships/hyperlink" Id="rId356" Target="https://learn.microsoft.com/entra/identity/role-based-access-control/permissions-reference" TargetMode="External" /><Relationship Type="http://schemas.openxmlformats.org/officeDocument/2006/relationships/hyperlink" Id="rId388" Target="https://learn.microsoft.com/entra/identity/users/groups-dynamic-membership" TargetMode="External" /><Relationship Type="http://schemas.openxmlformats.org/officeDocument/2006/relationships/hyperlink" Id="rId203" Target="https://nvlpubs.nist.gov/nistpubs/FIPS/NIST.FIPS.201-3.pdf" TargetMode="External" /><Relationship Type="http://schemas.openxmlformats.org/officeDocument/2006/relationships/hyperlink" Id="rId336" Target="https://nvlpubs.nist.gov/nistpubs/SpecialPublications/NIST.SP.800-37r2.pdf" TargetMode="External" /><Relationship Type="http://schemas.openxmlformats.org/officeDocument/2006/relationships/hyperlink" Id="rId81" Target="https://nvlpubs.nist.gov/nistpubs/SpecialPublications/NIST.SP.800-53r5.pdf" TargetMode="External" /><Relationship Type="http://schemas.openxmlformats.org/officeDocument/2006/relationships/hyperlink" Id="rId339" Target="https://nvlpubs.nist.gov/nistpubs/SpecialPublications/NIST.SP.800-79-2.pdf" TargetMode="External" /><Relationship Type="http://schemas.openxmlformats.org/officeDocument/2006/relationships/hyperlink" Id="rId183" Target="https://raw.githubusercontent.com/GSA/marketplace-fedramp-gov-data/main/data.json" TargetMode="External" /><Relationship Type="http://schemas.openxmlformats.org/officeDocument/2006/relationships/hyperlink" Id="rId605" Target="https://raw.githubusercontent.com/usnistgov/oscal-content/main/nist.gov/SP800-53/rev5/json/NIST_SP-800-53_rev5_catalog.json" TargetMode="External" /><Relationship Type="http://schemas.openxmlformats.org/officeDocument/2006/relationships/hyperlink" Id="rId162" Target="https://sam.gov/workspace/contract/opp/8cfe1844758c4fb2b10f5ef192b62f89/view" TargetMode="External" /><Relationship Type="http://schemas.openxmlformats.org/officeDocument/2006/relationships/hyperlink" Id="rId772" Target="https://www.archives.gov/files/records-mgmt/grs/grs03-2.pdf" TargetMode="External" /><Relationship Type="http://schemas.openxmlformats.org/officeDocument/2006/relationships/hyperlink" Id="rId89" Target="https://www.cisa.gov/resources-tools/programs/trusted-internet-connections-tic" TargetMode="External" /><Relationship Type="http://schemas.openxmlformats.org/officeDocument/2006/relationships/hyperlink" Id="rId41" Target="https://www.cisa.gov/sites/default/files/2023-04/CISA_Zero_Trust_Maturity_Model_Version_2_508c.pdf" TargetMode="External" /><Relationship Type="http://schemas.openxmlformats.org/officeDocument/2006/relationships/hyperlink" Id="rId217" Target="https://www.govinfo.gov/content/pkg/FR-2023-08-17/html/2023-17651.htm" TargetMode="External" /><Relationship Type="http://schemas.openxmlformats.org/officeDocument/2006/relationships/hyperlink" Id="rId102" Target="https://www.govinfo.gov/content/pkg/PLAW-115publ435/html/PLAW-115publ435.htm" TargetMode="External" /><Relationship Type="http://schemas.openxmlformats.org/officeDocument/2006/relationships/hyperlink" Id="rId99" Target="https://www.idmanagement.gov/arch/" TargetMode="External" /><Relationship Type="http://schemas.openxmlformats.org/officeDocument/2006/relationships/hyperlink" Id="rId67" Target="https://www.idmanagement.gov/playbooks/ilm/" TargetMode="External" /><Relationship Type="http://schemas.openxmlformats.org/officeDocument/2006/relationships/hyperlink" Id="rId213" Target="https://www.law.cornell.edu/uscode/text/5/552a" TargetMode="External" /><Relationship Type="http://schemas.openxmlformats.org/officeDocument/2006/relationships/hyperlink" Id="rId147" Target="https://www.meritalk.com/articles/opm-eyes-40m-annual-cost-for-governmentwide-hr-platform/" TargetMode="External" /><Relationship Type="http://schemas.openxmlformats.org/officeDocument/2006/relationships/hyperlink" Id="rId130" Target="https://www.nextgov.com/digital-government/2009/10/opm-claims-victory-in-huge-e-payroll-system-consolidation/45086/" TargetMode="External" /><Relationship Type="http://schemas.openxmlformats.org/officeDocument/2006/relationships/hyperlink" Id="rId122" Target="https://www.opm.gov/agency-services/hr-governance/hr-quality-services-management-office/" TargetMode="External" /><Relationship Type="http://schemas.openxmlformats.org/officeDocument/2006/relationships/hyperlink" Id="rId24" Target="https://www.opm.gov/chcoc/latest-memos/creating-federal-hr-20-by-consolidating-core-human-capital-management-across-the-federal-government.pdf" TargetMode="External" /><Relationship Type="http://schemas.openxmlformats.org/officeDocument/2006/relationships/hyperlink" Id="rId675" Target="https://www.opm.gov/information-management/privacy-policy/privacy-policy/usas-pia/" TargetMode="External" /><Relationship Type="http://schemas.openxmlformats.org/officeDocument/2006/relationships/hyperlink" Id="rId26" Target="https://www.opm.gov/news/news-releases/opm-awards-contract-for-first-ever-governmentwide-hr-platform/" TargetMode="External" /><Relationship Type="http://schemas.openxmlformats.org/officeDocument/2006/relationships/hyperlink" Id="rId293" Target="https://www.opm.gov/policy-data-oversight/data-analysis-documentation/data-policy-guidance/" TargetMode="External" /><Relationship Type="http://schemas.openxmlformats.org/officeDocument/2006/relationships/hyperlink" Id="rId115" Target="https://www.opm.gov/policy-data-oversight/data-analysis-documentation/enterprise-human-resources-integration" TargetMode="External" /><Relationship Type="http://schemas.openxmlformats.org/officeDocument/2006/relationships/hyperlink" Id="rId297" Target="https://www.opm.gov/policy-data-oversight/data-analysis-documentation/personnel-documentation/processing-personnel-actions/guide_to_processing_personnel_actions.pdf" TargetMode="External" /><Relationship Type="http://schemas.openxmlformats.org/officeDocument/2006/relationships/hyperlink" Id="rId165" Target="https://www.opm.gov/services-for-agencies/talent-systems/core-hcm/" TargetMode="External" /><Relationship Type="http://schemas.openxmlformats.org/officeDocument/2006/relationships/hyperlink" Id="rId27" Target="https://www.prnewswire.com/news-releases/us-office-of-personnel-management-selects-oracle-to-power-federal-workforce-modernization-302798451.html" TargetMode="External" /><Relationship Type="http://schemas.openxmlformats.org/officeDocument/2006/relationships/hyperlink" Id="rId244" Target="https://www.rfc-editor.org/rfc/rfc7643" TargetMode="External" /><Relationship Type="http://schemas.openxmlformats.org/officeDocument/2006/relationships/hyperlink" Id="rId243" Target="https://www.rfc-editor.org/rfc/rfc7644" TargetMode="External" /><Relationship Type="http://schemas.openxmlformats.org/officeDocument/2006/relationships/hyperlink" Id="rId368" Target="https://www.whitehouse.gov/wp-content/uploads/2017/11/203-M-03-22-OMB-Guidance-for-Implementing-the-Privacy-Provisions-of-the-E-Government-Act-of-2002-1.pdf" TargetMode="External" /><Relationship Type="http://schemas.openxmlformats.org/officeDocument/2006/relationships/hyperlink" Id="rId118" Target="https://www.whitehouse.gov/wp-content/uploads/2019/04/M-19-16.pdf" TargetMode="External" /><Relationship Type="http://schemas.openxmlformats.org/officeDocument/2006/relationships/hyperlink" Id="rId65" Target="https://www.whitehouse.gov/wp-content/uploads/2019/05/M-19-17.pdf" TargetMode="External" /><Relationship Type="http://schemas.openxmlformats.org/officeDocument/2006/relationships/hyperlink" Id="rId104" Target="https://www.whitehouse.gov/wp-content/uploads/2019/06/M-19-18.pdf" TargetMode="External" /><Relationship Type="http://schemas.openxmlformats.org/officeDocument/2006/relationships/hyperlink" Id="rId382" Target="https://www.whitehouse.gov/wp-content/uploads/2019/07/M-19-23.pdf" TargetMode="External" /><Relationship Type="http://schemas.openxmlformats.org/officeDocument/2006/relationships/hyperlink" Id="rId43" Target="https://www.whitehouse.gov/wp-content/uploads/2019/09/M-19-26.pdf" TargetMode="External" /><Relationship Type="http://schemas.openxmlformats.org/officeDocument/2006/relationships/hyperlink" Id="rId37" Target="https://www.whitehouse.gov/wp-content/uploads/2022/01/M-22-09.pdf" TargetMode="External" /><Relationship Type="http://schemas.openxmlformats.org/officeDocument/2006/relationships/hyperlink" Id="rId363" Target="https://www.whitehouse.gov/wp-content/uploads/legacy_drupal_files/omb/circulars/A108/omb_circular_a-108.pdf" TargetMode="External" /><Relationship Type="http://schemas.openxmlformats.org/officeDocument/2006/relationships/hyperlink" Id="rId215" Target="https://www.whitehouse.gov/wp-content/uploads/legacy_drupal_files/omb/circulars/A108/omb_circular_a_108_12_12_16.pdf" TargetMode="External" /><Relationship Type="http://schemas.openxmlformats.org/officeDocument/2006/relationships/hyperlink" Id="rId36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03 — HR-Driven Identity</dc:title>
  <dc:creator/>
  <cp:keywords/>
  <dcterms:created xsi:type="dcterms:W3CDTF">2026-10-20T23:38:19Z</dcterms:created>
  <dcterms:modified xsi:type="dcterms:W3CDTF">2026-10-20T23:38:19Z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Modernization — Modernization Workbook, combined edition</vt:lpwstr>
  </property>
</Properties>
</file>