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png" ContentType="image/png"/>
  <Override PartName="/word/media/rId27.png" ContentType="image/png"/>
  <Override PartName="/word/media/rId89.png" ContentType="image/png"/>
  <Override PartName="/word/media/rId101.png" ContentType="image/png"/>
  <Override PartName="/word/media/rId135.png" ContentType="image/png"/>
  <Override PartName="/word/media/rId239.png" ContentType="image/png"/>
  <Override PartName="/word/media/rId312.png" ContentType="image/png"/>
  <Override PartName="/word/media/rId280.png" ContentType="image/png"/>
  <Override PartName="/word/media/rId491.png" ContentType="image/png"/>
  <Override PartName="/word/media/rId383.png" ContentType="image/png"/>
  <Override PartName="/word/media/rId523.png" ContentType="image/png"/>
  <Override PartName="/word/media/rId502.png" ContentType="image/png"/>
  <Override PartName="/word/media/rId553.png" ContentType="image/png"/>
  <Override PartName="/word/media/rId613.png" ContentType="image/png"/>
  <Override PartName="/word/media/rId660.png" ContentType="image/png"/>
  <Override PartName="/word/media/rId824.png" ContentType="image/png"/>
  <Override PartName="/word/media/rId884.png" ContentType="image/png"/>
  <Override PartName="/word/media/rId956.png" ContentType="image/png"/>
  <Override PartName="/word/media/rId10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04 — Access &amp; Privilege</w:t>
      </w:r>
    </w:p>
    <w:p>
      <w:pPr>
        <w:pStyle w:val="Subtitle"/>
      </w:pPr>
      <w:r>
        <w:t xml:space="preserve">Every access decision is a policy decision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1150" w:history="1">
            <w:r>
              <w:t xml:space="preserve">Book 04 — Access &amp; Privilege: Every Access Decision Is a Policy Decision</w:t>
            </w:r>
          </w:hyperlink>
        </w:p>
        <w:p>
          <w:pPr>
            <w:pStyle w:val="TOC2"/>
          </w:pPr>
          <w:hyperlink w:anchor="_Toc00001151" w:history="1">
            <w:r>
              <w:t xml:space="preserve">Status — draft book</w:t>
            </w:r>
          </w:hyperlink>
        </w:p>
        <w:p>
          <w:pPr>
            <w:pStyle w:val="TOC2"/>
          </w:pPr>
          <w:hyperlink w:anchor="_Toc00001152" w:history="1">
            <w:r>
              <w:t xml:space="preserve">Why, what, who, how</w:t>
            </w:r>
          </w:hyperlink>
        </w:p>
        <w:p>
          <w:pPr>
            <w:pStyle w:val="TOC2"/>
          </w:pPr>
          <w:hyperlink w:anchor="_Toc00001153" w:history="1">
            <w:r>
              <w:t xml:space="preserve">Reading paths</w:t>
            </w:r>
          </w:hyperlink>
        </w:p>
        <w:p>
          <w:pPr>
            <w:pStyle w:val="TOC2"/>
          </w:pPr>
          <w:hyperlink w:anchor="_Toc00001154" w:history="1">
            <w:r>
              <w:t xml:space="preserve">Where this book sits in the workbook</w:t>
            </w:r>
          </w:hyperlink>
        </w:p>
        <w:p>
          <w:pPr>
            <w:pStyle w:val="TOC1"/>
          </w:pPr>
          <w:hyperlink w:anchor="_Toc00001155" w:history="1">
            <w:r>
              <w:t xml:space="preserve">Chapter 01 — Access Is a Policy Decision</w:t>
            </w:r>
          </w:hyperlink>
        </w:p>
        <w:p>
          <w:pPr>
            <w:pStyle w:val="TOC2"/>
          </w:pPr>
          <w:hyperlink w:anchor="_Toc00001156" w:history="1">
            <w:r>
              <w:t xml:space="preserve">In this chapter</w:t>
            </w:r>
          </w:hyperlink>
        </w:p>
        <w:p>
          <w:pPr>
            <w:pStyle w:val="TOC2"/>
          </w:pPr>
          <w:hyperlink w:anchor="_Toc00001157" w:history="1">
            <w:r>
              <w:t xml:space="preserve">Every request is a decision</w:t>
            </w:r>
          </w:hyperlink>
        </w:p>
        <w:p>
          <w:pPr>
            <w:pStyle w:val="TOC2"/>
          </w:pPr>
          <w:hyperlink w:anchor="_Toc00001158" w:history="1">
            <w:r>
              <w:t xml:space="preserve">The decision point and the enforcement point</w:t>
            </w:r>
          </w:hyperlink>
        </w:p>
        <w:p>
          <w:pPr>
            <w:pStyle w:val="TOC2"/>
          </w:pPr>
          <w:hyperlink w:anchor="_Toc00001159" w:history="1">
            <w:r>
              <w:t xml:space="preserve">Conditional Access as the policy engine</w:t>
            </w:r>
          </w:hyperlink>
        </w:p>
        <w:p>
          <w:pPr>
            <w:pStyle w:val="TOC2"/>
          </w:pPr>
          <w:hyperlink w:anchor="_Toc00001160" w:history="1">
            <w:r>
              <w:t xml:space="preserve">What goes wrong when membership and location decide</w:t>
            </w:r>
          </w:hyperlink>
        </w:p>
        <w:p>
          <w:pPr>
            <w:pStyle w:val="TOC2"/>
          </w:pPr>
          <w:hyperlink w:anchor="_Toc00001161" w:history="1">
            <w:r>
              <w:t xml:space="preserve">From Group Policy to Conditional Access</w:t>
            </w:r>
          </w:hyperlink>
        </w:p>
        <w:p>
          <w:pPr>
            <w:pStyle w:val="TOC2"/>
          </w:pPr>
          <w:hyperlink w:anchor="_Toc00001162" w:history="1">
            <w:r>
              <w:t xml:space="preserve">The argument in brief</w:t>
            </w:r>
          </w:hyperlink>
        </w:p>
        <w:p>
          <w:pPr>
            <w:pStyle w:val="TOC2"/>
          </w:pPr>
          <w:hyperlink w:anchor="_Toc00001163" w:history="1">
            <w:r>
              <w:t xml:space="preserve">Continue the book</w:t>
            </w:r>
          </w:hyperlink>
        </w:p>
        <w:p>
          <w:pPr>
            <w:pStyle w:val="TOC1"/>
          </w:pPr>
          <w:hyperlink w:anchor="_Toc00001164" w:history="1">
            <w:r>
              <w:t xml:space="preserve">Chapter 02 — Why Standing Privilege Fails</w:t>
            </w:r>
          </w:hyperlink>
        </w:p>
        <w:p>
          <w:pPr>
            <w:pStyle w:val="TOC2"/>
          </w:pPr>
          <w:hyperlink w:anchor="_Toc00001165" w:history="1">
            <w:r>
              <w:t xml:space="preserve">In this chapter</w:t>
            </w:r>
          </w:hyperlink>
        </w:p>
        <w:p>
          <w:pPr>
            <w:pStyle w:val="TOC2"/>
          </w:pPr>
          <w:hyperlink w:anchor="_Toc00001166" w:history="1">
            <w:r>
              <w:t xml:space="preserve">Administrative identity is the root of the root</w:t>
            </w:r>
          </w:hyperlink>
        </w:p>
        <w:p>
          <w:pPr>
            <w:pStyle w:val="TOC2"/>
          </w:pPr>
          <w:hyperlink w:anchor="_Toc00001167" w:history="1">
            <w:r>
              <w:t xml:space="preserve">Strong authentication doesn’t reduce scope</w:t>
            </w:r>
          </w:hyperlink>
        </w:p>
        <w:p>
          <w:pPr>
            <w:pStyle w:val="TOC2"/>
          </w:pPr>
          <w:hyperlink w:anchor="_Toc00001168" w:history="1">
            <w:r>
              <w:t xml:space="preserve">What least privilege requires</w:t>
            </w:r>
          </w:hyperlink>
        </w:p>
        <w:p>
          <w:pPr>
            <w:pStyle w:val="TOC2"/>
          </w:pPr>
          <w:hyperlink w:anchor="_Toc00001169" w:history="1">
            <w:r>
              <w:t xml:space="preserve">Just in time and just enough</w:t>
            </w:r>
          </w:hyperlink>
        </w:p>
        <w:p>
          <w:pPr>
            <w:pStyle w:val="TOC2"/>
          </w:pPr>
          <w:hyperlink w:anchor="_Toc00001170" w:history="1">
            <w:r>
              <w:t xml:space="preserve">Break-glass: the one governed exception</w:t>
            </w:r>
          </w:hyperlink>
        </w:p>
        <w:p>
          <w:pPr>
            <w:pStyle w:val="TOC2"/>
          </w:pPr>
          <w:hyperlink w:anchor="_Toc00001171" w:history="1">
            <w:r>
              <w:t xml:space="preserve">The privileged-access project</w:t>
            </w:r>
          </w:hyperlink>
        </w:p>
        <w:p>
          <w:pPr>
            <w:pStyle w:val="TOC2"/>
          </w:pPr>
          <w:hyperlink w:anchor="_Toc00001172" w:history="1">
            <w:r>
              <w:t xml:space="preserve">The argument in brief</w:t>
            </w:r>
          </w:hyperlink>
        </w:p>
        <w:p>
          <w:pPr>
            <w:pStyle w:val="TOC2"/>
          </w:pPr>
          <w:hyperlink w:anchor="_Toc00001173" w:history="1">
            <w:r>
              <w:t xml:space="preserve">Continue the book</w:t>
            </w:r>
          </w:hyperlink>
        </w:p>
        <w:p>
          <w:pPr>
            <w:pStyle w:val="TOC1"/>
          </w:pPr>
          <w:hyperlink w:anchor="_Toc00001174" w:history="1">
            <w:r>
              <w:t xml:space="preserve">Chapter 03 — The Conditional Access Model</w:t>
            </w:r>
          </w:hyperlink>
        </w:p>
        <w:p>
          <w:pPr>
            <w:pStyle w:val="TOC2"/>
          </w:pPr>
          <w:hyperlink w:anchor="_Toc00001175" w:history="1">
            <w:r>
              <w:t xml:space="preserve">In this chapter</w:t>
            </w:r>
          </w:hyperlink>
        </w:p>
        <w:p>
          <w:pPr>
            <w:pStyle w:val="TOC2"/>
          </w:pPr>
          <w:hyperlink w:anchor="_Toc00001176" w:history="1">
            <w:r>
              <w:t xml:space="preserve">What a policy is made of</w:t>
            </w:r>
          </w:hyperlink>
        </w:p>
        <w:p>
          <w:pPr>
            <w:pStyle w:val="TOC2"/>
          </w:pPr>
          <w:hyperlink w:anchor="_Toc00001177" w:history="1">
            <w:r>
              <w:t xml:space="preserve">Assignments: the signals a policy tests</w:t>
            </w:r>
          </w:hyperlink>
        </w:p>
        <w:p>
          <w:pPr>
            <w:pStyle w:val="TOC2"/>
          </w:pPr>
          <w:hyperlink w:anchor="_Toc00001178" w:history="1">
            <w:r>
              <w:t xml:space="preserve">Access controls: what a policy requires</w:t>
            </w:r>
          </w:hyperlink>
        </w:p>
        <w:p>
          <w:pPr>
            <w:pStyle w:val="TOC2"/>
          </w:pPr>
          <w:hyperlink w:anchor="_Toc00001179" w:history="1">
            <w:r>
              <w:t xml:space="preserve">How policies combine</w:t>
            </w:r>
          </w:hyperlink>
        </w:p>
        <w:p>
          <w:pPr>
            <w:pStyle w:val="TOC2"/>
          </w:pPr>
          <w:hyperlink w:anchor="_Toc00001180" w:history="1">
            <w:r>
              <w:t xml:space="preserve">Report-only mode</w:t>
            </w:r>
          </w:hyperlink>
        </w:p>
        <w:p>
          <w:pPr>
            <w:pStyle w:val="TOC2"/>
          </w:pPr>
          <w:hyperlink w:anchor="_Toc00001181" w:history="1">
            <w:r>
              <w:t xml:space="preserve">Exclusions</w:t>
            </w:r>
          </w:hyperlink>
        </w:p>
        <w:p>
          <w:pPr>
            <w:pStyle w:val="TOC2"/>
          </w:pPr>
          <w:hyperlink w:anchor="_Toc00001182" w:history="1">
            <w:r>
              <w:t xml:space="preserve">The program’s baseline principles</w:t>
            </w:r>
          </w:hyperlink>
        </w:p>
        <w:p>
          <w:pPr>
            <w:pStyle w:val="TOC2"/>
          </w:pPr>
          <w:hyperlink w:anchor="_Toc00001183" w:history="1">
            <w:r>
              <w:t xml:space="preserve">Naming and the persona model</w:t>
            </w:r>
          </w:hyperlink>
        </w:p>
        <w:p>
          <w:pPr>
            <w:pStyle w:val="TOC2"/>
          </w:pPr>
          <w:hyperlink w:anchor="_Toc00001184" w:history="1">
            <w:r>
              <w:t xml:space="preserve">Continue the book</w:t>
            </w:r>
          </w:hyperlink>
        </w:p>
        <w:p>
          <w:pPr>
            <w:pStyle w:val="TOC1"/>
          </w:pPr>
          <w:hyperlink w:anchor="_Toc00001185" w:history="1">
            <w:r>
              <w:t xml:space="preserve">Chapter 04 — Privileged Roles and Tiers</w:t>
            </w:r>
          </w:hyperlink>
        </w:p>
        <w:p>
          <w:pPr>
            <w:pStyle w:val="TOC2"/>
          </w:pPr>
          <w:hyperlink w:anchor="_Toc00001186" w:history="1">
            <w:r>
              <w:t xml:space="preserve">In this chapter</w:t>
            </w:r>
          </w:hyperlink>
        </w:p>
        <w:p>
          <w:pPr>
            <w:pStyle w:val="TOC2"/>
          </w:pPr>
          <w:hyperlink w:anchor="_Toc00001187" w:history="1">
            <w:r>
              <w:t xml:space="preserve">Roles are bundles of permissions</w:t>
            </w:r>
          </w:hyperlink>
        </w:p>
        <w:p>
          <w:pPr>
            <w:pStyle w:val="TOC2"/>
          </w:pPr>
          <w:hyperlink w:anchor="_Toc00001188" w:history="1">
            <w:r>
              <w:t xml:space="preserve">Tiers: the enterprise access model and the program’s tiers</w:t>
            </w:r>
          </w:hyperlink>
        </w:p>
        <w:p>
          <w:pPr>
            <w:pStyle w:val="TOC2"/>
          </w:pPr>
          <w:hyperlink w:anchor="_Toc00001189" w:history="1">
            <w:r>
              <w:t xml:space="preserve">How a role reaches a person</w:t>
            </w:r>
          </w:hyperlink>
        </w:p>
        <w:p>
          <w:pPr>
            <w:pStyle w:val="TOC2"/>
          </w:pPr>
          <w:hyperlink w:anchor="_Toc00001190" w:history="1">
            <w:r>
              <w:t xml:space="preserve">Azure RBAC and native cloud IAM</w:t>
            </w:r>
          </w:hyperlink>
        </w:p>
        <w:p>
          <w:pPr>
            <w:pStyle w:val="TOC2"/>
          </w:pPr>
          <w:hyperlink w:anchor="_Toc00001191" w:history="1">
            <w:r>
              <w:t xml:space="preserve">Privileged access workstations</w:t>
            </w:r>
          </w:hyperlink>
        </w:p>
        <w:p>
          <w:pPr>
            <w:pStyle w:val="TOC2"/>
          </w:pPr>
          <w:hyperlink w:anchor="_Toc00001192" w:history="1">
            <w:r>
              <w:t xml:space="preserve">Emergency access accounts</w:t>
            </w:r>
          </w:hyperlink>
        </w:p>
        <w:p>
          <w:pPr>
            <w:pStyle w:val="TOC2"/>
          </w:pPr>
          <w:hyperlink w:anchor="_Toc00001193" w:history="1">
            <w:r>
              <w:t xml:space="preserve">What the tiers answer in federal requirements</w:t>
            </w:r>
          </w:hyperlink>
        </w:p>
        <w:p>
          <w:pPr>
            <w:pStyle w:val="TOC2"/>
          </w:pPr>
          <w:hyperlink w:anchor="_Toc00001194" w:history="1">
            <w:r>
              <w:t xml:space="preserve">Continue the book</w:t>
            </w:r>
          </w:hyperlink>
        </w:p>
        <w:p>
          <w:pPr>
            <w:pStyle w:val="TOC1"/>
          </w:pPr>
          <w:hyperlink w:anchor="_Toc00001195" w:history="1">
            <w:r>
              <w:t xml:space="preserve">Chapter 05 — Applications and Workload Identities</w:t>
            </w:r>
          </w:hyperlink>
        </w:p>
        <w:p>
          <w:pPr>
            <w:pStyle w:val="TOC2"/>
          </w:pPr>
          <w:hyperlink w:anchor="_Toc00001196" w:history="1">
            <w:r>
              <w:t xml:space="preserve">In this chapter</w:t>
            </w:r>
          </w:hyperlink>
        </w:p>
        <w:p>
          <w:pPr>
            <w:pStyle w:val="TOC2"/>
          </w:pPr>
          <w:hyperlink w:anchor="_Toc00001197" w:history="1">
            <w:r>
              <w:t xml:space="preserve">Two objects for one application</w:t>
            </w:r>
          </w:hyperlink>
        </w:p>
        <w:p>
          <w:pPr>
            <w:pStyle w:val="TOC2"/>
          </w:pPr>
          <w:hyperlink w:anchor="_Toc00001198" w:history="1">
            <w:r>
              <w:t xml:space="preserve">Permissions: what an application can be granted</w:t>
            </w:r>
          </w:hyperlink>
        </w:p>
        <w:p>
          <w:pPr>
            <w:pStyle w:val="TOC2"/>
          </w:pPr>
          <w:hyperlink w:anchor="_Toc00001199" w:history="1">
            <w:r>
              <w:t xml:space="preserve">Consent</w:t>
            </w:r>
          </w:hyperlink>
        </w:p>
        <w:p>
          <w:pPr>
            <w:pStyle w:val="TOC2"/>
          </w:pPr>
          <w:hyperlink w:anchor="_Toc00001200" w:history="1">
            <w:r>
              <w:t xml:space="preserve">Ownership</w:t>
            </w:r>
          </w:hyperlink>
        </w:p>
        <w:p>
          <w:pPr>
            <w:pStyle w:val="TOC2"/>
          </w:pPr>
          <w:hyperlink w:anchor="_Toc00001201" w:history="1">
            <w:r>
              <w:t xml:space="preserve">Credentials</w:t>
            </w:r>
          </w:hyperlink>
        </w:p>
        <w:p>
          <w:pPr>
            <w:pStyle w:val="TOC2"/>
          </w:pPr>
          <w:hyperlink w:anchor="_Toc00001202" w:history="1">
            <w:r>
              <w:t xml:space="preserve">Managed identities and workload identity federation</w:t>
            </w:r>
          </w:hyperlink>
        </w:p>
        <w:p>
          <w:pPr>
            <w:pStyle w:val="TOC2"/>
          </w:pPr>
          <w:hyperlink w:anchor="_Toc00001203" w:history="1">
            <w:r>
              <w:t xml:space="preserve">Conditional Access for workload identities</w:t>
            </w:r>
          </w:hyperlink>
        </w:p>
        <w:p>
          <w:pPr>
            <w:pStyle w:val="TOC2"/>
          </w:pPr>
          <w:hyperlink w:anchor="_Toc00001204" w:history="1">
            <w:r>
              <w:t xml:space="preserve">App instance property lock</w:t>
            </w:r>
          </w:hyperlink>
        </w:p>
        <w:p>
          <w:pPr>
            <w:pStyle w:val="TOC2"/>
          </w:pPr>
          <w:hyperlink w:anchor="_Toc00001205" w:history="1">
            <w:r>
              <w:t xml:space="preserve">Governing app registrations</w:t>
            </w:r>
          </w:hyperlink>
        </w:p>
        <w:p>
          <w:pPr>
            <w:pStyle w:val="TOC2"/>
          </w:pPr>
          <w:hyperlink w:anchor="_Toc00001206" w:history="1">
            <w:r>
              <w:t xml:space="preserve">Illustrative code</w:t>
            </w:r>
          </w:hyperlink>
        </w:p>
        <w:p>
          <w:pPr>
            <w:pStyle w:val="TOC2"/>
          </w:pPr>
          <w:hyperlink w:anchor="_Toc00001207" w:history="1">
            <w:r>
              <w:t xml:space="preserve">Continue the book</w:t>
            </w:r>
          </w:hyperlink>
        </w:p>
        <w:p>
          <w:pPr>
            <w:pStyle w:val="TOC1"/>
          </w:pPr>
          <w:hyperlink w:anchor="_Toc00001208" w:history="1">
            <w:r>
              <w:t xml:space="preserve">Chapter 06 — Who Decides Access</w:t>
            </w:r>
          </w:hyperlink>
        </w:p>
        <w:p>
          <w:pPr>
            <w:pStyle w:val="TOC2"/>
          </w:pPr>
          <w:hyperlink w:anchor="_Toc00001209" w:history="1">
            <w:r>
              <w:t xml:space="preserve">In this chapter</w:t>
            </w:r>
          </w:hyperlink>
        </w:p>
        <w:p>
          <w:pPr>
            <w:pStyle w:val="TOC2"/>
          </w:pPr>
          <w:hyperlink w:anchor="_Toc00001210" w:history="1">
            <w:r>
              <w:t xml:space="preserve">Deciding isn’t doing</w:t>
            </w:r>
          </w:hyperlink>
        </w:p>
        <w:p>
          <w:pPr>
            <w:pStyle w:val="TOC2"/>
          </w:pPr>
          <w:hyperlink w:anchor="_Toc00001211" w:history="1">
            <w:r>
              <w:t xml:space="preserve">The roles</w:t>
            </w:r>
          </w:hyperlink>
        </w:p>
        <w:p>
          <w:pPr>
            <w:pStyle w:val="TOC2"/>
          </w:pPr>
          <w:hyperlink w:anchor="_Toc00001212" w:history="1">
            <w:r>
              <w:t xml:space="preserve">What each Entra role can actually do</w:t>
            </w:r>
          </w:hyperlink>
        </w:p>
        <w:p>
          <w:pPr>
            <w:pStyle w:val="TOC2"/>
          </w:pPr>
          <w:hyperlink w:anchor="_Toc00001213" w:history="1">
            <w:r>
              <w:t xml:space="preserve">Risk tiers set the approval chain</w:t>
            </w:r>
          </w:hyperlink>
        </w:p>
        <w:p>
          <w:pPr>
            <w:pStyle w:val="TOC2"/>
          </w:pPr>
          <w:hyperlink w:anchor="_Toc00001214" w:history="1">
            <w:r>
              <w:t xml:space="preserve">The enterprise-application approval model</w:t>
            </w:r>
          </w:hyperlink>
        </w:p>
        <w:p>
          <w:pPr>
            <w:pStyle w:val="TOC2"/>
          </w:pPr>
          <w:hyperlink w:anchor="_Toc00001215" w:history="1">
            <w:r>
              <w:t xml:space="preserve">The help desk and cloud services authority split</w:t>
            </w:r>
          </w:hyperlink>
        </w:p>
        <w:p>
          <w:pPr>
            <w:pStyle w:val="TOC2"/>
          </w:pPr>
          <w:hyperlink w:anchor="_Toc00001216" w:history="1">
            <w:r>
              <w:t xml:space="preserve">Ownership changes and orphaned apps</w:t>
            </w:r>
          </w:hyperlink>
        </w:p>
        <w:p>
          <w:pPr>
            <w:pStyle w:val="TOC2"/>
          </w:pPr>
          <w:hyperlink w:anchor="_Toc00001217" w:history="1">
            <w:r>
              <w:t xml:space="preserve">Exceptions</w:t>
            </w:r>
          </w:hyperlink>
        </w:p>
        <w:p>
          <w:pPr>
            <w:pStyle w:val="TOC2"/>
          </w:pPr>
          <w:hyperlink w:anchor="_Toc00001218" w:history="1">
            <w:r>
              <w:t xml:space="preserve">Emergency access</w:t>
            </w:r>
          </w:hyperlink>
        </w:p>
        <w:p>
          <w:pPr>
            <w:pStyle w:val="TOC2"/>
          </w:pPr>
          <w:hyperlink w:anchor="_Toc00001219" w:history="1">
            <w:r>
              <w:t xml:space="preserve">The responsibility matrix</w:t>
            </w:r>
          </w:hyperlink>
        </w:p>
        <w:p>
          <w:pPr>
            <w:pStyle w:val="TOC2"/>
          </w:pPr>
          <w:hyperlink w:anchor="_Toc00001220" w:history="1">
            <w:r>
              <w:t xml:space="preserve">Evidence and monitoring</w:t>
            </w:r>
          </w:hyperlink>
        </w:p>
        <w:p>
          <w:pPr>
            <w:pStyle w:val="TOC2"/>
          </w:pPr>
          <w:hyperlink w:anchor="_Toc00001221" w:history="1">
            <w:r>
              <w:t xml:space="preserve">Continue the book</w:t>
            </w:r>
          </w:hyperlink>
        </w:p>
        <w:p>
          <w:pPr>
            <w:pStyle w:val="TOC1"/>
          </w:pPr>
          <w:hyperlink w:anchor="_Toc00001222" w:history="1">
            <w:r>
              <w:t xml:space="preserve">Chapter 07 — The Conditional Access Policy Library</w:t>
            </w:r>
          </w:hyperlink>
        </w:p>
        <w:p>
          <w:pPr>
            <w:pStyle w:val="TOC2"/>
          </w:pPr>
          <w:hyperlink w:anchor="_Toc00001223" w:history="1">
            <w:r>
              <w:t xml:space="preserve">In this chapter</w:t>
            </w:r>
          </w:hyperlink>
        </w:p>
        <w:p>
          <w:pPr>
            <w:pStyle w:val="TOC2"/>
          </w:pPr>
          <w:hyperlink w:anchor="_Toc00001224" w:history="1">
            <w:r>
              <w:t xml:space="preserve">Conventions used in every policy</w:t>
            </w:r>
          </w:hyperlink>
        </w:p>
        <w:p>
          <w:pPr>
            <w:pStyle w:val="TOC2"/>
          </w:pPr>
          <w:hyperlink w:anchor="_Toc00001225" w:history="1">
            <w:r>
              <w:t xml:space="preserve">Prerequisites</w:t>
            </w:r>
          </w:hyperlink>
        </w:p>
        <w:p>
          <w:pPr>
            <w:pStyle w:val="TOC2"/>
          </w:pPr>
          <w:hyperlink w:anchor="_Toc00001226" w:history="1">
            <w:r>
              <w:t xml:space="preserve">Wave 1: foundation</w:t>
            </w:r>
          </w:hyperlink>
        </w:p>
        <w:p>
          <w:pPr>
            <w:pStyle w:val="TOC2"/>
          </w:pPr>
          <w:hyperlink w:anchor="_Toc00001227" w:history="1">
            <w:r>
              <w:t xml:space="preserve">Wave 2: administrators</w:t>
            </w:r>
          </w:hyperlink>
        </w:p>
        <w:p>
          <w:pPr>
            <w:pStyle w:val="TOC2"/>
          </w:pPr>
          <w:hyperlink w:anchor="_Toc00001228" w:history="1">
            <w:r>
              <w:t xml:space="preserve">Wave 3: everyone</w:t>
            </w:r>
          </w:hyperlink>
        </w:p>
        <w:p>
          <w:pPr>
            <w:pStyle w:val="TOC2"/>
          </w:pPr>
          <w:hyperlink w:anchor="_Toc00001229" w:history="1">
            <w:r>
              <w:t xml:space="preserve">Wave 4: risk and workload identities</w:t>
            </w:r>
          </w:hyperlink>
        </w:p>
        <w:p>
          <w:pPr>
            <w:pStyle w:val="TOC2"/>
          </w:pPr>
          <w:hyperlink w:anchor="_Toc00001230" w:history="1">
            <w:r>
              <w:t xml:space="preserve">Wave 5: segments and the end state</w:t>
            </w:r>
          </w:hyperlink>
        </w:p>
        <w:p>
          <w:pPr>
            <w:pStyle w:val="TOC2"/>
          </w:pPr>
          <w:hyperlink w:anchor="_Toc00001231" w:history="1">
            <w:r>
              <w:t xml:space="preserve">Where the earlier policies went</w:t>
            </w:r>
          </w:hyperlink>
        </w:p>
        <w:p>
          <w:pPr>
            <w:pStyle w:val="TOC2"/>
          </w:pPr>
          <w:hyperlink w:anchor="_Toc00001232" w:history="1">
            <w:r>
              <w:t xml:space="preserve">Rollout: from report-only to enforcement</w:t>
            </w:r>
          </w:hyperlink>
        </w:p>
        <w:p>
          <w:pPr>
            <w:pStyle w:val="TOC2"/>
          </w:pPr>
          <w:hyperlink w:anchor="_Toc00001233" w:history="1">
            <w:r>
              <w:t xml:space="preserve">Monitoring</w:t>
            </w:r>
          </w:hyperlink>
        </w:p>
        <w:p>
          <w:pPr>
            <w:pStyle w:val="TOC2"/>
          </w:pPr>
          <w:hyperlink w:anchor="_Toc00001234" w:history="1">
            <w:r>
              <w:t xml:space="preserve">What the library answers in federal requirements</w:t>
            </w:r>
          </w:hyperlink>
        </w:p>
        <w:p>
          <w:pPr>
            <w:pStyle w:val="TOC2"/>
          </w:pPr>
          <w:hyperlink w:anchor="_Toc00001235" w:history="1">
            <w:r>
              <w:t xml:space="preserve">Retiring Group Policy with the library</w:t>
            </w:r>
          </w:hyperlink>
        </w:p>
        <w:p>
          <w:pPr>
            <w:pStyle w:val="TOC2"/>
          </w:pPr>
          <w:hyperlink w:anchor="_Toc00001236" w:history="1">
            <w:r>
              <w:t xml:space="preserve">Continue the book</w:t>
            </w:r>
          </w:hyperlink>
        </w:p>
        <w:p>
          <w:pPr>
            <w:pStyle w:val="TOC1"/>
          </w:pPr>
          <w:hyperlink w:anchor="_Toc00001237" w:history="1">
            <w:r>
              <w:t xml:space="preserve">Chapter 08 — PIM Self-Request with Approval</w:t>
            </w:r>
          </w:hyperlink>
        </w:p>
        <w:p>
          <w:pPr>
            <w:pStyle w:val="TOC2"/>
          </w:pPr>
          <w:hyperlink w:anchor="_Toc00001238" w:history="1">
            <w:r>
              <w:t xml:space="preserve">In this chapter</w:t>
            </w:r>
          </w:hyperlink>
        </w:p>
        <w:p>
          <w:pPr>
            <w:pStyle w:val="TOC2"/>
          </w:pPr>
          <w:hyperlink w:anchor="_Toc00001239" w:history="1">
            <w:r>
              <w:t xml:space="preserve">Prerequisites</w:t>
            </w:r>
          </w:hyperlink>
        </w:p>
        <w:p>
          <w:pPr>
            <w:pStyle w:val="TOC2"/>
          </w:pPr>
          <w:hyperlink w:anchor="_Toc00001240" w:history="1">
            <w:r>
              <w:t xml:space="preserve">License continuity is a control dependency</w:t>
            </w:r>
          </w:hyperlink>
        </w:p>
        <w:p>
          <w:pPr>
            <w:pStyle w:val="TOC2"/>
          </w:pPr>
          <w:hyperlink w:anchor="_Toc00001241" w:history="1">
            <w:r>
              <w:t xml:space="preserve">The target design</w:t>
            </w:r>
          </w:hyperlink>
        </w:p>
        <w:p>
          <w:pPr>
            <w:pStyle w:val="TOC2"/>
          </w:pPr>
          <w:hyperlink w:anchor="_Toc00001242" w:history="1">
            <w:r>
              <w:t xml:space="preserve">Build</w:t>
            </w:r>
          </w:hyperlink>
        </w:p>
        <w:p>
          <w:pPr>
            <w:pStyle w:val="TOC2"/>
          </w:pPr>
          <w:hyperlink w:anchor="_Toc00001243" w:history="1">
            <w:r>
              <w:t xml:space="preserve">The documented lockout</w:t>
            </w:r>
          </w:hyperlink>
        </w:p>
        <w:p>
          <w:pPr>
            <w:pStyle w:val="TOC2"/>
          </w:pPr>
          <w:hyperlink w:anchor="_Toc00001244" w:history="1">
            <w:r>
              <w:t xml:space="preserve">The authentication context creates a privilege dependency</w:t>
            </w:r>
          </w:hyperlink>
        </w:p>
        <w:p>
          <w:pPr>
            <w:pStyle w:val="TOC2"/>
          </w:pPr>
          <w:hyperlink w:anchor="_Toc00001245" w:history="1">
            <w:r>
              <w:t xml:space="preserve">Never leave the approver list empty</w:t>
            </w:r>
          </w:hyperlink>
        </w:p>
        <w:p>
          <w:pPr>
            <w:pStyle w:val="TOC2"/>
          </w:pPr>
          <w:hyperlink w:anchor="_Toc00001246" w:history="1">
            <w:r>
              <w:t xml:space="preserve">Illustrative code</w:t>
            </w:r>
          </w:hyperlink>
        </w:p>
        <w:p>
          <w:pPr>
            <w:pStyle w:val="TOC2"/>
          </w:pPr>
          <w:hyperlink w:anchor="_Toc00001247" w:history="1">
            <w:r>
              <w:t xml:space="preserve">Automation and recovery</w:t>
            </w:r>
          </w:hyperlink>
        </w:p>
        <w:p>
          <w:pPr>
            <w:pStyle w:val="TOC2"/>
          </w:pPr>
          <w:hyperlink w:anchor="_Toc00001248" w:history="1">
            <w:r>
              <w:t xml:space="preserve">Groups assigned to roles</w:t>
            </w:r>
          </w:hyperlink>
        </w:p>
        <w:p>
          <w:pPr>
            <w:pStyle w:val="TOC2"/>
          </w:pPr>
          <w:hyperlink w:anchor="_Toc00001249" w:history="1">
            <w:r>
              <w:t xml:space="preserve">Operating the workflow</w:t>
            </w:r>
          </w:hyperlink>
        </w:p>
        <w:p>
          <w:pPr>
            <w:pStyle w:val="TOC2"/>
          </w:pPr>
          <w:hyperlink w:anchor="_Toc00001250" w:history="1">
            <w:r>
              <w:t xml:space="preserve">The legacy PIM API stops on October 28, 2026</w:t>
            </w:r>
          </w:hyperlink>
        </w:p>
        <w:p>
          <w:pPr>
            <w:pStyle w:val="TOC2"/>
          </w:pPr>
          <w:hyperlink w:anchor="_Toc00001251" w:history="1">
            <w:r>
              <w:t xml:space="preserve">Assessment evidence</w:t>
            </w:r>
          </w:hyperlink>
        </w:p>
        <w:p>
          <w:pPr>
            <w:pStyle w:val="TOC2"/>
          </w:pPr>
          <w:hyperlink w:anchor="_Toc00001252" w:history="1">
            <w:r>
              <w:t xml:space="preserve">Keep tenant artifacts out of the workbook</w:t>
            </w:r>
          </w:hyperlink>
        </w:p>
        <w:p>
          <w:pPr>
            <w:pStyle w:val="TOC2"/>
          </w:pPr>
          <w:hyperlink w:anchor="_Toc00001253" w:history="1">
            <w:r>
              <w:t xml:space="preserve">Validation test plan</w:t>
            </w:r>
          </w:hyperlink>
        </w:p>
        <w:p>
          <w:pPr>
            <w:pStyle w:val="TOC2"/>
          </w:pPr>
          <w:hyperlink w:anchor="_Toc00001254" w:history="1">
            <w:r>
              <w:t xml:space="preserve">Control mapping: FedRAMP Moderate</w:t>
            </w:r>
          </w:hyperlink>
        </w:p>
        <w:p>
          <w:pPr>
            <w:pStyle w:val="TOC2"/>
          </w:pPr>
          <w:hyperlink w:anchor="_Toc00001255" w:history="1">
            <w:r>
              <w:t xml:space="preserve">How to read this mapping</w:t>
            </w:r>
          </w:hyperlink>
        </w:p>
        <w:p>
          <w:pPr>
            <w:pStyle w:val="TOC2"/>
          </w:pPr>
          <w:hyperlink w:anchor="_Toc00001256" w:history="1">
            <w:r>
              <w:t xml:space="preserve">Known constraints</w:t>
            </w:r>
          </w:hyperlink>
        </w:p>
        <w:p>
          <w:pPr>
            <w:pStyle w:val="TOC2"/>
          </w:pPr>
          <w:hyperlink w:anchor="_Toc00001257" w:history="1">
            <w:r>
              <w:t xml:space="preserve">Continue the book</w:t>
            </w:r>
          </w:hyperlink>
        </w:p>
        <w:p>
          <w:pPr>
            <w:pStyle w:val="TOC1"/>
          </w:pPr>
          <w:hyperlink w:anchor="_Toc00001258" w:history="1">
            <w:r>
              <w:t xml:space="preserve">Chapter 09 — Access Governance: Packages, Reviews and Lifecycle</w:t>
            </w:r>
          </w:hyperlink>
        </w:p>
        <w:p>
          <w:pPr>
            <w:pStyle w:val="TOC2"/>
          </w:pPr>
          <w:hyperlink w:anchor="_Toc00001259" w:history="1">
            <w:r>
              <w:t xml:space="preserve">In this chapter</w:t>
            </w:r>
          </w:hyperlink>
        </w:p>
        <w:p>
          <w:pPr>
            <w:pStyle w:val="TOC2"/>
          </w:pPr>
          <w:hyperlink w:anchor="_Toc00001260" w:history="1">
            <w:r>
              <w:t xml:space="preserve">Licensing: what needs Entra ID Governance</w:t>
            </w:r>
          </w:hyperlink>
        </w:p>
        <w:p>
          <w:pPr>
            <w:pStyle w:val="TOC2"/>
          </w:pPr>
          <w:hyperlink w:anchor="_Toc00001261" w:history="1">
            <w:r>
              <w:t xml:space="preserve">The group-based substrate</w:t>
            </w:r>
          </w:hyperlink>
        </w:p>
        <w:p>
          <w:pPr>
            <w:pStyle w:val="TOC2"/>
          </w:pPr>
          <w:hyperlink w:anchor="_Toc00001262" w:history="1">
            <w:r>
              <w:t xml:space="preserve">Entitlement management</w:t>
            </w:r>
          </w:hyperlink>
        </w:p>
        <w:p>
          <w:pPr>
            <w:pStyle w:val="TOC2"/>
          </w:pPr>
          <w:hyperlink w:anchor="_Toc00001263" w:history="1">
            <w:r>
              <w:t xml:space="preserve">Access reviews</w:t>
            </w:r>
          </w:hyperlink>
        </w:p>
        <w:p>
          <w:pPr>
            <w:pStyle w:val="TOC2"/>
          </w:pPr>
          <w:hyperlink w:anchor="_Toc00001264" w:history="1">
            <w:r>
              <w:t xml:space="preserve">Lifecycle Workflows at the access level</w:t>
            </w:r>
          </w:hyperlink>
        </w:p>
        <w:p>
          <w:pPr>
            <w:pStyle w:val="TOC2"/>
          </w:pPr>
          <w:hyperlink w:anchor="_Toc00001265" w:history="1">
            <w:r>
              <w:t xml:space="preserve">Guest access governance</w:t>
            </w:r>
          </w:hyperlink>
        </w:p>
        <w:p>
          <w:pPr>
            <w:pStyle w:val="TOC2"/>
          </w:pPr>
          <w:hyperlink w:anchor="_Toc00001266" w:history="1">
            <w:r>
              <w:t xml:space="preserve">How the program evidences reviews</w:t>
            </w:r>
          </w:hyperlink>
        </w:p>
        <w:p>
          <w:pPr>
            <w:pStyle w:val="TOC2"/>
          </w:pPr>
          <w:hyperlink w:anchor="_Toc00001267" w:history="1">
            <w:r>
              <w:t xml:space="preserve">Continue the book</w:t>
            </w:r>
          </w:hyperlink>
        </w:p>
        <w:p>
          <w:pPr>
            <w:pStyle w:val="TOC1"/>
          </w:pPr>
          <w:hyperlink w:anchor="_Toc00001268" w:history="1">
            <w:r>
              <w:t xml:space="preserve">Chapter 10 — Access as Code, and the Evidence It Produces</w:t>
            </w:r>
          </w:hyperlink>
        </w:p>
        <w:p>
          <w:pPr>
            <w:pStyle w:val="TOC2"/>
          </w:pPr>
          <w:hyperlink w:anchor="_Toc00001269" w:history="1">
            <w:r>
              <w:t xml:space="preserve">In this chapter</w:t>
            </w:r>
          </w:hyperlink>
        </w:p>
        <w:p>
          <w:pPr>
            <w:pStyle w:val="TOC2"/>
          </w:pPr>
          <w:hyperlink w:anchor="_Toc00001270" w:history="1">
            <w:r>
              <w:t xml:space="preserve">What goes in the repository</w:t>
            </w:r>
          </w:hyperlink>
        </w:p>
        <w:p>
          <w:pPr>
            <w:pStyle w:val="TOC2"/>
          </w:pPr>
          <w:hyperlink w:anchor="_Toc00001271" w:history="1">
            <w:r>
              <w:t xml:space="preserve">The tools, and where each one stands</w:t>
            </w:r>
          </w:hyperlink>
        </w:p>
        <w:p>
          <w:pPr>
            <w:pStyle w:val="TOC2"/>
          </w:pPr>
          <w:hyperlink w:anchor="_Toc00001272" w:history="1">
            <w:r>
              <w:t xml:space="preserve">Illustrative code</w:t>
            </w:r>
          </w:hyperlink>
        </w:p>
        <w:p>
          <w:pPr>
            <w:pStyle w:val="TOC2"/>
          </w:pPr>
          <w:hyperlink w:anchor="_Toc00001273" w:history="1">
            <w:r>
              <w:t xml:space="preserve">Change control</w:t>
            </w:r>
          </w:hyperlink>
        </w:p>
        <w:p>
          <w:pPr>
            <w:pStyle w:val="TOC2"/>
          </w:pPr>
          <w:hyperlink w:anchor="_Toc00001274" w:history="1">
            <w:r>
              <w:t xml:space="preserve">Drift detection and closure</w:t>
            </w:r>
          </w:hyperlink>
        </w:p>
        <w:p>
          <w:pPr>
            <w:pStyle w:val="TOC2"/>
          </w:pPr>
          <w:hyperlink w:anchor="_Toc00001275" w:history="1">
            <w:r>
              <w:t xml:space="preserve">What the assessor reads</w:t>
            </w:r>
          </w:hyperlink>
        </w:p>
        <w:p>
          <w:pPr>
            <w:pStyle w:val="TOC2"/>
          </w:pPr>
          <w:hyperlink w:anchor="_Toc00001276" w:history="1">
            <w:r>
              <w:t xml:space="preserve">Where to go next</w:t>
            </w:r>
          </w:hyperlink>
        </w:p>
        <w:p>
          <w:pPr>
            <w:pStyle w:val="TOC2"/>
          </w:pPr>
          <w:hyperlink w:anchor="_Toc00001277" w:history="1">
            <w:r>
              <w:t xml:space="preserve">Continue the book</w:t>
            </w:r>
          </w:hyperlink>
        </w:p>
        <w:p>
          <w:pPr>
            <w:pStyle w:val="TOC1"/>
          </w:pPr>
          <w:hyperlink w:anchor="_Toc00001278" w:history="1">
            <w:r>
              <w:t xml:space="preserve">Appendix A — Conditional Access Policy Templates</w:t>
            </w:r>
          </w:hyperlink>
        </w:p>
        <w:p>
          <w:pPr>
            <w:pStyle w:val="TOC2"/>
          </w:pPr>
          <w:hyperlink w:anchor="_Toc00001279" w:history="1">
            <w:r>
              <w:t xml:space="preserve">In this appendix</w:t>
            </w:r>
          </w:hyperlink>
        </w:p>
        <w:p>
          <w:pPr>
            <w:pStyle w:val="TOC2"/>
          </w:pPr>
          <w:hyperlink w:anchor="_Toc00001280" w:history="1">
            <w:r>
              <w:t xml:space="preserve">How to use the templates</w:t>
            </w:r>
          </w:hyperlink>
        </w:p>
        <w:p>
          <w:pPr>
            <w:pStyle w:val="TOC2"/>
          </w:pPr>
          <w:hyperlink w:anchor="_Toc00001281" w:history="1">
            <w:r>
              <w:t xml:space="preserve">Schema reference</w:t>
            </w:r>
          </w:hyperlink>
        </w:p>
        <w:p>
          <w:pPr>
            <w:pStyle w:val="TOC2"/>
          </w:pPr>
          <w:hyperlink w:anchor="_Toc00001282" w:history="1">
            <w:r>
              <w:t xml:space="preserve">Deploying the templates</w:t>
            </w:r>
          </w:hyperlink>
        </w:p>
        <w:p>
          <w:pPr>
            <w:pStyle w:val="TOC2"/>
          </w:pPr>
          <w:hyperlink w:anchor="_Toc00001283" w:history="1">
            <w:r>
              <w:t xml:space="preserve">Supporting objects</w:t>
            </w:r>
          </w:hyperlink>
        </w:p>
        <w:p>
          <w:pPr>
            <w:pStyle w:val="TOC2"/>
          </w:pPr>
          <w:hyperlink w:anchor="_Toc00001284" w:history="1">
            <w:r>
              <w:t xml:space="preserve">Policy templates</w:t>
            </w:r>
          </w:hyperlink>
        </w:p>
        <w:p>
          <w:pPr>
            <w:pStyle w:val="TOC2"/>
          </w:pPr>
          <w:hyperlink w:anchor="_Toc00001285" w:history="1">
            <w:r>
              <w:t xml:space="preserve">Continue the book</w:t>
            </w:r>
          </w:hyperlink>
        </w:p>
        <w:p>
          <w:pPr>
            <w:pStyle w:val="TOC1"/>
          </w:pPr>
          <w:hyperlink w:anchor="_Toc00001286" w:history="1">
            <w:r>
              <w:t xml:space="preserve">Appendix B — PIM Role Settings Reference</w:t>
            </w:r>
          </w:hyperlink>
        </w:p>
        <w:p>
          <w:pPr>
            <w:pStyle w:val="TOC2"/>
          </w:pPr>
          <w:hyperlink w:anchor="_Toc00001287" w:history="1">
            <w:r>
              <w:t xml:space="preserve">In this appendix</w:t>
            </w:r>
          </w:hyperlink>
        </w:p>
        <w:p>
          <w:pPr>
            <w:pStyle w:val="TOC2"/>
          </w:pPr>
          <w:hyperlink w:anchor="_Toc00001288" w:history="1">
            <w:r>
              <w:t xml:space="preserve">Conventions</w:t>
            </w:r>
          </w:hyperlink>
        </w:p>
        <w:p>
          <w:pPr>
            <w:pStyle w:val="TOC2"/>
          </w:pPr>
          <w:hyperlink w:anchor="_Toc00001289" w:history="1">
            <w:r>
              <w:t xml:space="preserve">Settings common to every role</w:t>
            </w:r>
          </w:hyperlink>
        </w:p>
        <w:p>
          <w:pPr>
            <w:pStyle w:val="TOC2"/>
          </w:pPr>
          <w:hyperlink w:anchor="_Toc00001290" w:history="1">
            <w:r>
              <w:t xml:space="preserve">Tier 0 — control plane</w:t>
            </w:r>
          </w:hyperlink>
        </w:p>
        <w:p>
          <w:pPr>
            <w:pStyle w:val="TOC2"/>
          </w:pPr>
          <w:hyperlink w:anchor="_Toc00001291" w:history="1">
            <w:r>
              <w:t xml:space="preserve">Tier 1 — management plane</w:t>
            </w:r>
          </w:hyperlink>
        </w:p>
        <w:p>
          <w:pPr>
            <w:pStyle w:val="TOC2"/>
          </w:pPr>
          <w:hyperlink w:anchor="_Toc00001292" w:history="1">
            <w:r>
              <w:t xml:space="preserve">Tier 2 — scoped operations</w:t>
            </w:r>
          </w:hyperlink>
        </w:p>
        <w:p>
          <w:pPr>
            <w:pStyle w:val="TOC2"/>
          </w:pPr>
          <w:hyperlink w:anchor="_Toc00001293" w:history="1">
            <w:r>
              <w:t xml:space="preserve">Read-only</w:t>
            </w:r>
          </w:hyperlink>
        </w:p>
        <w:p>
          <w:pPr>
            <w:pStyle w:val="TOC2"/>
          </w:pPr>
          <w:hyperlink w:anchor="_Toc00001294" w:history="1">
            <w:r>
              <w:t xml:space="preserve">Notifications by tier</w:t>
            </w:r>
          </w:hyperlink>
        </w:p>
        <w:p>
          <w:pPr>
            <w:pStyle w:val="TOC2"/>
          </w:pPr>
          <w:hyperlink w:anchor="_Toc00001295" w:history="1">
            <w:r>
              <w:t xml:space="preserve">Review cadence by tier</w:t>
            </w:r>
          </w:hyperlink>
        </w:p>
        <w:p>
          <w:pPr>
            <w:pStyle w:val="TOC2"/>
          </w:pPr>
          <w:hyperlink w:anchor="_Toc00001296" w:history="1">
            <w:r>
              <w:t xml:space="preserve">Where this appendix tightens Book 02</w:t>
            </w:r>
          </w:hyperlink>
        </w:p>
        <w:p>
          <w:pPr>
            <w:pStyle w:val="TOC2"/>
          </w:pPr>
          <w:hyperlink w:anchor="_Toc00001297" w:history="1">
            <w:r>
              <w:t xml:space="preserve">Role template IDs</w:t>
            </w:r>
          </w:hyperlink>
        </w:p>
        <w:p>
          <w:pPr>
            <w:pStyle w:val="TOC2"/>
          </w:pPr>
          <w:hyperlink w:anchor="_Toc00001298" w:history="1">
            <w:r>
              <w:t xml:space="preserve">Continue the book</w:t>
            </w:r>
          </w:hyperlink>
          <w:r>
            <w:fldChar w:fldCharType="end"/>
          </w:r>
        </w:p>
      </w:sdtContent>
    </w:sdt>
    <w:bookmarkStart w:id="15" w:name="Xc6a0a271d6b14e3e9faf80877fc3c8bfb23b7b0"/>
    <w:p>
      <w:pPr>
        <w:pStyle w:val="Heading1"/>
      </w:pPr>
      <w:bookmarkStart w:id="1150" w:name="_Toc00001150"/>
      <w:r>
        <w:t xml:space="preserve">Book 04 — Access &amp; Privilege: Every Access Decision Is a Policy Decision</w:t>
      </w:r>
      <w:bookmarkEnd w:id="1150"/>
    </w:p>
    <w:bookmarkStart w:id="10" w:name="status-draft-book"/>
    <w:p>
      <w:pPr>
        <w:pStyle w:val="Heading2"/>
      </w:pPr>
      <w:bookmarkStart w:id="1151" w:name="_Toc00001151"/>
      <w:r>
        <w:t xml:space="preserve">Status — draft book</w:t>
      </w:r>
      <w:bookmarkEnd w:id="1151"/>
    </w:p>
    <w:p>
      <w:pPr>
        <w:pStyle w:val="FirstParagraph"/>
      </w:pPr>
      <w:r>
        <w:t xml:space="preserve">This book consolidates the workbook’s access-plane pages (the Conditional Access policy library, PIM self-request with approval, the Conditional Access principles and their short companion pages) into one ordered book, and draws on the Federal Compliance books and the Help Desk guide for privileged access, application governance and access as code, which stay in place and are linked. Every external claim was checked against a primary source on October 20, 2026 and carries a footnote. The consolidated pages are kept in the repository’s</w:t>
      </w:r>
      <w:r>
        <w:t xml:space="preserve"> </w:t>
      </w:r>
      <w:hyperlink r:id="rId9">
        <w:r>
          <w:rPr>
            <w:rStyle w:val="VerbatimChar"/>
          </w:rPr>
          <w:t xml:space="preserve">archive/b04-access/</w:t>
        </w:r>
      </w:hyperlink>
      <w:r>
        <w:t xml:space="preserve"> </w:t>
      </w:r>
      <w:r>
        <w:t xml:space="preserve">folder, and their old addresses forward to the chapters that replaced them.</w:t>
      </w:r>
    </w:p>
    <w:bookmarkEnd w:id="10"/>
    <w:p>
      <w:pPr>
        <w:pStyle w:val="BodyText"/>
      </w:pPr>
      <w:r>
        <w:rPr>
          <w:b/>
          <w:bCs/>
        </w:rPr>
        <w:t xml:space="preserve">15-minute presentation</w:t>
      </w:r>
      <w:r>
        <w:t xml:space="preserve">: the Why / What / Who / How deck and its narrated, self-running version are in the repository under</w:t>
      </w:r>
      <w:r>
        <w:t xml:space="preserve"> </w:t>
      </w:r>
      <w:hyperlink r:id="rId11">
        <w:r>
          <w:rPr>
            <w:rStyle w:val="VerbatimChar"/>
          </w:rPr>
          <w:t xml:space="preserve">presentations/b04-access/</w:t>
        </w:r>
      </w:hyperlink>
      <w:r>
        <w:t xml:space="preserve">.</w:t>
      </w:r>
    </w:p>
    <w:p>
      <w:pPr>
        <w:pStyle w:val="BodyText"/>
      </w:pPr>
      <w:r>
        <w:t xml:space="preserve">Zero Trust moves every access decision to a policy engine and makes it on every request. In Microsoft Entra ID that engine is Conditional Access: it reads who is signing in, from what device, to what, with what risk, and decides block, grant, or grant with conditions. Access that used to follow from group membership and network location now follows from policy, so the policy library becomes the agency’s access control in practice. The same is true of privilege. A standing administrator is an open door; an eligible one, activated just in time with approval and a fresh strong sign-in, is a decision made and recorded each time. This book is the policy, the privilege model and the governance that keep both honest.</w:t>
      </w:r>
    </w:p>
    <w:bookmarkStart w:id="12" w:name="why-what-who-how"/>
    <w:p>
      <w:pPr>
        <w:pStyle w:val="Heading2"/>
      </w:pPr>
      <w:bookmarkStart w:id="1152" w:name="_Toc00001152"/>
      <w:r>
        <w:t xml:space="preserve">Why, what, who, how</w:t>
      </w:r>
      <w:bookmarkEnd w:id="1152"/>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is every access decision a policy decision, and why does standing privilege fail?</w:t>
            </w:r>
          </w:p>
        </w:tc>
        <w:tc>
          <w:tcPr/>
          <w:p>
            <w:pPr>
              <w:pStyle w:val="Compact"/>
            </w:pPr>
            <w:r>
              <w:t xml:space="preserve">01, 02</w:t>
            </w:r>
          </w:p>
        </w:tc>
      </w:tr>
      <w:tr>
        <w:tc>
          <w:tcPr/>
          <w:p>
            <w:pPr>
              <w:pStyle w:val="Compact"/>
            </w:pPr>
            <w:r>
              <w:rPr>
                <w:b/>
                <w:bCs/>
              </w:rPr>
              <w:t xml:space="preserve">What</w:t>
            </w:r>
          </w:p>
        </w:tc>
        <w:tc>
          <w:tcPr/>
          <w:p>
            <w:pPr>
              <w:pStyle w:val="Compact"/>
            </w:pPr>
            <w:r>
              <w:t xml:space="preserve">What the policy engine evaluates, how privilege is structured, and how applications and workloads get access</w:t>
            </w:r>
          </w:p>
        </w:tc>
        <w:tc>
          <w:tcPr/>
          <w:p>
            <w:pPr>
              <w:pStyle w:val="Compact"/>
            </w:pPr>
            <w:r>
              <w:t xml:space="preserve">03, 04, 05</w:t>
            </w:r>
          </w:p>
        </w:tc>
      </w:tr>
      <w:tr>
        <w:tc>
          <w:tcPr/>
          <w:p>
            <w:pPr>
              <w:pStyle w:val="Compact"/>
            </w:pPr>
            <w:r>
              <w:rPr>
                <w:b/>
                <w:bCs/>
              </w:rPr>
              <w:t xml:space="preserve">Who</w:t>
            </w:r>
          </w:p>
        </w:tc>
        <w:tc>
          <w:tcPr/>
          <w:p>
            <w:pPr>
              <w:pStyle w:val="Compact"/>
            </w:pPr>
            <w:r>
              <w:t xml:space="preserve">Who decides access and who does the work</w:t>
            </w:r>
          </w:p>
        </w:tc>
        <w:tc>
          <w:tcPr/>
          <w:p>
            <w:pPr>
              <w:pStyle w:val="Compact"/>
            </w:pPr>
            <w:r>
              <w:t xml:space="preserve">06</w:t>
            </w:r>
          </w:p>
        </w:tc>
      </w:tr>
      <w:tr>
        <w:tc>
          <w:tcPr/>
          <w:p>
            <w:pPr>
              <w:pStyle w:val="Compact"/>
            </w:pPr>
            <w:r>
              <w:rPr>
                <w:b/>
                <w:bCs/>
              </w:rPr>
              <w:t xml:space="preserve">How</w:t>
            </w:r>
          </w:p>
        </w:tc>
        <w:tc>
          <w:tcPr/>
          <w:p>
            <w:pPr>
              <w:pStyle w:val="Compact"/>
            </w:pPr>
            <w:r>
              <w:t xml:space="preserve">The policy library, PIM with approval, access governance, and access as code with its evidence</w:t>
            </w:r>
          </w:p>
        </w:tc>
        <w:tc>
          <w:tcPr/>
          <w:p>
            <w:pPr>
              <w:pStyle w:val="Compact"/>
            </w:pPr>
            <w:r>
              <w:t xml:space="preserve">07, 08, 09, 10</w:t>
            </w:r>
          </w:p>
        </w:tc>
      </w:tr>
    </w:tbl>
    <w:p>
      <w:pPr>
        <w:pStyle w:val="BodyText"/>
      </w:pPr>
      <w:r>
        <w:t xml:space="preserve">Appendices: A — Conditional Access policy templates · B — PIM role settings reference</w:t>
      </w:r>
    </w:p>
    <w:bookmarkEnd w:id="12"/>
    <w:bookmarkStart w:id="13" w:name="reading-paths"/>
    <w:p>
      <w:pPr>
        <w:pStyle w:val="Heading2"/>
      </w:pPr>
      <w:bookmarkStart w:id="1153" w:name="_Toc00001153"/>
      <w:r>
        <w:t xml:space="preserve">Reading paths</w:t>
      </w:r>
      <w:bookmarkEnd w:id="1153"/>
    </w:p>
    <w:p>
      <w:pPr>
        <w:pStyle w:val="Compact"/>
        <w:numPr>
          <w:ilvl w:val="0"/>
          <w:numId w:val="1001"/>
        </w:numPr>
      </w:pPr>
      <w:r>
        <w:rPr>
          <w:b/>
          <w:bCs/>
        </w:rPr>
        <w:t xml:space="preserve">Executives (20 minutes):</w:t>
      </w:r>
      <w:r>
        <w:t xml:space="preserve"> </w:t>
      </w:r>
      <w:r>
        <w:t xml:space="preserve">Chapters 01, 02 and 06, or the 15-minute presentation.</w:t>
      </w:r>
    </w:p>
    <w:p>
      <w:pPr>
        <w:pStyle w:val="Compact"/>
        <w:numPr>
          <w:ilvl w:val="0"/>
          <w:numId w:val="1001"/>
        </w:numPr>
      </w:pPr>
      <w:r>
        <w:rPr>
          <w:b/>
          <w:bCs/>
        </w:rPr>
        <w:t xml:space="preserve">Architects:</w:t>
      </w:r>
      <w:r>
        <w:t xml:space="preserve"> </w:t>
      </w:r>
      <w:r>
        <w:t xml:space="preserve">Chapters 01–06, then 10.</w:t>
      </w:r>
    </w:p>
    <w:p>
      <w:pPr>
        <w:pStyle w:val="Compact"/>
        <w:numPr>
          <w:ilvl w:val="0"/>
          <w:numId w:val="1001"/>
        </w:numPr>
      </w:pPr>
      <w:r>
        <w:rPr>
          <w:b/>
          <w:bCs/>
        </w:rPr>
        <w:t xml:space="preserve">Identity engineers:</w:t>
      </w:r>
      <w:r>
        <w:t xml:space="preserve"> </w:t>
      </w:r>
      <w:r>
        <w:t xml:space="preserve">Chapters 03–05, then 07–09 with both appendices at hand.</w:t>
      </w:r>
    </w:p>
    <w:bookmarkEnd w:id="13"/>
    <w:bookmarkStart w:id="14" w:name="where-this-book-sits-in-the-workbook"/>
    <w:p>
      <w:pPr>
        <w:pStyle w:val="Heading2"/>
      </w:pPr>
      <w:bookmarkStart w:id="1154" w:name="_Toc00001154"/>
      <w:r>
        <w:t xml:space="preserve">Where this book sits in the workbook</w:t>
      </w:r>
      <w:bookmarkEnd w:id="1154"/>
    </w:p>
    <w:p>
      <w:pPr>
        <w:pStyle w:val="FirstParagraph"/>
      </w:pPr>
      <w:r>
        <w:t xml:space="preserve">This is Book 04 of the Modernization Workbook. It builds on Book 02 — Identity &amp; Directory and Book 03 — HR-Driven Identity, whose attributes drive the policy targeting here, and it is the authoritative home of the Conditional Access library and the PIM settings that Book 02 introduces. For depth it links to the Federal Compliance books on privileged access management, native cloud IAM, identity and access as code, identity and access governance and app registration governance, to the Help Desk guide on enterprise application access, and to the Privileged Access project.</w:t>
      </w:r>
    </w:p>
    <w:bookmarkEnd w:id="14"/>
    <w:bookmarkEnd w:id="15"/>
    <w:bookmarkStart w:id="69" w:name="chapter-01-access-is-a-policy-decision"/>
    <w:p>
      <w:pPr>
        <w:pStyle w:val="Heading1"/>
      </w:pPr>
      <w:bookmarkStart w:id="1155" w:name="_Toc00001155"/>
      <w:r>
        <w:t xml:space="preserve">Chapter 01 — Access Is a Policy Decision</w:t>
      </w:r>
      <w:bookmarkEnd w:id="1155"/>
    </w:p>
    <w:p>
      <w:pPr>
        <w:pStyle w:val="FirstParagraph"/>
      </w:pPr>
      <w:r>
        <w:rPr>
          <w:i/>
          <w:iCs/>
        </w:rPr>
        <w:t xml:space="preserve">Being on the network and being in the group used to be the answer; under Zero Trust they are only two of the questions.</w:t>
      </w:r>
    </w:p>
    <w:bookmarkStart w:id="16" w:name="in-this-chapter"/>
    <w:p>
      <w:pPr>
        <w:pStyle w:val="Heading2"/>
      </w:pPr>
      <w:bookmarkStart w:id="1156" w:name="_Toc00001156"/>
      <w:r>
        <w:t xml:space="preserve">In this chapter</w:t>
      </w:r>
      <w:bookmarkEnd w:id="1156"/>
    </w:p>
    <w:p>
      <w:pPr>
        <w:pStyle w:val="FirstParagraph"/>
      </w:pPr>
      <w:r>
        <w:t xml:space="preserve">What federal Zero Trust policy says about how access is decided, and the policy decision point and policy enforcement point that NIST SP 800-207 describes. How Conditional Access fills the decision-point role in Microsoft Entra ID, and the rules it follows when several policies apply. What goes wrong when access is still granted by group membership and network location. The argument in brief, for the book’s opening presentation.</w:t>
      </w:r>
    </w:p>
    <w:bookmarkEnd w:id="16"/>
    <w:bookmarkStart w:id="25" w:name="every-request-is-a-decision"/>
    <w:p>
      <w:pPr>
        <w:pStyle w:val="Heading2"/>
      </w:pPr>
      <w:bookmarkStart w:id="1157" w:name="_Toc00001157"/>
      <w:r>
        <w:t xml:space="preserve">Every request is a decision</w:t>
      </w:r>
      <w:bookmarkEnd w:id="1157"/>
    </w:p>
    <w:p>
      <w:pPr>
        <w:pStyle w:val="FirstParagraph"/>
      </w:pPr>
      <w:r>
        <w:t xml:space="preserve">In the directory era, access was settled in advance. An administrator put a person in a group, the group was on an access list, and the person’s workstation sat inside the network perimeter. From then on, every request that person made was approved by default. Nobody asked again whether the device was healthy, whether the sign-in looked normal, or whether the person still needed the access. The decision had been made once, at the time the group membership was granted, and the network carried it forward.</w:t>
      </w:r>
    </w:p>
    <w:p>
      <w:pPr>
        <w:pStyle w:val="BodyText"/>
      </w:pPr>
      <w:r>
        <w:t xml:space="preserve">Federal policy no longer accepts that model. OMB M-22-09, the federal Zero Trust strategy, states that federal applications can’t rely on network perimeter protections to guard against unauthorized access, and that users should log into applications rather than networks.</w:t>
      </w:r>
      <w:r>
        <w:rPr>
          <w:rStyle w:val="FootnoteReference"/>
        </w:rPr>
        <w:footnoteReference w:id="17"/>
      </w:r>
      <w:r>
        <w:t xml:space="preserve"> </w:t>
      </w:r>
      <w:r>
        <w:t xml:space="preserve">On authorization it is direct: in a Zero Trust architecture every request for access should be evaluated to determine whether it is appropriate, which requires the ability to evaluate an active session continuously. When undue risk appears, the response can be re-authentication, limited access, or denial.</w:t>
      </w:r>
      <w:r>
        <w:rPr>
          <w:rStyle w:val="FootnoteReference"/>
        </w:rPr>
        <w:footnoteReference w:id="19"/>
      </w:r>
      <w:r>
        <w:t xml:space="preserve"> </w:t>
      </w:r>
      <w:r>
        <w:t xml:space="preserve">The memo also asks agencies to move beyond static role-based models toward more granular, dynamically defined permissions of the kind attribute-based access control provides, and to include at least one device-level signal alongside identity when regulating access to enterprise resources.</w:t>
      </w:r>
      <w:r>
        <w:rPr>
          <w:rStyle w:val="FootnoteReference"/>
        </w:rPr>
        <w:footnoteReference w:id="20"/>
      </w:r>
    </w:p>
    <w:p>
      <w:pPr>
        <w:pStyle w:val="BodyText"/>
      </w:pPr>
      <w:r>
        <w:t xml:space="preserve">NIST SP 800-207 gives the architecture behind that requirement. Three of its seven tenets carry this book:</w:t>
      </w:r>
      <w:r>
        <w:rPr>
          <w:rStyle w:val="FootnoteReference"/>
        </w:rPr>
        <w:footnoteReference w:id="21"/>
      </w:r>
    </w:p>
    <w:p>
      <w:pPr>
        <w:pStyle w:val="Compact"/>
        <w:numPr>
          <w:ilvl w:val="0"/>
          <w:numId w:val="1002"/>
        </w:numPr>
      </w:pPr>
      <w:r>
        <w:rPr>
          <w:b/>
          <w:bCs/>
        </w:rPr>
        <w:t xml:space="preserve">Network location alone does not imply trust</w:t>
      </w:r>
      <w:r>
        <w:t xml:space="preserve"> </w:t>
      </w:r>
      <w:r>
        <w:t xml:space="preserve">(tenet 2). A request from inside the legacy perimeter must meet the same requirements as one from any other network.</w:t>
      </w:r>
    </w:p>
    <w:p>
      <w:pPr>
        <w:pStyle w:val="Compact"/>
        <w:numPr>
          <w:ilvl w:val="0"/>
          <w:numId w:val="1002"/>
        </w:numPr>
      </w:pPr>
      <w:r>
        <w:rPr>
          <w:b/>
          <w:bCs/>
        </w:rPr>
        <w:t xml:space="preserve">Access is granted per session, with least privilege</w:t>
      </w:r>
      <w:r>
        <w:t xml:space="preserve"> </w:t>
      </w:r>
      <w:r>
        <w:t xml:space="preserve">(tenet 3). Authenticating to one resource doesn’t automatically grant access to another.</w:t>
      </w:r>
    </w:p>
    <w:p>
      <w:pPr>
        <w:pStyle w:val="Compact"/>
        <w:numPr>
          <w:ilvl w:val="0"/>
          <w:numId w:val="1002"/>
        </w:numPr>
      </w:pPr>
      <w:r>
        <w:rPr>
          <w:b/>
          <w:bCs/>
        </w:rPr>
        <w:t xml:space="preserve">Access is determined by dynamic policy</w:t>
      </w:r>
      <w:r>
        <w:t xml:space="preserve"> </w:t>
      </w:r>
      <w:r>
        <w:t xml:space="preserve">(tenet 4), using the observable state of the client identity, the application or service, and the requesting asset, and possibly other behavioral and environmental attributes.</w:t>
      </w:r>
    </w:p>
    <w:p>
      <w:pPr>
        <w:pStyle w:val="FirstParagraph"/>
      </w:pPr>
      <w:r>
        <w:t xml:space="preserve">CISA’s Zero Trust Maturity Model puts the same expectation in operational terms. Its identity pillar asks agencies to give users and entities access to the right resources at the right time for the right purpose without granting excessive access, and to grant tailored, context-based authorization.</w:t>
      </w:r>
      <w:r>
        <w:rPr>
          <w:rStyle w:val="FootnoteReference"/>
        </w:rPr>
        <w:footnoteReference w:id="23"/>
      </w:r>
      <w:r>
        <w:t xml:space="preserve"> </w:t>
      </w:r>
      <w:r>
        <w:t xml:space="preserve">Book 02, Chapter 01 explains how this moved the access decision from the network to the identity provider. This book is about what that decision is made of: policy.</w:t>
      </w:r>
    </w:p>
    <w:bookmarkEnd w:id="25"/>
    <w:bookmarkStart w:id="31" w:name="Xffff1b85022ec09217be9af5e955355d4ad9455"/>
    <w:p>
      <w:pPr>
        <w:pStyle w:val="Heading2"/>
      </w:pPr>
      <w:bookmarkStart w:id="1158" w:name="_Toc00001158"/>
      <w:r>
        <w:t xml:space="preserve">The decision point and the enforcement point</w:t>
      </w:r>
      <w:bookmarkEnd w:id="1158"/>
    </w:p>
    <w:p>
      <w:pPr>
        <w:pStyle w:val="FirstParagraph"/>
      </w:pPr>
      <w:r>
        <w:t xml:space="preserve">SP 800-207 separates the act of deciding from the act of enforcing. The</w:t>
      </w:r>
      <w:r>
        <w:t xml:space="preserve"> </w:t>
      </w:r>
      <w:r>
        <w:rPr>
          <w:b/>
          <w:bCs/>
        </w:rPr>
        <w:t xml:space="preserve">policy decision point</w:t>
      </w:r>
      <w:r>
        <w:t xml:space="preserve"> </w:t>
      </w:r>
      <w:r>
        <w:t xml:space="preserve">is made of two logical parts: a policy engine, which makes and logs the decision to grant, deny or revoke access using enterprise policy and outside inputs such as threat intelligence and device diagnostics, and a policy administrator, which carries the decision out by setting up or shutting down the path between subject and resource and by generating the session’s authentication token or credential. The</w:t>
      </w:r>
      <w:r>
        <w:t xml:space="preserve"> </w:t>
      </w:r>
      <w:r>
        <w:rPr>
          <w:b/>
          <w:bCs/>
        </w:rPr>
        <w:t xml:space="preserve">policy enforcement point</w:t>
      </w:r>
      <w:r>
        <w:t xml:space="preserve"> </w:t>
      </w:r>
      <w:r>
        <w:t xml:space="preserve">enables, monitors and terminates the connection between subject and resource.</w:t>
      </w:r>
      <w:r>
        <w:rPr>
          <w:rStyle w:val="FootnoteReference"/>
        </w:rPr>
        <w:footnoteReference w:id="26"/>
      </w:r>
    </w:p>
    <w:p>
      <w:pPr>
        <w:pStyle w:val="BodyText"/>
      </w:pPr>
      <w:r>
        <w:t xml:space="preserve">The separation matters because it fixes where policy lives. If a hundred applications each decide for themselves who may enter, the agency has a hundred policies, written in a hundred ways, and no single view of any of them. If one decision point decides and each application enforces the result, the agency has one policy it can read, test, change and prove.</w:t>
      </w:r>
    </w:p>
    <w:bookmarkStart w:id="30" w:name="fig-ch01-policy-decision"/>
    <w:p>
      <w:pPr>
        <w:pStyle w:val="CaptionedFigure"/>
      </w:pPr>
      <w:r>
        <w:drawing>
          <wp:inline>
            <wp:extent cx="5334000" cy="2562741"/>
            <wp:effectExtent b="0" l="0" r="0" t="0"/>
            <wp:docPr descr="Access is a policy decision: signals about each request feed Conditional Access, which decides to block or to grant with conditions, and the application enforces the result." title="" id="28" name="Picture"/>
            <a:graphic>
              <a:graphicData uri="http://schemas.openxmlformats.org/drawingml/2006/picture">
                <pic:pic>
                  <pic:nvPicPr>
                    <pic:cNvPr descr="/home/runner/work/modernization-workbook/modernization-workbook/docs/images/diagrams/b04-access/png/ch01-policy-decision.png" id="29" name="Picture"/>
                    <pic:cNvPicPr>
                      <a:picLocks noChangeArrowheads="1" noChangeAspect="1"/>
                    </pic:cNvPicPr>
                  </pic:nvPicPr>
                  <pic:blipFill>
                    <a:blip r:embed="rId27"/>
                    <a:stretch>
                      <a:fillRect/>
                    </a:stretch>
                  </pic:blipFill>
                  <pic:spPr bwMode="auto">
                    <a:xfrm>
                      <a:off x="0" y="0"/>
                      <a:ext cx="5334000" cy="2562741"/>
                    </a:xfrm>
                    <a:prstGeom prst="rect">
                      <a:avLst/>
                    </a:prstGeom>
                    <a:noFill/>
                    <a:ln w="9525">
                      <a:noFill/>
                      <a:headEnd/>
                      <a:tailEnd/>
                    </a:ln>
                  </pic:spPr>
                </pic:pic>
              </a:graphicData>
            </a:graphic>
          </wp:inline>
        </w:drawing>
      </w:r>
    </w:p>
    <w:p>
      <w:pPr>
        <w:pStyle w:val="ImageCaption"/>
      </w:pPr>
      <w:r>
        <w:t xml:space="preserve">Access is a policy decision: signals about each request feed Conditional Access, which decides to block or to grant with conditions, and the application enforces the result.</w:t>
      </w:r>
    </w:p>
    <w:bookmarkEnd w:id="30"/>
    <w:bookmarkEnd w:id="31"/>
    <w:bookmarkStart w:id="50" w:name="conditional-access-as-the-policy-engine"/>
    <w:p>
      <w:pPr>
        <w:pStyle w:val="Heading2"/>
      </w:pPr>
      <w:bookmarkStart w:id="1159" w:name="_Toc00001159"/>
      <w:r>
        <w:t xml:space="preserve">Conditional Access as the policy engine</w:t>
      </w:r>
      <w:bookmarkEnd w:id="1159"/>
    </w:p>
    <w:p>
      <w:pPr>
        <w:pStyle w:val="FirstParagraph"/>
      </w:pPr>
      <w:r>
        <w:t xml:space="preserve">In Microsoft Entra ID, the decision point is Conditional Access. Microsoft describes it as its Zero Trust policy engine: it brings signals together, makes a decision, and enforces organizational policy.</w:t>
      </w:r>
      <w:r>
        <w:rPr>
          <w:rStyle w:val="FootnoteReference"/>
        </w:rPr>
        <w:footnoteReference w:id="32"/>
      </w:r>
      <w:r>
        <w:t xml:space="preserve"> </w:t>
      </w:r>
      <w:r>
        <w:t xml:space="preserve">A policy is an if-then statement. If a user wants to reach a resource under certain conditions, then they must satisfy certain controls. The signals include the user, group or agent; IP location; the device, its platform and its compliance state; the application; and real-time and calculated risk from Microsoft Entra ID Protection. The decisions run from block, the most restrictive, to grant, with or without requirements such as multifactor authentication, an authentication strength, a compliant or hybrid-joined device, an app protection policy, or acceptance of terms of use. (The older</w:t>
      </w:r>
      <w:r>
        <w:t xml:space="preserve"> </w:t>
      </w:r>
      <w:r>
        <w:t xml:space="preserve">“approved client app”</w:t>
      </w:r>
      <w:r>
        <w:t xml:space="preserve"> </w:t>
      </w:r>
      <w:r>
        <w:t xml:space="preserve">grant became read-only in June 2026; Chapter 07 covers the replacement.)</w:t>
      </w:r>
      <w:r>
        <w:rPr>
          <w:rStyle w:val="FootnoteReference"/>
        </w:rPr>
        <w:footnoteReference w:id="34"/>
      </w:r>
    </w:p>
    <w:p>
      <w:pPr>
        <w:pStyle w:val="BodyText"/>
      </w:pPr>
      <w:r>
        <w:t xml:space="preserve">In SP 800-207’s terms, the program reads the mapping this way. Conditional Access is the policy engine. Entra ID’s token issuance plays the policy administrator: it either issues the token the decision allows or refuses. The applications and services that accept only Entra-issued tokens, together with gateways in front of older applications, are the enforcement points. This is the program’s interpretation of the architecture, not a mapping Microsoft or NIST publishes, but it explains why the rest of the book treats a Conditional Access policy as the unit of access control.</w:t>
      </w:r>
    </w:p>
    <w:p>
      <w:pPr>
        <w:pStyle w:val="BodyText"/>
      </w:pPr>
      <w:r>
        <w:t xml:space="preserve">Two facts about where Conditional Access sits keep the claim honest. First, policies are enforced after first-factor authentication completes. Conditional Access is not a front-line defense against, for example, denial-of-service attacks, though it can use signals from them.</w:t>
      </w:r>
      <w:r>
        <w:rPr>
          <w:rStyle w:val="FootnoteReference"/>
        </w:rPr>
        <w:footnoteReference w:id="35"/>
      </w:r>
      <w:r>
        <w:t xml:space="preserve"> </w:t>
      </w:r>
      <w:r>
        <w:t xml:space="preserve">Second, a decision made at sign-in isn’t the end of the story. Continuous Access Evaluation re-evaluates access during an active session when critical events occur, such as an account being disabled, a password reset or token revocation, and when Conditional Access conditions such as network location change, so that policy changes take effect in near real time instead of waiting for the token to expire.</w:t>
      </w:r>
      <w:r>
        <w:rPr>
          <w:rStyle w:val="FootnoteReference"/>
        </w:rPr>
        <w:footnoteReference w:id="36"/>
      </w:r>
      <w:r>
        <w:t xml:space="preserve"> </w:t>
      </w:r>
      <w:r>
        <w:t xml:space="preserve">That is the product’s answer to M-22-09’s requirement to evaluate active sessions.</w:t>
      </w:r>
    </w:p>
    <w:bookmarkStart w:id="45" w:name="how-the-decision-is-computed"/>
    <w:p>
      <w:pPr>
        <w:pStyle w:val="Heading3"/>
      </w:pPr>
      <w:r>
        <w:t xml:space="preserve">How the decision is computed</w:t>
      </w:r>
    </w:p>
    <w:p>
      <w:pPr>
        <w:pStyle w:val="FirstParagraph"/>
      </w:pPr>
      <w:r>
        <w:t xml:space="preserve">Conditional Access doesn’t work like Group Policy, and administrators who carry Group Policy habits into it make predictable mistakes. Its evaluation follows a small set of rules:</w:t>
      </w:r>
    </w:p>
    <w:p>
      <w:pPr>
        <w:pStyle w:val="Compact"/>
        <w:numPr>
          <w:ilvl w:val="0"/>
          <w:numId w:val="1003"/>
        </w:numPr>
      </w:pPr>
      <w:r>
        <w:rPr>
          <w:b/>
          <w:bCs/>
        </w:rPr>
        <w:t xml:space="preserve">Every policy that applies is evaluated, and all of them must be satisfied.</w:t>
      </w:r>
      <w:r>
        <w:t xml:space="preserve"> </w:t>
      </w:r>
      <w:r>
        <w:t xml:space="preserve">There is no priority order. If one policy requires multifactor authentication and another requires a compliant device, the user must do both.</w:t>
      </w:r>
      <w:r>
        <w:rPr>
          <w:rStyle w:val="FootnoteReference"/>
        </w:rPr>
        <w:footnoteReference w:id="38"/>
      </w:r>
    </w:p>
    <w:p>
      <w:pPr>
        <w:pStyle w:val="Compact"/>
        <w:numPr>
          <w:ilvl w:val="0"/>
          <w:numId w:val="1003"/>
        </w:numPr>
      </w:pPr>
      <w:r>
        <w:rPr>
          <w:b/>
          <w:bCs/>
        </w:rPr>
        <w:t xml:space="preserve">Block wins.</w:t>
      </w:r>
      <w:r>
        <w:t xml:space="preserve"> </w:t>
      </w:r>
      <w:r>
        <w:t xml:space="preserve">Enforcement collects the session details first. If any applicable policy is configured to block, enforcement stops there and the user is blocked, whatever other policies would have granted.</w:t>
      </w:r>
      <w:r>
        <w:rPr>
          <w:rStyle w:val="FootnoteReference"/>
        </w:rPr>
        <w:footnoteReference w:id="40"/>
      </w:r>
    </w:p>
    <w:p>
      <w:pPr>
        <w:pStyle w:val="Compact"/>
        <w:numPr>
          <w:ilvl w:val="0"/>
          <w:numId w:val="1003"/>
        </w:numPr>
      </w:pPr>
      <w:r>
        <w:rPr>
          <w:b/>
          <w:bCs/>
        </w:rPr>
        <w:t xml:space="preserve">Controls inside a policy combine as configured.</w:t>
      </w:r>
      <w:r>
        <w:t xml:space="preserve"> </w:t>
      </w:r>
      <w:r>
        <w:t xml:space="preserve">A policy can require all of its selected controls or one of them. With</w:t>
      </w:r>
      <w:r>
        <w:t xml:space="preserve"> </w:t>
      </w:r>
      <w:r>
        <w:t xml:space="preserve">“require one of the selected controls,”</w:t>
      </w:r>
      <w:r>
        <w:t xml:space="preserve"> </w:t>
      </w:r>
      <w:r>
        <w:t xml:space="preserve">the user is prompted in a defined order until one is satisfied.</w:t>
      </w:r>
      <w:r>
        <w:rPr>
          <w:rStyle w:val="FootnoteReference"/>
        </w:rPr>
        <w:footnoteReference w:id="41"/>
      </w:r>
    </w:p>
    <w:p>
      <w:pPr>
        <w:pStyle w:val="Compact"/>
        <w:numPr>
          <w:ilvl w:val="0"/>
          <w:numId w:val="1003"/>
        </w:numPr>
      </w:pPr>
      <w:r>
        <w:rPr>
          <w:b/>
          <w:bCs/>
        </w:rPr>
        <w:t xml:space="preserve">Assignments inside a policy combine with AND.</w:t>
      </w:r>
      <w:r>
        <w:t xml:space="preserve"> </w:t>
      </w:r>
      <w:r>
        <w:t xml:space="preserve">A policy applies only when all of its assignments match.</w:t>
      </w:r>
      <w:r>
        <w:rPr>
          <w:rStyle w:val="FootnoteReference"/>
        </w:rPr>
        <w:footnoteReference w:id="42"/>
      </w:r>
    </w:p>
    <w:p>
      <w:pPr>
        <w:pStyle w:val="Compact"/>
        <w:numPr>
          <w:ilvl w:val="0"/>
          <w:numId w:val="1003"/>
        </w:numPr>
      </w:pPr>
      <w:r>
        <w:rPr>
          <w:b/>
          <w:bCs/>
        </w:rPr>
        <w:t xml:space="preserve">Exclusions are absolute.</w:t>
      </w:r>
      <w:r>
        <w:t xml:space="preserve"> </w:t>
      </w:r>
      <w:r>
        <w:t xml:space="preserve">When a user or group is both included and excluded, the exclusion wins.</w:t>
      </w:r>
      <w:r>
        <w:rPr>
          <w:rStyle w:val="FootnoteReference"/>
        </w:rPr>
        <w:footnoteReference w:id="43"/>
      </w:r>
    </w:p>
    <w:p>
      <w:pPr>
        <w:pStyle w:val="FirstParagraph"/>
      </w:pPr>
      <w:r>
        <w:t xml:space="preserve">The last rule is the one that causes damage. Because an exclusion overrides everything, each one is a standing hole in policy, and exclusions accumulate the way Group Policy exceptions did. The only exclusion the program treats as permanent by design is the emergency access group described in Chapter 02. Every other exclusion needs an owner, a reason and an expiry. Chapter 03 covers the model in depth, including session controls, authentication strengths and authentication context.</w:t>
      </w:r>
    </w:p>
    <w:bookmarkEnd w:id="45"/>
    <w:bookmarkStart w:id="49" w:name="deploy-as-a-decision-not-a-switch"/>
    <w:p>
      <w:pPr>
        <w:pStyle w:val="Heading3"/>
      </w:pPr>
      <w:r>
        <w:t xml:space="preserve">Deploy as a decision, not a switch</w:t>
      </w:r>
    </w:p>
    <w:p>
      <w:pPr>
        <w:pStyle w:val="FirstParagraph"/>
      </w:pPr>
      <w:r>
        <w:t xml:space="preserve">The same logic shapes how policies reach production. A policy that targets all users can lock out the whole organization, administrators included. Policies are evaluated in report-only mode as well as when enabled, so the program deploys every new policy in report-only first, measures its effect in the sign-in logs and the policy impact views, and promotes it to enforcement as a separate, reviewed change.</w:t>
      </w:r>
      <w:r>
        <w:rPr>
          <w:rStyle w:val="FootnoteReference"/>
        </w:rPr>
        <w:footnoteReference w:id="46"/>
      </w:r>
      <w:r>
        <w:rPr>
          <w:rStyle w:val="FootnoteReference"/>
        </w:rPr>
        <w:footnoteReference w:id="47"/>
      </w:r>
      <w:r>
        <w:t xml:space="preserve"> </w:t>
      </w:r>
      <w:r>
        <w:t xml:space="preserve">The emergency access exclusion is confirmed before any blocking or restricting policy is enforced. Book 02, Chapter 09 gives the staged rollout the program uses, and Chapter 07 the full policy library.</w:t>
      </w:r>
    </w:p>
    <w:bookmarkEnd w:id="49"/>
    <w:bookmarkEnd w:id="50"/>
    <w:bookmarkStart w:id="61" w:name="Xeebdd5d4326d846436a669be11d0095bacf5619"/>
    <w:p>
      <w:pPr>
        <w:pStyle w:val="Heading2"/>
      </w:pPr>
      <w:bookmarkStart w:id="1160" w:name="_Toc00001160"/>
      <w:r>
        <w:t xml:space="preserve">What goes wrong when membership and location decide</w:t>
      </w:r>
      <w:bookmarkEnd w:id="1160"/>
    </w:p>
    <w:p>
      <w:pPr>
        <w:pStyle w:val="FirstParagraph"/>
      </w:pPr>
      <w:r>
        <w:t xml:space="preserve">Most estates still grant access the old way, even after they move to Entra ID. Two habits survive the migration: treating the network as proof of trust, and treating group membership as a permanent grant.</w:t>
      </w:r>
    </w:p>
    <w:bookmarkStart w:id="54" w:name="fig-ch01-membership-vs-policy"/>
    <w:p>
      <w:pPr>
        <w:pStyle w:val="CaptionedFigure"/>
      </w:pPr>
      <w:r>
        <w:drawing>
          <wp:inline>
            <wp:extent cx="5334000" cy="3116592"/>
            <wp:effectExtent b="0" l="0" r="0" t="0"/>
            <wp:docPr descr="Two ways to answer the access question: the inherited model grants by membership and network location and trusts the session afterward; the Zero Trust model evaluates every request against policy." title="" id="52" name="Picture"/>
            <a:graphic>
              <a:graphicData uri="http://schemas.openxmlformats.org/drawingml/2006/picture">
                <pic:pic>
                  <pic:nvPicPr>
                    <pic:cNvPr descr="/home/runner/work/modernization-workbook/modernization-workbook/docs/images/diagrams/b04-access/png/ch01-membership-vs-policy.png" id="53" name="Picture"/>
                    <pic:cNvPicPr>
                      <a:picLocks noChangeArrowheads="1" noChangeAspect="1"/>
                    </pic:cNvPicPr>
                  </pic:nvPicPr>
                  <pic:blipFill>
                    <a:blip r:embed="rId51"/>
                    <a:stretch>
                      <a:fillRect/>
                    </a:stretch>
                  </pic:blipFill>
                  <pic:spPr bwMode="auto">
                    <a:xfrm>
                      <a:off x="0" y="0"/>
                      <a:ext cx="5334000" cy="3116592"/>
                    </a:xfrm>
                    <a:prstGeom prst="rect">
                      <a:avLst/>
                    </a:prstGeom>
                    <a:noFill/>
                    <a:ln w="9525">
                      <a:noFill/>
                      <a:headEnd/>
                      <a:tailEnd/>
                    </a:ln>
                  </pic:spPr>
                </pic:pic>
              </a:graphicData>
            </a:graphic>
          </wp:inline>
        </w:drawing>
      </w:r>
    </w:p>
    <w:p>
      <w:pPr>
        <w:pStyle w:val="ImageCaption"/>
      </w:pPr>
      <w:r>
        <w:t xml:space="preserve">Two ways to answer the access question: the inherited model grants by membership and network location and trusts the session afterward; the Zero Trust model evaluates every request against policy.</w:t>
      </w:r>
    </w:p>
    <w:bookmarkEnd w:id="54"/>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Granted by</w:t>
            </w:r>
          </w:p>
        </w:tc>
        <w:tc>
          <w:tcPr/>
          <w:p>
            <w:pPr>
              <w:pStyle w:val="Compact"/>
            </w:pPr>
            <w:r>
              <w:t xml:space="preserve">What goes wrong</w:t>
            </w:r>
          </w:p>
        </w:tc>
        <w:tc>
          <w:tcPr/>
          <w:p>
            <w:pPr>
              <w:pStyle w:val="Compact"/>
            </w:pPr>
            <w:r>
              <w:t xml:space="preserve">What policy does instead</w:t>
            </w:r>
          </w:p>
        </w:tc>
      </w:tr>
      <w:tr>
        <w:tc>
          <w:tcPr/>
          <w:p>
            <w:pPr>
              <w:pStyle w:val="Compact"/>
            </w:pPr>
            <w:r>
              <w:t xml:space="preserve">Network location (</w:t>
            </w:r>
            <w:r>
              <w:t xml:space="preserve">“inside means trusted”</w:t>
            </w:r>
            <w:r>
              <w:t xml:space="preserve">)</w:t>
            </w:r>
          </w:p>
        </w:tc>
        <w:tc>
          <w:tcPr/>
          <w:p>
            <w:pPr>
              <w:pStyle w:val="Compact"/>
            </w:pPr>
            <w:r>
              <w:t xml:space="preserve">A compromised device or stolen session inside the perimeter inherits the trust of the building. SP 800-207 rejects this outright: location alone doesn’t imply trust.</w:t>
            </w:r>
            <w:r>
              <w:rPr>
                <w:rStyle w:val="FootnoteReference"/>
              </w:rPr>
              <w:footnoteReference w:id="55"/>
            </w:r>
          </w:p>
        </w:tc>
        <w:tc>
          <w:tcPr/>
          <w:p>
            <w:pPr>
              <w:pStyle w:val="Compact"/>
            </w:pPr>
            <w:r>
              <w:t xml:space="preserve">Location is one signal among several. A trusted network can reduce friction, but never replaces identity, device and risk checks, and it never applies to privileged roles</w:t>
            </w:r>
          </w:p>
        </w:tc>
      </w:tr>
      <w:tr>
        <w:tc>
          <w:tcPr/>
          <w:p>
            <w:pPr>
              <w:pStyle w:val="Compact"/>
            </w:pPr>
            <w:r>
              <w:t xml:space="preserve">Static group membership</w:t>
            </w:r>
          </w:p>
        </w:tc>
        <w:tc>
          <w:tcPr/>
          <w:p>
            <w:pPr>
              <w:pStyle w:val="Compact"/>
            </w:pPr>
            <w:r>
              <w:t xml:space="preserve">Membership is decided once and outlives the need. People who change jobs keep what they had, and nobody can say why a given person has a given access. M-22-09 notes that many federal models rely on static, predefined roles and asks for more granular, dynamic permissions.</w:t>
            </w:r>
            <w:r>
              <w:rPr>
                <w:rStyle w:val="FootnoteReference"/>
              </w:rPr>
              <w:footnoteReference w:id="56"/>
            </w:r>
          </w:p>
        </w:tc>
        <w:tc>
          <w:tcPr/>
          <w:p>
            <w:pPr>
              <w:pStyle w:val="Compact"/>
            </w:pPr>
            <w:r>
              <w:t xml:space="preserve">Membership is computed from authoritative attributes and reviewed, and it is one condition of a policy, not the grant itself</w:t>
            </w:r>
          </w:p>
        </w:tc>
      </w:tr>
      <w:tr>
        <w:tc>
          <w:tcPr/>
          <w:p>
            <w:pPr>
              <w:pStyle w:val="Compact"/>
            </w:pPr>
            <w:r>
              <w:t xml:space="preserve">A decision made at sign-in</w:t>
            </w:r>
          </w:p>
        </w:tc>
        <w:tc>
          <w:tcPr/>
          <w:p>
            <w:pPr>
              <w:pStyle w:val="Compact"/>
            </w:pPr>
            <w:r>
              <w:t xml:space="preserve">Nothing re-checks a session after a device falls out of compliance, an account is disabled, or the risk level changes</w:t>
            </w:r>
          </w:p>
        </w:tc>
        <w:tc>
          <w:tcPr/>
          <w:p>
            <w:pPr>
              <w:pStyle w:val="Compact"/>
            </w:pPr>
            <w:r>
              <w:t xml:space="preserve">Conditional Access with Continuous Access Evaluation re-evaluates on critical events and on condition changes</w:t>
            </w:r>
            <w:r>
              <w:rPr>
                <w:rStyle w:val="FootnoteReference"/>
              </w:rPr>
              <w:footnoteReference w:id="57"/>
            </w:r>
          </w:p>
        </w:tc>
      </w:tr>
      <w:tr>
        <w:tc>
          <w:tcPr/>
          <w:p>
            <w:pPr>
              <w:pStyle w:val="Compact"/>
            </w:pPr>
            <w:r>
              <w:t xml:space="preserve">Per-application rules</w:t>
            </w:r>
          </w:p>
        </w:tc>
        <w:tc>
          <w:tcPr/>
          <w:p>
            <w:pPr>
              <w:pStyle w:val="Compact"/>
            </w:pPr>
            <w:r>
              <w:t xml:space="preserve">Each application has its own idea of who may enter; there’s no single policy to test, change or show an assessor</w:t>
            </w:r>
          </w:p>
        </w:tc>
        <w:tc>
          <w:tcPr/>
          <w:p>
            <w:pPr>
              <w:pStyle w:val="Compact"/>
            </w:pPr>
            <w:r>
              <w:t xml:space="preserve">One decision point and many enforcement points; the policy set is the control, and its logs are the evidence</w:t>
            </w:r>
          </w:p>
        </w:tc>
      </w:tr>
      <w:tr>
        <w:tc>
          <w:tcPr/>
          <w:p>
            <w:pPr>
              <w:pStyle w:val="Compact"/>
            </w:pPr>
            <w:r>
              <w:t xml:space="preserve">Exceptions</w:t>
            </w:r>
          </w:p>
        </w:tc>
        <w:tc>
          <w:tcPr/>
          <w:p>
            <w:pPr>
              <w:pStyle w:val="Compact"/>
            </w:pPr>
            <w:r>
              <w:t xml:space="preserve">Exclusions, legacy protocols and service accounts that bypass the decision point quietly become the real access policy</w:t>
            </w:r>
          </w:p>
        </w:tc>
        <w:tc>
          <w:tcPr/>
          <w:p>
            <w:pPr>
              <w:pStyle w:val="Compact"/>
            </w:pPr>
            <w:r>
              <w:t xml:space="preserve">Exclusions are owned, time-bound and reviewed; legacy authentication is blocked; workload identities get their own policies (Chapter 05)</w:t>
            </w:r>
          </w:p>
        </w:tc>
      </w:tr>
    </w:tbl>
    <w:bookmarkStart w:id="60" w:name="X3f8d1328af3113683048dfbaed7402741c37166"/>
    <w:p>
      <w:pPr>
        <w:pStyle w:val="Heading3"/>
      </w:pPr>
      <w:r>
        <w:t xml:space="preserve">Attribute-driven targeting has its own failure mode</w:t>
      </w:r>
    </w:p>
    <w:p>
      <w:pPr>
        <w:pStyle w:val="FirstParagraph"/>
      </w:pPr>
      <w:r>
        <w:t xml:space="preserve">Replacing membership-by-hand with policy doesn’t remove the dependency on directory data; it raises the stakes. The program targets Conditional Access policies at dynamic groups built from organizational attributes, as Group Policy was once targeted at organizational units. That makes the attributes part of the access decision, and it brings two cautions.</w:t>
      </w:r>
    </w:p>
    <w:p>
      <w:pPr>
        <w:pStyle w:val="Compact"/>
        <w:numPr>
          <w:ilvl w:val="0"/>
          <w:numId w:val="1004"/>
        </w:numPr>
      </w:pPr>
      <w:r>
        <w:rPr>
          <w:b/>
          <w:bCs/>
        </w:rPr>
        <w:t xml:space="preserve">Unpopulated attributes mean policy bypass.</w:t>
      </w:r>
      <w:r>
        <w:t xml:space="preserve"> </w:t>
      </w:r>
      <w:r>
        <w:t xml:space="preserve">A user or device whose attribute is empty falls outside the dynamic group, and therefore outside every policy that includes only that group. Attributes must be populated and verified before policies that depend on them are enforced, and the baseline policies should include all users and exclude narrowly, rather than include narrowly.</w:t>
      </w:r>
    </w:p>
    <w:p>
      <w:pPr>
        <w:pStyle w:val="Compact"/>
        <w:numPr>
          <w:ilvl w:val="0"/>
          <w:numId w:val="1004"/>
        </w:numPr>
      </w:pPr>
      <w:r>
        <w:rPr>
          <w:b/>
          <w:bCs/>
        </w:rPr>
        <w:t xml:space="preserve">Dynamic membership isn’t instant.</w:t>
      </w:r>
      <w:r>
        <w:t xml:space="preserve"> </w:t>
      </w:r>
      <w:r>
        <w:t xml:space="preserve">Microsoft states that dynamic membership changes are typically processed within a few hours and can take more than 24 hours, depending on tenant size, the number of changes, and the rule’s operators.</w:t>
      </w:r>
      <w:r>
        <w:rPr>
          <w:rStyle w:val="FootnoteReference"/>
        </w:rPr>
        <w:footnoteReference w:id="58"/>
      </w:r>
      <w:r>
        <w:t xml:space="preserve"> </w:t>
      </w:r>
      <w:r>
        <w:t xml:space="preserve">A mover’s access changes when the group catches up, not when HR records the move. Policy design has to tolerate that lag, and urgent removals (a leaver, a compromised account) use account disablement and session revocation, not group recalculation.</w:t>
      </w:r>
    </w:p>
    <w:p>
      <w:pPr>
        <w:pStyle w:val="FirstParagraph"/>
      </w:pPr>
      <w:r>
        <w:t xml:space="preserve">Where those attributes come from, and how they stay correct through joiners, movers and leavers, is the subject of Book 03.</w:t>
      </w:r>
    </w:p>
    <w:bookmarkEnd w:id="60"/>
    <w:bookmarkEnd w:id="61"/>
    <w:bookmarkStart w:id="63" w:name="from-group-policy-to-conditional-access"/>
    <w:p>
      <w:pPr>
        <w:pStyle w:val="Heading2"/>
      </w:pPr>
      <w:bookmarkStart w:id="1161" w:name="_Toc00001161"/>
      <w:r>
        <w:t xml:space="preserve">From Group Policy to Conditional Access</w:t>
      </w:r>
      <w:bookmarkEnd w:id="1161"/>
    </w:p>
    <w:p>
      <w:pPr>
        <w:pStyle w:val="FirstParagraph"/>
      </w:pPr>
      <w:r>
        <w:t xml:space="preserve">Agencies arriving from Active Directory often ask for</w:t>
      </w:r>
      <w:r>
        <w:t xml:space="preserve"> </w:t>
      </w:r>
      <w:r>
        <w:t xml:space="preserve">“the Conditional Access version”</w:t>
      </w:r>
      <w:r>
        <w:t xml:space="preserve"> </w:t>
      </w:r>
      <w:r>
        <w:t xml:space="preserve">of each Group Policy setting. There usually isn’t one. The access-related parts of Group Policy move to policy decisions; the configuration parts move to device management. The table shows where the access-related functions go. It’s illustrative, not a migration mapping.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Directory-era mechanism</w:t>
            </w:r>
          </w:p>
        </w:tc>
        <w:tc>
          <w:tcPr/>
          <w:p>
            <w:pPr>
              <w:pStyle w:val="Compact"/>
            </w:pPr>
            <w:r>
              <w:t xml:space="preserve">Where the decision moves</w:t>
            </w:r>
          </w:p>
        </w:tc>
        <w:tc>
          <w:tcPr/>
          <w:p>
            <w:pPr>
              <w:pStyle w:val="Compact"/>
            </w:pPr>
            <w:r>
              <w:t xml:space="preserve">What changes</w:t>
            </w:r>
          </w:p>
        </w:tc>
      </w:tr>
      <w:tr>
        <w:tc>
          <w:tcPr/>
          <w:p>
            <w:pPr>
              <w:pStyle w:val="Compact"/>
            </w:pPr>
            <w:r>
              <w:t xml:space="preserve">Logon restrictions on workstations and servers</w:t>
            </w:r>
          </w:p>
        </w:tc>
        <w:tc>
          <w:tcPr/>
          <w:p>
            <w:pPr>
              <w:pStyle w:val="Compact"/>
            </w:pPr>
            <w:r>
              <w:t xml:space="preserve">Conditional Access device conditions and grant controls, including filters for devices</w:t>
            </w:r>
          </w:p>
        </w:tc>
        <w:tc>
          <w:tcPr/>
          <w:p>
            <w:pPr>
              <w:pStyle w:val="Compact"/>
            </w:pPr>
            <w:r>
              <w:t xml:space="preserve">The check happens at each sign-in to a resource, not once at the console</w:t>
            </w:r>
          </w:p>
        </w:tc>
      </w:tr>
      <w:tr>
        <w:tc>
          <w:tcPr/>
          <w:p>
            <w:pPr>
              <w:pStyle w:val="Compact"/>
            </w:pPr>
            <w:r>
              <w:t xml:space="preserve">Security filtering by group membership</w:t>
            </w:r>
          </w:p>
        </w:tc>
        <w:tc>
          <w:tcPr/>
          <w:p>
            <w:pPr>
              <w:pStyle w:val="Compact"/>
            </w:pPr>
            <w:r>
              <w:t xml:space="preserve">User and group assignments, built on attribute-driven dynamic groups</w:t>
            </w:r>
          </w:p>
        </w:tc>
        <w:tc>
          <w:tcPr/>
          <w:p>
            <w:pPr>
              <w:pStyle w:val="Compact"/>
            </w:pPr>
            <w:r>
              <w:t xml:space="preserve">Membership follows authoritative attributes, with the processing delay noted above</w:t>
            </w:r>
          </w:p>
        </w:tc>
      </w:tr>
      <w:tr>
        <w:tc>
          <w:tcPr/>
          <w:p>
            <w:pPr>
              <w:pStyle w:val="Compact"/>
            </w:pPr>
            <w:r>
              <w:t xml:space="preserve">Account lockout thresholds</w:t>
            </w:r>
          </w:p>
        </w:tc>
        <w:tc>
          <w:tcPr/>
          <w:p>
            <w:pPr>
              <w:pStyle w:val="Compact"/>
            </w:pPr>
            <w:r>
              <w:t xml:space="preserve">Risk-based Conditional Access with Microsoft Entra ID Protection</w:t>
            </w:r>
          </w:p>
        </w:tc>
        <w:tc>
          <w:tcPr/>
          <w:p>
            <w:pPr>
              <w:pStyle w:val="Compact"/>
            </w:pPr>
            <w:r>
              <w:t xml:space="preserve">Decisions use sign-in and user risk, not only failed-attempt counts. Risk-based policies require Entra ID P2</w:t>
            </w:r>
            <w:r>
              <w:rPr>
                <w:rStyle w:val="FootnoteReference"/>
              </w:rPr>
              <w:footnoteReference w:id="62"/>
            </w:r>
          </w:p>
        </w:tc>
      </w:tr>
      <w:tr>
        <w:tc>
          <w:tcPr/>
          <w:p>
            <w:pPr>
              <w:pStyle w:val="Compact"/>
            </w:pPr>
            <w:r>
              <w:t xml:space="preserve">Password policy</w:t>
            </w:r>
          </w:p>
        </w:tc>
        <w:tc>
          <w:tcPr/>
          <w:p>
            <w:pPr>
              <w:pStyle w:val="Compact"/>
            </w:pPr>
            <w:r>
              <w:t xml:space="preserve">Authentication methods policy and authentication strengths</w:t>
            </w:r>
          </w:p>
        </w:tc>
        <w:tc>
          <w:tcPr/>
          <w:p>
            <w:pPr>
              <w:pStyle w:val="Compact"/>
            </w:pPr>
            <w:r>
              <w:t xml:space="preserve">The goal is phishing-resistant, passwordless authentication (Book 02, Chapter 10)</w:t>
            </w:r>
          </w:p>
        </w:tc>
      </w:tr>
      <w:tr>
        <w:tc>
          <w:tcPr/>
          <w:p>
            <w:pPr>
              <w:pStyle w:val="Compact"/>
            </w:pPr>
            <w:r>
              <w:t xml:space="preserve">Software restriction for applications</w:t>
            </w:r>
          </w:p>
        </w:tc>
        <w:tc>
          <w:tcPr/>
          <w:p>
            <w:pPr>
              <w:pStyle w:val="Compact"/>
            </w:pPr>
            <w:r>
              <w:t xml:space="preserve">App protection policies and Conditional Access app controls</w:t>
            </w:r>
          </w:p>
        </w:tc>
        <w:tc>
          <w:tcPr/>
          <w:p>
            <w:pPr>
              <w:pStyle w:val="Compact"/>
            </w:pPr>
            <w:r>
              <w:t xml:space="preserve">Enforced per application and session</w:t>
            </w:r>
          </w:p>
        </w:tc>
      </w:tr>
    </w:tbl>
    <w:p>
      <w:pPr>
        <w:pStyle w:val="BodyText"/>
      </w:pPr>
      <w:r>
        <w:t xml:space="preserve">Drive mappings, printer deployment and other configuration settings aren’t access decisions; they move to device management and are covered in Book 05.</w:t>
      </w:r>
    </w:p>
    <w:bookmarkEnd w:id="63"/>
    <w:bookmarkStart w:id="67" w:name="the-argument-in-brief"/>
    <w:p>
      <w:pPr>
        <w:pStyle w:val="Heading2"/>
      </w:pPr>
      <w:bookmarkStart w:id="1162" w:name="_Toc00001162"/>
      <w:r>
        <w:t xml:space="preserve">The argument in brief</w:t>
      </w:r>
      <w:bookmarkEnd w:id="1162"/>
    </w:p>
    <w:p>
      <w:pPr>
        <w:pStyle w:val="Compact"/>
        <w:numPr>
          <w:ilvl w:val="0"/>
          <w:numId w:val="1005"/>
        </w:numPr>
      </w:pPr>
      <w:r>
        <w:t xml:space="preserve">Federal Zero Trust policy requires that every access request be evaluated, that network location confer no trust, and that access be decided per session by dynamic policy.</w:t>
      </w:r>
      <w:r>
        <w:rPr>
          <w:rStyle w:val="FootnoteReference"/>
        </w:rPr>
        <w:footnoteReference w:id="64"/>
      </w:r>
      <w:r>
        <w:rPr>
          <w:rStyle w:val="FootnoteReference"/>
        </w:rPr>
        <w:footnoteReference w:id="65"/>
      </w:r>
    </w:p>
    <w:p>
      <w:pPr>
        <w:pStyle w:val="Compact"/>
        <w:numPr>
          <w:ilvl w:val="0"/>
          <w:numId w:val="1005"/>
        </w:numPr>
      </w:pPr>
      <w:r>
        <w:t xml:space="preserve">That requires a policy decision point separate from the places where access is enforced. In Microsoft Entra ID the decision point is Conditional Access, Microsoft’s Zero Trust policy engine.</w:t>
      </w:r>
      <w:r>
        <w:rPr>
          <w:rStyle w:val="FootnoteReference"/>
        </w:rPr>
        <w:footnoteReference w:id="66"/>
      </w:r>
    </w:p>
    <w:p>
      <w:pPr>
        <w:pStyle w:val="Compact"/>
        <w:numPr>
          <w:ilvl w:val="0"/>
          <w:numId w:val="1005"/>
        </w:numPr>
      </w:pPr>
      <w:r>
        <w:t xml:space="preserve">Conditional Access decides by rule: all applicable policies must be satisfied, block wins, and exclusions override everything. Each exclusion is therefore a standing hole that needs an owner.</w:t>
      </w:r>
    </w:p>
    <w:p>
      <w:pPr>
        <w:pStyle w:val="Compact"/>
        <w:numPr>
          <w:ilvl w:val="0"/>
          <w:numId w:val="1005"/>
        </w:numPr>
      </w:pPr>
      <w:r>
        <w:t xml:space="preserve">Access granted by network location or static group membership is decided once and trusted afterward. It survives migrations unless it is deliberately replaced by policy.</w:t>
      </w:r>
    </w:p>
    <w:p>
      <w:pPr>
        <w:pStyle w:val="Compact"/>
        <w:numPr>
          <w:ilvl w:val="0"/>
          <w:numId w:val="1005"/>
        </w:numPr>
      </w:pPr>
      <w:r>
        <w:t xml:space="preserve">Policy is only as good as the data it reads. Attribute-driven targeting moves the access decision onto directory attributes, so those attributes must be complete and governed.</w:t>
      </w:r>
    </w:p>
    <w:p>
      <w:pPr>
        <w:pStyle w:val="Compact"/>
        <w:numPr>
          <w:ilvl w:val="0"/>
          <w:numId w:val="1005"/>
        </w:numPr>
      </w:pPr>
      <w:r>
        <w:t xml:space="preserve">The most dangerous access of all is privileged access that no policy ever re-decides. Chapter 02 takes that up.</w:t>
      </w:r>
    </w:p>
    <w:p>
      <w:pPr>
        <w:pStyle w:val="FirstParagraph"/>
      </w:pPr>
      <w:r>
        <w:t xml:space="preserve">For depth on the architecture, see the program’s Zero Trust specification.</w:t>
      </w:r>
    </w:p>
    <w:bookmarkEnd w:id="67"/>
    <w:bookmarkStart w:id="68" w:name="continue-the-book"/>
    <w:p>
      <w:pPr>
        <w:pStyle w:val="Heading2"/>
      </w:pPr>
      <w:bookmarkStart w:id="1163" w:name="_Toc00001163"/>
      <w:r>
        <w:t xml:space="preserve">Continue the book</w:t>
      </w:r>
      <w:bookmarkEnd w:id="1163"/>
    </w:p>
    <w:p>
      <w:pPr>
        <w:pStyle w:val="FirstParagraph"/>
      </w:pPr>
      <w:r>
        <w:t xml:space="preserve">Book index · Next: Chapter 02 — Why Standing Privilege Fails →</w:t>
      </w:r>
    </w:p>
    <w:bookmarkEnd w:id="68"/>
    <w:bookmarkEnd w:id="69"/>
    <w:bookmarkStart w:id="130" w:name="chapter-02-why-standing-privilege-fails"/>
    <w:p>
      <w:pPr>
        <w:pStyle w:val="Heading1"/>
      </w:pPr>
      <w:bookmarkStart w:id="1164" w:name="_Toc00001164"/>
      <w:r>
        <w:t xml:space="preserve">Chapter 02 — Why Standing Privilege Fails</w:t>
      </w:r>
      <w:bookmarkEnd w:id="1164"/>
    </w:p>
    <w:p>
      <w:pPr>
        <w:pStyle w:val="FirstParagraph"/>
      </w:pPr>
      <w:r>
        <w:rPr>
          <w:i/>
          <w:iCs/>
        </w:rPr>
        <w:t xml:space="preserve">An administrator who is always an administrator gives an attacker the same deal: steal the credential once and the role comes with it, at any hour.</w:t>
      </w:r>
    </w:p>
    <w:bookmarkStart w:id="70" w:name="in-this-chapter-1"/>
    <w:p>
      <w:pPr>
        <w:pStyle w:val="Heading2"/>
      </w:pPr>
      <w:bookmarkStart w:id="1165" w:name="_Toc00001165"/>
      <w:r>
        <w:t xml:space="preserve">In this chapter</w:t>
      </w:r>
      <w:bookmarkEnd w:id="1165"/>
    </w:p>
    <w:p>
      <w:pPr>
        <w:pStyle w:val="FirstParagraph"/>
      </w:pPr>
      <w:r>
        <w:t xml:space="preserve">Why standing administrative rights are the shortest path from a compromised credential to control of the tenant, and why stronger authentication alone doesn’t close it. What least privilege requires, from NIST SP 800-53 AC-6 and its enhancements to CISA’s maturity model. How just-in-time and just-enough administration replace standing rights, and why break-glass accounts are the one governed exception. The goals and phases of the privileged-access project.</w:t>
      </w:r>
    </w:p>
    <w:bookmarkEnd w:id="70"/>
    <w:bookmarkStart w:id="75" w:name="Xae6ed37927ddea3c09273bc0b97e114205cdeba"/>
    <w:p>
      <w:pPr>
        <w:pStyle w:val="Heading2"/>
      </w:pPr>
      <w:bookmarkStart w:id="1166" w:name="_Toc00001166"/>
      <w:r>
        <w:t xml:space="preserve">Administrative identity is the root of the root</w:t>
      </w:r>
      <w:bookmarkEnd w:id="1166"/>
    </w:p>
    <w:p>
      <w:pPr>
        <w:pStyle w:val="FirstParagraph"/>
      </w:pPr>
      <w:r>
        <w:t xml:space="preserve">Chapter 01 argued that every access request should be decided against policy. Privileged access is where that argument matters most and where it is most often abandoned. A Global Administrator can change the Conditional Access policies that make every other decision. A Privileged Role Administrator can grant any role to any account. If those rights are always on, the policy engine is protecting everything except the accounts that control it.</w:t>
      </w:r>
    </w:p>
    <w:p>
      <w:pPr>
        <w:pStyle w:val="BodyText"/>
      </w:pPr>
      <w:r>
        <w:t xml:space="preserve">That is what</w:t>
      </w:r>
      <w:r>
        <w:t xml:space="preserve"> </w:t>
      </w:r>
      <w:r>
        <w:t xml:space="preserve">“standing”</w:t>
      </w:r>
      <w:r>
        <w:t xml:space="preserve"> </w:t>
      </w:r>
      <w:r>
        <w:t xml:space="preserve">means. The role assignment persists indefinitely and is always active. The holder doesn’t activate it, doesn’t give a reason, doesn’t need anyone’s approval, and faces no time limit. A Global Administrator holds tenant-wide control around the clock: 8,760 hours a year, nearly all of them hours in which no administrative work is being done but in which a stolen session or credential would still carry the full role.</w:t>
      </w:r>
    </w:p>
    <w:p>
      <w:pPr>
        <w:pStyle w:val="BodyText"/>
      </w:pPr>
      <w:r>
        <w:t xml:space="preserve">In practice, standing privilege turns ordinary attacks into tenant compromise:</w:t>
      </w:r>
    </w:p>
    <w:p>
      <w:pPr>
        <w:pStyle w:val="Compact"/>
        <w:numPr>
          <w:ilvl w:val="0"/>
          <w:numId w:val="1006"/>
        </w:numPr>
      </w:pPr>
      <w:r>
        <w:t xml:space="preserve">A stolen token or session cookie for a standing Global Administrator grants Global Administrator scope immediately, with no further step.</w:t>
      </w:r>
    </w:p>
    <w:p>
      <w:pPr>
        <w:pStyle w:val="Compact"/>
        <w:numPr>
          <w:ilvl w:val="0"/>
          <w:numId w:val="1006"/>
        </w:numPr>
      </w:pPr>
      <w:r>
        <w:t xml:space="preserve">A successful MFA fatigue or help desk social engineering attack against a standing Privileged Role Administrator grants the ability to promote any account to any role.</w:t>
      </w:r>
    </w:p>
    <w:p>
      <w:pPr>
        <w:pStyle w:val="Compact"/>
        <w:numPr>
          <w:ilvl w:val="0"/>
          <w:numId w:val="1006"/>
        </w:numPr>
      </w:pPr>
      <w:r>
        <w:t xml:space="preserve">A hijacked browser session of a standing Security Administrator grants the ability to change the Conditional Access policies that protect the whole tenant.</w:t>
      </w:r>
    </w:p>
    <w:p>
      <w:pPr>
        <w:pStyle w:val="FirstParagraph"/>
      </w:pPr>
      <w:r>
        <w:t xml:space="preserve">NSA and CISA red and blue teams list</w:t>
      </w:r>
      <w:r>
        <w:t xml:space="preserve"> </w:t>
      </w:r>
      <w:r>
        <w:t xml:space="preserve">“improper separation of user/administrator privilege”</w:t>
      </w:r>
      <w:r>
        <w:t xml:space="preserve"> </w:t>
      </w:r>
      <w:r>
        <w:t xml:space="preserve">second in their October 2023 top ten misconfigurations of large organizations. The advisory describes excessive account privileges that creep beyond what users need, service accounts with elevated permissions that make them attractive targets, and the everyday use of elevated accounts for non-administrative work, which increases their exposure. Among its mitigations it recommends time-based access for privileged accounts, such as just-in-time access.</w:t>
      </w:r>
      <w:r>
        <w:rPr>
          <w:rStyle w:val="FootnoteReference"/>
        </w:rPr>
        <w:footnoteReference w:id="71"/>
      </w:r>
    </w:p>
    <w:p>
      <w:pPr>
        <w:pStyle w:val="BodyText"/>
      </w:pPr>
      <w:r>
        <w:t xml:space="preserve">Standing privilege isn’t only a human problem. In the attack Microsoft disclosed in January 2024, the actor Midnight Blizzard used a password spray to compromise a legacy, non-production test tenant account that didn’t have multifactor authentication. It then found and took over a legacy test OAuth application that had elevated access to Microsoft’s corporate environment, and used it to grant the Exchange Online</w:t>
      </w:r>
      <w:r>
        <w:t xml:space="preserve"> </w:t>
      </w:r>
      <w:r>
        <w:rPr>
          <w:rStyle w:val="VerbatimChar"/>
        </w:rPr>
        <w:t xml:space="preserve">full_access_as_app</w:t>
      </w:r>
      <w:r>
        <w:t xml:space="preserve"> </w:t>
      </w:r>
      <w:r>
        <w:t xml:space="preserve">role, which allows access to mailboxes.</w:t>
      </w:r>
      <w:r>
        <w:rPr>
          <w:rStyle w:val="FootnoteReference"/>
        </w:rPr>
        <w:footnoteReference w:id="73"/>
      </w:r>
      <w:r>
        <w:t xml:space="preserve"> </w:t>
      </w:r>
      <w:r>
        <w:t xml:space="preserve">The application’s privilege was standing, its purpose was forgotten, and it was reachable from a test account nobody watched. That is the pattern this chapter is about.</w:t>
      </w:r>
    </w:p>
    <w:bookmarkEnd w:id="75"/>
    <w:bookmarkStart w:id="77" w:name="X10cff3ff4e15cae46472c785c3122be5d99d5ad"/>
    <w:p>
      <w:pPr>
        <w:pStyle w:val="Heading2"/>
      </w:pPr>
      <w:bookmarkStart w:id="1167" w:name="_Toc00001167"/>
      <w:r>
        <w:t xml:space="preserve">Strong authentication doesn’t reduce scope</w:t>
      </w:r>
      <w:bookmarkEnd w:id="1167"/>
    </w:p>
    <w:p>
      <w:pPr>
        <w:pStyle w:val="FirstParagraph"/>
      </w:pPr>
      <w:r>
        <w:t xml:space="preserve">Agencies that complete the move to Entra ID often treat the credential migration as the security outcome. Administrators now sign in with phishing-resistant MFA through Conditional Access, and the old NTLM and password paths are closing. That is necessary, but it answers only one question: is this really the person the account belongs to? It doesn’t answer the second: what can that verified identity do, and for how long?</w:t>
      </w:r>
    </w:p>
    <w:p>
      <w:pPr>
        <w:pStyle w:val="BodyText"/>
      </w:pPr>
      <w:r>
        <w:t xml:space="preserve">An administrator who held standing Domain Admin and standing Global Administrator before the migration, and who now signs in with a FIDO2 key, still holds standing Global Administrator. Authentication got stronger; authorization scope didn’t change. A strongly authenticated identity with standing tenant-wide scope isn’t a Zero Trust architecture. It is a strongly authenticated standing target, and the session it produces is as valuable to steal as before.</w:t>
      </w:r>
    </w:p>
    <w:p>
      <w:pPr>
        <w:pStyle w:val="BodyText"/>
      </w:pPr>
      <w:r>
        <w:t xml:space="preserve">Microsoft frames least privilege for administrators in three dimensions: a specific set of permissions, over a specific scope, for a specific period of time.</w:t>
      </w:r>
      <w:r>
        <w:rPr>
          <w:rStyle w:val="FootnoteReference"/>
        </w:rPr>
        <w:footnoteReference w:id="76"/>
      </w:r>
      <w:r>
        <w:t xml:space="preserve"> </w:t>
      </w:r>
      <w:r>
        <w:t xml:space="preserve">Authentication controls none of them. Reducing them takes different mechanisms, and that is the work of this book.</w:t>
      </w:r>
    </w:p>
    <w:bookmarkEnd w:id="77"/>
    <w:bookmarkStart w:id="95" w:name="what-least-privilege-requires"/>
    <w:p>
      <w:pPr>
        <w:pStyle w:val="Heading2"/>
      </w:pPr>
      <w:bookmarkStart w:id="1168" w:name="_Toc00001168"/>
      <w:r>
        <w:t xml:space="preserve">What least privilege requires</w:t>
      </w:r>
      <w:bookmarkEnd w:id="1168"/>
    </w:p>
    <w:bookmarkStart w:id="84" w:name="nist-sp-800-53-ac-6-and-its-enhancements"/>
    <w:p>
      <w:pPr>
        <w:pStyle w:val="Heading3"/>
      </w:pPr>
      <w:r>
        <w:t xml:space="preserve">NIST SP 800-53 AC-6 and its enhancements</w:t>
      </w:r>
    </w:p>
    <w:p>
      <w:pPr>
        <w:pStyle w:val="FirstParagraph"/>
      </w:pPr>
      <w:r>
        <w:t xml:space="preserve">The control baseline is explicit. AC-6, Least Privilege, requires the organization to employ the principle of least privilege, allowing only the authorized accesses for users, or processes acting on their behalf, that are necessary to accomplish assigned organizational tasks.</w:t>
      </w:r>
      <w:r>
        <w:rPr>
          <w:rStyle w:val="FootnoteReference"/>
        </w:rPr>
        <w:footnoteReference w:id="78"/>
      </w:r>
      <w:r>
        <w:t xml:space="preserve"> </w:t>
      </w:r>
      <w:r>
        <w:t xml:space="preserve">Its enhancements turn the principle into testable requirements. The ones that bear directly on administrative access: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requires</w:t>
            </w:r>
          </w:p>
        </w:tc>
        <w:tc>
          <w:tcPr/>
          <w:p>
            <w:pPr>
              <w:pStyle w:val="Compact"/>
            </w:pPr>
            <w:r>
              <w:t xml:space="preserve">What it means for administrators</w:t>
            </w:r>
          </w:p>
        </w:tc>
      </w:tr>
      <w:tr>
        <w:tc>
          <w:tcPr/>
          <w:p>
            <w:pPr>
              <w:pStyle w:val="Compact"/>
            </w:pPr>
            <w:r>
              <w:t xml:space="preserve">AC-6(1) Authorize Access to Security Functions</w:t>
            </w:r>
          </w:p>
        </w:tc>
        <w:tc>
          <w:tcPr/>
          <w:p>
            <w:pPr>
              <w:pStyle w:val="Compact"/>
            </w:pPr>
            <w:r>
              <w:t xml:space="preserve">Authorize access to defined security functions and security-relevant information only for defined individuals or roles</w:t>
            </w:r>
          </w:p>
        </w:tc>
        <w:tc>
          <w:tcPr/>
          <w:p>
            <w:pPr>
              <w:pStyle w:val="Compact"/>
            </w:pPr>
            <w:r>
              <w:t xml:space="preserve">Changing Conditional Access, role assignments or audit settings is a named, authorized function, not a side effect of a broad role</w:t>
            </w:r>
          </w:p>
        </w:tc>
      </w:tr>
      <w:tr>
        <w:tc>
          <w:tcPr/>
          <w:p>
            <w:pPr>
              <w:pStyle w:val="Compact"/>
            </w:pPr>
            <w:r>
              <w:t xml:space="preserve">AC-6(2) Non-privileged Access for Nonsecurity Functions</w:t>
            </w:r>
          </w:p>
        </w:tc>
        <w:tc>
          <w:tcPr/>
          <w:p>
            <w:pPr>
              <w:pStyle w:val="Compact"/>
            </w:pPr>
            <w:r>
              <w:t xml:space="preserve">Users with privileged accounts or roles use non-privileged accounts or roles for nonsecurity functions</w:t>
            </w:r>
          </w:p>
        </w:tc>
        <w:tc>
          <w:tcPr/>
          <w:p>
            <w:pPr>
              <w:pStyle w:val="Compact"/>
            </w:pPr>
            <w:r>
              <w:t xml:space="preserve">Separate administrative identities; email and browsing never happen as an administrator</w:t>
            </w:r>
          </w:p>
        </w:tc>
      </w:tr>
      <w:tr>
        <w:tc>
          <w:tcPr/>
          <w:p>
            <w:pPr>
              <w:pStyle w:val="Compact"/>
            </w:pPr>
            <w:r>
              <w:t xml:space="preserve">AC-6(5) Privileged Accounts</w:t>
            </w:r>
          </w:p>
        </w:tc>
        <w:tc>
          <w:tcPr/>
          <w:p>
            <w:pPr>
              <w:pStyle w:val="Compact"/>
            </w:pPr>
            <w:r>
              <w:t xml:space="preserve">Restrict privileged accounts to defined personnel or roles</w:t>
            </w:r>
          </w:p>
        </w:tc>
        <w:tc>
          <w:tcPr/>
          <w:p>
            <w:pPr>
              <w:pStyle w:val="Compact"/>
            </w:pPr>
            <w:r>
              <w:t xml:space="preserve">A short, owned list of who may hold each privileged role</w:t>
            </w:r>
          </w:p>
        </w:tc>
      </w:tr>
      <w:tr>
        <w:tc>
          <w:tcPr/>
          <w:p>
            <w:pPr>
              <w:pStyle w:val="Compact"/>
            </w:pPr>
            <w:r>
              <w:t xml:space="preserve">AC-6(7) Review of User Privileges</w:t>
            </w:r>
          </w:p>
        </w:tc>
        <w:tc>
          <w:tcPr/>
          <w:p>
            <w:pPr>
              <w:pStyle w:val="Compact"/>
            </w:pPr>
            <w:r>
              <w:t xml:space="preserve">Review privileges at a defined frequency, and reassign or remove them as needed</w:t>
            </w:r>
          </w:p>
        </w:tc>
        <w:tc>
          <w:tcPr/>
          <w:p>
            <w:pPr>
              <w:pStyle w:val="Compact"/>
            </w:pPr>
            <w:r>
              <w:t xml:space="preserve">Recurring access reviews of privileged role eligibility (Book 02, Chapter 10)</w:t>
            </w:r>
          </w:p>
        </w:tc>
      </w:tr>
      <w:tr>
        <w:tc>
          <w:tcPr/>
          <w:p>
            <w:pPr>
              <w:pStyle w:val="Compact"/>
            </w:pPr>
            <w:r>
              <w:t xml:space="preserve">AC-6(9) Log Use of Privileged Functions</w:t>
            </w:r>
          </w:p>
        </w:tc>
        <w:tc>
          <w:tcPr/>
          <w:p>
            <w:pPr>
              <w:pStyle w:val="Compact"/>
            </w:pPr>
            <w:r>
              <w:t xml:space="preserve">Log the execution of privileged functions</w:t>
            </w:r>
          </w:p>
        </w:tc>
        <w:tc>
          <w:tcPr/>
          <w:p>
            <w:pPr>
              <w:pStyle w:val="Compact"/>
            </w:pPr>
            <w:r>
              <w:t xml:space="preserve">Every activation and every administrative change produces a record</w:t>
            </w:r>
          </w:p>
        </w:tc>
      </w:tr>
      <w:tr>
        <w:tc>
          <w:tcPr/>
          <w:p>
            <w:pPr>
              <w:pStyle w:val="Compact"/>
            </w:pPr>
            <w:r>
              <w:t xml:space="preserve">AC-6(10) Prohibit Non-privileged Users from Executing Privileged Functions</w:t>
            </w:r>
          </w:p>
        </w:tc>
        <w:tc>
          <w:tcPr/>
          <w:p>
            <w:pPr>
              <w:pStyle w:val="Compact"/>
            </w:pPr>
            <w:r>
              <w:t xml:space="preserve">Prevent non-privileged users from executing privileged functions</w:t>
            </w:r>
          </w:p>
        </w:tc>
        <w:tc>
          <w:tcPr/>
          <w:p>
            <w:pPr>
              <w:pStyle w:val="Compact"/>
            </w:pPr>
            <w:r>
              <w:t xml:space="preserve">The technical boundary that makes the rest enforceable</w:t>
            </w:r>
          </w:p>
        </w:tc>
      </w:tr>
    </w:tbl>
    <w:p>
      <w:pPr>
        <w:pStyle w:val="BodyText"/>
      </w:pPr>
      <w:r>
        <w:t xml:space="preserve">Source: NIST SP 800-53 Rev. 5.</w:t>
      </w:r>
      <w:r>
        <w:rPr>
          <w:rStyle w:val="FootnoteReference"/>
        </w:rPr>
        <w:footnoteReference w:id="80"/>
      </w:r>
      <w:r>
        <w:t xml:space="preserve"> </w:t>
      </w:r>
      <w:r>
        <w:t xml:space="preserve">All six of these enhancements are in the NIST moderate baseline, along with AC-5, Separation of Duties, and AC-2(2), which requires temporary and emergency accounts to be removed or disabled automatically after a defined period.</w:t>
      </w:r>
      <w:r>
        <w:rPr>
          <w:rStyle w:val="FootnoteReference"/>
        </w:rPr>
        <w:footnoteReference w:id="81"/>
      </w:r>
      <w:r>
        <w:t xml:space="preserve"> </w:t>
      </w:r>
      <w:r>
        <w:t xml:space="preserve">AC-5 requires the organization to identify and document the duties that must be separated and to define access authorizations that support that separation.</w:t>
      </w:r>
      <w:r>
        <w:rPr>
          <w:rStyle w:val="FootnoteReference"/>
        </w:rPr>
        <w:footnoteReference w:id="83"/>
      </w:r>
    </w:p>
    <w:p>
      <w:pPr>
        <w:pStyle w:val="BodyText"/>
      </w:pPr>
      <w:r>
        <w:t xml:space="preserve">None of these enhancements says</w:t>
      </w:r>
      <w:r>
        <w:t xml:space="preserve"> </w:t>
      </w:r>
      <w:r>
        <w:t xml:space="preserve">“just in time”</w:t>
      </w:r>
      <w:r>
        <w:t xml:space="preserve"> </w:t>
      </w:r>
      <w:r>
        <w:t xml:space="preserve">in so many words. AC-6 is satisfied by any mechanism that keeps privilege at what the task requires. The program’s position is that for cloud administrative roles, time is the dimension most estates have never limited, and just-in-time activation is the practical way to limit it while also producing the review and logging evidence AC-6(7) and AC-6(9) ask for.</w:t>
      </w:r>
    </w:p>
    <w:bookmarkEnd w:id="84"/>
    <w:bookmarkStart w:id="94" w:name="Xa73d6d2859dad734f4ba668ead5ddd59315e6b4"/>
    <w:p>
      <w:pPr>
        <w:pStyle w:val="Heading3"/>
      </w:pPr>
      <w:r>
        <w:t xml:space="preserve">What federal Zero Trust policy says, precisely</w:t>
      </w:r>
    </w:p>
    <w:p>
      <w:pPr>
        <w:pStyle w:val="FirstParagraph"/>
      </w:pPr>
      <w:r>
        <w:t xml:space="preserve">The federal strategy documents support that position but are often quoted beyond what they say. OMB M-22-09 doesn’t mandate time-bound privilege. It asks agencies to evaluate every access request and to move beyond static, predefined roles toward more granular, dynamically defined permissions.</w:t>
      </w:r>
      <w:r>
        <w:rPr>
          <w:rStyle w:val="FootnoteReference"/>
        </w:rPr>
        <w:footnoteReference w:id="85"/>
      </w:r>
      <w:r>
        <w:t xml:space="preserve"> </w:t>
      </w:r>
      <w:r>
        <w:t xml:space="preserve">It also cautions that privileged access management tools that issue ephemeral single-factor credentials shouldn’t substitute for multifactor authentication, though they remain an important tool for high-privilege systems that are hard to modernize.</w:t>
      </w:r>
      <w:r>
        <w:rPr>
          <w:rStyle w:val="FootnoteReference"/>
        </w:rPr>
        <w:footnoteReference w:id="86"/>
      </w:r>
      <w:r>
        <w:t xml:space="preserve"> </w:t>
      </w:r>
      <w:r>
        <w:t xml:space="preserve">NIST SP 800-207, an architecture publication rather than a mandate, states in tenet 3 that access to each resource is granted per session, with the least privileges needed to complete the task.</w:t>
      </w:r>
      <w:r>
        <w:rPr>
          <w:rStyle w:val="FootnoteReference"/>
        </w:rPr>
        <w:footnoteReference w:id="87"/>
      </w:r>
    </w:p>
    <w:p>
      <w:pPr>
        <w:pStyle w:val="BodyText"/>
      </w:pPr>
      <w:r>
        <w:t xml:space="preserve">CISA’s Zero Trust Maturity Model is the most specific. Version 2.0 added an Access Management function to the identity pillar and describes four stages.</w:t>
      </w:r>
      <w:r>
        <w:rPr>
          <w:rStyle w:val="FootnoteReference"/>
        </w:rPr>
        <w:footnoteReference w:id="88"/>
      </w:r>
    </w:p>
    <w:bookmarkStart w:id="92" w:name="fig-ch02-privilege-maturity"/>
    <w:p>
      <w:pPr>
        <w:pStyle w:val="CaptionedFigure"/>
      </w:pPr>
      <w:r>
        <w:drawing>
          <wp:inline>
            <wp:extent cx="5334000" cy="1042358"/>
            <wp:effectExtent b="0" l="0" r="0" t="0"/>
            <wp:docPr descr="CISA’s Access Management stages run from permanent access with periodic review to automated just-in-time, just-enough access." title="" id="90" name="Picture"/>
            <a:graphic>
              <a:graphicData uri="http://schemas.openxmlformats.org/drawingml/2006/picture">
                <pic:pic>
                  <pic:nvPicPr>
                    <pic:cNvPr descr="/home/runner/work/modernization-workbook/modernization-workbook/docs/images/diagrams/b04-access/png/ch02-privilege-maturity.png" id="91" name="Picture"/>
                    <pic:cNvPicPr>
                      <a:picLocks noChangeArrowheads="1" noChangeAspect="1"/>
                    </pic:cNvPicPr>
                  </pic:nvPicPr>
                  <pic:blipFill>
                    <a:blip r:embed="rId89"/>
                    <a:stretch>
                      <a:fillRect/>
                    </a:stretch>
                  </pic:blipFill>
                  <pic:spPr bwMode="auto">
                    <a:xfrm>
                      <a:off x="0" y="0"/>
                      <a:ext cx="5334000" cy="1042358"/>
                    </a:xfrm>
                    <a:prstGeom prst="rect">
                      <a:avLst/>
                    </a:prstGeom>
                    <a:noFill/>
                    <a:ln w="9525">
                      <a:noFill/>
                      <a:headEnd/>
                      <a:tailEnd/>
                    </a:ln>
                  </pic:spPr>
                </pic:pic>
              </a:graphicData>
            </a:graphic>
          </wp:inline>
        </w:drawing>
      </w:r>
    </w:p>
    <w:p>
      <w:pPr>
        <w:pStyle w:val="ImageCaption"/>
      </w:pPr>
      <w:r>
        <w:t xml:space="preserve">CISA’s Access Management stages run from permanent access with periodic review to automated just-in-time, just-enough access.</w:t>
      </w:r>
    </w:p>
    <w:bookmarkEnd w:id="92"/>
    <w:p>
      <w:pPr>
        <w:pStyle w:val="BodyText"/>
      </w:pPr>
      <w:r>
        <w:t xml:space="preserve">At the traditional stage an agency authorizes permanent access with periodic review for privileged and unprivileged accounts alike. At the initial stage access, including privileged access, expires and is reviewed automatically. At the advanced stage access is need-based and session-based, tailored to actions and resources. At the optimal stage automation authorizes just-in-time and just-enough access tailored to individual actions and individual resource needs.</w:t>
      </w:r>
      <w:r>
        <w:rPr>
          <w:rStyle w:val="FootnoteReference"/>
        </w:rPr>
        <w:footnoteReference w:id="93"/>
      </w:r>
      <w:r>
        <w:t xml:space="preserve"> </w:t>
      </w:r>
      <w:r>
        <w:t xml:space="preserve">Most estates that still have standing administrators are at the traditional stage for privileged access, whatever their maturity elsewhere.</w:t>
      </w:r>
    </w:p>
    <w:bookmarkEnd w:id="94"/>
    <w:bookmarkEnd w:id="95"/>
    <w:bookmarkStart w:id="112" w:name="just-in-time-and-just-enough"/>
    <w:p>
      <w:pPr>
        <w:pStyle w:val="Heading2"/>
      </w:pPr>
      <w:bookmarkStart w:id="1169" w:name="_Toc00001169"/>
      <w:r>
        <w:t xml:space="preserve">Just in time and just enough</w:t>
      </w:r>
      <w:bookmarkEnd w:id="1169"/>
    </w:p>
    <w:p>
      <w:pPr>
        <w:pStyle w:val="FirstParagraph"/>
      </w:pPr>
      <w:r>
        <w:t xml:space="preserve">Two ideas replace standing privilege. Microsoft’s privileged access strategy names them together as the way to apply least privilege to administrators: just-enough access, which grants only the permissions a specific task needs, and just-in-time access, which provides elevated access only when needed, often with approval.</w:t>
      </w:r>
      <w:r>
        <w:rPr>
          <w:rStyle w:val="FootnoteReference"/>
        </w:rPr>
        <w:footnoteReference w:id="96"/>
      </w:r>
    </w:p>
    <w:p>
      <w:pPr>
        <w:pStyle w:val="Compact"/>
        <w:numPr>
          <w:ilvl w:val="0"/>
          <w:numId w:val="1007"/>
        </w:numPr>
      </w:pPr>
      <w:r>
        <w:rPr>
          <w:b/>
          <w:bCs/>
        </w:rPr>
        <w:t xml:space="preserve">Just-enough administration limits what and where.</w:t>
      </w:r>
      <w:r>
        <w:t xml:space="preserve"> </w:t>
      </w:r>
      <w:r>
        <w:t xml:space="preserve">Use the narrowest built-in role that covers the task, scope it to an administrative unit or resource where possible, and keep tenant-wide roles for the few people who need them. Microsoft recommends assigning Global Administrator to fewer than five people and keeping privileged role assignments to fewer than ten.</w:t>
      </w:r>
      <w:r>
        <w:rPr>
          <w:rStyle w:val="FootnoteReference"/>
        </w:rPr>
        <w:footnoteReference w:id="98"/>
      </w:r>
      <w:r>
        <w:t xml:space="preserve"> </w:t>
      </w:r>
      <w:r>
        <w:t xml:space="preserve">Book 02, Chapter 05 covers scoping with administrative units, and Chapter 04 the role and tier model.</w:t>
      </w:r>
    </w:p>
    <w:p>
      <w:pPr>
        <w:pStyle w:val="Compact"/>
        <w:numPr>
          <w:ilvl w:val="0"/>
          <w:numId w:val="1007"/>
        </w:numPr>
      </w:pPr>
      <w:r>
        <w:rPr>
          <w:b/>
          <w:bCs/>
        </w:rPr>
        <w:t xml:space="preserve">Just-in-time limits when.</w:t>
      </w:r>
      <w:r>
        <w:t xml:space="preserve"> </w:t>
      </w:r>
      <w:r>
        <w:t xml:space="preserve">The administrator is</w:t>
      </w:r>
      <w:r>
        <w:t xml:space="preserve"> </w:t>
      </w:r>
      <w:r>
        <w:rPr>
          <w:i/>
          <w:iCs/>
        </w:rPr>
        <w:t xml:space="preserve">eligible</w:t>
      </w:r>
      <w:r>
        <w:t xml:space="preserve"> </w:t>
      </w:r>
      <w:r>
        <w:t xml:space="preserve">for the role and activates it only for the time the task needs. In Microsoft Entra ID this is Privileged Identity Management (PIM), which provides just-in-time access, time-bound assignments, approval to activate, multifactor authentication at activation, justification, notifications, access reviews and audit history.</w:t>
      </w:r>
      <w:r>
        <w:rPr>
          <w:rStyle w:val="FootnoteReference"/>
        </w:rPr>
        <w:footnoteReference w:id="99"/>
      </w:r>
    </w:p>
    <w:bookmarkStart w:id="104" w:name="fig-ch02-standing-vs-eligible"/>
    <w:p>
      <w:pPr>
        <w:pStyle w:val="CaptionedFigure"/>
      </w:pPr>
      <w:r>
        <w:drawing>
          <wp:inline>
            <wp:extent cx="5334000" cy="3145692"/>
            <wp:effectExtent b="0" l="0" r="0" t="0"/>
            <wp:docPr descr="Standing versus eligible privilege: a compromised credential with a standing assignment yields the role at once; with an eligible assignment it yields nothing until an activation that checks authentication, justification and approval." title="" id="102" name="Picture"/>
            <a:graphic>
              <a:graphicData uri="http://schemas.openxmlformats.org/drawingml/2006/picture">
                <pic:pic>
                  <pic:nvPicPr>
                    <pic:cNvPr descr="/home/runner/work/modernization-workbook/modernization-workbook/docs/images/diagrams/b04-access/png/ch02-standing-vs-eligible.png" id="103" name="Picture"/>
                    <pic:cNvPicPr>
                      <a:picLocks noChangeArrowheads="1" noChangeAspect="1"/>
                    </pic:cNvPicPr>
                  </pic:nvPicPr>
                  <pic:blipFill>
                    <a:blip r:embed="rId101"/>
                    <a:stretch>
                      <a:fillRect/>
                    </a:stretch>
                  </pic:blipFill>
                  <pic:spPr bwMode="auto">
                    <a:xfrm>
                      <a:off x="0" y="0"/>
                      <a:ext cx="5334000" cy="3145692"/>
                    </a:xfrm>
                    <a:prstGeom prst="rect">
                      <a:avLst/>
                    </a:prstGeom>
                    <a:noFill/>
                    <a:ln w="9525">
                      <a:noFill/>
                      <a:headEnd/>
                      <a:tailEnd/>
                    </a:ln>
                  </pic:spPr>
                </pic:pic>
              </a:graphicData>
            </a:graphic>
          </wp:inline>
        </w:drawing>
      </w:r>
    </w:p>
    <w:p>
      <w:pPr>
        <w:pStyle w:val="ImageCaption"/>
      </w:pPr>
      <w:r>
        <w:t xml:space="preserve">Standing versus eligible privilege: a compromised credential with a standing assignment yields the role at once; with an eligible assignment it yields nothing until an activation that checks authentication, justification and approval.</w:t>
      </w:r>
    </w:p>
    <w:bookmarkEnd w:id="104"/>
    <w:p>
      <w:pPr>
        <w:pStyle w:val="BodyText"/>
      </w:pPr>
      <w:r>
        <w:t xml:space="preserve">The difference between eligible and active isn’t the rights. Microsoft’s PIM documentation is plain about it: there’s no difference in the access given to someone with a permanent assignment versus an eligible one, only that the eligible holder doesn’t have it all the time.</w:t>
      </w:r>
      <w:r>
        <w:rPr>
          <w:rStyle w:val="FootnoteReference"/>
        </w:rPr>
        <w:footnoteReference w:id="105"/>
      </w:r>
      <w:r>
        <w:t xml:space="preserve"> </w:t>
      </w:r>
      <w:r>
        <w:t xml:space="preserve">What changes is exposure. A compromised session for an eligible administrator gives an attacker the administrator’s ordinary user scope, not the role, until someone completes an activation that the attacker must also defeat. When the window ends, the role deactivates on its own; there’s no manual removal step to forget.</w:t>
      </w:r>
    </w:p>
    <w:p>
      <w:pPr>
        <w:pStyle w:val="BodyText"/>
      </w:pPr>
      <w:r>
        <w:t xml:space="preserve">Three details decide whether the activation is a real control:</w:t>
      </w:r>
    </w:p>
    <w:p>
      <w:pPr>
        <w:pStyle w:val="Compact"/>
        <w:numPr>
          <w:ilvl w:val="0"/>
          <w:numId w:val="1008"/>
        </w:numPr>
      </w:pPr>
      <w:r>
        <w:rPr>
          <w:b/>
          <w:bCs/>
        </w:rPr>
        <w:t xml:space="preserve">Strong authentication at the moment of activation.</w:t>
      </w:r>
      <w:r>
        <w:t xml:space="preserve"> </w:t>
      </w:r>
      <w:r>
        <w:t xml:space="preserve">PIM’s built-in MFA requirement asks the user to authenticate once per session, so an earlier sign-in can satisfy it.</w:t>
      </w:r>
      <w:r>
        <w:rPr>
          <w:rStyle w:val="FootnoteReference"/>
        </w:rPr>
        <w:footnoteReference w:id="106"/>
      </w:r>
      <w:r>
        <w:t xml:space="preserve"> </w:t>
      </w:r>
      <w:r>
        <w:t xml:space="preserve">To force fresh, phishing-resistant authentication at activation, the program requires a Conditional Access authentication context with an authentication strength, as Book 02, Chapter 09 sets out.</w:t>
      </w:r>
    </w:p>
    <w:p>
      <w:pPr>
        <w:pStyle w:val="Compact"/>
        <w:numPr>
          <w:ilvl w:val="0"/>
          <w:numId w:val="1008"/>
        </w:numPr>
      </w:pPr>
      <w:r>
        <w:rPr>
          <w:b/>
          <w:bCs/>
        </w:rPr>
        <w:t xml:space="preserve">Approval that isn’t self-approval.</w:t>
      </w:r>
      <w:r>
        <w:t xml:space="preserve"> </w:t>
      </w:r>
      <w:r>
        <w:t xml:space="preserve">Approvers can’t approve their own activation requests, and an approver has 24 hours to act; the window isn’t configurable, so a stale request must be resubmitted.</w:t>
      </w:r>
      <w:r>
        <w:rPr>
          <w:rStyle w:val="FootnoteReference"/>
        </w:rPr>
        <w:footnoteReference w:id="108"/>
      </w:r>
      <w:r>
        <w:t xml:space="preserve"> </w:t>
      </w:r>
      <w:r>
        <w:t xml:space="preserve">That enforces AC-5 separation between requester and approver for the roles that require approval.</w:t>
      </w:r>
    </w:p>
    <w:p>
      <w:pPr>
        <w:pStyle w:val="Compact"/>
        <w:numPr>
          <w:ilvl w:val="0"/>
          <w:numId w:val="1008"/>
        </w:numPr>
      </w:pPr>
      <w:r>
        <w:rPr>
          <w:b/>
          <w:bCs/>
        </w:rPr>
        <w:t xml:space="preserve">Durations that match tasks.</w:t>
      </w:r>
      <w:r>
        <w:t xml:space="preserve"> </w:t>
      </w:r>
      <w:r>
        <w:t xml:space="preserve">PIM lets each role set its own maximum activation time. The program’s per-role durations, approvals and ticket requirements are in Book 02, Chapter 09 and Appendix B; Chapter 08 gives the request-and-approval procedure.</w:t>
      </w:r>
    </w:p>
    <w:p>
      <w:pPr>
        <w:pStyle w:val="FirstParagraph"/>
      </w:pPr>
      <w:r>
        <w:t xml:space="preserve">PIM requires Microsoft Entra ID P2 or Microsoft Entra ID Governance licensing.</w:t>
      </w:r>
      <w:r>
        <w:rPr>
          <w:rStyle w:val="FootnoteReference"/>
        </w:rPr>
        <w:footnoteReference w:id="110"/>
      </w:r>
    </w:p>
    <w:p>
      <w:pPr>
        <w:pStyle w:val="BodyText"/>
      </w:pPr>
      <w:r>
        <w:t xml:space="preserve">Just-in-time isn’t only for directory roles. Server local administrator rights, Azure subscription Owner and Contributor, and membership in groups that guard sensitive applications are all standing privilege in most estates. PIM covers Azure resource roles and, through PIM for Groups, group membership and ownership.</w:t>
      </w:r>
      <w:r>
        <w:rPr>
          <w:rStyle w:val="FootnoteReference"/>
        </w:rPr>
        <w:footnoteReference w:id="111"/>
      </w:r>
      <w:r>
        <w:t xml:space="preserve"> </w:t>
      </w:r>
      <w:r>
        <w:t xml:space="preserve">The Federal Compliance book Vol III Book 01, Privileged Access Management carries the detailed design for server access, privileged access workstations and session controls, and Chapter 05 takes up the non-human identities, like the application in the Midnight Blizzard case, that hold privilege without a person behind them.</w:t>
      </w:r>
    </w:p>
    <w:bookmarkEnd w:id="112"/>
    <w:bookmarkStart w:id="118" w:name="break-glass-the-one-governed-exception"/>
    <w:p>
      <w:pPr>
        <w:pStyle w:val="Heading2"/>
      </w:pPr>
      <w:bookmarkStart w:id="1170" w:name="_Toc00001170"/>
      <w:r>
        <w:t xml:space="preserve">Break-glass: the one governed exception</w:t>
      </w:r>
      <w:bookmarkEnd w:id="1170"/>
    </w:p>
    <w:p>
      <w:pPr>
        <w:pStyle w:val="FirstParagraph"/>
      </w:pPr>
      <w:r>
        <w:t xml:space="preserve">Every control that blocks an administrative path also creates a way to lock the agency out of its own tenant. If federation is down, if every administrator’s MFA device is unavailable, if all privileged roles are eligible and no approver can act, or if a Conditional Access policy is misconfigured, normal administration stops. Microsoft lists exactly these cases, including the one where all Global Administrator and Privileged Role Administrator assignments are eligible, activation requires approval, and no approvers are available, which leaves tenant administration effectively locked.</w:t>
      </w:r>
      <w:r>
        <w:rPr>
          <w:rStyle w:val="FootnoteReference"/>
        </w:rPr>
        <w:footnoteReference w:id="113"/>
      </w:r>
    </w:p>
    <w:p>
      <w:pPr>
        <w:pStyle w:val="BodyText"/>
      </w:pPr>
      <w:r>
        <w:t xml:space="preserve">Emergency access (</w:t>
      </w:r>
      <w:r>
        <w:t xml:space="preserve">“break-glass”</w:t>
      </w:r>
      <w:r>
        <w:t xml:space="preserve">) accounts are the answer, and they are the only standing privilege the program accepts by design. Microsoft’s current guidance changes several details of older designs, including the ones in this workbook’s earlier pages:</w:t>
      </w:r>
      <w:r>
        <w:rPr>
          <w:rStyle w:val="FootnoteReference"/>
        </w:rPr>
        <w:footnoteReference w:id="115"/>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Earlier practice</w:t>
            </w:r>
          </w:p>
        </w:tc>
        <w:tc>
          <w:tcPr/>
          <w:p>
            <w:pPr>
              <w:pStyle w:val="Compact"/>
            </w:pPr>
            <w:r>
              <w:t xml:space="preserve">Current guidance</w:t>
            </w:r>
          </w:p>
        </w:tc>
      </w:tr>
      <w:tr>
        <w:tc>
          <w:tcPr/>
          <w:p>
            <w:pPr>
              <w:pStyle w:val="Compact"/>
            </w:pPr>
            <w:r>
              <w:t xml:space="preserve">Long, unique passwords kept in a safe</w:t>
            </w:r>
          </w:p>
        </w:tc>
        <w:tc>
          <w:tcPr/>
          <w:p>
            <w:pPr>
              <w:pStyle w:val="Compact"/>
            </w:pPr>
            <w:r>
              <w:t xml:space="preserve">Two or more cloud-only accounts in the</w:t>
            </w:r>
            <w:r>
              <w:t xml:space="preserve"> </w:t>
            </w:r>
            <w:r>
              <w:rPr>
                <w:rStyle w:val="VerbatimChar"/>
              </w:rPr>
              <w:t xml:space="preserve">onmicrosoft.com</w:t>
            </w:r>
            <w:r>
              <w:t xml:space="preserve"> </w:t>
            </w:r>
            <w:r>
              <w:t xml:space="preserve">domain, using passwordless, phishing-resistant authentication (a FIDO2 passkey, recommended, or certificate-based authentication), because mandatory MFA applies to them too</w:t>
            </w:r>
          </w:p>
        </w:tc>
      </w:tr>
      <w:tr>
        <w:tc>
          <w:tcPr/>
          <w:p>
            <w:pPr>
              <w:pStyle w:val="Compact"/>
            </w:pPr>
            <w:r>
              <w:t xml:space="preserve">Exclude the break-glass group from every Conditional Access policy</w:t>
            </w:r>
          </w:p>
        </w:tc>
        <w:tc>
          <w:tcPr/>
          <w:p>
            <w:pPr>
              <w:pStyle w:val="Compact"/>
            </w:pPr>
            <w:r>
              <w:t xml:space="preserve">Exclude a dedicated group from every policy that blocks or restricts sign-in; report-only policies don’t need the exclusion</w:t>
            </w:r>
          </w:p>
        </w:tc>
      </w:tr>
      <w:tr>
        <w:tc>
          <w:tcPr/>
          <w:p>
            <w:pPr>
              <w:pStyle w:val="Compact"/>
            </w:pPr>
            <w:r>
              <w:t xml:space="preserve">Global Administrator assignment, type unstated</w:t>
            </w:r>
          </w:p>
        </w:tc>
        <w:tc>
          <w:tcPr/>
          <w:p>
            <w:pPr>
              <w:pStyle w:val="Compact"/>
            </w:pPr>
            <w:r>
              <w:t xml:space="preserve">Global Administrator as a permanent active assignment in PIM, not eligible, because PIM may be what has failed</w:t>
            </w:r>
          </w:p>
        </w:tc>
      </w:tr>
      <w:tr>
        <w:tc>
          <w:tcPr/>
          <w:p>
            <w:pPr>
              <w:pStyle w:val="Compact"/>
            </w:pPr>
            <w:r>
              <w:t xml:space="preserve">Test periodically</w:t>
            </w:r>
          </w:p>
        </w:tc>
        <w:tc>
          <w:tcPr/>
          <w:p>
            <w:pPr>
              <w:pStyle w:val="Compact"/>
            </w:pPr>
            <w:r>
              <w:t xml:space="preserve">Validate sign-in and an administrative task at least every 90 days, and after staff changes</w:t>
            </w:r>
          </w:p>
        </w:tc>
      </w:tr>
      <w:tr>
        <w:tc>
          <w:tcPr/>
          <w:p>
            <w:pPr>
              <w:pStyle w:val="Compact"/>
            </w:pPr>
            <w:r>
              <w:t xml:space="preserve">Alert on use</w:t>
            </w:r>
          </w:p>
        </w:tc>
        <w:tc>
          <w:tcPr/>
          <w:p>
            <w:pPr>
              <w:pStyle w:val="Compact"/>
            </w:pPr>
            <w:r>
              <w:t xml:space="preserve">Alert on every sign-in and audit event, and review every use afterward as planned drill, real emergency, or misuse</w:t>
            </w:r>
          </w:p>
        </w:tc>
      </w:tr>
    </w:tbl>
    <w:p>
      <w:pPr>
        <w:pStyle w:val="BodyText"/>
      </w:pPr>
      <w:r>
        <w:t xml:space="preserve">The program adds three rules of its own. Break-glass accounts don’t share authentication methods with normal administrator accounts, as Microsoft also advises.</w:t>
      </w:r>
      <w:r>
        <w:rPr>
          <w:rStyle w:val="FootnoteReference"/>
        </w:rPr>
        <w:footnoteReference w:id="116"/>
      </w:r>
      <w:r>
        <w:t xml:space="preserve"> </w:t>
      </w:r>
      <w:r>
        <w:t xml:space="preserve">Their names don’t announce their purpose. And because NIST’s AC-2(2) expects emergency accounts to be disabled automatically after a defined period,</w:t>
      </w:r>
      <w:r>
        <w:rPr>
          <w:rStyle w:val="FootnoteReference"/>
        </w:rPr>
        <w:footnoteReference w:id="117"/>
      </w:r>
      <w:r>
        <w:t xml:space="preserve"> </w:t>
      </w:r>
      <w:r>
        <w:t xml:space="preserve">the system security plan records the permanent break-glass accounts as a documented deviation with compensating controls (monitoring, post-use review, and the 90-day validation) rather than leaving the conflict unstated. Book 02, Chapter 09 gives the configuration standard; the procedure for storage, alerting and quarterly tests is in Vol III Book 01.</w:t>
      </w:r>
    </w:p>
    <w:p>
      <w:pPr>
        <w:pStyle w:val="BodyText"/>
      </w:pPr>
      <w:r>
        <w:t xml:space="preserve">An undocumented, untested or shared break-glass account is the worst standing privilege of all: full tenant control, excluded from policy, owned by nobody. Governing it is the first thing the privileged-access project does.</w:t>
      </w:r>
    </w:p>
    <w:bookmarkEnd w:id="118"/>
    <w:bookmarkStart w:id="124" w:name="the-privileged-access-project"/>
    <w:p>
      <w:pPr>
        <w:pStyle w:val="Heading2"/>
      </w:pPr>
      <w:bookmarkStart w:id="1171" w:name="_Toc00001171"/>
      <w:r>
        <w:t xml:space="preserve">The privileged-access project</w:t>
      </w:r>
      <w:bookmarkEnd w:id="1171"/>
    </w:p>
    <w:p>
      <w:pPr>
        <w:pStyle w:val="FirstParagraph"/>
      </w:pPr>
      <w:r>
        <w:t xml:space="preserve">The program runs this work as the Privileged Access and Administrative Identity project. Its premise is the chapter’s argument: administrative identity is the root of the root and needs controls of its own.</w:t>
      </w:r>
    </w:p>
    <w:bookmarkStart w:id="119" w:name="the-problem-it-addresses"/>
    <w:p>
      <w:pPr>
        <w:pStyle w:val="Heading3"/>
      </w:pPr>
      <w:r>
        <w:t xml:space="preserve">The problem it addresses</w:t>
      </w:r>
    </w:p>
    <w:p>
      <w:pPr>
        <w:pStyle w:val="FirstParagraph"/>
      </w:pPr>
      <w:r>
        <w:t xml:space="preserve">In most estates administrative access is still standing. Privileged roles are granted permanently, service accounts and application registrations hold broad permissions, and break-glass accounts are undocumented. The consequences:</w:t>
      </w:r>
    </w:p>
    <w:p>
      <w:pPr>
        <w:pStyle w:val="Compact"/>
        <w:numPr>
          <w:ilvl w:val="0"/>
          <w:numId w:val="1009"/>
        </w:numPr>
      </w:pPr>
      <w:r>
        <w:t xml:space="preserve">A compromised administrative identity grants persistent access.</w:t>
      </w:r>
    </w:p>
    <w:p>
      <w:pPr>
        <w:pStyle w:val="Compact"/>
        <w:numPr>
          <w:ilvl w:val="0"/>
          <w:numId w:val="1009"/>
        </w:numPr>
      </w:pPr>
      <w:r>
        <w:t xml:space="preserve">Nobody can reliably answer</w:t>
      </w:r>
      <w:r>
        <w:t xml:space="preserve"> </w:t>
      </w:r>
      <w:r>
        <w:t xml:space="preserve">“who elevated, for what, and for how long?”</w:t>
      </w:r>
    </w:p>
    <w:p>
      <w:pPr>
        <w:pStyle w:val="Compact"/>
        <w:numPr>
          <w:ilvl w:val="0"/>
          <w:numId w:val="1009"/>
        </w:numPr>
      </w:pPr>
      <w:r>
        <w:t xml:space="preserve">Separation of duties is procedural rather than enforced.</w:t>
      </w:r>
    </w:p>
    <w:p>
      <w:pPr>
        <w:pStyle w:val="Compact"/>
        <w:numPr>
          <w:ilvl w:val="0"/>
          <w:numId w:val="1009"/>
        </w:numPr>
      </w:pPr>
      <w:r>
        <w:t xml:space="preserve">Non-human privileged identities have no owners and no lifecycle.</w:t>
      </w:r>
    </w:p>
    <w:bookmarkEnd w:id="119"/>
    <w:bookmarkStart w:id="120" w:name="goals"/>
    <w:p>
      <w:pPr>
        <w:pStyle w:val="Heading3"/>
      </w:pPr>
      <w:r>
        <w:t xml:space="preserve">Goals</w:t>
      </w:r>
    </w:p>
    <w:p>
      <w:pPr>
        <w:pStyle w:val="Compact"/>
        <w:numPr>
          <w:ilvl w:val="0"/>
          <w:numId w:val="1010"/>
        </w:numPr>
      </w:pPr>
      <w:r>
        <w:t xml:space="preserve">Inventory standing administrative privilege and classify it by blast radius.</w:t>
      </w:r>
    </w:p>
    <w:p>
      <w:pPr>
        <w:pStyle w:val="Compact"/>
        <w:numPr>
          <w:ilvl w:val="0"/>
          <w:numId w:val="1010"/>
        </w:numPr>
      </w:pPr>
      <w:r>
        <w:t xml:space="preserve">Introduce just-in-time elevation for at least one high-risk role class.</w:t>
      </w:r>
    </w:p>
    <w:p>
      <w:pPr>
        <w:pStyle w:val="Compact"/>
        <w:numPr>
          <w:ilvl w:val="0"/>
          <w:numId w:val="1010"/>
        </w:numPr>
      </w:pPr>
      <w:r>
        <w:t xml:space="preserve">Reduce standing privilege for that class, and document the residual standing privilege with its rationale.</w:t>
      </w:r>
    </w:p>
    <w:p>
      <w:pPr>
        <w:pStyle w:val="Compact"/>
        <w:numPr>
          <w:ilvl w:val="0"/>
          <w:numId w:val="1010"/>
        </w:numPr>
      </w:pPr>
      <w:r>
        <w:t xml:space="preserve">Govern break-glass accounts: identify them, exclude them from standard policy, and test them.</w:t>
      </w:r>
    </w:p>
    <w:p>
      <w:pPr>
        <w:pStyle w:val="Compact"/>
        <w:numPr>
          <w:ilvl w:val="0"/>
          <w:numId w:val="1010"/>
        </w:numPr>
      </w:pPr>
      <w:r>
        <w:t xml:space="preserve">Give every non-human privileged identity a human owner and a lifecycle.</w:t>
      </w:r>
    </w:p>
    <w:p>
      <w:pPr>
        <w:pStyle w:val="Compact"/>
        <w:numPr>
          <w:ilvl w:val="0"/>
          <w:numId w:val="1010"/>
        </w:numPr>
      </w:pPr>
      <w:r>
        <w:t xml:space="preserve">Enforce separation of duties for high-risk changes, so the requester is never the approver.</w:t>
      </w:r>
    </w:p>
    <w:p>
      <w:pPr>
        <w:pStyle w:val="Compact"/>
        <w:numPr>
          <w:ilvl w:val="0"/>
          <w:numId w:val="1010"/>
        </w:numPr>
      </w:pPr>
      <w:r>
        <w:t xml:space="preserve">Emit evidence for every privileged elevation and administrative change.</w:t>
      </w:r>
    </w:p>
    <w:p>
      <w:pPr>
        <w:pStyle w:val="FirstParagraph"/>
      </w:pPr>
      <w:r>
        <w:t xml:space="preserve">The initial phase deliberately doesn’t try to eliminate all standing privilege, extend privileged access management to every application tier, or cover physical and facilities access.</w:t>
      </w:r>
    </w:p>
    <w:bookmarkEnd w:id="120"/>
    <w:bookmarkStart w:id="121" w:name="principles"/>
    <w:p>
      <w:pPr>
        <w:pStyle w:val="Heading3"/>
      </w:pPr>
      <w:r>
        <w:t xml:space="preserve">Principles</w:t>
      </w:r>
    </w:p>
    <w:p>
      <w:pPr>
        <w:pStyle w:val="Compact"/>
        <w:numPr>
          <w:ilvl w:val="0"/>
          <w:numId w:val="1011"/>
        </w:numPr>
      </w:pPr>
      <w:r>
        <w:rPr>
          <w:b/>
          <w:bCs/>
        </w:rPr>
        <w:t xml:space="preserve">Just in time, not standing.</w:t>
      </w:r>
      <w:r>
        <w:t xml:space="preserve"> </w:t>
      </w:r>
      <w:r>
        <w:t xml:space="preserve">Elevated rights exist only for the duration and scope of a governed change.</w:t>
      </w:r>
    </w:p>
    <w:p>
      <w:pPr>
        <w:pStyle w:val="Compact"/>
        <w:numPr>
          <w:ilvl w:val="0"/>
          <w:numId w:val="1011"/>
        </w:numPr>
      </w:pPr>
      <w:r>
        <w:rPr>
          <w:b/>
          <w:bCs/>
        </w:rPr>
        <w:t xml:space="preserve">Break-glass is governed.</w:t>
      </w:r>
      <w:r>
        <w:t xml:space="preserve"> </w:t>
      </w:r>
      <w:r>
        <w:t xml:space="preserve">It’s identified, excluded and tested, not an unwritten exception.</w:t>
      </w:r>
    </w:p>
    <w:p>
      <w:pPr>
        <w:pStyle w:val="Compact"/>
        <w:numPr>
          <w:ilvl w:val="0"/>
          <w:numId w:val="1011"/>
        </w:numPr>
      </w:pPr>
      <w:r>
        <w:rPr>
          <w:b/>
          <w:bCs/>
        </w:rPr>
        <w:t xml:space="preserve">Separation of duties is enforced.</w:t>
      </w:r>
      <w:r>
        <w:t xml:space="preserve"> </w:t>
      </w:r>
      <w:r>
        <w:t xml:space="preserve">Requester and approver are distinct for high-risk changes.</w:t>
      </w:r>
    </w:p>
    <w:p>
      <w:pPr>
        <w:pStyle w:val="Compact"/>
        <w:numPr>
          <w:ilvl w:val="0"/>
          <w:numId w:val="1011"/>
        </w:numPr>
      </w:pPr>
      <w:r>
        <w:rPr>
          <w:b/>
          <w:bCs/>
        </w:rPr>
        <w:t xml:space="preserve">Non-human identities have owners.</w:t>
      </w:r>
      <w:r>
        <w:t xml:space="preserve"> </w:t>
      </w:r>
      <w:r>
        <w:t xml:space="preserve">Every privileged service account or application registration resolves to a human owner.</w:t>
      </w:r>
    </w:p>
    <w:p>
      <w:pPr>
        <w:pStyle w:val="Compact"/>
        <w:numPr>
          <w:ilvl w:val="0"/>
          <w:numId w:val="1011"/>
        </w:numPr>
      </w:pPr>
      <w:r>
        <w:rPr>
          <w:b/>
          <w:bCs/>
        </w:rPr>
        <w:t xml:space="preserve">No elevation without evidence.</w:t>
      </w:r>
      <w:r>
        <w:t xml:space="preserve"> </w:t>
      </w:r>
      <w:r>
        <w:t xml:space="preserve">Every privileged action produces a provenance record.</w:t>
      </w:r>
    </w:p>
    <w:bookmarkEnd w:id="121"/>
    <w:bookmarkStart w:id="122" w:name="phases"/>
    <w:p>
      <w:pPr>
        <w:pStyle w:val="Heading3"/>
      </w:pPr>
      <w:r>
        <w:t xml:space="preserve">Phases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Work</w:t>
            </w:r>
          </w:p>
        </w:tc>
        <w:tc>
          <w:tcPr/>
          <w:p>
            <w:pPr>
              <w:pStyle w:val="Compact"/>
            </w:pPr>
            <w:r>
              <w:t xml:space="preserve">Done when</w:t>
            </w:r>
          </w:p>
        </w:tc>
      </w:tr>
      <w:tr>
        <w:tc>
          <w:tcPr/>
          <w:p>
            <w:pPr>
              <w:pStyle w:val="Compact"/>
            </w:pPr>
            <w:r>
              <w:t xml:space="preserve">0. Charter and alignment</w:t>
            </w:r>
          </w:p>
        </w:tc>
        <w:tc>
          <w:tcPr/>
          <w:p>
            <w:pPr>
              <w:pStyle w:val="Compact"/>
            </w:pPr>
            <w:r>
              <w:t xml:space="preserve">Confirm scope, the first role class, and evidence expectations</w:t>
            </w:r>
          </w:p>
        </w:tc>
        <w:tc>
          <w:tcPr/>
          <w:p>
            <w:pPr>
              <w:pStyle w:val="Compact"/>
            </w:pPr>
            <w:r>
              <w:t xml:space="preserve">Sponsor, lead and domain leads named</w:t>
            </w:r>
          </w:p>
        </w:tc>
      </w:tr>
      <w:tr>
        <w:tc>
          <w:tcPr/>
          <w:p>
            <w:pPr>
              <w:pStyle w:val="Compact"/>
            </w:pPr>
            <w:r>
              <w:t xml:space="preserve">1. Inventory</w:t>
            </w:r>
          </w:p>
        </w:tc>
        <w:tc>
          <w:tcPr/>
          <w:p>
            <w:pPr>
              <w:pStyle w:val="Compact"/>
            </w:pPr>
            <w:r>
              <w:t xml:space="preserve">Catalog standing administrative privilege by blast radius; inventory non-human privileged identities and break-glass accounts</w:t>
            </w:r>
          </w:p>
        </w:tc>
        <w:tc>
          <w:tcPr/>
          <w:p>
            <w:pPr>
              <w:pStyle w:val="Compact"/>
            </w:pPr>
            <w:r>
              <w:t xml:space="preserve">Every privileged assignment and identity has a row and a classification</w:t>
            </w:r>
          </w:p>
        </w:tc>
      </w:tr>
      <w:tr>
        <w:tc>
          <w:tcPr/>
          <w:p>
            <w:pPr>
              <w:pStyle w:val="Compact"/>
            </w:pPr>
            <w:r>
              <w:t xml:space="preserve">2. Just-in-time elevation</w:t>
            </w:r>
          </w:p>
        </w:tc>
        <w:tc>
          <w:tcPr/>
          <w:p>
            <w:pPr>
              <w:pStyle w:val="Compact"/>
            </w:pPr>
            <w:r>
              <w:t xml:space="preserve">Introduce eligible assignments and activation for one high-risk role class; document and test break-glass</w:t>
            </w:r>
          </w:p>
        </w:tc>
        <w:tc>
          <w:tcPr/>
          <w:p>
            <w:pPr>
              <w:pStyle w:val="Compact"/>
            </w:pPr>
            <w:r>
              <w:t xml:space="preserve">The role class is used through activation, and break-glass has passed a test</w:t>
            </w:r>
          </w:p>
        </w:tc>
      </w:tr>
      <w:tr>
        <w:tc>
          <w:tcPr/>
          <w:p>
            <w:pPr>
              <w:pStyle w:val="Compact"/>
            </w:pPr>
            <w:r>
              <w:t xml:space="preserve">3. Reduction and ownership</w:t>
            </w:r>
          </w:p>
        </w:tc>
        <w:tc>
          <w:tcPr/>
          <w:p>
            <w:pPr>
              <w:pStyle w:val="Compact"/>
            </w:pPr>
            <w:r>
              <w:t xml:space="preserve">Remove standing privilege for the class where safe; assign owners to non-human identities; enforce separation of duties for one high-risk change class</w:t>
            </w:r>
          </w:p>
        </w:tc>
        <w:tc>
          <w:tcPr/>
          <w:p>
            <w:pPr>
              <w:pStyle w:val="Compact"/>
            </w:pPr>
            <w:r>
              <w:t xml:space="preserve">Residual standing privilege documented; owners named; requester-approver rule enforced</w:t>
            </w:r>
          </w:p>
        </w:tc>
      </w:tr>
      <w:tr>
        <w:tc>
          <w:tcPr/>
          <w:p>
            <w:pPr>
              <w:pStyle w:val="Compact"/>
            </w:pPr>
            <w:r>
              <w:t xml:space="preserve">4. Evidence</w:t>
            </w:r>
          </w:p>
        </w:tc>
        <w:tc>
          <w:tcPr/>
          <w:p>
            <w:pPr>
              <w:pStyle w:val="Compact"/>
            </w:pPr>
            <w:r>
              <w:t xml:space="preserve">Emit provenance for elevations and high-risk changes; transfer ownership of residual risk</w:t>
            </w:r>
          </w:p>
        </w:tc>
        <w:tc>
          <w:tcPr/>
          <w:p>
            <w:pPr>
              <w:pStyle w:val="Compact"/>
            </w:pPr>
            <w:r>
              <w:t xml:space="preserve">Evidence is available for every elevation in the pilot</w:t>
            </w:r>
          </w:p>
        </w:tc>
      </w:tr>
    </w:tbl>
    <w:bookmarkEnd w:id="122"/>
    <w:bookmarkStart w:id="123" w:name="risks-to-plan-for"/>
    <w:p>
      <w:pPr>
        <w:pStyle w:val="Heading3"/>
      </w:pPr>
      <w:r>
        <w:t xml:space="preserve">Risks to plan for</w:t>
      </w:r>
    </w:p>
    <w:p>
      <w:pPr>
        <w:pStyle w:val="Compact"/>
        <w:numPr>
          <w:ilvl w:val="0"/>
          <w:numId w:val="1012"/>
        </w:numPr>
      </w:pPr>
      <w:r>
        <w:t xml:space="preserve">Operational resistance to just-in-time elevation for critical roles. Durations and approvals that are too strict push administrators toward workarounds; Chapter 06 assigns who decides these settings.</w:t>
      </w:r>
    </w:p>
    <w:p>
      <w:pPr>
        <w:pStyle w:val="Compact"/>
        <w:numPr>
          <w:ilvl w:val="0"/>
          <w:numId w:val="1012"/>
        </w:numPr>
      </w:pPr>
      <w:r>
        <w:t xml:space="preserve">Legacy systems that need standing service accounts and can’t be converted at once. These go into the residual register, with owners and compensating controls.</w:t>
      </w:r>
    </w:p>
    <w:p>
      <w:pPr>
        <w:pStyle w:val="Compact"/>
        <w:numPr>
          <w:ilvl w:val="0"/>
          <w:numId w:val="1012"/>
        </w:numPr>
      </w:pPr>
      <w:r>
        <w:t xml:space="preserve">Break-glass accounts that are unknown or shared.</w:t>
      </w:r>
    </w:p>
    <w:p>
      <w:pPr>
        <w:pStyle w:val="Compact"/>
        <w:numPr>
          <w:ilvl w:val="0"/>
          <w:numId w:val="1012"/>
        </w:numPr>
      </w:pPr>
      <w:r>
        <w:t xml:space="preserve">Separation of duties that conflicts with small-team operations, where there may be no second qualified approver.</w:t>
      </w:r>
    </w:p>
    <w:p>
      <w:pPr>
        <w:pStyle w:val="FirstParagraph"/>
      </w:pPr>
      <w:r>
        <w:t xml:space="preserve">The project assumes that an elevation mechanism such as PIM is available or can be introduced, and that stakeholders accept standing administrative privilege as a residual risk to reduce, not a permanent design.</w:t>
      </w:r>
    </w:p>
    <w:bookmarkEnd w:id="123"/>
    <w:bookmarkEnd w:id="124"/>
    <w:bookmarkStart w:id="128" w:name="the-argument-in-brief-1"/>
    <w:p>
      <w:pPr>
        <w:pStyle w:val="Heading2"/>
      </w:pPr>
      <w:bookmarkStart w:id="1172" w:name="_Toc00001172"/>
      <w:r>
        <w:t xml:space="preserve">The argument in brief</w:t>
      </w:r>
      <w:bookmarkEnd w:id="1172"/>
    </w:p>
    <w:p>
      <w:pPr>
        <w:pStyle w:val="Compact"/>
        <w:numPr>
          <w:ilvl w:val="0"/>
          <w:numId w:val="1013"/>
        </w:numPr>
      </w:pPr>
      <w:r>
        <w:t xml:space="preserve">Standing administrative rights are always on, so any stolen credential or session that reaches them yields the full role at any hour. NSA and CISA rank poor separation of user and administrator privilege among the most common misconfigurations they find.</w:t>
      </w:r>
      <w:r>
        <w:rPr>
          <w:rStyle w:val="FootnoteReference"/>
        </w:rPr>
        <w:footnoteReference w:id="125"/>
      </w:r>
    </w:p>
    <w:p>
      <w:pPr>
        <w:pStyle w:val="Compact"/>
        <w:numPr>
          <w:ilvl w:val="0"/>
          <w:numId w:val="1013"/>
        </w:numPr>
      </w:pPr>
      <w:r>
        <w:t xml:space="preserve">Stronger authentication doesn’t change scope. Least privilege needs limits on what, where and when, and authentication controls none of them.</w:t>
      </w:r>
    </w:p>
    <w:p>
      <w:pPr>
        <w:pStyle w:val="Compact"/>
        <w:numPr>
          <w:ilvl w:val="0"/>
          <w:numId w:val="1013"/>
        </w:numPr>
      </w:pPr>
      <w:r>
        <w:t xml:space="preserve">NIST SP 800-53 AC-6 and its enhancements require least privilege, restricted privileged accounts, recurring privilege reviews and logged privileged functions; CISA’s maturity model defines the path from permanent access to just-in-time, just-enough access.</w:t>
      </w:r>
      <w:r>
        <w:rPr>
          <w:rStyle w:val="FootnoteReference"/>
        </w:rPr>
        <w:footnoteReference w:id="126"/>
      </w:r>
      <w:r>
        <w:rPr>
          <w:rStyle w:val="FootnoteReference"/>
        </w:rPr>
        <w:footnoteReference w:id="127"/>
      </w:r>
    </w:p>
    <w:p>
      <w:pPr>
        <w:pStyle w:val="Compact"/>
        <w:numPr>
          <w:ilvl w:val="0"/>
          <w:numId w:val="1013"/>
        </w:numPr>
      </w:pPr>
      <w:r>
        <w:t xml:space="preserve">Just-enough administration narrows the role and scope; just-in-time activation through PIM narrows the time, adds approval by someone other than the requester, and leaves a log.</w:t>
      </w:r>
    </w:p>
    <w:p>
      <w:pPr>
        <w:pStyle w:val="Compact"/>
        <w:numPr>
          <w:ilvl w:val="0"/>
          <w:numId w:val="1013"/>
        </w:numPr>
      </w:pPr>
      <w:r>
        <w:t xml:space="preserve">Break-glass accounts are the one standing exception, and they are safe only when they are governed: phishing-resistant, monitored, tested every 90 days, and documented.</w:t>
      </w:r>
    </w:p>
    <w:p>
      <w:pPr>
        <w:pStyle w:val="Compact"/>
        <w:numPr>
          <w:ilvl w:val="0"/>
          <w:numId w:val="1013"/>
        </w:numPr>
      </w:pPr>
      <w:r>
        <w:t xml:space="preserve">The privileged-access project makes this concrete for one high-risk role class first, and records every elevation as evidence. The What chapters, starting with Chapter 03, describe the mechanisms in detail.</w:t>
      </w:r>
    </w:p>
    <w:bookmarkEnd w:id="128"/>
    <w:bookmarkStart w:id="129" w:name="continue-the-book-1"/>
    <w:p>
      <w:pPr>
        <w:pStyle w:val="Heading2"/>
      </w:pPr>
      <w:bookmarkStart w:id="1173" w:name="_Toc00001173"/>
      <w:r>
        <w:t xml:space="preserve">Continue the book</w:t>
      </w:r>
      <w:bookmarkEnd w:id="1173"/>
    </w:p>
    <w:p>
      <w:pPr>
        <w:pStyle w:val="FirstParagraph"/>
      </w:pPr>
      <w:r>
        <w:t xml:space="preserve">← Previous: Chapter 01 — Access Is a Policy Decision · Book index · Next: Chapter 03 — The Conditional Access Model →</w:t>
      </w:r>
    </w:p>
    <w:bookmarkEnd w:id="129"/>
    <w:bookmarkEnd w:id="130"/>
    <w:bookmarkStart w:id="278" w:name="chapter-03-the-conditional-access-model"/>
    <w:p>
      <w:pPr>
        <w:pStyle w:val="Heading1"/>
      </w:pPr>
      <w:bookmarkStart w:id="1174" w:name="_Toc00001174"/>
      <w:r>
        <w:t xml:space="preserve">Chapter 03 — The Conditional Access Model</w:t>
      </w:r>
      <w:bookmarkEnd w:id="1174"/>
    </w:p>
    <w:p>
      <w:pPr>
        <w:pStyle w:val="FirstParagraph"/>
      </w:pPr>
      <w:r>
        <w:rPr>
          <w:i/>
          <w:iCs/>
        </w:rPr>
        <w:t xml:space="preserve">Conditional Access has no rule order to lean on: every policy that matches a sign-in applies at once, so a policy set is only as good as the way its policies combine.</w:t>
      </w:r>
    </w:p>
    <w:bookmarkStart w:id="131" w:name="in-this-chapter-2"/>
    <w:p>
      <w:pPr>
        <w:pStyle w:val="Heading2"/>
      </w:pPr>
      <w:bookmarkStart w:id="1175" w:name="_Toc00001175"/>
      <w:r>
        <w:t xml:space="preserve">In this chapter</w:t>
      </w:r>
      <w:bookmarkEnd w:id="1175"/>
    </w:p>
    <w:p>
      <w:pPr>
        <w:pStyle w:val="FirstParagraph"/>
      </w:pPr>
      <w:r>
        <w:t xml:space="preserve">What a Conditional Access policy is made of, and how Microsoft Entra ID evaluates the policies that match a sign-in. The signals a policy can test, the grant and session controls it can require, and how authentication strengths, report-only mode and exclusions behave. Then the program’s baseline principles, its policy naming convention and the persona model that every policy in Chapter 07 is built on. Chapter 01 makes the argument for policy-based access; this chapter is the mechanism.</w:t>
      </w:r>
    </w:p>
    <w:bookmarkEnd w:id="131"/>
    <w:p>
      <w:pPr>
        <w:pStyle w:val="BodyText"/>
      </w:pPr>
      <w:r>
        <w:t xml:space="preserve">A Conditional Access policy is an if-then statement. The</w:t>
      </w:r>
      <w:r>
        <w:t xml:space="preserve"> </w:t>
      </w:r>
      <w:r>
        <w:t xml:space="preserve">“if”</w:t>
      </w:r>
      <w:r>
        <w:t xml:space="preserve"> </w:t>
      </w:r>
      <w:r>
        <w:t xml:space="preserve">is a set of</w:t>
      </w:r>
      <w:r>
        <w:t xml:space="preserve"> </w:t>
      </w:r>
      <w:r>
        <w:rPr>
          <w:b/>
          <w:bCs/>
        </w:rPr>
        <w:t xml:space="preserve">assignments</w:t>
      </w:r>
      <w:r>
        <w:t xml:space="preserve">: who is signing in, what they’re signing in to, from where, and under what conditions. The</w:t>
      </w:r>
      <w:r>
        <w:t xml:space="preserve"> </w:t>
      </w:r>
      <w:r>
        <w:t xml:space="preserve">“then”</w:t>
      </w:r>
      <w:r>
        <w:t xml:space="preserve"> </w:t>
      </w:r>
      <w:r>
        <w:t xml:space="preserve">is a set of</w:t>
      </w:r>
      <w:r>
        <w:t xml:space="preserve"> </w:t>
      </w:r>
      <w:r>
        <w:rPr>
          <w:b/>
          <w:bCs/>
        </w:rPr>
        <w:t xml:space="preserve">access controls</w:t>
      </w:r>
      <w:r>
        <w:t xml:space="preserve">: block, grant with requirements, or limit the session.</w:t>
      </w:r>
      <w:r>
        <w:rPr>
          <w:rStyle w:val="FootnoteReference"/>
        </w:rPr>
        <w:footnoteReference w:id="132"/>
      </w:r>
      <w:r>
        <w:t xml:space="preserve"> </w:t>
      </w:r>
      <w:r>
        <w:t xml:space="preserve">Everything else in this chapter follows from three properties of that statement. Policies apply in parallel, not in sequence. A block anywhere wins. And a sign-in that no policy’s conditions match gets a token by default.</w:t>
      </w:r>
      <w:r>
        <w:rPr>
          <w:rStyle w:val="FootnoteReference"/>
        </w:rPr>
        <w:footnoteReference w:id="133"/>
      </w:r>
    </w:p>
    <w:p>
      <w:pPr>
        <w:pStyle w:val="BodyText"/>
      </w:pPr>
      <w:r>
        <w:t xml:space="preserve">The figure shows the path a sign-in takes through the policies that could apply to it.</w:t>
      </w:r>
    </w:p>
    <w:bookmarkStart w:id="138" w:name="fig-ch03-evaluation-flow"/>
    <w:p>
      <w:pPr>
        <w:pStyle w:val="CaptionedFigure"/>
      </w:pPr>
      <w:r>
        <w:drawing>
          <wp:inline>
            <wp:extent cx="5294902" cy="8339710"/>
            <wp:effectExtent b="0" l="0" r="0" t="0"/>
            <wp:docPr descr="How Conditional Access evaluates a sign-in: after first-factor authentication, session details are collected, applicable policies are found, any block ends the sign-in, and unmet grant controls are prompted before session controls apply and a token is issued." title="" id="136" name="Picture"/>
            <a:graphic>
              <a:graphicData uri="http://schemas.openxmlformats.org/drawingml/2006/picture">
                <pic:pic>
                  <pic:nvPicPr>
                    <pic:cNvPr descr="/home/runner/work/modernization-workbook/modernization-workbook/docs/images/diagrams/b04-access/png/ch03-evaluation-flow.png" id="137" name="Picture"/>
                    <pic:cNvPicPr>
                      <a:picLocks noChangeArrowheads="1" noChangeAspect="1"/>
                    </pic:cNvPicPr>
                  </pic:nvPicPr>
                  <pic:blipFill>
                    <a:blip r:embed="rId135"/>
                    <a:stretch>
                      <a:fillRect/>
                    </a:stretch>
                  </pic:blipFill>
                  <pic:spPr bwMode="auto">
                    <a:xfrm>
                      <a:off x="0" y="0"/>
                      <a:ext cx="5294902" cy="8339710"/>
                    </a:xfrm>
                    <a:prstGeom prst="rect">
                      <a:avLst/>
                    </a:prstGeom>
                    <a:noFill/>
                    <a:ln w="9525">
                      <a:noFill/>
                      <a:headEnd/>
                      <a:tailEnd/>
                    </a:ln>
                  </pic:spPr>
                </pic:pic>
              </a:graphicData>
            </a:graphic>
          </wp:inline>
        </w:drawing>
      </w:r>
    </w:p>
    <w:p>
      <w:pPr>
        <w:pStyle w:val="ImageCaption"/>
      </w:pPr>
      <w:r>
        <w:t xml:space="preserve">How Conditional Access evaluates a sign-in: after first-factor authentication, session details are collected, applicable policies are found, any block ends the sign-in, and unmet grant controls are prompted before session controls apply and a token is issued.</w:t>
      </w:r>
    </w:p>
    <w:bookmarkEnd w:id="138"/>
    <w:bookmarkStart w:id="149" w:name="what-a-policy-is-made-of"/>
    <w:p>
      <w:pPr>
        <w:pStyle w:val="Heading2"/>
      </w:pPr>
      <w:bookmarkStart w:id="1176" w:name="_Toc00001176"/>
      <w:r>
        <w:t xml:space="preserve">What a policy is made of</w:t>
      </w:r>
      <w:bookmarkEnd w:id="1176"/>
    </w:p>
    <w:p>
      <w:pPr>
        <w:pStyle w:val="FirstParagraph"/>
      </w:pPr>
      <w:r>
        <w:t xml:space="preserve">A policy that can be enforced needs at least a name, a user or workload identity assignment, a target resource, and a grant or block control.</w:t>
      </w:r>
      <w:r>
        <w:rPr>
          <w:rStyle w:val="FootnoteReference"/>
        </w:rPr>
        <w:footnoteReference w:id="139"/>
      </w:r>
      <w:r>
        <w:t xml:space="preserve"> </w:t>
      </w:r>
      <w:r>
        <w:t xml:space="preserve">Conditional Access requires Microsoft Entra ID P1. Policies that use sign-in risk or user risk need Microsoft Entra ID P2, and policies that target workload identities need Workload ID Premium. When a license lapses, existing policies keep enforcing but can’t be edited.</w:t>
      </w:r>
      <w:r>
        <w:rPr>
          <w:rStyle w:val="FootnoteReference"/>
        </w:rPr>
        <w:footnoteReference w:id="140"/>
      </w:r>
      <w:r>
        <w:rPr>
          <w:rStyle w:val="FootnoteReference"/>
        </w:rPr>
        <w:footnoteReference w:id="142"/>
      </w:r>
    </w:p>
    <w:p>
      <w:pPr>
        <w:pStyle w:val="BodyText"/>
      </w:pPr>
      <w:r>
        <w:t xml:space="preserve">Two facts about where Conditional Access sits matter for design. It runs</w:t>
      </w:r>
      <w:r>
        <w:t xml:space="preserve"> </w:t>
      </w:r>
      <w:r>
        <w:rPr>
          <w:b/>
          <w:bCs/>
        </w:rPr>
        <w:t xml:space="preserve">after first-factor authentication</w:t>
      </w:r>
      <w:r>
        <w:t xml:space="preserve">, so it isn’t a front-line defense against password spray or denial of service, though it can act on the signals those attacks produce.</w:t>
      </w:r>
      <w:r>
        <w:rPr>
          <w:rStyle w:val="FootnoteReference"/>
        </w:rPr>
        <w:footnoteReference w:id="144"/>
      </w:r>
      <w:r>
        <w:t xml:space="preserve"> </w:t>
      </w:r>
      <w:r>
        <w:t xml:space="preserve">And it evaluates</w:t>
      </w:r>
      <w:r>
        <w:t xml:space="preserve"> </w:t>
      </w:r>
      <w:r>
        <w:rPr>
          <w:b/>
          <w:bCs/>
        </w:rPr>
        <w:t xml:space="preserve">token requests</w:t>
      </w:r>
      <w:r>
        <w:t xml:space="preserve">, not sessions in progress: a policy is checked when a user signs in and when an application uses a refresh token to get a new access token, which for modern clients happens about once an hour.</w:t>
      </w:r>
      <w:r>
        <w:rPr>
          <w:rStyle w:val="FootnoteReference"/>
        </w:rPr>
        <w:footnoteReference w:id="146"/>
      </w:r>
      <w:r>
        <w:t xml:space="preserve"> </w:t>
      </w:r>
      <w:r>
        <w:t xml:space="preserve">Continuous Access Evaluation (CAE) closes part of that gap. Services that support it, initially Exchange Online, SharePoint Online and Teams, subscribe to critical events (account disabled or deleted, password changed or reset, MFA enabled, refresh tokens revoked, high user risk) and enforce them in near real time, typically within 15 minutes, and enforce IP-location policy changes immediately.</w:t>
      </w:r>
      <w:r>
        <w:rPr>
          <w:rStyle w:val="FootnoteReference"/>
        </w:rPr>
        <w:footnoteReference w:id="147"/>
      </w:r>
    </w:p>
    <w:bookmarkEnd w:id="149"/>
    <w:bookmarkStart w:id="186" w:name="assignments-the-signals-a-policy-tests"/>
    <w:p>
      <w:pPr>
        <w:pStyle w:val="Heading2"/>
      </w:pPr>
      <w:bookmarkStart w:id="1177" w:name="_Toc00001177"/>
      <w:r>
        <w:t xml:space="preserve">Assignments: the signals a policy tests</w:t>
      </w:r>
      <w:bookmarkEnd w:id="1177"/>
    </w:p>
    <w:bookmarkStart w:id="158" w:name="X4500aa6e27f6244cb6864b8abd6e5908fb07520"/>
    <w:p>
      <w:pPr>
        <w:pStyle w:val="Heading3"/>
      </w:pPr>
      <w:r>
        <w:t xml:space="preserve">Users, groups, roles and workload identities</w:t>
      </w:r>
    </w:p>
    <w:p>
      <w:pPr>
        <w:pStyle w:val="FirstParagraph"/>
      </w:pPr>
      <w:r>
        <w:t xml:space="preserve">A policy includes and excludes identities. The options are all users (which includes B2B guests), specific users and groups, built-in directory roles, and six types of guest or external user that can be scoped to specific partner tenants.</w:t>
      </w:r>
      <w:r>
        <w:rPr>
          <w:rStyle w:val="FootnoteReference"/>
        </w:rPr>
        <w:footnoteReference w:id="150"/>
      </w:r>
      <w:r>
        <w:t xml:space="preserve"> </w:t>
      </w:r>
      <w:r>
        <w:t xml:space="preserve">Four behaviors shape targeting:</w:t>
      </w:r>
    </w:p>
    <w:p>
      <w:pPr>
        <w:pStyle w:val="Compact"/>
        <w:numPr>
          <w:ilvl w:val="0"/>
          <w:numId w:val="1014"/>
        </w:numPr>
      </w:pPr>
      <w:r>
        <w:rPr>
          <w:b/>
          <w:bCs/>
        </w:rPr>
        <w:t xml:space="preserve">Exclusion overrides inclusion.</w:t>
      </w:r>
      <w:r>
        <w:t xml:space="preserve"> </w:t>
      </w:r>
      <w:r>
        <w:t xml:space="preserve">A user who is both included and excluded is excluded.</w:t>
      </w:r>
      <w:r>
        <w:rPr>
          <w:rStyle w:val="FootnoteReference"/>
        </w:rPr>
        <w:footnoteReference w:id="151"/>
      </w:r>
    </w:p>
    <w:p>
      <w:pPr>
        <w:pStyle w:val="Compact"/>
        <w:numPr>
          <w:ilvl w:val="0"/>
          <w:numId w:val="1014"/>
        </w:numPr>
      </w:pPr>
      <w:r>
        <w:rPr>
          <w:b/>
          <w:bCs/>
        </w:rPr>
        <w:t xml:space="preserve">Role targeting covers built-in roles only.</w:t>
      </w:r>
      <w:r>
        <w:t xml:space="preserve"> </w:t>
      </w:r>
      <w:r>
        <w:t xml:space="preserve">Roles scoped to an administrative unit and custom roles aren’t supported, which is why the program targets administrators with a group rather than by role alone (Book 02, Chapter 09).</w:t>
      </w:r>
      <w:r>
        <w:rPr>
          <w:rStyle w:val="FootnoteReference"/>
        </w:rPr>
        <w:footnoteReference w:id="152"/>
      </w:r>
    </w:p>
    <w:p>
      <w:pPr>
        <w:pStyle w:val="Compact"/>
        <w:numPr>
          <w:ilvl w:val="0"/>
          <w:numId w:val="1014"/>
        </w:numPr>
      </w:pPr>
      <w:r>
        <w:rPr>
          <w:b/>
          <w:bCs/>
        </w:rPr>
        <w:t xml:space="preserve">Group and role targeting is evaluated at token issuance.</w:t>
      </w:r>
      <w:r>
        <w:t xml:space="preserve"> </w:t>
      </w:r>
      <w:r>
        <w:t xml:space="preserve">A user added to a targeted group isn’t subject to the policy until they get a new token. Microsoft’s recommendation for privileged roles is to trigger evaluation at activation, using PIM’s authentication context setting (Chapter 08).</w:t>
      </w:r>
      <w:r>
        <w:rPr>
          <w:rStyle w:val="FootnoteReference"/>
        </w:rPr>
        <w:footnoteReference w:id="153"/>
      </w:r>
    </w:p>
    <w:p>
      <w:pPr>
        <w:pStyle w:val="Compact"/>
        <w:numPr>
          <w:ilvl w:val="0"/>
          <w:numId w:val="1014"/>
        </w:numPr>
      </w:pPr>
      <w:r>
        <w:rPr>
          <w:b/>
          <w:bCs/>
        </w:rPr>
        <w:t xml:space="preserve">Groups are the unit of scale.</w:t>
      </w:r>
      <w:r>
        <w:t xml:space="preserve"> </w:t>
      </w:r>
      <w:r>
        <w:t xml:space="preserve">Policies apply to nested members, and any group type works, including dynamic groups. Policies have a limit on directly listed users, and a user in more than 2,048 groups, directly or through nesting, may be blocked.</w:t>
      </w:r>
      <w:r>
        <w:rPr>
          <w:rStyle w:val="FootnoteReference"/>
        </w:rPr>
        <w:footnoteReference w:id="154"/>
      </w:r>
    </w:p>
    <w:p>
      <w:pPr>
        <w:pStyle w:val="FirstParagraph"/>
      </w:pPr>
      <w:r>
        <w:t xml:space="preserve">Workload identities are a separate assignment. Policies can target single-tenant service principals registered in the tenant; Microsoft and third-party multitenant applications and managed identities aren’t covered. A service principal must be assigned to the policy directly, because a policy assigned to a group that contains a service principal isn’t enforced for it. The only grant available is</w:t>
      </w:r>
      <w:r>
        <w:t xml:space="preserve"> </w:t>
      </w:r>
      <w:r>
        <w:rPr>
          <w:b/>
          <w:bCs/>
        </w:rPr>
        <w:t xml:space="preserve">Block</w:t>
      </w:r>
      <w:r>
        <w:t xml:space="preserve">, on location, service principal risk, or with authentication contexts.</w:t>
      </w:r>
      <w:r>
        <w:rPr>
          <w:rStyle w:val="FootnoteReference"/>
        </w:rPr>
        <w:footnoteReference w:id="155"/>
      </w:r>
      <w:r>
        <w:t xml:space="preserve"> </w:t>
      </w:r>
      <w:r>
        <w:t xml:space="preserve">Chapter 05 covers the identities themselves.</w:t>
      </w:r>
    </w:p>
    <w:p>
      <w:pPr>
        <w:pStyle w:val="BodyText"/>
      </w:pPr>
      <w:r>
        <w:t xml:space="preserve">Policies can also target agent identities and agents acting as users. Those targets are in preview and support a narrower set of controls: agent identities support only Block.</w:t>
      </w:r>
      <w:r>
        <w:rPr>
          <w:rStyle w:val="FootnoteReference"/>
        </w:rPr>
        <w:footnoteReference w:id="156"/>
      </w:r>
      <w:r>
        <w:t xml:space="preserve"> </w:t>
      </w:r>
      <w:r>
        <w:t xml:space="preserve">The program doesn’t build on preview targets; it records them as watch items.</w:t>
      </w:r>
    </w:p>
    <w:bookmarkEnd w:id="158"/>
    <w:bookmarkStart w:id="168" w:name="target-resources"/>
    <w:p>
      <w:pPr>
        <w:pStyle w:val="Heading3"/>
      </w:pPr>
      <w:r>
        <w:t xml:space="preserve">Target resources</w:t>
      </w:r>
    </w:p>
    <w:p>
      <w:pPr>
        <w:pStyle w:val="FirstParagraph"/>
      </w:pPr>
      <w:r>
        <w:t xml:space="preserve">The target can be applications, user actions, or authentication contexts.</w:t>
      </w:r>
      <w:r>
        <w:rPr>
          <w:rStyle w:val="FootnoteReference"/>
        </w:rPr>
        <w:footnoteReference w:id="159"/>
      </w:r>
    </w:p>
    <w:p>
      <w:pPr>
        <w:pStyle w:val="Compact"/>
        <w:numPr>
          <w:ilvl w:val="0"/>
          <w:numId w:val="1015"/>
        </w:numPr>
      </w:pPr>
      <w:r>
        <w:rPr>
          <w:b/>
          <w:bCs/>
        </w:rPr>
        <w:t xml:space="preserve">All resources.</w:t>
      </w:r>
      <w:r>
        <w:t xml:space="preserve"> </w:t>
      </w:r>
      <w:r>
        <w:t xml:space="preserve">Microsoft recommends a baseline MFA policy for all users and all resources with no resource exclusions. That’s the only way to cover applications that can’t be targeted individually, such as</w:t>
      </w:r>
      <w:r>
        <w:t xml:space="preserve"> </w:t>
      </w:r>
      <w:r>
        <w:rPr>
          <w:rStyle w:val="VerbatimChar"/>
        </w:rPr>
        <w:t xml:space="preserve">Windows Azure Active Directory</w:t>
      </w:r>
      <w:r>
        <w:t xml:space="preserve">, and Microsoft Graph, which can’t be targeted on its own because it’s an umbrella resource.</w:t>
      </w:r>
      <w:r>
        <w:rPr>
          <w:rStyle w:val="FootnoteReference"/>
        </w:rPr>
        <w:footnoteReference w:id="161"/>
      </w:r>
      <w:r>
        <w:t xml:space="preserve"> </w:t>
      </w:r>
      <w:r>
        <w:t xml:space="preserve">Resource exclusions now have a cost: from March 2026 Microsoft is phasing out the old behavior that silently exempted low-privilege directory scopes (such as</w:t>
      </w:r>
      <w:r>
        <w:t xml:space="preserve"> </w:t>
      </w:r>
      <w:r>
        <w:rPr>
          <w:rStyle w:val="VerbatimChar"/>
        </w:rPr>
        <w:t xml:space="preserve">User.Read</w:t>
      </w:r>
      <w:r>
        <w:t xml:space="preserve">) when an all-resources policy excluded any app, so excluded apps may start receiving challenges.</w:t>
      </w:r>
      <w:r>
        <w:rPr>
          <w:rStyle w:val="FootnoteReference"/>
        </w:rPr>
        <w:footnoteReference w:id="162"/>
      </w:r>
    </w:p>
    <w:p>
      <w:pPr>
        <w:pStyle w:val="Compact"/>
        <w:numPr>
          <w:ilvl w:val="0"/>
          <w:numId w:val="1015"/>
        </w:numPr>
      </w:pPr>
      <w:r>
        <w:rPr>
          <w:b/>
          <w:bCs/>
        </w:rPr>
        <w:t xml:space="preserve">Suites.</w:t>
      </w:r>
      <w:r>
        <w:t xml:space="preserve"> </w:t>
      </w:r>
      <w:r>
        <w:rPr>
          <w:i/>
          <w:iCs/>
        </w:rPr>
        <w:t xml:space="preserve">Office 365</w:t>
      </w:r>
      <w:r>
        <w:t xml:space="preserve"> </w:t>
      </w:r>
      <w:r>
        <w:t xml:space="preserve">targets Exchange, SharePoint, Teams and their dependencies together, and Microsoft advises using it instead of individual apps to avoid service-dependency gaps.</w:t>
      </w:r>
      <w:r>
        <w:t xml:space="preserve"> </w:t>
      </w:r>
      <w:r>
        <w:rPr>
          <w:i/>
          <w:iCs/>
        </w:rPr>
        <w:t xml:space="preserve">Windows Azure Service Management API</w:t>
      </w:r>
      <w:r>
        <w:t xml:space="preserve"> </w:t>
      </w:r>
      <w:r>
        <w:t xml:space="preserve">covers Azure Resource Manager and the Azure portal, which includes the Microsoft Entra admin center, and indirectly Azure CLI and Azure PowerShell.</w:t>
      </w:r>
      <w:r>
        <w:t xml:space="preserve"> </w:t>
      </w:r>
      <w:r>
        <w:rPr>
          <w:i/>
          <w:iCs/>
        </w:rPr>
        <w:t xml:space="preserve">Microsoft Admin Portals</w:t>
      </w:r>
      <w:r>
        <w:t xml:space="preserve"> </w:t>
      </w:r>
      <w:r>
        <w:t xml:space="preserve">covers the Exchange admin center, Azure portal, Microsoft 365 admin center and Security and Compliance portal, and is meant for inclusion, not as a bulk exclusion.</w:t>
      </w:r>
      <w:r>
        <w:rPr>
          <w:rStyle w:val="FootnoteReference"/>
        </w:rPr>
        <w:footnoteReference w:id="163"/>
      </w:r>
    </w:p>
    <w:p>
      <w:pPr>
        <w:pStyle w:val="Compact"/>
        <w:numPr>
          <w:ilvl w:val="0"/>
          <w:numId w:val="1015"/>
        </w:numPr>
      </w:pPr>
      <w:r>
        <w:rPr>
          <w:b/>
          <w:bCs/>
        </w:rPr>
        <w:t xml:space="preserve">Filter for applications.</w:t>
      </w:r>
      <w:r>
        <w:t xml:space="preserve"> </w:t>
      </w:r>
      <w:r>
        <w:t xml:space="preserve">Instead of listing apps, a policy can select them by a custom security attribute on the service principal. Only attributes of type string work, the attributes are managed by the Attribute Definition and Attribute Assignment roles (Global Administrator can’t read them by default), and the filter is evaluated at token issuance.</w:t>
      </w:r>
      <w:r>
        <w:rPr>
          <w:rStyle w:val="FootnoteReference"/>
        </w:rPr>
        <w:footnoteReference w:id="164"/>
      </w:r>
      <w:r>
        <w:t xml:space="preserve"> </w:t>
      </w:r>
      <w:r>
        <w:t xml:space="preserve">The program uses this to target applications by environment (Chapter 07).</w:t>
      </w:r>
    </w:p>
    <w:p>
      <w:pPr>
        <w:pStyle w:val="Compact"/>
        <w:numPr>
          <w:ilvl w:val="0"/>
          <w:numId w:val="1015"/>
        </w:numPr>
      </w:pPr>
      <w:r>
        <w:rPr>
          <w:b/>
          <w:bCs/>
        </w:rPr>
        <w:t xml:space="preserve">User actions.</w:t>
      </w:r>
      <w:r>
        <w:t xml:space="preserve"> </w:t>
      </w:r>
      <w:r>
        <w:rPr>
          <w:i/>
          <w:iCs/>
        </w:rPr>
        <w:t xml:space="preserve">Register security information</w:t>
      </w:r>
      <w:r>
        <w:t xml:space="preserve"> </w:t>
      </w:r>
      <w:r>
        <w:t xml:space="preserve">and</w:t>
      </w:r>
      <w:r>
        <w:t xml:space="preserve"> </w:t>
      </w:r>
      <w:r>
        <w:rPr>
          <w:i/>
          <w:iCs/>
        </w:rPr>
        <w:t xml:space="preserve">Register or join devices</w:t>
      </w:r>
      <w:r>
        <w:t xml:space="preserve">. The device action allows only MFA or authentication strength, and doesn’t support device filters or client-app conditions.</w:t>
      </w:r>
      <w:r>
        <w:rPr>
          <w:rStyle w:val="FootnoteReference"/>
        </w:rPr>
        <w:footnoteReference w:id="166"/>
      </w:r>
    </w:p>
    <w:p>
      <w:pPr>
        <w:pStyle w:val="Compact"/>
        <w:numPr>
          <w:ilvl w:val="0"/>
          <w:numId w:val="1015"/>
        </w:numPr>
      </w:pPr>
      <w:r>
        <w:rPr>
          <w:b/>
          <w:bCs/>
        </w:rPr>
        <w:t xml:space="preserve">Authentication context.</w:t>
      </w:r>
      <w:r>
        <w:t xml:space="preserve"> </w:t>
      </w:r>
      <w:r>
        <w:t xml:space="preserve">Up to 99 labels (c1 to c99) that applications, SharePoint sites, Defender for Cloud Apps and PIM can request, so that a specific action or role activation triggers its own policy.</w:t>
      </w:r>
      <w:r>
        <w:rPr>
          <w:rStyle w:val="FootnoteReference"/>
        </w:rPr>
        <w:footnoteReference w:id="167"/>
      </w:r>
    </w:p>
    <w:bookmarkEnd w:id="168"/>
    <w:bookmarkStart w:id="171" w:name="network"/>
    <w:p>
      <w:pPr>
        <w:pStyle w:val="Heading3"/>
      </w:pPr>
      <w:r>
        <w:t xml:space="preserve">Network</w:t>
      </w:r>
    </w:p>
    <w:p>
      <w:pPr>
        <w:pStyle w:val="FirstParagraph"/>
      </w:pPr>
      <w:r>
        <w:t xml:space="preserve">Named locations hold IPv4 or IPv6 ranges or countries. A tenant can have up to 195 IP-based named locations with up to 2,000 ranges each, and masks must be longer than /8. A range can be marked trusted, which also improves ID Protection’s risk scoring. Countries are resolved from the IP address or, optionally, from GPS reported by Microsoft Authenticator, with a choice to include IP addresses that don’t map to any country.</w:t>
      </w:r>
      <w:r>
        <w:rPr>
          <w:rStyle w:val="FootnoteReference"/>
        </w:rPr>
        <w:footnoteReference w:id="169"/>
      </w:r>
    </w:p>
    <w:p>
      <w:pPr>
        <w:pStyle w:val="BodyText"/>
      </w:pPr>
      <w:r>
        <w:t xml:space="preserve">Location is a weak signal, and Microsoft’s documentation says why. Behind a cloud proxy or VPN, Entra ID sees the proxy’s address and ignores</w:t>
      </w:r>
      <w:r>
        <w:t xml:space="preserve"> </w:t>
      </w:r>
      <w:r>
        <w:rPr>
          <w:rStyle w:val="VerbatimChar"/>
        </w:rPr>
        <w:t xml:space="preserve">X-Forwarded-For</w:t>
      </w:r>
      <w:r>
        <w:t xml:space="preserve">, because the header can’t be validated. Keeping a current list of a cloud proxy’s addresses is</w:t>
      </w:r>
      <w:r>
        <w:t xml:space="preserve"> </w:t>
      </w:r>
      <w:r>
        <w:t xml:space="preserve">“nearly impossible,”</w:t>
      </w:r>
      <w:r>
        <w:t xml:space="preserve"> </w:t>
      </w:r>
      <w:r>
        <w:t xml:space="preserve">so Microsoft points to device-based policies or Global Secure Access source IP restoration instead.</w:t>
      </w:r>
      <w:r>
        <w:rPr>
          <w:rStyle w:val="FootnoteReference"/>
        </w:rPr>
        <w:footnoteReference w:id="170"/>
      </w:r>
      <w:r>
        <w:t xml:space="preserve"> </w:t>
      </w:r>
      <w:r>
        <w:t xml:space="preserve">The program uses location to block (countries where it never operates, workload identities off the agency network) and to shorten sessions off-network, never to waive MFA or device requirements.</w:t>
      </w:r>
    </w:p>
    <w:bookmarkEnd w:id="171"/>
    <w:bookmarkStart w:id="185" w:name="conditions"/>
    <w:p>
      <w:pPr>
        <w:pStyle w:val="Heading3"/>
      </w:pPr>
      <w:r>
        <w:t xml:space="preserve">Conditions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Condition</w:t>
            </w:r>
          </w:p>
        </w:tc>
        <w:tc>
          <w:tcPr/>
          <w:p>
            <w:pPr>
              <w:pStyle w:val="Compact"/>
            </w:pPr>
            <w:r>
              <w:t xml:space="preserve">What it tests</w:t>
            </w:r>
          </w:p>
        </w:tc>
        <w:tc>
          <w:tcPr/>
          <w:p>
            <w:pPr>
              <w:pStyle w:val="Compact"/>
            </w:pPr>
            <w:r>
              <w:t xml:space="preserve">Notes</w:t>
            </w:r>
          </w:p>
        </w:tc>
      </w:tr>
      <w:tr>
        <w:tc>
          <w:tcPr/>
          <w:p>
            <w:pPr>
              <w:pStyle w:val="Compact"/>
            </w:pPr>
            <w:r>
              <w:t xml:space="preserve">Sign-in risk, user risk</w:t>
            </w:r>
          </w:p>
        </w:tc>
        <w:tc>
          <w:tcPr/>
          <w:p>
            <w:pPr>
              <w:pStyle w:val="Compact"/>
            </w:pPr>
            <w:r>
              <w:t xml:space="preserve">ID Protection’s real-time and calculated risk</w:t>
            </w:r>
          </w:p>
        </w:tc>
        <w:tc>
          <w:tcPr/>
          <w:p>
            <w:pPr>
              <w:pStyle w:val="Compact"/>
            </w:pPr>
            <w:r>
              <w:t xml:space="preserve">Requires P2</w:t>
            </w:r>
            <w:r>
              <w:rPr>
                <w:rStyle w:val="FootnoteReference"/>
              </w:rPr>
              <w:footnoteReference w:id="172"/>
            </w:r>
          </w:p>
        </w:tc>
      </w:tr>
      <w:tr>
        <w:tc>
          <w:tcPr/>
          <w:p>
            <w:pPr>
              <w:pStyle w:val="Compact"/>
            </w:pPr>
            <w:r>
              <w:t xml:space="preserve">Insider risk</w:t>
            </w:r>
          </w:p>
        </w:tc>
        <w:tc>
          <w:tcPr/>
          <w:p>
            <w:pPr>
              <w:pStyle w:val="Compact"/>
            </w:pPr>
            <w:r>
              <w:t xml:space="preserve">Purview Insider Risk Management levels through Adaptive Protection (minor, moderate, elevated)</w:t>
            </w:r>
          </w:p>
        </w:tc>
        <w:tc>
          <w:tcPr/>
          <w:p>
            <w:pPr>
              <w:pStyle w:val="Compact"/>
            </w:pPr>
            <w:r>
              <w:t xml:space="preserve">Requires P2 and Purview Insider Risk Management</w:t>
            </w:r>
            <w:r>
              <w:rPr>
                <w:rStyle w:val="FootnoteReference"/>
              </w:rPr>
              <w:footnoteReference w:id="173"/>
            </w:r>
          </w:p>
        </w:tc>
      </w:tr>
      <w:tr>
        <w:tc>
          <w:tcPr/>
          <w:p>
            <w:pPr>
              <w:pStyle w:val="Compact"/>
            </w:pPr>
            <w:r>
              <w:t xml:space="preserve">Service principal risk</w:t>
            </w:r>
          </w:p>
        </w:tc>
        <w:tc>
          <w:tcPr/>
          <w:p>
            <w:pPr>
              <w:pStyle w:val="Compact"/>
            </w:pPr>
            <w:r>
              <w:t xml:space="preserve">Risk on a workload identity</w:t>
            </w:r>
          </w:p>
        </w:tc>
        <w:tc>
          <w:tcPr/>
          <w:p>
            <w:pPr>
              <w:pStyle w:val="Compact"/>
            </w:pPr>
            <w:r>
              <w:t xml:space="preserve">Workload ID Premium</w:t>
            </w:r>
            <w:r>
              <w:rPr>
                <w:rStyle w:val="FootnoteReference"/>
              </w:rPr>
              <w:footnoteReference w:id="175"/>
            </w:r>
          </w:p>
        </w:tc>
      </w:tr>
      <w:tr>
        <w:tc>
          <w:tcPr/>
          <w:p>
            <w:pPr>
              <w:pStyle w:val="Compact"/>
            </w:pPr>
            <w:r>
              <w:t xml:space="preserve">Device platforms</w:t>
            </w:r>
          </w:p>
        </w:tc>
        <w:tc>
          <w:tcPr/>
          <w:p>
            <w:pPr>
              <w:pStyle w:val="Compact"/>
            </w:pPr>
            <w:r>
              <w:t xml:space="preserve">Android, iOS, Windows, macOS, Linux</w:t>
            </w:r>
          </w:p>
        </w:tc>
        <w:tc>
          <w:tcPr/>
          <w:p>
            <w:pPr>
              <w:pStyle w:val="Compact"/>
            </w:pPr>
            <w:r>
              <w:t xml:space="preserve">Derived from unverified sources such as the user agent; use it to scope, never as a security boundary</w:t>
            </w:r>
            <w:r>
              <w:rPr>
                <w:rStyle w:val="FootnoteReference"/>
              </w:rPr>
              <w:footnoteReference w:id="176"/>
            </w:r>
          </w:p>
        </w:tc>
      </w:tr>
      <w:tr>
        <w:tc>
          <w:tcPr/>
          <w:p>
            <w:pPr>
              <w:pStyle w:val="Compact"/>
            </w:pPr>
            <w:r>
              <w:t xml:space="preserve">Client apps</w:t>
            </w:r>
          </w:p>
        </w:tc>
        <w:tc>
          <w:tcPr/>
          <w:p>
            <w:pPr>
              <w:pStyle w:val="Compact"/>
            </w:pPr>
            <w:r>
              <w:t xml:space="preserve">Browser, mobile and desktop clients, Exchange ActiveSync, other clients</w:t>
            </w:r>
          </w:p>
        </w:tc>
        <w:tc>
          <w:tcPr/>
          <w:p>
            <w:pPr>
              <w:pStyle w:val="Compact"/>
            </w:pPr>
            <w:r>
              <w:t xml:space="preserve">New policies apply to all client types unless configured. Exchange ActiveSync and</w:t>
            </w:r>
            <w:r>
              <w:t xml:space="preserve"> </w:t>
            </w:r>
            <w:r>
              <w:t xml:space="preserve">“other clients”</w:t>
            </w:r>
            <w:r>
              <w:t xml:space="preserve"> </w:t>
            </w:r>
            <w:r>
              <w:t xml:space="preserve">are legacy authentication, which can’t do MFA or pass device state</w:t>
            </w:r>
            <w:r>
              <w:rPr>
                <w:rStyle w:val="FootnoteReference"/>
              </w:rPr>
              <w:footnoteReference w:id="177"/>
            </w:r>
          </w:p>
        </w:tc>
      </w:tr>
      <w:tr>
        <w:tc>
          <w:tcPr/>
          <w:p>
            <w:pPr>
              <w:pStyle w:val="Compact"/>
            </w:pPr>
            <w:r>
              <w:t xml:space="preserve">Filter for devices</w:t>
            </w:r>
          </w:p>
        </w:tc>
        <w:tc>
          <w:tcPr/>
          <w:p>
            <w:pPr>
              <w:pStyle w:val="Compact"/>
            </w:pPr>
            <w:r>
              <w:t xml:space="preserve">Device properties, including</w:t>
            </w:r>
            <w:r>
              <w:t xml:space="preserve"> </w:t>
            </w:r>
            <w:r>
              <w:rPr>
                <w:rStyle w:val="VerbatimChar"/>
              </w:rPr>
              <w:t xml:space="preserve">extensionAttribute1</w:t>
            </w:r>
            <w:r>
              <w:t xml:space="preserve"> </w:t>
            </w:r>
            <w:r>
              <w:t xml:space="preserve">to</w:t>
            </w:r>
            <w:r>
              <w:t xml:space="preserve"> </w:t>
            </w:r>
            <w:r>
              <w:rPr>
                <w:rStyle w:val="VerbatimChar"/>
              </w:rPr>
              <w:t xml:space="preserve">15</w:t>
            </w:r>
          </w:p>
        </w:tc>
        <w:tc>
          <w:tcPr/>
          <w:p>
            <w:pPr>
              <w:pStyle w:val="Compact"/>
            </w:pPr>
            <w:r>
              <w:t xml:space="preserve">Replaces the deprecated device state condition</w:t>
            </w:r>
            <w:r>
              <w:rPr>
                <w:rStyle w:val="FootnoteReference"/>
              </w:rPr>
              <w:footnoteReference w:id="179"/>
            </w:r>
          </w:p>
        </w:tc>
      </w:tr>
      <w:tr>
        <w:tc>
          <w:tcPr/>
          <w:p>
            <w:pPr>
              <w:pStyle w:val="Compact"/>
            </w:pPr>
            <w:r>
              <w:t xml:space="preserve">Authentication flows</w:t>
            </w:r>
          </w:p>
        </w:tc>
        <w:tc>
          <w:tcPr/>
          <w:p>
            <w:pPr>
              <w:pStyle w:val="Compact"/>
            </w:pPr>
            <w:r>
              <w:t xml:space="preserve">Device code flow and authentication transfer</w:t>
            </w:r>
          </w:p>
        </w:tc>
        <w:tc>
          <w:tcPr/>
          <w:p>
            <w:pPr>
              <w:pStyle w:val="Compact"/>
            </w:pPr>
            <w:r>
              <w:t xml:space="preserve">Microsoft recommends blocking device code flow wherever possible</w:t>
            </w:r>
            <w:r>
              <w:rPr>
                <w:rStyle w:val="FootnoteReference"/>
              </w:rPr>
              <w:footnoteReference w:id="180"/>
            </w:r>
          </w:p>
        </w:tc>
      </w:tr>
    </w:tbl>
    <w:p>
      <w:pPr>
        <w:pStyle w:val="BodyText"/>
      </w:pPr>
      <w:r>
        <w:t xml:space="preserve">Two conditions need more than a table row.</w:t>
      </w:r>
    </w:p>
    <w:p>
      <w:pPr>
        <w:pStyle w:val="BodyText"/>
      </w:pPr>
      <w:r>
        <w:rPr>
          <w:b/>
          <w:bCs/>
        </w:rPr>
        <w:t xml:space="preserve">Filters for devices</w:t>
      </w:r>
      <w:r>
        <w:t xml:space="preserve"> </w:t>
      </w:r>
      <w:r>
        <w:t xml:space="preserve">evaluate attributes of a</w:t>
      </w:r>
      <w:r>
        <w:t xml:space="preserve"> </w:t>
      </w:r>
      <w:r>
        <w:rPr>
          <w:i/>
          <w:iCs/>
        </w:rPr>
        <w:t xml:space="preserve">registered</w:t>
      </w:r>
      <w:r>
        <w:t xml:space="preserve"> </w:t>
      </w:r>
      <w:r>
        <w:t xml:space="preserve">device. For an unregistered device every property is null, so a rule with a positive operator (</w:t>
      </w:r>
      <w:r>
        <w:rPr>
          <w:rStyle w:val="VerbatimChar"/>
        </w:rPr>
        <w:t xml:space="preserve">-eq</w:t>
      </w:r>
      <w:r>
        <w:t xml:space="preserve">,</w:t>
      </w:r>
      <w:r>
        <w:t xml:space="preserve"> </w:t>
      </w:r>
      <w:r>
        <w:rPr>
          <w:rStyle w:val="VerbatimChar"/>
        </w:rPr>
        <w:t xml:space="preserve">-startsWith</w:t>
      </w:r>
      <w:r>
        <w:t xml:space="preserve">,</w:t>
      </w:r>
      <w:r>
        <w:t xml:space="preserve"> </w:t>
      </w:r>
      <w:r>
        <w:rPr>
          <w:rStyle w:val="VerbatimChar"/>
        </w:rPr>
        <w:t xml:space="preserve">-in</w:t>
      </w:r>
      <w:r>
        <w:t xml:space="preserve">) never matches it, and a rule with a negative operator (</w:t>
      </w:r>
      <w:r>
        <w:rPr>
          <w:rStyle w:val="VerbatimChar"/>
        </w:rPr>
        <w:t xml:space="preserve">-ne</w:t>
      </w:r>
      <w:r>
        <w:t xml:space="preserve">,</w:t>
      </w:r>
      <w:r>
        <w:t xml:space="preserve"> </w:t>
      </w:r>
      <w:r>
        <w:rPr>
          <w:rStyle w:val="VerbatimChar"/>
        </w:rPr>
        <w:t xml:space="preserve">-notIn</w:t>
      </w:r>
      <w:r>
        <w:t xml:space="preserve">) always does. Microsoft’s guidance is to target unregistered devices with negative operators. Extension attribute values are available at evaluation time only for devices that are Intune-managed, compliant, or Microsoft Entra hybrid joined. Device extension attributes are set through Microsoft Graph, and a filter rule can be up to 3,072 characters.</w:t>
      </w:r>
      <w:r>
        <w:rPr>
          <w:rStyle w:val="FootnoteReference"/>
        </w:rPr>
        <w:footnoteReference w:id="182"/>
      </w:r>
      <w:r>
        <w:t xml:space="preserve"> </w:t>
      </w:r>
      <w:r>
        <w:t xml:space="preserve">These are the device’s own attributes, separate from the user extension attributes the program uses for personas.</w:t>
      </w:r>
    </w:p>
    <w:p>
      <w:pPr>
        <w:pStyle w:val="BodyText"/>
      </w:pPr>
      <w:r>
        <w:rPr>
          <w:b/>
          <w:bCs/>
        </w:rPr>
        <w:t xml:space="preserve">Authentication flows</w:t>
      </w:r>
      <w:r>
        <w:t xml:space="preserve"> </w:t>
      </w:r>
      <w:r>
        <w:t xml:space="preserve">use protocol tracking. Once a session has used device code flow, its refresh tokens stay marked, so a policy that blocks device code flow can block later requests in that session even when they use a different flow. Since September 2024 these policies also apply to the Device Registration Service when they target all resources, so a tenant that registers devices with device code flow must exclude that service.</w:t>
      </w:r>
      <w:r>
        <w:rPr>
          <w:rStyle w:val="FootnoteReference"/>
        </w:rPr>
        <w:footnoteReference w:id="184"/>
      </w:r>
    </w:p>
    <w:bookmarkEnd w:id="185"/>
    <w:bookmarkEnd w:id="186"/>
    <w:bookmarkStart w:id="230" w:name="access-controls-what-a-policy-requires"/>
    <w:p>
      <w:pPr>
        <w:pStyle w:val="Heading2"/>
      </w:pPr>
      <w:bookmarkStart w:id="1178" w:name="_Toc00001178"/>
      <w:r>
        <w:t xml:space="preserve">Access controls: what a policy requires</w:t>
      </w:r>
      <w:bookmarkEnd w:id="1178"/>
    </w:p>
    <w:bookmarkStart w:id="204" w:name="grant-controls"/>
    <w:p>
      <w:pPr>
        <w:pStyle w:val="Heading3"/>
      </w:pPr>
      <w:r>
        <w:t xml:space="preserve">Grant controls</w:t>
      </w:r>
    </w:p>
    <w:p>
      <w:pPr>
        <w:pStyle w:val="FirstParagraph"/>
      </w:pPr>
      <w:r>
        <w:rPr>
          <w:b/>
          <w:bCs/>
        </w:rPr>
        <w:t xml:space="preserve">Block access</w:t>
      </w:r>
      <w:r>
        <w:t xml:space="preserve"> </w:t>
      </w:r>
      <w:r>
        <w:t xml:space="preserve">stops the sign-in. Microsoft calls it powerful and asks for report-only testing and the What If tool before it’s enabled at scale.</w:t>
      </w:r>
      <w:r>
        <w:rPr>
          <w:rStyle w:val="FootnoteReference"/>
        </w:rPr>
        <w:footnoteReference w:id="187"/>
      </w:r>
      <w:r>
        <w:t xml:space="preserve"> </w:t>
      </w:r>
      <w:r>
        <w:rPr>
          <w:b/>
          <w:bCs/>
        </w:rPr>
        <w:t xml:space="preserve">Grant access</w:t>
      </w:r>
      <w:r>
        <w:t xml:space="preserve"> </w:t>
      </w:r>
      <w:r>
        <w:t xml:space="preserve">requires one or more of: multifactor authentication, an authentication strength, a device marked compliant by Intune, a Microsoft Entra hybrid joined device, an app protection policy, a password change, terms of use, or (where the tenant has them) custom controls. Multiple controls combine as</w:t>
      </w:r>
      <w:r>
        <w:t xml:space="preserve"> </w:t>
      </w:r>
      <w:r>
        <w:t xml:space="preserve">“require all”</w:t>
      </w:r>
      <w:r>
        <w:t xml:space="preserve"> </w:t>
      </w:r>
      <w:r>
        <w:t xml:space="preserve">by default, or</w:t>
      </w:r>
      <w:r>
        <w:t xml:space="preserve"> </w:t>
      </w:r>
      <w:r>
        <w:t xml:space="preserve">“require one”</w:t>
      </w:r>
      <w:r>
        <w:t xml:space="preserve"> </w:t>
      </w:r>
      <w:r>
        <w:t xml:space="preserve">by choice.</w:t>
      </w:r>
      <w:r>
        <w:rPr>
          <w:rStyle w:val="FootnoteReference"/>
        </w:rPr>
        <w:footnoteReference w:id="188"/>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Control</w:t>
            </w:r>
          </w:p>
        </w:tc>
        <w:tc>
          <w:tcPr/>
          <w:p>
            <w:pPr>
              <w:pStyle w:val="Compact"/>
            </w:pPr>
            <w:r>
              <w:t xml:space="preserve">Constraint that shapes policy design</w:t>
            </w:r>
          </w:p>
        </w:tc>
      </w:tr>
      <w:tr>
        <w:tc>
          <w:tcPr/>
          <w:p>
            <w:pPr>
              <w:pStyle w:val="Compact"/>
            </w:pPr>
            <w:r>
              <w:t xml:space="preserve">Require MFA vs. authentication strength</w:t>
            </w:r>
          </w:p>
        </w:tc>
        <w:tc>
          <w:tcPr/>
          <w:p>
            <w:pPr>
              <w:pStyle w:val="Compact"/>
            </w:pPr>
            <w:r>
              <w:t xml:space="preserve">Can’t be used together in one policy; the built-in MFA strength is equivalent to</w:t>
            </w:r>
            <w:r>
              <w:t xml:space="preserve"> </w:t>
            </w:r>
            <w:r>
              <w:t xml:space="preserve">“require MFA”</w:t>
            </w:r>
            <w:r>
              <w:rPr>
                <w:rStyle w:val="FootnoteReference"/>
              </w:rPr>
              <w:footnoteReference w:id="189"/>
            </w:r>
          </w:p>
        </w:tc>
      </w:tr>
      <w:tr>
        <w:tc>
          <w:tcPr/>
          <w:p>
            <w:pPr>
              <w:pStyle w:val="Compact"/>
            </w:pPr>
            <w:r>
              <w:t xml:space="preserve">Compliant device</w:t>
            </w:r>
          </w:p>
        </w:tc>
        <w:tc>
          <w:tcPr/>
          <w:p>
            <w:pPr>
              <w:pStyle w:val="Compact"/>
            </w:pPr>
            <w:r>
              <w:t xml:space="preserve">Supports Windows 10 and later, iOS, Android, macOS and Linux Ubuntu devices that are registered and Intune-enrolled; Edge InPrivate counts as noncompliant</w:t>
            </w:r>
            <w:r>
              <w:rPr>
                <w:rStyle w:val="FootnoteReference"/>
              </w:rPr>
              <w:footnoteReference w:id="191"/>
            </w:r>
          </w:p>
        </w:tc>
      </w:tr>
      <w:tr>
        <w:tc>
          <w:tcPr/>
          <w:p>
            <w:pPr>
              <w:pStyle w:val="Compact"/>
            </w:pPr>
            <w:r>
              <w:t xml:space="preserve">Hybrid joined device</w:t>
            </w:r>
          </w:p>
        </w:tc>
        <w:tc>
          <w:tcPr/>
          <w:p>
            <w:pPr>
              <w:pStyle w:val="Compact"/>
            </w:pPr>
            <w:r>
              <w:t xml:space="preserve">Domain-joined Windows only. Neither device control works with device code flow; use MFA there</w:t>
            </w:r>
            <w:r>
              <w:rPr>
                <w:rStyle w:val="FootnoteReference"/>
              </w:rPr>
              <w:footnoteReference w:id="192"/>
            </w:r>
          </w:p>
        </w:tc>
      </w:tr>
      <w:tr>
        <w:tc>
          <w:tcPr/>
          <w:p>
            <w:pPr>
              <w:pStyle w:val="Compact"/>
            </w:pPr>
            <w:r>
              <w:t xml:space="preserve">Approved client app</w:t>
            </w:r>
          </w:p>
        </w:tc>
        <w:tc>
          <w:tcPr/>
          <w:p>
            <w:pPr>
              <w:pStyle w:val="Compact"/>
            </w:pPr>
            <w:r>
              <w:rPr>
                <w:b/>
                <w:bCs/>
              </w:rPr>
              <w:t xml:space="preserve">Retired.</w:t>
            </w:r>
            <w:r>
              <w:t xml:space="preserve"> </w:t>
            </w:r>
            <w:r>
              <w:t xml:space="preserve">Since June 30, 2026, the control and any policy that uses it are read-only: they still enforce but can’t be edited or created. New policies use</w:t>
            </w:r>
            <w:r>
              <w:t xml:space="preserve"> </w:t>
            </w:r>
            <w:r>
              <w:t xml:space="preserve">“require app protection policy”</w:t>
            </w:r>
            <w:r>
              <w:rPr>
                <w:rStyle w:val="FootnoteReference"/>
              </w:rPr>
              <w:footnoteReference w:id="193"/>
            </w:r>
          </w:p>
        </w:tc>
      </w:tr>
      <w:tr>
        <w:tc>
          <w:tcPr/>
          <w:p>
            <w:pPr>
              <w:pStyle w:val="Compact"/>
            </w:pPr>
            <w:r>
              <w:t xml:space="preserve">App protection policy</w:t>
            </w:r>
          </w:p>
        </w:tc>
        <w:tc>
          <w:tcPr/>
          <w:p>
            <w:pPr>
              <w:pStyle w:val="Compact"/>
            </w:pPr>
            <w:r>
              <w:t xml:space="preserve">iOS and Android generally available; Edge on Windows in preview. Apps that don’t support it are blocked</w:t>
            </w:r>
            <w:r>
              <w:rPr>
                <w:rStyle w:val="FootnoteReference"/>
              </w:rPr>
              <w:footnoteReference w:id="195"/>
            </w:r>
            <w:r>
              <w:rPr>
                <w:rStyle w:val="FootnoteReference"/>
              </w:rPr>
              <w:footnoteReference w:id="196"/>
            </w:r>
          </w:p>
        </w:tc>
      </w:tr>
      <w:tr>
        <w:tc>
          <w:tcPr/>
          <w:p>
            <w:pPr>
              <w:pStyle w:val="Compact"/>
            </w:pPr>
            <w:r>
              <w:t xml:space="preserve">Password change</w:t>
            </w:r>
          </w:p>
        </w:tc>
        <w:tc>
          <w:tcPr/>
          <w:p>
            <w:pPr>
              <w:pStyle w:val="Compact"/>
            </w:pPr>
            <w:r>
              <w:t xml:space="preserve">Only with a user-risk condition, all resources and no other controls; must be paired with MFA</w:t>
            </w:r>
            <w:r>
              <w:rPr>
                <w:rStyle w:val="FootnoteReference"/>
              </w:rPr>
              <w:footnoteReference w:id="197"/>
            </w:r>
            <w:r>
              <w:rPr>
                <w:rStyle w:val="FootnoteReference"/>
              </w:rPr>
              <w:footnoteReference w:id="198"/>
            </w:r>
          </w:p>
        </w:tc>
      </w:tr>
      <w:tr>
        <w:tc>
          <w:tcPr/>
          <w:p>
            <w:pPr>
              <w:pStyle w:val="Compact"/>
            </w:pPr>
            <w:r>
              <w:t xml:space="preserve">Require risk remediation</w:t>
            </w:r>
          </w:p>
        </w:tc>
        <w:tc>
          <w:tcPr/>
          <w:p>
            <w:pPr>
              <w:pStyle w:val="Compact"/>
            </w:pPr>
            <w:r>
              <w:t xml:space="preserve">Only with user risk; automatically adds an authentication strength and sign-in frequency</w:t>
            </w:r>
            <w:r>
              <w:t xml:space="preserve"> </w:t>
            </w:r>
            <w:r>
              <w:t xml:space="preserve">“every time”</w:t>
            </w:r>
            <w:r>
              <w:t xml:space="preserve">; handles password and passwordless users; not supported for guests and external users</w:t>
            </w:r>
            <w:r>
              <w:rPr>
                <w:rStyle w:val="FootnoteReference"/>
              </w:rPr>
              <w:footnoteReference w:id="200"/>
            </w:r>
            <w:r>
              <w:rPr>
                <w:rStyle w:val="FootnoteReference"/>
              </w:rPr>
              <w:footnoteReference w:id="201"/>
            </w:r>
          </w:p>
        </w:tc>
      </w:tr>
    </w:tbl>
    <w:p>
      <w:pPr>
        <w:pStyle w:val="BodyText"/>
      </w:pPr>
      <w:r>
        <w:t xml:space="preserve">When more than one risk policy applies, precedence is fixed: block overrides everything, and risk remediation overrides password change.</w:t>
      </w:r>
      <w:r>
        <w:rPr>
          <w:rStyle w:val="FootnoteReference"/>
        </w:rPr>
        <w:footnoteReference w:id="203"/>
      </w:r>
      <w:r>
        <w:t xml:space="preserve"> </w:t>
      </w:r>
      <w:r>
        <w:t xml:space="preserve">Chapter 07 uses that rule to meet the CISA requirement to block high-risk users.</w:t>
      </w:r>
    </w:p>
    <w:bookmarkEnd w:id="204"/>
    <w:bookmarkStart w:id="213" w:name="authentication-strengths"/>
    <w:p>
      <w:pPr>
        <w:pStyle w:val="Heading3"/>
      </w:pPr>
      <w:r>
        <w:t xml:space="preserve">Authentication strengths</w:t>
      </w:r>
    </w:p>
    <w:p>
      <w:pPr>
        <w:pStyle w:val="FirstParagraph"/>
      </w:pPr>
      <w:r>
        <w:t xml:space="preserve">An authentication strength names the method combinations a policy accepts. There are three built-in strengths, which Microsoft updates as methods change and administrators can’t edit:</w:t>
      </w:r>
      <w:r>
        <w:rPr>
          <w:rStyle w:val="FootnoteReference"/>
        </w:rPr>
        <w:footnoteReference w:id="205"/>
      </w:r>
      <w:r>
        <w:rPr>
          <w:rStyle w:val="FootnoteReference"/>
        </w:rPr>
        <w:footnoteReference w:id="20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Built-in strength</w:t>
            </w:r>
          </w:p>
        </w:tc>
        <w:tc>
          <w:tcPr/>
          <w:p>
            <w:pPr>
              <w:pStyle w:val="Compact"/>
            </w:pPr>
            <w:r>
              <w:t xml:space="preserve">Graph ID</w:t>
            </w:r>
          </w:p>
        </w:tc>
        <w:tc>
          <w:tcPr/>
          <w:p>
            <w:pPr>
              <w:pStyle w:val="Compact"/>
            </w:pPr>
            <w:r>
              <w:t xml:space="preserve">Accepts</w:t>
            </w:r>
          </w:p>
        </w:tc>
      </w:tr>
      <w:tr>
        <w:tc>
          <w:tcPr/>
          <w:p>
            <w:pPr>
              <w:pStyle w:val="Compact"/>
            </w:pPr>
            <w:r>
              <w:t xml:space="preserve">Multifactor authentication</w:t>
            </w:r>
          </w:p>
        </w:tc>
        <w:tc>
          <w:tcPr/>
          <w:p>
            <w:pPr>
              <w:pStyle w:val="Compact"/>
            </w:pPr>
            <w:r>
              <w:rPr>
                <w:rStyle w:val="VerbatimChar"/>
              </w:rPr>
              <w:t xml:space="preserve">00000000-0000-0000-0000-000000000002</w:t>
            </w:r>
          </w:p>
        </w:tc>
        <w:tc>
          <w:tcPr/>
          <w:p>
            <w:pPr>
              <w:pStyle w:val="Compact"/>
            </w:pPr>
            <w:r>
              <w:t xml:space="preserve">Everything below, plus Temporary Access Pass, password with a second factor (SMS, voice, push, OATH), and federated MFA</w:t>
            </w:r>
          </w:p>
        </w:tc>
      </w:tr>
      <w:tr>
        <w:tc>
          <w:tcPr/>
          <w:p>
            <w:pPr>
              <w:pStyle w:val="Compact"/>
            </w:pPr>
            <w:r>
              <w:t xml:space="preserve">Passwordless MFA</w:t>
            </w:r>
          </w:p>
        </w:tc>
        <w:tc>
          <w:tcPr/>
          <w:p>
            <w:pPr>
              <w:pStyle w:val="Compact"/>
            </w:pPr>
            <w:r>
              <w:rPr>
                <w:rStyle w:val="VerbatimChar"/>
              </w:rPr>
              <w:t xml:space="preserve">00000000-0000-0000-0000-000000000003</w:t>
            </w:r>
          </w:p>
        </w:tc>
        <w:tc>
          <w:tcPr/>
          <w:p>
            <w:pPr>
              <w:pStyle w:val="Compact"/>
            </w:pPr>
            <w:r>
              <w:t xml:space="preserve">The phishing-resistant methods, plus Microsoft Authenticator phone sign-in</w:t>
            </w:r>
          </w:p>
        </w:tc>
      </w:tr>
      <w:tr>
        <w:tc>
          <w:tcPr/>
          <w:p>
            <w:pPr>
              <w:pStyle w:val="Compact"/>
            </w:pPr>
            <w:r>
              <w:t xml:space="preserve">Phishing-resistant MFA</w:t>
            </w:r>
          </w:p>
        </w:tc>
        <w:tc>
          <w:tcPr/>
          <w:p>
            <w:pPr>
              <w:pStyle w:val="Compact"/>
            </w:pPr>
            <w:r>
              <w:rPr>
                <w:rStyle w:val="VerbatimChar"/>
              </w:rPr>
              <w:t xml:space="preserve">00000000-0000-0000-0000-000000000004</w:t>
            </w:r>
          </w:p>
        </w:tc>
        <w:tc>
          <w:tcPr/>
          <w:p>
            <w:pPr>
              <w:pStyle w:val="Compact"/>
            </w:pPr>
            <w:r>
              <w:t xml:space="preserve">Windows Hello for Business or platform credential, FIDO2 security key (passkey), certificate-based authentication configured as multifactor</w:t>
            </w:r>
          </w:p>
        </w:tc>
      </w:tr>
    </w:tbl>
    <w:p>
      <w:pPr>
        <w:pStyle w:val="BodyText"/>
      </w:pPr>
      <w:r>
        <w:t xml:space="preserve">Custom strengths narrow the list further, for example to FIDO2 keys with specific AAGUIDs through a combination configuration.</w:t>
      </w:r>
      <w:r>
        <w:rPr>
          <w:rStyle w:val="FootnoteReference"/>
        </w:rPr>
        <w:footnoteReference w:id="208"/>
      </w:r>
      <w:r>
        <w:t xml:space="preserve"> </w:t>
      </w:r>
      <w:r>
        <w:t xml:space="preserve">Four limits matter in practice:</w:t>
      </w:r>
    </w:p>
    <w:p>
      <w:pPr>
        <w:pStyle w:val="Compact"/>
        <w:numPr>
          <w:ilvl w:val="0"/>
          <w:numId w:val="1016"/>
        </w:numPr>
      </w:pPr>
      <w:r>
        <w:t xml:space="preserve">A strength doesn’t restrict the first factor. A user can still type a password; the policy then demands a qualifying method before access.</w:t>
      </w:r>
      <w:r>
        <w:rPr>
          <w:rStyle w:val="FootnoteReference"/>
        </w:rPr>
        <w:footnoteReference w:id="209"/>
      </w:r>
    </w:p>
    <w:p>
      <w:pPr>
        <w:pStyle w:val="Compact"/>
        <w:numPr>
          <w:ilvl w:val="0"/>
          <w:numId w:val="1016"/>
        </w:numPr>
      </w:pPr>
      <w:r>
        <w:t xml:space="preserve">Email one-time passcode guests can’t satisfy a strength; policies for them use</w:t>
      </w:r>
      <w:r>
        <w:t xml:space="preserve"> </w:t>
      </w:r>
      <w:r>
        <w:t xml:space="preserve">“require MFA”</w:t>
      </w:r>
      <w:r>
        <w:t xml:space="preserve"> </w:t>
      </w:r>
      <w:r>
        <w:t xml:space="preserve">(Book 02, Chapter 10).</w:t>
      </w:r>
      <w:r>
        <w:rPr>
          <w:rStyle w:val="FootnoteReference"/>
        </w:rPr>
        <w:footnoteReference w:id="210"/>
      </w:r>
    </w:p>
    <w:p>
      <w:pPr>
        <w:pStyle w:val="Compact"/>
        <w:numPr>
          <w:ilvl w:val="0"/>
          <w:numId w:val="1016"/>
        </w:numPr>
      </w:pPr>
      <w:r>
        <w:t xml:space="preserve">A strength and a sign-in frequency can be satisfied at different times: yesterday’s FIDO2 sign-in plus today’s Windows Hello unlock can satisfy both.</w:t>
      </w:r>
      <w:r>
        <w:rPr>
          <w:rStyle w:val="FootnoteReference"/>
        </w:rPr>
        <w:footnoteReference w:id="211"/>
      </w:r>
    </w:p>
    <w:p>
      <w:pPr>
        <w:pStyle w:val="Compact"/>
        <w:numPr>
          <w:ilvl w:val="0"/>
          <w:numId w:val="1016"/>
        </w:numPr>
      </w:pPr>
      <w:r>
        <w:t xml:space="preserve">Windows Hello for Business satisfies a strength only if it was the primary sign-in method; a user who signed in with a password isn’t offered it.</w:t>
      </w:r>
      <w:r>
        <w:rPr>
          <w:rStyle w:val="FootnoteReference"/>
        </w:rPr>
        <w:footnoteReference w:id="212"/>
      </w:r>
    </w:p>
    <w:p>
      <w:pPr>
        <w:pStyle w:val="FirstParagraph"/>
      </w:pPr>
      <w:r>
        <w:t xml:space="preserve">Which methods agencies roll out, and in what order toward M-22-09, is Book 02, Chapter 10’s subject. This book assumes its end state: phishing-resistant MFA for everyone.</w:t>
      </w:r>
    </w:p>
    <w:bookmarkEnd w:id="213"/>
    <w:bookmarkStart w:id="229" w:name="session-controls"/>
    <w:p>
      <w:pPr>
        <w:pStyle w:val="Heading3"/>
      </w:pPr>
      <w:r>
        <w:t xml:space="preserve">Session controls</w:t>
      </w:r>
    </w:p>
    <w:p>
      <w:pPr>
        <w:pStyle w:val="FirstParagraph"/>
      </w:pPr>
      <w:r>
        <w:t xml:space="preserve">Session controls apply after every grant requirement is met.</w:t>
      </w:r>
      <w:r>
        <w:rPr>
          <w:rStyle w:val="FootnoteReference"/>
        </w:rPr>
        <w:footnoteReference w:id="214"/>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Session control</w:t>
            </w:r>
          </w:p>
        </w:tc>
        <w:tc>
          <w:tcPr/>
          <w:p>
            <w:pPr>
              <w:pStyle w:val="Compact"/>
            </w:pPr>
            <w:r>
              <w:t xml:space="preserve">Behavior</w:t>
            </w:r>
          </w:p>
        </w:tc>
      </w:tr>
      <w:tr>
        <w:tc>
          <w:tcPr/>
          <w:p>
            <w:pPr>
              <w:pStyle w:val="Compact"/>
            </w:pPr>
            <w:r>
              <w:t xml:space="preserve">App-enforced restrictions</w:t>
            </w:r>
          </w:p>
        </w:tc>
        <w:tc>
          <w:tcPr/>
          <w:p>
            <w:pPr>
              <w:pStyle w:val="Compact"/>
            </w:pPr>
            <w:r>
              <w:t xml:space="preserve">Passes device state to Exchange Online and SharePoint Online only, which give unmanaged devices a limited (for example, web-only, no-download) experience</w:t>
            </w:r>
            <w:r>
              <w:rPr>
                <w:rStyle w:val="FootnoteReference"/>
              </w:rPr>
              <w:footnoteReference w:id="215"/>
            </w:r>
            <w:r>
              <w:rPr>
                <w:rStyle w:val="FootnoteReference"/>
              </w:rPr>
              <w:footnoteReference w:id="217"/>
            </w:r>
          </w:p>
        </w:tc>
      </w:tr>
      <w:tr>
        <w:tc>
          <w:tcPr/>
          <w:p>
            <w:pPr>
              <w:pStyle w:val="Compact"/>
            </w:pPr>
            <w:r>
              <w:t xml:space="preserve">Conditional Access App Control</w:t>
            </w:r>
          </w:p>
        </w:tc>
        <w:tc>
          <w:tcPr/>
          <w:p>
            <w:pPr>
              <w:pStyle w:val="Compact"/>
            </w:pPr>
            <w:r>
              <w:t xml:space="preserve">Routes the session through Defender for Cloud Apps’ reverse proxy for session policies such as blocking downloads</w:t>
            </w:r>
            <w:r>
              <w:rPr>
                <w:rStyle w:val="FootnoteReference"/>
              </w:rPr>
              <w:footnoteReference w:id="219"/>
            </w:r>
          </w:p>
        </w:tc>
      </w:tr>
      <w:tr>
        <w:tc>
          <w:tcPr/>
          <w:p>
            <w:pPr>
              <w:pStyle w:val="Compact"/>
            </w:pPr>
            <w:r>
              <w:t xml:space="preserve">Sign-in frequency</w:t>
            </w:r>
          </w:p>
        </w:tc>
        <w:tc>
          <w:tcPr/>
          <w:p>
            <w:pPr>
              <w:pStyle w:val="Compact"/>
            </w:pPr>
            <w:r>
              <w:t xml:space="preserve">Hours, days, or every time. The default is a rolling 90 days, and any session-posture change (password change, noncompliant device, disabled account) already revokes the session.</w:t>
            </w:r>
            <w:r>
              <w:t xml:space="preserve"> </w:t>
            </w:r>
            <w:r>
              <w:t xml:space="preserve">“Every time”</w:t>
            </w:r>
            <w:r>
              <w:t xml:space="preserve"> </w:t>
            </w:r>
            <w:r>
              <w:t xml:space="preserve">is meant for risky users and sign-ins, Intune enrollment and similarly sensitive actions; without MFA it can cause sign-in loops</w:t>
            </w:r>
            <w:r>
              <w:rPr>
                <w:rStyle w:val="FootnoteReference"/>
              </w:rPr>
              <w:footnoteReference w:id="220"/>
            </w:r>
            <w:r>
              <w:rPr>
                <w:rStyle w:val="FootnoteReference"/>
              </w:rPr>
              <w:footnoteReference w:id="222"/>
            </w:r>
          </w:p>
        </w:tc>
      </w:tr>
      <w:tr>
        <w:tc>
          <w:tcPr/>
          <w:p>
            <w:pPr>
              <w:pStyle w:val="Compact"/>
            </w:pPr>
            <w:r>
              <w:t xml:space="preserve">Persistent browser session</w:t>
            </w:r>
          </w:p>
        </w:tc>
        <w:tc>
          <w:tcPr/>
          <w:p>
            <w:pPr>
              <w:pStyle w:val="Compact"/>
            </w:pPr>
            <w:r>
              <w:t xml:space="preserve">Always or never; works correctly only when the policy targets all resources</w:t>
            </w:r>
            <w:r>
              <w:rPr>
                <w:rStyle w:val="FootnoteReference"/>
              </w:rPr>
              <w:footnoteReference w:id="224"/>
            </w:r>
          </w:p>
        </w:tc>
      </w:tr>
      <w:tr>
        <w:tc>
          <w:tcPr/>
          <w:p>
            <w:pPr>
              <w:pStyle w:val="Compact"/>
            </w:pPr>
            <w:r>
              <w:t xml:space="preserve">Customize continuous access evaluation</w:t>
            </w:r>
          </w:p>
        </w:tc>
        <w:tc>
          <w:tcPr/>
          <w:p>
            <w:pPr>
              <w:pStyle w:val="Compact"/>
            </w:pPr>
            <w:r>
              <w:t xml:space="preserve">Disabling CAE requires all resources and no conditions</w:t>
            </w:r>
            <w:r>
              <w:rPr>
                <w:rStyle w:val="FootnoteReference"/>
              </w:rPr>
              <w:footnoteReference w:id="225"/>
            </w:r>
          </w:p>
        </w:tc>
      </w:tr>
      <w:tr>
        <w:tc>
          <w:tcPr/>
          <w:p>
            <w:pPr>
              <w:pStyle w:val="Compact"/>
            </w:pPr>
            <w:r>
              <w:t xml:space="preserve">Disable resilience defaults</w:t>
            </w:r>
          </w:p>
        </w:tc>
        <w:tc>
          <w:tcPr/>
          <w:p>
            <w:pPr>
              <w:pStyle w:val="Compact"/>
            </w:pPr>
            <w:r>
              <w:t xml:space="preserve">During an Entra ID outage, existing sessions are normally extended; this setting denies access instead when sessions expire</w:t>
            </w:r>
            <w:r>
              <w:rPr>
                <w:rStyle w:val="FootnoteReference"/>
              </w:rPr>
              <w:footnoteReference w:id="226"/>
            </w:r>
          </w:p>
        </w:tc>
      </w:tr>
      <w:tr>
        <w:tc>
          <w:tcPr/>
          <w:p>
            <w:pPr>
              <w:pStyle w:val="Compact"/>
            </w:pPr>
            <w:r>
              <w:t xml:space="preserve">Token protection</w:t>
            </w:r>
          </w:p>
        </w:tc>
        <w:tc>
          <w:tcPr/>
          <w:p>
            <w:pPr>
              <w:pStyle w:val="Compact"/>
            </w:pPr>
            <w:r>
              <w:t xml:space="preserve">Binds the sign-in session token to the device to reduce token replay</w:t>
            </w:r>
            <w:r>
              <w:rPr>
                <w:rStyle w:val="FootnoteReference"/>
              </w:rPr>
              <w:footnoteReference w:id="227"/>
            </w:r>
          </w:p>
        </w:tc>
      </w:tr>
    </w:tbl>
    <w:p>
      <w:pPr>
        <w:pStyle w:val="BodyText"/>
      </w:pPr>
      <w:r>
        <w:t xml:space="preserve">Microsoft warns against reauthenticating users more often than needed: users who are prompted constantly learn to approve prompts without thinking.</w:t>
      </w:r>
      <w:r>
        <w:rPr>
          <w:rStyle w:val="FootnoteReference"/>
        </w:rPr>
        <w:footnoteReference w:id="228"/>
      </w:r>
      <w:r>
        <w:t xml:space="preserve"> </w:t>
      </w:r>
      <w:r>
        <w:t xml:space="preserve">The program shortens sessions only where risk justifies it (administrators, off-network sign-ins, sensitive applications) and otherwise relies on CAE to cut sessions when something changes.</w:t>
      </w:r>
    </w:p>
    <w:bookmarkEnd w:id="229"/>
    <w:bookmarkEnd w:id="230"/>
    <w:bookmarkStart w:id="249" w:name="how-policies-combine"/>
    <w:p>
      <w:pPr>
        <w:pStyle w:val="Heading2"/>
      </w:pPr>
      <w:bookmarkStart w:id="1179" w:name="_Toc00001179"/>
      <w:r>
        <w:t xml:space="preserve">How policies combine</w:t>
      </w:r>
      <w:bookmarkEnd w:id="1179"/>
    </w:p>
    <w:p>
      <w:pPr>
        <w:pStyle w:val="FirstParagraph"/>
      </w:pPr>
      <w:r>
        <w:t xml:space="preserve">Group Policy has precedence: local, site, domain, OU, with the last writer winning. Conditional Access has none. The rules are few, and Chapter 01 introduced them:</w:t>
      </w:r>
    </w:p>
    <w:p>
      <w:pPr>
        <w:pStyle w:val="Compact"/>
        <w:numPr>
          <w:ilvl w:val="0"/>
          <w:numId w:val="1017"/>
        </w:numPr>
      </w:pPr>
      <w:r>
        <w:rPr>
          <w:b/>
          <w:bCs/>
        </w:rPr>
        <w:t xml:space="preserve">Within a policy, assignments combine with AND.</w:t>
      </w:r>
      <w:r>
        <w:t xml:space="preserve"> </w:t>
      </w:r>
      <w:r>
        <w:t xml:space="preserve">A policy applies only when every configured assignment matches.</w:t>
      </w:r>
      <w:r>
        <w:rPr>
          <w:rStyle w:val="FootnoteReference"/>
        </w:rPr>
        <w:footnoteReference w:id="231"/>
      </w:r>
    </w:p>
    <w:p>
      <w:pPr>
        <w:pStyle w:val="Compact"/>
        <w:numPr>
          <w:ilvl w:val="0"/>
          <w:numId w:val="1017"/>
        </w:numPr>
      </w:pPr>
      <w:r>
        <w:rPr>
          <w:b/>
          <w:bCs/>
        </w:rPr>
        <w:t xml:space="preserve">Across policies, every applicable policy must be satisfied.</w:t>
      </w:r>
      <w:r>
        <w:t xml:space="preserve"> </w:t>
      </w:r>
      <w:r>
        <w:t xml:space="preserve">If one requires MFA and another a compliant device, the user does both. There’s no priority number and no ordering mechanism; the program’s policy numbers are labels.</w:t>
      </w:r>
      <w:r>
        <w:rPr>
          <w:rStyle w:val="FootnoteReference"/>
        </w:rPr>
        <w:footnoteReference w:id="232"/>
      </w:r>
    </w:p>
    <w:p>
      <w:pPr>
        <w:pStyle w:val="Compact"/>
        <w:numPr>
          <w:ilvl w:val="0"/>
          <w:numId w:val="1017"/>
        </w:numPr>
      </w:pPr>
      <w:r>
        <w:rPr>
          <w:b/>
          <w:bCs/>
        </w:rPr>
        <w:t xml:space="preserve">Block wins.</w:t>
      </w:r>
      <w:r>
        <w:t xml:space="preserve"> </w:t>
      </w:r>
      <w:r>
        <w:t xml:space="preserve">If any applicable policy blocks, enforcement stops.</w:t>
      </w:r>
      <w:r>
        <w:rPr>
          <w:rStyle w:val="FootnoteReference"/>
        </w:rPr>
        <w:footnoteReference w:id="233"/>
      </w:r>
    </w:p>
    <w:p>
      <w:pPr>
        <w:pStyle w:val="Compact"/>
        <w:numPr>
          <w:ilvl w:val="0"/>
          <w:numId w:val="1017"/>
        </w:numPr>
      </w:pPr>
      <w:r>
        <w:rPr>
          <w:b/>
          <w:bCs/>
        </w:rPr>
        <w:t xml:space="preserve">Exclusions win.</w:t>
      </w:r>
      <w:r>
        <w:t xml:space="preserve"> </w:t>
      </w:r>
      <w:r>
        <w:t xml:space="preserve">An exclusion removes a policy for that identity regardless of inclusions.</w:t>
      </w:r>
      <w:r>
        <w:rPr>
          <w:rStyle w:val="FootnoteReference"/>
        </w:rPr>
        <w:footnoteReference w:id="234"/>
      </w:r>
    </w:p>
    <w:p>
      <w:pPr>
        <w:pStyle w:val="Compact"/>
        <w:numPr>
          <w:ilvl w:val="0"/>
          <w:numId w:val="1017"/>
        </w:numPr>
      </w:pPr>
      <w:r>
        <w:rPr>
          <w:b/>
          <w:bCs/>
        </w:rPr>
        <w:t xml:space="preserve">Unmet grant controls are prompted in a fixed order:</w:t>
      </w:r>
      <w:r>
        <w:t xml:space="preserve"> </w:t>
      </w:r>
      <w:r>
        <w:t xml:space="preserve">MFA, compliant device, hybrid joined device, approved client app, app protection policy, password change, terms of use, custom controls. Sign-in logs reflect that order; a user with no MFA claim shows a pending MFA interrupt and a terms-of-use failure in the first log entry, then success for both in the next.</w:t>
      </w:r>
      <w:r>
        <w:rPr>
          <w:rStyle w:val="FootnoteReference"/>
        </w:rPr>
        <w:footnoteReference w:id="235"/>
      </w:r>
      <w:r>
        <w:rPr>
          <w:rStyle w:val="FootnoteReference"/>
        </w:rPr>
        <w:footnoteReference w:id="236"/>
      </w:r>
    </w:p>
    <w:p>
      <w:pPr>
        <w:pStyle w:val="Compact"/>
        <w:numPr>
          <w:ilvl w:val="0"/>
          <w:numId w:val="1017"/>
        </w:numPr>
      </w:pPr>
      <w:r>
        <w:rPr>
          <w:b/>
          <w:bCs/>
        </w:rPr>
        <w:t xml:space="preserve">Session controls stack.</w:t>
      </w:r>
      <w:r>
        <w:t xml:space="preserve"> </w:t>
      </w:r>
      <w:r>
        <w:t xml:space="preserve">Because every applicable policy must be satisfied, the shortest sign-in frequency among them is the one the user experiences. This is a consequence of rule 2, not a separately documented precedence rule.</w:t>
      </w:r>
    </w:p>
    <w:p>
      <w:pPr>
        <w:pStyle w:val="FirstParagraph"/>
      </w:pPr>
      <w:r>
        <w:t xml:space="preserve">Enforcement runs in two phases. Phase 1 collects session details, such as network location and device identity, for enabled and report-only policies. Phase 2 runs for enabled policies only: any block ends it; otherwise the user is prompted for unmet controls, and session controls are applied once all are met.</w:t>
      </w:r>
      <w:r>
        <w:rPr>
          <w:rStyle w:val="FootnoteReference"/>
        </w:rPr>
        <w:footnoteReference w:id="237"/>
      </w:r>
    </w:p>
    <w:bookmarkStart w:id="245" w:name="policies-come-in-pairs"/>
    <w:p>
      <w:pPr>
        <w:pStyle w:val="Heading3"/>
      </w:pPr>
      <w:r>
        <w:t xml:space="preserve">Policies come in pairs</w:t>
      </w:r>
    </w:p>
    <w:p>
      <w:pPr>
        <w:pStyle w:val="FirstParagraph"/>
      </w:pPr>
      <w:r>
        <w:t xml:space="preserve">The most common design error follows from the default.</w:t>
      </w:r>
      <w:r>
        <w:t xml:space="preserve"> </w:t>
      </w:r>
      <w:r>
        <w:rPr>
          <w:b/>
          <w:bCs/>
        </w:rPr>
        <w:t xml:space="preserve">Access tokens are issued when no policy’s conditions trigger a control.</w:t>
      </w:r>
      <w:r>
        <w:t xml:space="preserve"> </w:t>
      </w:r>
      <w:r>
        <w:t xml:space="preserve">A policy that says</w:t>
      </w:r>
      <w:r>
        <w:t xml:space="preserve"> </w:t>
      </w:r>
      <w:r>
        <w:t xml:space="preserve">“Finance users accessing Payroll must use MFA”</w:t>
      </w:r>
      <w:r>
        <w:t xml:space="preserve"> </w:t>
      </w:r>
      <w:r>
        <w:t xml:space="preserve">says nothing about anyone else: a non-Finance user gets a token for Payroll with no MFA at all. To restrict an application to a population, write a second policy that blocks all users</w:t>
      </w:r>
      <w:r>
        <w:t xml:space="preserve"> </w:t>
      </w:r>
      <w:r>
        <w:rPr>
          <w:i/>
          <w:iCs/>
        </w:rPr>
        <w:t xml:space="preserve">except</w:t>
      </w:r>
      <w:r>
        <w:t xml:space="preserve"> </w:t>
      </w:r>
      <w:r>
        <w:t xml:space="preserve">that population.</w:t>
      </w:r>
      <w:r>
        <w:rPr>
          <w:rStyle w:val="FootnoteReference"/>
        </w:rPr>
        <w:footnoteReference w:id="238"/>
      </w:r>
    </w:p>
    <w:bookmarkStart w:id="242" w:name="fig-ch03-grant-block-pair"/>
    <w:p>
      <w:pPr>
        <w:pStyle w:val="CaptionedFigure"/>
      </w:pPr>
      <w:r>
        <w:drawing>
          <wp:inline>
            <wp:extent cx="5334000" cy="1731617"/>
            <wp:effectExtent b="0" l="0" r="0" t="0"/>
            <wp:docPr descr="A grant policy restricts nothing on its own: the Finance group’s policy requires phishing-resistant MFA and a compliant device, and a second policy blocks everyone else from the payroll app." title="" id="240" name="Picture"/>
            <a:graphic>
              <a:graphicData uri="http://schemas.openxmlformats.org/drawingml/2006/picture">
                <pic:pic>
                  <pic:nvPicPr>
                    <pic:cNvPr descr="/home/runner/work/modernization-workbook/modernization-workbook/docs/images/diagrams/b04-access/png/ch03-grant-block-pair.png" id="241" name="Picture"/>
                    <pic:cNvPicPr>
                      <a:picLocks noChangeArrowheads="1" noChangeAspect="1"/>
                    </pic:cNvPicPr>
                  </pic:nvPicPr>
                  <pic:blipFill>
                    <a:blip r:embed="rId239"/>
                    <a:stretch>
                      <a:fillRect/>
                    </a:stretch>
                  </pic:blipFill>
                  <pic:spPr bwMode="auto">
                    <a:xfrm>
                      <a:off x="0" y="0"/>
                      <a:ext cx="5334000" cy="1731617"/>
                    </a:xfrm>
                    <a:prstGeom prst="rect">
                      <a:avLst/>
                    </a:prstGeom>
                    <a:noFill/>
                    <a:ln w="9525">
                      <a:noFill/>
                      <a:headEnd/>
                      <a:tailEnd/>
                    </a:ln>
                  </pic:spPr>
                </pic:pic>
              </a:graphicData>
            </a:graphic>
          </wp:inline>
        </w:drawing>
      </w:r>
    </w:p>
    <w:p>
      <w:pPr>
        <w:pStyle w:val="ImageCaption"/>
      </w:pPr>
      <w:r>
        <w:t xml:space="preserve">A grant policy restricts nothing on its own: the Finance group’s policy requires phishing-resistant MFA and a compliant device, and a second policy blocks everyone else from the payroll app.</w:t>
      </w:r>
    </w:p>
    <w:bookmarkEnd w:id="242"/>
    <w:p>
      <w:pPr>
        <w:pStyle w:val="BodyText"/>
      </w:pPr>
      <w:r>
        <w:t xml:space="preserve">For applications, enterprise application assignment is usually the cleaner first gate: with</w:t>
      </w:r>
      <w:r>
        <w:t xml:space="preserve"> </w:t>
      </w:r>
      <w:r>
        <w:rPr>
          <w:b/>
          <w:bCs/>
        </w:rPr>
        <w:t xml:space="preserve">Assignment required</w:t>
      </w:r>
      <w:r>
        <w:t xml:space="preserve"> </w:t>
      </w:r>
      <w:r>
        <w:t xml:space="preserve">set, only assigned users and groups (and applications) can get a token, though Global Administrators bypass the check.</w:t>
      </w:r>
      <w:r>
        <w:rPr>
          <w:rStyle w:val="FootnoteReference"/>
        </w:rPr>
        <w:footnoteReference w:id="243"/>
      </w:r>
      <w:r>
        <w:t xml:space="preserve"> </w:t>
      </w:r>
      <w:r>
        <w:t xml:space="preserve">The program uses both: assignment for the population, and a Conditional Access block for defense in depth where the application is sensitive.</w:t>
      </w:r>
    </w:p>
    <w:bookmarkEnd w:id="245"/>
    <w:bookmarkStart w:id="248" w:name="microsoft-managed-policies"/>
    <w:p>
      <w:pPr>
        <w:pStyle w:val="Heading3"/>
      </w:pPr>
      <w:r>
        <w:t xml:space="preserve">Microsoft-managed policies</w:t>
      </w:r>
    </w:p>
    <w:p>
      <w:pPr>
        <w:pStyle w:val="FirstParagraph"/>
      </w:pPr>
      <w:r>
        <w:t xml:space="preserve">Microsoft creates some policies in eligible tenants itself: block legacy authentication, block device code flow, MFA for admins in Microsoft admin portals, MFA for all users, MFA for per-user-MFA users, MFA and reauthentication for risky sign-ins, block or remediate high-risk users, and others. Each arrives in report-only mode and is turned on by Microsoft no less than 30 days later unless an administrator sets it to Off. Administrators can exclude identities and change the state, but can’t rename or delete them.</w:t>
      </w:r>
      <w:r>
        <w:rPr>
          <w:rStyle w:val="FootnoteReference"/>
        </w:rPr>
        <w:footnoteReference w:id="246"/>
      </w:r>
    </w:p>
    <w:p>
      <w:pPr>
        <w:pStyle w:val="BodyText"/>
      </w:pPr>
      <w:r>
        <w:t xml:space="preserve">The program treats them as inputs to its own library, not as part of it. For each managed policy, the identity team records one of two decisions:</w:t>
      </w:r>
      <w:r>
        <w:t xml:space="preserve"> </w:t>
      </w:r>
      <w:r>
        <w:rPr>
          <w:b/>
          <w:bCs/>
        </w:rPr>
        <w:t xml:space="preserve">adopt</w:t>
      </w:r>
      <w:r>
        <w:t xml:space="preserve"> </w:t>
      </w:r>
      <w:r>
        <w:t xml:space="preserve">(exclude the emergency access group and turn it on, citing the library policy it duplicates) or</w:t>
      </w:r>
      <w:r>
        <w:t xml:space="preserve"> </w:t>
      </w:r>
      <w:r>
        <w:rPr>
          <w:b/>
          <w:bCs/>
        </w:rPr>
        <w:t xml:space="preserve">supersede</w:t>
      </w:r>
      <w:r>
        <w:t xml:space="preserve"> </w:t>
      </w:r>
      <w:r>
        <w:t xml:space="preserve">(turn it Off because a library policy covers the same ground, and record which one). Either way the decision is written down, because a policy that Microsoft enables on a schedule is a change the agency didn’t make. Audit-log entries initiated by</w:t>
      </w:r>
      <w:r>
        <w:t xml:space="preserve"> </w:t>
      </w:r>
      <w:r>
        <w:t xml:space="preserve">“Microsoft Managed Policy Manager”</w:t>
      </w:r>
      <w:r>
        <w:t xml:space="preserve"> </w:t>
      </w:r>
      <w:r>
        <w:t xml:space="preserve">show when Microsoft adds or changes one.</w:t>
      </w:r>
      <w:r>
        <w:rPr>
          <w:rStyle w:val="FootnoteReference"/>
        </w:rPr>
        <w:footnoteReference w:id="247"/>
      </w:r>
    </w:p>
    <w:bookmarkEnd w:id="248"/>
    <w:bookmarkEnd w:id="249"/>
    <w:bookmarkStart w:id="258" w:name="report-only-mode"/>
    <w:p>
      <w:pPr>
        <w:pStyle w:val="Heading2"/>
      </w:pPr>
      <w:bookmarkStart w:id="1180" w:name="_Toc00001180"/>
      <w:r>
        <w:t xml:space="preserve">Report-only mode</w:t>
      </w:r>
      <w:bookmarkEnd w:id="1180"/>
    </w:p>
    <w:p>
      <w:pPr>
        <w:pStyle w:val="FirstParagraph"/>
      </w:pPr>
      <w:r>
        <w:t xml:space="preserve">Report-only is a policy state: the policy is evaluated at every sign-in, its result is logged, and nothing is enforced. Users aren’t prompted or blocked.</w:t>
      </w:r>
      <w:r>
        <w:rPr>
          <w:rStyle w:val="FootnoteReference"/>
        </w:rPr>
        <w:footnoteReference w:id="250"/>
      </w:r>
      <w:r>
        <w:t xml:space="preserve"> </w:t>
      </w:r>
      <w:r>
        <w:t xml:space="preserve">The results 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Result</w:t>
            </w:r>
          </w:p>
        </w:tc>
        <w:tc>
          <w:tcPr/>
          <w:p>
            <w:pPr>
              <w:pStyle w:val="Compact"/>
            </w:pPr>
            <w:r>
              <w:t xml:space="preserve">Meaning</w:t>
            </w:r>
          </w:p>
        </w:tc>
      </w:tr>
      <w:tr>
        <w:tc>
          <w:tcPr/>
          <w:p>
            <w:pPr>
              <w:pStyle w:val="Compact"/>
            </w:pPr>
            <w:r>
              <w:t xml:space="preserve">Report-only: Success</w:t>
            </w:r>
          </w:p>
        </w:tc>
        <w:tc>
          <w:tcPr/>
          <w:p>
            <w:pPr>
              <w:pStyle w:val="Compact"/>
            </w:pPr>
            <w:r>
              <w:t xml:space="preserve">Conditions matched and the controls were already satisfied (for example, an MFA claim was in the token)</w:t>
            </w:r>
          </w:p>
        </w:tc>
      </w:tr>
      <w:tr>
        <w:tc>
          <w:tcPr/>
          <w:p>
            <w:pPr>
              <w:pStyle w:val="Compact"/>
            </w:pPr>
            <w:r>
              <w:t xml:space="preserve">Report-only: Failure</w:t>
            </w:r>
          </w:p>
        </w:tc>
        <w:tc>
          <w:tcPr/>
          <w:p>
            <w:pPr>
              <w:pStyle w:val="Compact"/>
            </w:pPr>
            <w:r>
              <w:t xml:space="preserve">Conditions matched and a non-interactive control failed; this is what a block would do</w:t>
            </w:r>
          </w:p>
        </w:tc>
      </w:tr>
      <w:tr>
        <w:tc>
          <w:tcPr/>
          <w:p>
            <w:pPr>
              <w:pStyle w:val="Compact"/>
            </w:pPr>
            <w:r>
              <w:t xml:space="preserve">Report-only: User action required</w:t>
            </w:r>
          </w:p>
        </w:tc>
        <w:tc>
          <w:tcPr/>
          <w:p>
            <w:pPr>
              <w:pStyle w:val="Compact"/>
            </w:pPr>
            <w:r>
              <w:t xml:space="preserve">Conditions matched and the user would have been prompted (MFA, terms of use)</w:t>
            </w:r>
          </w:p>
        </w:tc>
      </w:tr>
      <w:tr>
        <w:tc>
          <w:tcPr/>
          <w:p>
            <w:pPr>
              <w:pStyle w:val="Compact"/>
            </w:pPr>
            <w:r>
              <w:t xml:space="preserve">Report-only: Not applied</w:t>
            </w:r>
          </w:p>
        </w:tc>
        <w:tc>
          <w:tcPr/>
          <w:p>
            <w:pPr>
              <w:pStyle w:val="Compact"/>
            </w:pPr>
            <w:r>
              <w:t xml:space="preserve">Conditions didn’t match, for example because the user is excluded</w:t>
            </w:r>
          </w:p>
        </w:tc>
      </w:tr>
    </w:tbl>
    <w:p>
      <w:pPr>
        <w:pStyle w:val="BodyText"/>
      </w:pPr>
      <w:r>
        <w:t xml:space="preserve">In the sign-in logs and Microsoft Graph these appear as</w:t>
      </w:r>
      <w:r>
        <w:t xml:space="preserve"> </w:t>
      </w:r>
      <w:r>
        <w:rPr>
          <w:rStyle w:val="VerbatimChar"/>
        </w:rPr>
        <w:t xml:space="preserve">reportOnlySuccess</w:t>
      </w:r>
      <w:r>
        <w:t xml:space="preserve">,</w:t>
      </w:r>
      <w:r>
        <w:t xml:space="preserve"> </w:t>
      </w:r>
      <w:r>
        <w:rPr>
          <w:rStyle w:val="VerbatimChar"/>
        </w:rPr>
        <w:t xml:space="preserve">reportOnlyFailure</w:t>
      </w:r>
      <w:r>
        <w:t xml:space="preserve">,</w:t>
      </w:r>
      <w:r>
        <w:t xml:space="preserve"> </w:t>
      </w:r>
      <w:r>
        <w:rPr>
          <w:rStyle w:val="VerbatimChar"/>
        </w:rPr>
        <w:t xml:space="preserve">reportOnlyInterrupted</w:t>
      </w:r>
      <w:r>
        <w:t xml:space="preserve"> </w:t>
      </w:r>
      <w:r>
        <w:t xml:space="preserve">and</w:t>
      </w:r>
      <w:r>
        <w:t xml:space="preserve"> </w:t>
      </w:r>
      <w:r>
        <w:rPr>
          <w:rStyle w:val="VerbatimChar"/>
        </w:rPr>
        <w:t xml:space="preserve">reportOnlyNotApplied</w:t>
      </w:r>
      <w:r>
        <w:t xml:space="preserve">.</w:t>
      </w:r>
      <w:r>
        <w:rPr>
          <w:rStyle w:val="FootnoteReference"/>
        </w:rPr>
        <w:footnoteReference w:id="251"/>
      </w:r>
      <w:r>
        <w:rPr>
          <w:rStyle w:val="FootnoteReference"/>
        </w:rPr>
        <w:footnoteReference w:id="252"/>
      </w:r>
    </w:p>
    <w:p>
      <w:pPr>
        <w:pStyle w:val="BodyText"/>
      </w:pPr>
      <w:r>
        <w:t xml:space="preserve">Three limits apply. Policies scoped to user actions can’t run in report-only. A report-only policy that requires a compliant device can still prompt users on macOS, iOS and Android to pick a device certificate, so Microsoft advises excluding those platforms from report-only compliance policies. And GPS-based named locations prompt users for location even in report-only.</w:t>
      </w:r>
      <w:r>
        <w:rPr>
          <w:rStyle w:val="FootnoteReference"/>
        </w:rPr>
        <w:footnoteReference w:id="254"/>
      </w:r>
      <w:r>
        <w:rPr>
          <w:rStyle w:val="FootnoteReference"/>
        </w:rPr>
        <w:footnoteReference w:id="255"/>
      </w:r>
    </w:p>
    <w:p>
      <w:pPr>
        <w:pStyle w:val="BodyText"/>
      </w:pPr>
      <w:r>
        <w:t xml:space="preserve">The tools for reading results are the sign-in log’s Report-only tab, the policy impact view (Security Reader or higher), and the Conditional Access insights and reporting workbook, which needs P1 and a Log Analytics workspace receiving sign-in logs. To change an enforced policy, Microsoft’s practice is to create a report-only copy with the change, compare the two, then update the original.</w:t>
      </w:r>
      <w:r>
        <w:rPr>
          <w:rStyle w:val="FootnoteReference"/>
        </w:rPr>
        <w:footnoteReference w:id="256"/>
      </w:r>
      <w:r>
        <w:t xml:space="preserve"> </w:t>
      </w:r>
      <w:r>
        <w:t xml:space="preserve">The What If tool simulates a sign-in against the policy set; it shows which policies would apply, but doesn’t replace a test with real users.</w:t>
      </w:r>
      <w:r>
        <w:rPr>
          <w:rStyle w:val="FootnoteReference"/>
        </w:rPr>
        <w:footnoteReference w:id="257"/>
      </w:r>
    </w:p>
    <w:bookmarkEnd w:id="258"/>
    <w:bookmarkStart w:id="261" w:name="exclusions"/>
    <w:p>
      <w:pPr>
        <w:pStyle w:val="Heading2"/>
      </w:pPr>
      <w:bookmarkStart w:id="1181" w:name="_Toc00001181"/>
      <w:r>
        <w:t xml:space="preserve">Exclusions</w:t>
      </w:r>
      <w:bookmarkEnd w:id="1181"/>
    </w:p>
    <w:p>
      <w:pPr>
        <w:pStyle w:val="FirstParagraph"/>
      </w:pPr>
      <w:r>
        <w:t xml:space="preserve">Microsoft recommends excluding two kinds of account from policies: emergency access accounts, and service accounts that sign in as users, such as the Microsoft Entra Connect Sync account. It adds that policies scoped to users never block service principals anyway; those need workload identity policies.</w:t>
      </w:r>
      <w:r>
        <w:rPr>
          <w:rStyle w:val="FootnoteReference"/>
        </w:rPr>
        <w:footnoteReference w:id="259"/>
      </w:r>
      <w:r>
        <w:t xml:space="preserve"> </w:t>
      </w:r>
      <w:r>
        <w:t xml:space="preserve">The program’s rules:</w:t>
      </w:r>
    </w:p>
    <w:p>
      <w:pPr>
        <w:pStyle w:val="Compact"/>
        <w:numPr>
          <w:ilvl w:val="0"/>
          <w:numId w:val="1018"/>
        </w:numPr>
      </w:pPr>
      <w:r>
        <w:rPr>
          <w:b/>
          <w:bCs/>
        </w:rPr>
        <w:t xml:space="preserve">One permanent exclusion.</w:t>
      </w:r>
      <w:r>
        <w:t xml:space="preserve"> </w:t>
      </w:r>
      <w:r>
        <w:t xml:space="preserve">The emergency access group is excluded from every policy that blocks or restricts sign-in. Report-only policies don’t need it (Book 02, Chapter 09).</w:t>
      </w:r>
    </w:p>
    <w:p>
      <w:pPr>
        <w:pStyle w:val="Compact"/>
        <w:numPr>
          <w:ilvl w:val="0"/>
          <w:numId w:val="1018"/>
        </w:numPr>
      </w:pPr>
      <w:r>
        <w:rPr>
          <w:b/>
          <w:bCs/>
        </w:rPr>
        <w:t xml:space="preserve">No user accounts used as services.</w:t>
      </w:r>
      <w:r>
        <w:t xml:space="preserve"> </w:t>
      </w:r>
      <w:r>
        <w:t xml:space="preserve">Where a script or tool signs in as a user, the fix is a managed identity or workload identity (Chapter 05), not an exclusion. The sync account is the documented exception.</w:t>
      </w:r>
    </w:p>
    <w:p>
      <w:pPr>
        <w:pStyle w:val="Compact"/>
        <w:numPr>
          <w:ilvl w:val="0"/>
          <w:numId w:val="1018"/>
        </w:numPr>
      </w:pPr>
      <w:r>
        <w:rPr>
          <w:b/>
          <w:bCs/>
        </w:rPr>
        <w:t xml:space="preserve">Every other exclusion is a governed object.</w:t>
      </w:r>
      <w:r>
        <w:t xml:space="preserve"> </w:t>
      </w:r>
      <w:r>
        <w:t xml:space="preserve">It’s a group (never a named user in the policy), with an owner, a reason, an expiry and a review in the access review schedule (Chapter 09). Time-bound exclusions, such as approved travel, are granted through PIM for Groups so they expire on their own.</w:t>
      </w:r>
    </w:p>
    <w:p>
      <w:pPr>
        <w:pStyle w:val="Compact"/>
        <w:numPr>
          <w:ilvl w:val="0"/>
          <w:numId w:val="1018"/>
        </w:numPr>
      </w:pPr>
      <w:r>
        <w:rPr>
          <w:b/>
          <w:bCs/>
        </w:rPr>
        <w:t xml:space="preserve">Test the exclusion, not just the policy.</w:t>
      </w:r>
      <w:r>
        <w:t xml:space="preserve"> </w:t>
      </w:r>
      <w:r>
        <w:t xml:space="preserve">An excluded user can still be prompted by another policy. Microsoft’s test guidance is explicit about checking that.</w:t>
      </w:r>
      <w:r>
        <w:rPr>
          <w:rStyle w:val="FootnoteReference"/>
        </w:rPr>
        <w:footnoteReference w:id="260"/>
      </w:r>
    </w:p>
    <w:p>
      <w:pPr>
        <w:pStyle w:val="FirstParagraph"/>
      </w:pPr>
      <w:r>
        <w:t xml:space="preserve">The opposite failure is quieter. A policy that</w:t>
      </w:r>
      <w:r>
        <w:t xml:space="preserve"> </w:t>
      </w:r>
      <w:r>
        <w:rPr>
          <w:i/>
          <w:iCs/>
        </w:rPr>
        <w:t xml:space="preserve">includes</w:t>
      </w:r>
      <w:r>
        <w:t xml:space="preserve"> </w:t>
      </w:r>
      <w:r>
        <w:t xml:space="preserve">a dynamic group misses every user whose attribute is empty, so incomplete attributes are an exclusion nobody approved. The program’s baseline policies include all users and exclude narrowly for that reason, and attribute completeness is checked before any attribute-scoped policy is enforced (Chapter 01; Book 03).</w:t>
      </w:r>
    </w:p>
    <w:bookmarkEnd w:id="261"/>
    <w:bookmarkStart w:id="270" w:name="the-programs-baseline-principles"/>
    <w:p>
      <w:pPr>
        <w:pStyle w:val="Heading2"/>
      </w:pPr>
      <w:bookmarkStart w:id="1182" w:name="_Toc00001182"/>
      <w:r>
        <w:t xml:space="preserve">The program’s baseline principles</w:t>
      </w:r>
      <w:bookmarkEnd w:id="1182"/>
    </w:p>
    <w:p>
      <w:pPr>
        <w:pStyle w:val="FirstParagraph"/>
      </w:pPr>
      <w:r>
        <w:t xml:space="preserve">These are the program’s design rules. Each policy in Chapter 07 is checked against them.</w:t>
      </w:r>
    </w:p>
    <w:p>
      <w:pPr>
        <w:pStyle w:val="Compact"/>
        <w:numPr>
          <w:ilvl w:val="0"/>
          <w:numId w:val="1019"/>
        </w:numPr>
      </w:pPr>
      <w:r>
        <w:rPr>
          <w:b/>
          <w:bCs/>
        </w:rPr>
        <w:t xml:space="preserve">Every sign-in meets at least one policy.</w:t>
      </w:r>
      <w:r>
        <w:t xml:space="preserve"> </w:t>
      </w:r>
      <w:r>
        <w:t xml:space="preserve">A baseline policy for all users and all resources, with no resource exclusions, sits under everything else. The report-only coverage probe (CA090) and the</w:t>
      </w:r>
      <w:r>
        <w:t xml:space="preserve"> </w:t>
      </w:r>
      <w:r>
        <w:t xml:space="preserve">“no Conditional Access applied”</w:t>
      </w:r>
      <w:r>
        <w:t xml:space="preserve"> </w:t>
      </w:r>
      <w:r>
        <w:t xml:space="preserve">detection in Book 02, Chapter 10 find what slips through.</w:t>
      </w:r>
    </w:p>
    <w:p>
      <w:pPr>
        <w:pStyle w:val="Compact"/>
        <w:numPr>
          <w:ilvl w:val="0"/>
          <w:numId w:val="1019"/>
        </w:numPr>
      </w:pPr>
      <w:r>
        <w:rPr>
          <w:b/>
          <w:bCs/>
        </w:rPr>
        <w:t xml:space="preserve">Target populations, not people.</w:t>
      </w:r>
      <w:r>
        <w:t xml:space="preserve"> </w:t>
      </w:r>
      <w:r>
        <w:t xml:space="preserve">Policies include and exclude groups built from authoritative attributes; no policy names an individual user.</w:t>
      </w:r>
    </w:p>
    <w:p>
      <w:pPr>
        <w:pStyle w:val="Compact"/>
        <w:numPr>
          <w:ilvl w:val="0"/>
          <w:numId w:val="1019"/>
        </w:numPr>
      </w:pPr>
      <w:r>
        <w:rPr>
          <w:b/>
          <w:bCs/>
        </w:rPr>
        <w:t xml:space="preserve">One purpose per policy.</w:t>
      </w:r>
      <w:r>
        <w:t xml:space="preserve"> </w:t>
      </w:r>
      <w:r>
        <w:t xml:space="preserve">A policy does one thing for one population. Restricting a resource takes a grant policy and a block policy, written and reviewed together.</w:t>
      </w:r>
    </w:p>
    <w:p>
      <w:pPr>
        <w:pStyle w:val="Compact"/>
        <w:numPr>
          <w:ilvl w:val="0"/>
          <w:numId w:val="1019"/>
        </w:numPr>
      </w:pPr>
      <w:r>
        <w:rPr>
          <w:b/>
          <w:bCs/>
        </w:rPr>
        <w:t xml:space="preserve">Block deliberately.</w:t>
      </w:r>
      <w:r>
        <w:t xml:space="preserve"> </w:t>
      </w:r>
      <w:r>
        <w:t xml:space="preserve">A block for all users and all resources can lock out administrators, and some endpoints, such as Microsoft Graph, can’t be excluded.</w:t>
      </w:r>
      <w:r>
        <w:rPr>
          <w:rStyle w:val="FootnoteReference"/>
        </w:rPr>
        <w:footnoteReference w:id="262"/>
      </w:r>
      <w:r>
        <w:t xml:space="preserve"> </w:t>
      </w:r>
      <w:r>
        <w:t xml:space="preserve">Every block policy names the population it protects and the population it stops.</w:t>
      </w:r>
    </w:p>
    <w:p>
      <w:pPr>
        <w:pStyle w:val="Compact"/>
        <w:numPr>
          <w:ilvl w:val="0"/>
          <w:numId w:val="1019"/>
        </w:numPr>
      </w:pPr>
      <w:r>
        <w:rPr>
          <w:b/>
          <w:bCs/>
        </w:rPr>
        <w:t xml:space="preserve">Phishing-resistant MFA is the end state.</w:t>
      </w:r>
      <w:r>
        <w:t xml:space="preserve"> </w:t>
      </w:r>
      <w:r>
        <w:t xml:space="preserve">CISA’s BOD 25-01 makes phishing-resistant MFA for all users, and for highly privileged roles, mandatory configurations for federal civilian tenants, with other MFA allowed only until phishing-resistant MFA is enforced.</w:t>
      </w:r>
      <w:r>
        <w:rPr>
          <w:rStyle w:val="FootnoteReference"/>
        </w:rPr>
        <w:footnoteReference w:id="263"/>
      </w:r>
      <w:r>
        <w:rPr>
          <w:rStyle w:val="FootnoteReference"/>
        </w:rPr>
        <w:footnoteReference w:id="265"/>
      </w:r>
      <w:r>
        <w:t xml:space="preserve"> </w:t>
      </w:r>
      <w:r>
        <w:t xml:space="preserve">Policies that accept the MFA strength are transitional.</w:t>
      </w:r>
    </w:p>
    <w:p>
      <w:pPr>
        <w:pStyle w:val="Compact"/>
        <w:numPr>
          <w:ilvl w:val="0"/>
          <w:numId w:val="1019"/>
        </w:numPr>
      </w:pPr>
      <w:r>
        <w:rPr>
          <w:b/>
          <w:bCs/>
        </w:rPr>
        <w:t xml:space="preserve">Report-only first; enforcement is a separate change.</w:t>
      </w:r>
      <w:r>
        <w:t xml:space="preserve"> </w:t>
      </w:r>
      <w:r>
        <w:t xml:space="preserve">No policy goes from Off to On. Changes to an enforced policy are tested as a report-only copy.</w:t>
      </w:r>
    </w:p>
    <w:p>
      <w:pPr>
        <w:pStyle w:val="Compact"/>
        <w:numPr>
          <w:ilvl w:val="0"/>
          <w:numId w:val="1019"/>
        </w:numPr>
      </w:pPr>
      <w:r>
        <w:rPr>
          <w:b/>
          <w:bCs/>
        </w:rPr>
        <w:t xml:space="preserve">Location narrows; it never waives.</w:t>
      </w:r>
      <w:r>
        <w:t xml:space="preserve"> </w:t>
      </w:r>
      <w:r>
        <w:t xml:space="preserve">A location condition can add a block or shorten a session. It never removes an MFA or device requirement, and for privileged roles a trusted network changes nothing.</w:t>
      </w:r>
    </w:p>
    <w:p>
      <w:pPr>
        <w:pStyle w:val="Compact"/>
        <w:numPr>
          <w:ilvl w:val="0"/>
          <w:numId w:val="1019"/>
        </w:numPr>
      </w:pPr>
      <w:r>
        <w:rPr>
          <w:b/>
          <w:bCs/>
        </w:rPr>
        <w:t xml:space="preserve">Policy is code.</w:t>
      </w:r>
      <w:r>
        <w:t xml:space="preserve"> </w:t>
      </w:r>
      <w:r>
        <w:t xml:space="preserve">Policies are authored as Microsoft Graph JSON in source control, deployed in report-only state, and protected by protected actions so that changing them requires fresh strong authentication (Chapter 10).</w:t>
      </w:r>
      <w:r>
        <w:rPr>
          <w:rStyle w:val="FootnoteReference"/>
        </w:rPr>
        <w:footnoteReference w:id="267"/>
      </w:r>
    </w:p>
    <w:p>
      <w:pPr>
        <w:pStyle w:val="Compact"/>
        <w:numPr>
          <w:ilvl w:val="0"/>
          <w:numId w:val="1019"/>
        </w:numPr>
      </w:pPr>
      <w:r>
        <w:rPr>
          <w:b/>
          <w:bCs/>
        </w:rPr>
        <w:t xml:space="preserve">Consolidate.</w:t>
      </w:r>
      <w:r>
        <w:t xml:space="preserve"> </w:t>
      </w:r>
      <w:r>
        <w:t xml:space="preserve">A tenant can hold 240 policies in any state, including report-only and off, and policy JSON has a size limit that long GUID lists can hit. Group applications with the same requirements into one policy, and use groups and application filters instead of lists.</w:t>
      </w:r>
      <w:r>
        <w:rPr>
          <w:rStyle w:val="FootnoteReference"/>
        </w:rPr>
        <w:footnoteReference w:id="268"/>
      </w:r>
    </w:p>
    <w:p>
      <w:pPr>
        <w:pStyle w:val="Compact"/>
        <w:numPr>
          <w:ilvl w:val="0"/>
          <w:numId w:val="1019"/>
        </w:numPr>
      </w:pPr>
      <w:r>
        <w:rPr>
          <w:b/>
          <w:bCs/>
        </w:rPr>
        <w:t xml:space="preserve">Never delete during an incident.</w:t>
      </w:r>
      <w:r>
        <w:t xml:space="preserve"> </w:t>
      </w:r>
      <w:r>
        <w:t xml:space="preserve">Roll back by setting a policy to Off or report-only. A deleted policy or named location can be restored within a 30-day soft-delete window, but deletion is a change the drift record has to explain (Chapter 10).</w:t>
      </w:r>
      <w:r>
        <w:rPr>
          <w:rStyle w:val="FootnoteReference"/>
        </w:rPr>
        <w:footnoteReference w:id="269"/>
      </w:r>
    </w:p>
    <w:bookmarkEnd w:id="270"/>
    <w:bookmarkStart w:id="276" w:name="naming-and-the-persona-model"/>
    <w:p>
      <w:pPr>
        <w:pStyle w:val="Heading2"/>
      </w:pPr>
      <w:bookmarkStart w:id="1183" w:name="_Toc00001183"/>
      <w:r>
        <w:t xml:space="preserve">Naming and the persona model</w:t>
      </w:r>
      <w:bookmarkEnd w:id="1183"/>
    </w:p>
    <w:bookmarkStart w:id="273" w:name="naming-convention"/>
    <w:p>
      <w:pPr>
        <w:pStyle w:val="Heading3"/>
      </w:pPr>
      <w:r>
        <w:t xml:space="preserve">Naming convention</w:t>
      </w:r>
    </w:p>
    <w:p>
      <w:pPr>
        <w:pStyle w:val="FirstParagraph"/>
      </w:pPr>
      <w:r>
        <w:t xml:space="preserve">Microsoft recommends a naming standard that shows a sequence number, the resources a policy applies to, the response, who it applies to and when, so a policy can be understood without being opened and referenced by number on a call.</w:t>
      </w:r>
      <w:r>
        <w:rPr>
          <w:rStyle w:val="FootnoteReference"/>
        </w:rPr>
        <w:footnoteReference w:id="271"/>
      </w:r>
      <w:r>
        <w:t xml:space="preserve"> </w:t>
      </w:r>
      <w:r>
        <w:t xml:space="preserve">The program’s convention, inherited from Book 02, Chapter 09:</w:t>
      </w:r>
    </w:p>
    <w:p>
      <w:pPr>
        <w:pStyle w:val="BodyText"/>
      </w:pPr>
      <w:r>
        <w:rPr>
          <w:rStyle w:val="VerbatimChar"/>
        </w:rPr>
        <w:t xml:space="preserve">CA{NNN}-{Population}-{Resource or condition}-{Control}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Rule</w:t>
            </w:r>
          </w:p>
        </w:tc>
        <w:tc>
          <w:tcPr/>
          <w:p>
            <w:pPr>
              <w:pStyle w:val="Compact"/>
            </w:pPr>
            <w:r>
              <w:t xml:space="preserve">Example</w:t>
            </w:r>
          </w:p>
        </w:tc>
      </w:tr>
      <w:tr>
        <w:tc>
          <w:tcPr/>
          <w:p>
            <w:pPr>
              <w:pStyle w:val="Compact"/>
            </w:pPr>
            <w:r>
              <w:rPr>
                <w:rStyle w:val="VerbatimChar"/>
              </w:rPr>
              <w:t xml:space="preserve">CA{NNN}</w:t>
            </w:r>
          </w:p>
        </w:tc>
        <w:tc>
          <w:tcPr/>
          <w:p>
            <w:pPr>
              <w:pStyle w:val="Compact"/>
            </w:pPr>
            <w:r>
              <w:t xml:space="preserve">Three-digit number. 001 to 089 for the library; 090 to 099 for permanent report-only instruments. Numbers are labels, not order, and a retired number is never reused (CA002 is retired)</w:t>
            </w:r>
          </w:p>
        </w:tc>
        <w:tc>
          <w:tcPr/>
          <w:p>
            <w:pPr>
              <w:pStyle w:val="Compact"/>
            </w:pPr>
            <w:r>
              <w:rPr>
                <w:rStyle w:val="VerbatimChar"/>
              </w:rPr>
              <w:t xml:space="preserve">CA013</w:t>
            </w:r>
          </w:p>
        </w:tc>
      </w:tr>
      <w:tr>
        <w:tc>
          <w:tcPr/>
          <w:p>
            <w:pPr>
              <w:pStyle w:val="Compact"/>
            </w:pPr>
            <w:r>
              <w:t xml:space="preserve">Population</w:t>
            </w:r>
          </w:p>
        </w:tc>
        <w:tc>
          <w:tcPr/>
          <w:p>
            <w:pPr>
              <w:pStyle w:val="Compact"/>
            </w:pPr>
            <w:r>
              <w:t xml:space="preserve">A persona, a sub-population of one, or</w:t>
            </w:r>
            <w:r>
              <w:t xml:space="preserve"> </w:t>
            </w:r>
            <w:r>
              <w:rPr>
                <w:rStyle w:val="VerbatimChar"/>
              </w:rPr>
              <w:t xml:space="preserve">AllUsers</w:t>
            </w:r>
            <w:r>
              <w:t xml:space="preserve"> </w:t>
            </w:r>
            <w:r>
              <w:t xml:space="preserve">(all users minus the emergency access group) or</w:t>
            </w:r>
            <w:r>
              <w:t xml:space="preserve"> </w:t>
            </w:r>
            <w:r>
              <w:rPr>
                <w:rStyle w:val="VerbatimChar"/>
              </w:rPr>
              <w:t xml:space="preserve">Members</w:t>
            </w:r>
            <w:r>
              <w:t xml:space="preserve"> </w:t>
            </w:r>
            <w:r>
              <w:t xml:space="preserve">(all users minus guest and external user types)</w:t>
            </w:r>
          </w:p>
        </w:tc>
        <w:tc>
          <w:tcPr/>
          <w:p>
            <w:pPr>
              <w:pStyle w:val="Compact"/>
            </w:pPr>
            <w:r>
              <w:rPr>
                <w:rStyle w:val="VerbatimChar"/>
              </w:rPr>
              <w:t xml:space="preserve">Admins</w:t>
            </w:r>
            <w:r>
              <w:t xml:space="preserve">,</w:t>
            </w:r>
            <w:r>
              <w:t xml:space="preserve"> </w:t>
            </w:r>
            <w:r>
              <w:rPr>
                <w:rStyle w:val="VerbatimChar"/>
              </w:rPr>
              <w:t xml:space="preserve">Internals</w:t>
            </w:r>
            <w:r>
              <w:t xml:space="preserve">,</w:t>
            </w:r>
            <w:r>
              <w:t xml:space="preserve"> </w:t>
            </w:r>
            <w:r>
              <w:rPr>
                <w:rStyle w:val="VerbatimChar"/>
              </w:rPr>
              <w:t xml:space="preserve">WebOnly</w:t>
            </w:r>
          </w:p>
        </w:tc>
      </w:tr>
      <w:tr>
        <w:tc>
          <w:tcPr/>
          <w:p>
            <w:pPr>
              <w:pStyle w:val="Compact"/>
            </w:pPr>
            <w:r>
              <w:t xml:space="preserve">Resource or condition</w:t>
            </w:r>
          </w:p>
        </w:tc>
        <w:tc>
          <w:tcPr/>
          <w:p>
            <w:pPr>
              <w:pStyle w:val="Compact"/>
            </w:pPr>
            <w:r>
              <w:t xml:space="preserve">What narrows the policy, omitted when it’s all resources with no condition</w:t>
            </w:r>
          </w:p>
        </w:tc>
        <w:tc>
          <w:tcPr/>
          <w:p>
            <w:pPr>
              <w:pStyle w:val="Compact"/>
            </w:pPr>
            <w:r>
              <w:rPr>
                <w:rStyle w:val="VerbatimChar"/>
              </w:rPr>
              <w:t xml:space="preserve">HighUserRisk</w:t>
            </w:r>
            <w:r>
              <w:t xml:space="preserve">,</w:t>
            </w:r>
            <w:r>
              <w:t xml:space="preserve"> </w:t>
            </w:r>
            <w:r>
              <w:rPr>
                <w:rStyle w:val="VerbatimChar"/>
              </w:rPr>
              <w:t xml:space="preserve">OfficeApps</w:t>
            </w:r>
            <w:r>
              <w:t xml:space="preserve">,</w:t>
            </w:r>
            <w:r>
              <w:t xml:space="preserve"> </w:t>
            </w:r>
            <w:r>
              <w:rPr>
                <w:rStyle w:val="VerbatimChar"/>
              </w:rPr>
              <w:t xml:space="preserve">ProductionApps</w:t>
            </w:r>
          </w:p>
        </w:tc>
      </w:tr>
      <w:tr>
        <w:tc>
          <w:tcPr/>
          <w:p>
            <w:pPr>
              <w:pStyle w:val="Compact"/>
            </w:pPr>
            <w:r>
              <w:t xml:space="preserve">Control</w:t>
            </w:r>
          </w:p>
        </w:tc>
        <w:tc>
          <w:tcPr/>
          <w:p>
            <w:pPr>
              <w:pStyle w:val="Compact"/>
            </w:pPr>
            <w:r>
              <w:t xml:space="preserve">The response</w:t>
            </w:r>
          </w:p>
        </w:tc>
        <w:tc>
          <w:tcPr/>
          <w:p>
            <w:pPr>
              <w:pStyle w:val="Compact"/>
            </w:pPr>
            <w:r>
              <w:rPr>
                <w:rStyle w:val="VerbatimChar"/>
              </w:rPr>
              <w:t xml:space="preserve">Block</w:t>
            </w:r>
            <w:r>
              <w:t xml:space="preserve">,</w:t>
            </w:r>
            <w:r>
              <w:t xml:space="preserve"> </w:t>
            </w:r>
            <w:r>
              <w:rPr>
                <w:rStyle w:val="VerbatimChar"/>
              </w:rPr>
              <w:t xml:space="preserve">RequirePhishResistantMFA</w:t>
            </w:r>
          </w:p>
        </w:tc>
      </w:tr>
    </w:tbl>
    <w:p>
      <w:pPr>
        <w:pStyle w:val="BodyText"/>
      </w:pPr>
      <w:r>
        <w:t xml:space="preserve">Contingency policies follow Microsoft’s emergency naming pattern: they’re created disabled, begin with</w:t>
      </w:r>
      <w:r>
        <w:t xml:space="preserve"> </w:t>
      </w:r>
      <w:r>
        <w:rPr>
          <w:rStyle w:val="VerbatimChar"/>
        </w:rPr>
        <w:t xml:space="preserve">ENABLE IN EMERGENCY</w:t>
      </w:r>
      <w:r>
        <w:t xml:space="preserve">, name the disruption, and carry an order number, for example</w:t>
      </w:r>
      <w:r>
        <w:t xml:space="preserve"> </w:t>
      </w:r>
      <w:r>
        <w:rPr>
          <w:rStyle w:val="VerbatimChar"/>
        </w:rPr>
        <w:t xml:space="preserve">EM01 - ENABLE IN EMERGENCY: MFA Disruption [1/4]</w:t>
      </w:r>
      <w:r>
        <w:t xml:space="preserve">.</w:t>
      </w:r>
      <w:r>
        <w:rPr>
          <w:rStyle w:val="FootnoteReference"/>
        </w:rPr>
        <w:footnoteReference w:id="272"/>
      </w:r>
      <w:r>
        <w:t xml:space="preserve"> </w:t>
      </w:r>
      <w:r>
        <w:t xml:space="preserve">Groups used by policies are prefixed by purpose:</w:t>
      </w:r>
      <w:r>
        <w:t xml:space="preserve"> </w:t>
      </w:r>
      <w:r>
        <w:rPr>
          <w:rStyle w:val="VerbatimChar"/>
        </w:rPr>
        <w:t xml:space="preserve">CA-Persona-</w:t>
      </w:r>
      <w:r>
        <w:t xml:space="preserve"> </w:t>
      </w:r>
      <w:r>
        <w:t xml:space="preserve">for persona groups,</w:t>
      </w:r>
      <w:r>
        <w:t xml:space="preserve"> </w:t>
      </w:r>
      <w:r>
        <w:rPr>
          <w:rStyle w:val="VerbatimChar"/>
        </w:rPr>
        <w:t xml:space="preserve">CA-Access-</w:t>
      </w:r>
      <w:r>
        <w:t xml:space="preserve"> </w:t>
      </w:r>
      <w:r>
        <w:t xml:space="preserve">for populations allowed to reach a restricted resource, and</w:t>
      </w:r>
      <w:r>
        <w:t xml:space="preserve"> </w:t>
      </w:r>
      <w:r>
        <w:rPr>
          <w:rStyle w:val="VerbatimChar"/>
        </w:rPr>
        <w:t xml:space="preserve">CA-Exclude-</w:t>
      </w:r>
      <w:r>
        <w:t xml:space="preserve"> </w:t>
      </w:r>
      <w:r>
        <w:t xml:space="preserve">for governed exclusions.</w:t>
      </w:r>
    </w:p>
    <w:bookmarkEnd w:id="273"/>
    <w:bookmarkStart w:id="275" w:name="personas"/>
    <w:p>
      <w:pPr>
        <w:pStyle w:val="Heading3"/>
      </w:pPr>
      <w:r>
        <w:t xml:space="preserve">Personas</w:t>
      </w:r>
    </w:p>
    <w:p>
      <w:pPr>
        <w:pStyle w:val="FirstParagraph"/>
      </w:pPr>
      <w:r>
        <w:t xml:space="preserve">A persona is a population with its own access needs and risk. Personas are the program’s targeting unit: a policy targets a persona, a sub-population of one, or everyone. The personas are defined in Book 02, Chapter 09 and kept identical here: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Persona</w:t>
            </w:r>
          </w:p>
        </w:tc>
        <w:tc>
          <w:tcPr/>
          <w:p>
            <w:pPr>
              <w:pStyle w:val="Compact"/>
            </w:pPr>
            <w:r>
              <w:t xml:space="preserve">Who</w:t>
            </w:r>
          </w:p>
        </w:tc>
        <w:tc>
          <w:tcPr/>
          <w:p>
            <w:pPr>
              <w:pStyle w:val="Compact"/>
            </w:pPr>
            <w:r>
              <w:t xml:space="preserve">Persona group, and how it’s populated</w:t>
            </w:r>
          </w:p>
        </w:tc>
        <w:tc>
          <w:tcPr/>
          <w:p>
            <w:pPr>
              <w:pStyle w:val="Compact"/>
            </w:pPr>
            <w:r>
              <w:t xml:space="preserve">Risk</w:t>
            </w:r>
          </w:p>
        </w:tc>
      </w:tr>
      <w:tr>
        <w:tc>
          <w:tcPr/>
          <w:p>
            <w:pPr>
              <w:pStyle w:val="Compact"/>
            </w:pPr>
            <w:r>
              <w:t xml:space="preserve">Internals</w:t>
            </w:r>
          </w:p>
        </w:tc>
        <w:tc>
          <w:tcPr/>
          <w:p>
            <w:pPr>
              <w:pStyle w:val="Compact"/>
            </w:pPr>
            <w:r>
              <w:t xml:space="preserve">Employees and contractors with standard access</w:t>
            </w:r>
          </w:p>
        </w:tc>
        <w:tc>
          <w:tcPr/>
          <w:p>
            <w:pPr>
              <w:pStyle w:val="Compact"/>
            </w:pPr>
            <w:r>
              <w:rPr>
                <w:rStyle w:val="VerbatimChar"/>
              </w:rPr>
              <w:t xml:space="preserve">CA-Persona-Internals</w:t>
            </w:r>
            <w:r>
              <w:t xml:space="preserve">: dynamic,</w:t>
            </w:r>
            <w:r>
              <w:t xml:space="preserve"> </w:t>
            </w:r>
            <w:r>
              <w:rPr>
                <w:rStyle w:val="VerbatimChar"/>
              </w:rPr>
              <w:t xml:space="preserve">extensionAttribute6</w:t>
            </w:r>
            <w:r>
              <w:t xml:space="preserve"> </w:t>
            </w:r>
            <w:r>
              <w:t xml:space="preserve">in {Employee, Contractor}</w:t>
            </w:r>
          </w:p>
        </w:tc>
        <w:tc>
          <w:tcPr/>
          <w:p>
            <w:pPr>
              <w:pStyle w:val="Compact"/>
            </w:pPr>
            <w:r>
              <w:t xml:space="preserve">Standard</w:t>
            </w:r>
          </w:p>
        </w:tc>
      </w:tr>
      <w:tr>
        <w:tc>
          <w:tcPr/>
          <w:p>
            <w:pPr>
              <w:pStyle w:val="Compact"/>
            </w:pPr>
            <w:r>
              <w:t xml:space="preserve">Admins</w:t>
            </w:r>
          </w:p>
        </w:tc>
        <w:tc>
          <w:tcPr/>
          <w:p>
            <w:pPr>
              <w:pStyle w:val="Compact"/>
            </w:pPr>
            <w:r>
              <w:t xml:space="preserve">Users eligible for or holding privileged roles</w:t>
            </w:r>
          </w:p>
        </w:tc>
        <w:tc>
          <w:tcPr/>
          <w:p>
            <w:pPr>
              <w:pStyle w:val="Compact"/>
            </w:pPr>
            <w:r>
              <w:rPr>
                <w:rStyle w:val="VerbatimChar"/>
              </w:rPr>
              <w:t xml:space="preserve">CA-Persona-Admins</w:t>
            </w:r>
            <w:r>
              <w:t xml:space="preserve">:</w:t>
            </w:r>
            <w:r>
              <w:t xml:space="preserve"> </w:t>
            </w:r>
            <w:r>
              <w:rPr>
                <w:rStyle w:val="VerbatimChar"/>
              </w:rPr>
              <w:t xml:space="preserve">extensionAttribute10</w:t>
            </w:r>
            <w:r>
              <w:t xml:space="preserve"> </w:t>
            </w:r>
            <w:r>
              <w:t xml:space="preserve">= Privileged, or the PIM-eligible population</w:t>
            </w:r>
          </w:p>
        </w:tc>
        <w:tc>
          <w:tcPr/>
          <w:p>
            <w:pPr>
              <w:pStyle w:val="Compact"/>
            </w:pPr>
            <w:r>
              <w:t xml:space="preserve">High</w:t>
            </w:r>
          </w:p>
        </w:tc>
      </w:tr>
      <w:tr>
        <w:tc>
          <w:tcPr/>
          <w:p>
            <w:pPr>
              <w:pStyle w:val="Compact"/>
            </w:pPr>
            <w:r>
              <w:t xml:space="preserve">Externals</w:t>
            </w:r>
          </w:p>
        </w:tc>
        <w:tc>
          <w:tcPr/>
          <w:p>
            <w:pPr>
              <w:pStyle w:val="Compact"/>
            </w:pPr>
            <w:r>
              <w:t xml:space="preserve">B2B guests from partner organizations</w:t>
            </w:r>
          </w:p>
        </w:tc>
        <w:tc>
          <w:tcPr/>
          <w:p>
            <w:pPr>
              <w:pStyle w:val="Compact"/>
            </w:pPr>
            <w:r>
              <w:t xml:space="preserve">User type Guest from partner tenants, selected as guest or external user types</w:t>
            </w:r>
          </w:p>
        </w:tc>
        <w:tc>
          <w:tcPr/>
          <w:p>
            <w:pPr>
              <w:pStyle w:val="Compact"/>
            </w:pPr>
            <w:r>
              <w:t xml:space="preserve">Elevated</w:t>
            </w:r>
          </w:p>
        </w:tc>
      </w:tr>
      <w:tr>
        <w:tc>
          <w:tcPr/>
          <w:p>
            <w:pPr>
              <w:pStyle w:val="Compact"/>
            </w:pPr>
            <w:r>
              <w:t xml:space="preserve">Guests</w:t>
            </w:r>
          </w:p>
        </w:tc>
        <w:tc>
          <w:tcPr/>
          <w:p>
            <w:pPr>
              <w:pStyle w:val="Compact"/>
            </w:pPr>
            <w:r>
              <w:t xml:space="preserve">Ad hoc external users outside partner organizations</w:t>
            </w:r>
          </w:p>
        </w:tc>
        <w:tc>
          <w:tcPr/>
          <w:p>
            <w:pPr>
              <w:pStyle w:val="Compact"/>
            </w:pPr>
            <w:r>
              <w:t xml:space="preserve">User type Guest from other tenants or identity providers</w:t>
            </w:r>
          </w:p>
        </w:tc>
        <w:tc>
          <w:tcPr/>
          <w:p>
            <w:pPr>
              <w:pStyle w:val="Compact"/>
            </w:pPr>
            <w:r>
              <w:t xml:space="preserve">High</w:t>
            </w:r>
          </w:p>
        </w:tc>
      </w:tr>
      <w:tr>
        <w:tc>
          <w:tcPr/>
          <w:p>
            <w:pPr>
              <w:pStyle w:val="Compact"/>
            </w:pPr>
            <w:r>
              <w:t xml:space="preserve">Service accounts</w:t>
            </w:r>
          </w:p>
        </w:tc>
        <w:tc>
          <w:tcPr/>
          <w:p>
            <w:pPr>
              <w:pStyle w:val="Compact"/>
            </w:pPr>
            <w:r>
              <w:t xml:space="preserve">Single-tenant service principals</w:t>
            </w:r>
          </w:p>
        </w:tc>
        <w:tc>
          <w:tcPr/>
          <w:p>
            <w:pPr>
              <w:pStyle w:val="Compact"/>
            </w:pPr>
            <w:r>
              <w:t xml:space="preserve">Assigned to policies directly as workload identities</w:t>
            </w:r>
          </w:p>
        </w:tc>
        <w:tc>
          <w:tcPr/>
          <w:p>
            <w:pPr>
              <w:pStyle w:val="Compact"/>
            </w:pPr>
            <w:r>
              <w:t xml:space="preserve">Variable</w:t>
            </w:r>
          </w:p>
        </w:tc>
      </w:tr>
      <w:tr>
        <w:tc>
          <w:tcPr/>
          <w:p>
            <w:pPr>
              <w:pStyle w:val="Compact"/>
            </w:pPr>
            <w:r>
              <w:t xml:space="preserve">Break-glass</w:t>
            </w:r>
          </w:p>
        </w:tc>
        <w:tc>
          <w:tcPr/>
          <w:p>
            <w:pPr>
              <w:pStyle w:val="Compact"/>
            </w:pPr>
            <w:r>
              <w:t xml:space="preserve">The emergency access accounts</w:t>
            </w:r>
          </w:p>
        </w:tc>
        <w:tc>
          <w:tcPr/>
          <w:p>
            <w:pPr>
              <w:pStyle w:val="Compact"/>
            </w:pPr>
            <w:r>
              <w:rPr>
                <w:rStyle w:val="VerbatimChar"/>
              </w:rPr>
              <w:t xml:space="preserve">CA-Exclude-EmergencyAccess</w:t>
            </w:r>
            <w:r>
              <w:t xml:space="preserve">: assigned, two members</w:t>
            </w:r>
          </w:p>
        </w:tc>
        <w:tc>
          <w:tcPr/>
          <w:p>
            <w:pPr>
              <w:pStyle w:val="Compact"/>
            </w:pPr>
            <w:r>
              <w:t xml:space="preserve">Excluded from enforced policies</w:t>
            </w:r>
          </w:p>
        </w:tc>
      </w:tr>
    </w:tbl>
    <w:p>
      <w:pPr>
        <w:pStyle w:val="BodyText"/>
      </w:pPr>
      <w:r>
        <w:t xml:space="preserve">The extension attribute layout is the program’s (Book 02, Appendix C); Book 03 covers where the values come from. The library adds named sub-populations, each a governed group inside a persona:</w:t>
      </w:r>
      <w:r>
        <w:t xml:space="preserve"> </w:t>
      </w:r>
      <w:r>
        <w:rPr>
          <w:rStyle w:val="VerbatimChar"/>
        </w:rPr>
        <w:t xml:space="preserve">CA-Persona-WebOnly</w:t>
      </w:r>
      <w:r>
        <w:t xml:space="preserve"> </w:t>
      </w:r>
      <w:r>
        <w:t xml:space="preserve">(Internals without a managed device, typically some contractors),</w:t>
      </w:r>
      <w:r>
        <w:t xml:space="preserve"> </w:t>
      </w:r>
      <w:r>
        <w:rPr>
          <w:rStyle w:val="VerbatimChar"/>
        </w:rPr>
        <w:t xml:space="preserve">CA-Persona-SharedDevice</w:t>
      </w:r>
      <w:r>
        <w:t xml:space="preserve"> </w:t>
      </w:r>
      <w:r>
        <w:t xml:space="preserve">(frontline staff on shared devices),</w:t>
      </w:r>
      <w:r>
        <w:t xml:space="preserve"> </w:t>
      </w:r>
      <w:r>
        <w:rPr>
          <w:rStyle w:val="VerbatimChar"/>
        </w:rPr>
        <w:t xml:space="preserve">CA-Access-ServerAdmins</w:t>
      </w:r>
      <w:r>
        <w:t xml:space="preserve">,</w:t>
      </w:r>
      <w:r>
        <w:t xml:space="preserve"> </w:t>
      </w:r>
      <w:r>
        <w:rPr>
          <w:rStyle w:val="VerbatimChar"/>
        </w:rPr>
        <w:t xml:space="preserve">CA-Access-AzureOperators</w:t>
      </w:r>
      <w:r>
        <w:t xml:space="preserve"> </w:t>
      </w:r>
      <w:r>
        <w:t xml:space="preserve">and</w:t>
      </w:r>
      <w:r>
        <w:t xml:space="preserve"> </w:t>
      </w:r>
      <w:r>
        <w:rPr>
          <w:rStyle w:val="VerbatimChar"/>
        </w:rPr>
        <w:t xml:space="preserve">CA-Access-ProdOperators</w:t>
      </w:r>
      <w:r>
        <w:t xml:space="preserve">.</w:t>
      </w:r>
    </w:p>
    <w:p>
      <w:pPr>
        <w:pStyle w:val="BodyText"/>
      </w:pPr>
      <w:r>
        <w:t xml:space="preserve">Devices carry their own label. The program sets the device object’s</w:t>
      </w:r>
      <w:r>
        <w:t xml:space="preserve"> </w:t>
      </w:r>
      <w:r>
        <w:rPr>
          <w:rStyle w:val="VerbatimChar"/>
        </w:rPr>
        <w:t xml:space="preserve">extensionAttribute1</w:t>
      </w:r>
      <w:r>
        <w:t xml:space="preserve"> </w:t>
      </w:r>
      <w:r>
        <w:t xml:space="preserve">to</w:t>
      </w:r>
      <w:r>
        <w:t xml:space="preserve"> </w:t>
      </w:r>
      <w:r>
        <w:rPr>
          <w:rStyle w:val="VerbatimChar"/>
        </w:rPr>
        <w:t xml:space="preserve">PAW</w:t>
      </w:r>
      <w:r>
        <w:t xml:space="preserve"> </w:t>
      </w:r>
      <w:r>
        <w:t xml:space="preserve">for privileged access workstations and</w:t>
      </w:r>
      <w:r>
        <w:t xml:space="preserve"> </w:t>
      </w:r>
      <w:r>
        <w:rPr>
          <w:rStyle w:val="VerbatimChar"/>
        </w:rPr>
        <w:t xml:space="preserve">Shared</w:t>
      </w:r>
      <w:r>
        <w:t xml:space="preserve"> </w:t>
      </w:r>
      <w:r>
        <w:t xml:space="preserve">for shared or kiosk devices, through Microsoft Graph at provisioning. Because positive-operator device filters never match unregistered devices, and extension attributes are only readable on managed, compliant or hybrid-joined devices, policies that</w:t>
      </w:r>
      <w:r>
        <w:t xml:space="preserve"> </w:t>
      </w:r>
      <w:r>
        <w:rPr>
          <w:i/>
          <w:iCs/>
        </w:rPr>
        <w:t xml:space="preserve">require</w:t>
      </w:r>
      <w:r>
        <w:t xml:space="preserve"> </w:t>
      </w:r>
      <w:r>
        <w:t xml:space="preserve">a PAW are written as blocks on devices that</w:t>
      </w:r>
      <w:r>
        <w:t xml:space="preserve"> </w:t>
      </w:r>
      <w:r>
        <w:rPr>
          <w:i/>
          <w:iCs/>
        </w:rPr>
        <w:t xml:space="preserve">aren’t</w:t>
      </w:r>
      <w:r>
        <w:t xml:space="preserve"> </w:t>
      </w:r>
      <w:r>
        <w:t xml:space="preserve">one, as Microsoft’s own privileged-workstation example does.</w:t>
      </w:r>
      <w:r>
        <w:rPr>
          <w:rStyle w:val="FootnoteReference"/>
        </w:rPr>
        <w:footnoteReference w:id="274"/>
      </w:r>
    </w:p>
    <w:bookmarkEnd w:id="275"/>
    <w:bookmarkEnd w:id="276"/>
    <w:bookmarkStart w:id="277" w:name="continue-the-book-2"/>
    <w:p>
      <w:pPr>
        <w:pStyle w:val="Heading2"/>
      </w:pPr>
      <w:bookmarkStart w:id="1184" w:name="_Toc00001184"/>
      <w:r>
        <w:t xml:space="preserve">Continue the book</w:t>
      </w:r>
      <w:bookmarkEnd w:id="1184"/>
    </w:p>
    <w:p>
      <w:pPr>
        <w:pStyle w:val="FirstParagraph"/>
      </w:pPr>
      <w:r>
        <w:t xml:space="preserve">← Previous: Chapter 02 — Why Standing Privilege Fails · Book index · Next: Chapter 04 — Privileged Roles and Tiers →</w:t>
      </w:r>
    </w:p>
    <w:bookmarkEnd w:id="277"/>
    <w:bookmarkEnd w:id="278"/>
    <w:bookmarkStart w:id="381" w:name="chapter-04-privileged-roles-and-tiers"/>
    <w:p>
      <w:pPr>
        <w:pStyle w:val="Heading1"/>
      </w:pPr>
      <w:bookmarkStart w:id="1185" w:name="_Toc00001185"/>
      <w:r>
        <w:t xml:space="preserve">Chapter 04 — Privileged Roles and Tiers</w:t>
      </w:r>
      <w:bookmarkEnd w:id="1185"/>
    </w:p>
    <w:p>
      <w:pPr>
        <w:pStyle w:val="FirstParagraph"/>
      </w:pPr>
      <w:r>
        <w:rPr>
          <w:i/>
          <w:iCs/>
        </w:rPr>
        <w:t xml:space="preserve">A privileged role is a policy decision about what someone can take over, so it gets a tier, a group, a gate and an expiry before it gets a holder.</w:t>
      </w:r>
    </w:p>
    <w:bookmarkStart w:id="279" w:name="in-this-chapter-3"/>
    <w:p>
      <w:pPr>
        <w:pStyle w:val="Heading2"/>
      </w:pPr>
      <w:bookmarkStart w:id="1186" w:name="_Toc00001186"/>
      <w:r>
        <w:t xml:space="preserve">In this chapter</w:t>
      </w:r>
      <w:bookmarkEnd w:id="1186"/>
    </w:p>
    <w:p>
      <w:pPr>
        <w:pStyle w:val="FirstParagraph"/>
      </w:pPr>
      <w:r>
        <w:t xml:space="preserve">Which Microsoft Entra built-in roles are privileged and how to pick the least-privileged one for a task. The program’s privilege tiers, built on Microsoft’s enterprise access model, and how they differ from the other</w:t>
      </w:r>
      <w:r>
        <w:t xml:space="preserve"> </w:t>
      </w:r>
      <w:r>
        <w:t xml:space="preserve">“tiers”</w:t>
      </w:r>
      <w:r>
        <w:t xml:space="preserve"> </w:t>
      </w:r>
      <w:r>
        <w:t xml:space="preserve">in this workbook. How a role reaches a person through a role-assignable group and Privileged Identity Management (PIM), including PIM for Groups. Azure RBAC and the native IAM of AWS and VMware, privileged access workstations, and emergency access accounts.</w:t>
      </w:r>
    </w:p>
    <w:bookmarkEnd w:id="279"/>
    <w:p>
      <w:pPr>
        <w:pStyle w:val="BodyText"/>
      </w:pPr>
      <w:r>
        <w:t xml:space="preserve">Chapter 02 argued that standing privilege fails and that just-enough and just-in-time access replace it. This chapter supplies the nouns those ideas act on: the roles, the tiers they sit in, and the objects that carry them. Chapter 08 then builds the activation gate, and Appendix B lists every role’s settings.</w:t>
      </w:r>
    </w:p>
    <w:p>
      <w:pPr>
        <w:pStyle w:val="BodyText"/>
      </w:pPr>
      <w:r>
        <w:t xml:space="preserve">The organizing idea is simple. Each role is placed in a tier according to what its holder could take over. The higher the tier, the stricter the gate a holder passes before the role is active, and the fewer people hold it at all. Only two classes of principal sit outside the tiers with standing access, and both are documented exceptions.</w:t>
      </w:r>
    </w:p>
    <w:bookmarkStart w:id="283" w:name="fig-ch04-tier-model"/>
    <w:p>
      <w:pPr>
        <w:pStyle w:val="CaptionedFigure"/>
      </w:pPr>
      <w:r>
        <w:drawing>
          <wp:inline>
            <wp:extent cx="5334000" cy="4941902"/>
            <wp:effectExtent b="0" l="0" r="0" t="0"/>
            <wp:docPr descr="The program’s privilege tiers: each tier can take over the ones below it, so the activation gate tightens toward Tier 0, while emergency access accounts and service principals sit outside the tiers and approver groups sit outside the populations they approve." title="" id="281" name="Picture"/>
            <a:graphic>
              <a:graphicData uri="http://schemas.openxmlformats.org/drawingml/2006/picture">
                <pic:pic>
                  <pic:nvPicPr>
                    <pic:cNvPr descr="/home/runner/work/modernization-workbook/modernization-workbook/docs/images/diagrams/b04-access/png/ch04-tier-model.png" id="282" name="Picture"/>
                    <pic:cNvPicPr>
                      <a:picLocks noChangeArrowheads="1" noChangeAspect="1"/>
                    </pic:cNvPicPr>
                  </pic:nvPicPr>
                  <pic:blipFill>
                    <a:blip r:embed="rId280"/>
                    <a:stretch>
                      <a:fillRect/>
                    </a:stretch>
                  </pic:blipFill>
                  <pic:spPr bwMode="auto">
                    <a:xfrm>
                      <a:off x="0" y="0"/>
                      <a:ext cx="5334000" cy="4941902"/>
                    </a:xfrm>
                    <a:prstGeom prst="rect">
                      <a:avLst/>
                    </a:prstGeom>
                    <a:noFill/>
                    <a:ln w="9525">
                      <a:noFill/>
                      <a:headEnd/>
                      <a:tailEnd/>
                    </a:ln>
                  </pic:spPr>
                </pic:pic>
              </a:graphicData>
            </a:graphic>
          </wp:inline>
        </w:drawing>
      </w:r>
    </w:p>
    <w:p>
      <w:pPr>
        <w:pStyle w:val="ImageCaption"/>
      </w:pPr>
      <w:r>
        <w:t xml:space="preserve">The program’s privilege tiers: each tier can take over the ones below it, so the activation gate tightens toward Tier 0, while emergency access accounts and service principals sit outside the tiers and approver groups sit outside the populations they approve.</w:t>
      </w:r>
    </w:p>
    <w:bookmarkEnd w:id="283"/>
    <w:bookmarkStart w:id="298" w:name="roles-are-bundles-of-permissions"/>
    <w:p>
      <w:pPr>
        <w:pStyle w:val="Heading2"/>
      </w:pPr>
      <w:bookmarkStart w:id="1187" w:name="_Toc00001187"/>
      <w:r>
        <w:t xml:space="preserve">Roles are bundles of permissions</w:t>
      </w:r>
      <w:bookmarkEnd w:id="1187"/>
    </w:p>
    <w:bookmarkStart w:id="291" w:name="built-in-roles-and-the-privileged-label"/>
    <w:p>
      <w:pPr>
        <w:pStyle w:val="Heading3"/>
      </w:pPr>
      <w:r>
        <w:t xml:space="preserve">Built-in roles and the privileged label</w:t>
      </w:r>
    </w:p>
    <w:p>
      <w:pPr>
        <w:pStyle w:val="FirstParagraph"/>
      </w:pPr>
      <w:r>
        <w:t xml:space="preserve">A Microsoft Entra role is a named set of permissions, assigned to a principal at a scope: the whole tenant, an administrative unit, or a single object. Microsoft publishes every built-in role with its permissions and an immutable template ID, and marks some roles</w:t>
      </w:r>
      <w:r>
        <w:t xml:space="preserve"> </w:t>
      </w:r>
      <w:r>
        <w:rPr>
          <w:b/>
          <w:bCs/>
        </w:rPr>
        <w:t xml:space="preserve">PRIVILEGED</w:t>
      </w:r>
      <w:r>
        <w:t xml:space="preserve">.</w:t>
      </w:r>
      <w:r>
        <w:rPr>
          <w:rStyle w:val="FootnoteReference"/>
        </w:rPr>
        <w:footnoteReference w:id="284"/>
      </w:r>
      <w:r>
        <w:t xml:space="preserve"> </w:t>
      </w:r>
      <w:r>
        <w:t xml:space="preserve">A permission counts as privileged when it can be used to delegate management of directory resources to other users, modify credentials, authentication or authorization policies, or access restricted data; a role is privileged if it holds at least one such permission.</w:t>
      </w:r>
      <w:r>
        <w:rPr>
          <w:rStyle w:val="FootnoteReference"/>
        </w:rPr>
        <w:footnoteReference w:id="286"/>
      </w:r>
      <w:r>
        <w:t xml:space="preserve"> </w:t>
      </w:r>
      <w:r>
        <w:t xml:space="preserve">The label is still described as a preview, and listing privileged roles programmatically uses the Microsoft Graph beta endpoint (</w:t>
      </w:r>
      <w:r>
        <w:rPr>
          <w:rStyle w:val="VerbatimChar"/>
        </w:rPr>
        <w:t xml:space="preserve">roleDefinitions?$filter=isPrivileged eq true</w:t>
      </w:r>
      <w:r>
        <w:t xml:space="preserve">), so the program treats the label as an input to tiering, not as the tier itself.</w:t>
      </w:r>
      <w:r>
        <w:rPr>
          <w:rStyle w:val="FootnoteReference"/>
        </w:rPr>
        <w:footnoteReference w:id="288"/>
      </w:r>
    </w:p>
    <w:p>
      <w:pPr>
        <w:pStyle w:val="BodyText"/>
      </w:pPr>
      <w:r>
        <w:t xml:space="preserve">The label surprises people in both directions. Global Reader and Security Reader carry it, because reading security configuration and restricted data is itself sensitive. Exchange Administrator, SharePoint Administrator, Teams Administrator, Groups Administrator, Reports Reader and Compliance Administrator don’t carry it, even though Exchange Administrator can reach every mailbox.</w:t>
      </w:r>
      <w:r>
        <w:rPr>
          <w:rStyle w:val="FootnoteReference"/>
        </w:rPr>
        <w:footnoteReference w:id="289"/>
      </w:r>
      <w:r>
        <w:t xml:space="preserve"> </w:t>
      </w:r>
      <w:r>
        <w:t xml:space="preserve">The label describes directory permissions; it says nothing about what a role can do inside the workload it administers. That is why the program places Exchange and SharePoint Administrator in Tier 1 regardless of the label.</w:t>
      </w:r>
    </w:p>
    <w:p>
      <w:pPr>
        <w:pStyle w:val="BodyText"/>
      </w:pPr>
      <w:r>
        <w:t xml:space="preserve">Microsoft’s numeric guidance is short: keep Global Administrators to fewer than five, and privileged role assignments to fewer than ten.</w:t>
      </w:r>
      <w:r>
        <w:rPr>
          <w:rStyle w:val="FootnoteReference"/>
        </w:rPr>
        <w:footnoteReference w:id="290"/>
      </w:r>
      <w:r>
        <w:t xml:space="preserve"> </w:t>
      </w:r>
      <w:r>
        <w:t xml:space="preserve">Chapter 02 uses the same targets.</w:t>
      </w:r>
    </w:p>
    <w:bookmarkEnd w:id="291"/>
    <w:bookmarkStart w:id="297" w:name="least-privileged-choices"/>
    <w:p>
      <w:pPr>
        <w:pStyle w:val="Heading3"/>
      </w:pPr>
      <w:r>
        <w:t xml:space="preserve">Least-privileged choices</w:t>
      </w:r>
    </w:p>
    <w:p>
      <w:pPr>
        <w:pStyle w:val="FirstParagraph"/>
      </w:pPr>
      <w:r>
        <w:t xml:space="preserve">Most requests for Global Administrator are requests for one task. Microsoft maintains a</w:t>
      </w:r>
      <w:r>
        <w:t xml:space="preserve"> </w:t>
      </w:r>
      <w:r>
        <w:t xml:space="preserve">“least privileged roles by task”</w:t>
      </w:r>
      <w:r>
        <w:t xml:space="preserve"> </w:t>
      </w:r>
      <w:r>
        <w:t xml:space="preserve">reference that names, for each task in each feature area, the least-privileged role and the other roles that can also do it, and recommends narrowing further with a smaller scope or a custom role.</w:t>
      </w:r>
      <w:r>
        <w:rPr>
          <w:rStyle w:val="FootnoteReference"/>
        </w:rPr>
        <w:footnoteReference w:id="292"/>
      </w:r>
      <w:r>
        <w:t xml:space="preserve"> </w:t>
      </w:r>
      <w:r>
        <w:t xml:space="preserve">The program uses it as the first step of every role request: name the task, look it up, assign that role. A few entries that change common habits: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Task</w:t>
            </w:r>
          </w:p>
        </w:tc>
        <w:tc>
          <w:tcPr/>
          <w:p>
            <w:pPr>
              <w:pStyle w:val="Compact"/>
            </w:pPr>
            <w:r>
              <w:t xml:space="preserve">Least-privileged role</w:t>
            </w:r>
          </w:p>
        </w:tc>
        <w:tc>
          <w:tcPr/>
          <w:p>
            <w:pPr>
              <w:pStyle w:val="Compact"/>
            </w:pPr>
            <w:r>
              <w:t xml:space="preserve">Common over-assignment</w:t>
            </w:r>
          </w:p>
        </w:tc>
      </w:tr>
      <w:tr>
        <w:tc>
          <w:tcPr/>
          <w:p>
            <w:pPr>
              <w:pStyle w:val="Compact"/>
            </w:pPr>
            <w:r>
              <w:t xml:space="preserve">Reset the password of a non-administrator</w:t>
            </w:r>
          </w:p>
        </w:tc>
        <w:tc>
          <w:tcPr/>
          <w:p>
            <w:pPr>
              <w:pStyle w:val="Compact"/>
            </w:pPr>
            <w:r>
              <w:t xml:space="preserve">Password Administrator</w:t>
            </w:r>
          </w:p>
        </w:tc>
        <w:tc>
          <w:tcPr/>
          <w:p>
            <w:pPr>
              <w:pStyle w:val="Compact"/>
            </w:pPr>
            <w:r>
              <w:t xml:space="preserve">User Administrator, Global Administrator</w:t>
            </w:r>
          </w:p>
        </w:tc>
      </w:tr>
      <w:tr>
        <w:tc>
          <w:tcPr/>
          <w:p>
            <w:pPr>
              <w:pStyle w:val="Compact"/>
            </w:pPr>
            <w:r>
              <w:t xml:space="preserve">Reset the password or update the UPN of a privileged administrator</w:t>
            </w:r>
          </w:p>
        </w:tc>
        <w:tc>
          <w:tcPr/>
          <w:p>
            <w:pPr>
              <w:pStyle w:val="Compact"/>
            </w:pPr>
            <w:r>
              <w:t xml:space="preserve">Privileged Authentication Administrator</w:t>
            </w:r>
          </w:p>
        </w:tc>
        <w:tc>
          <w:tcPr/>
          <w:p>
            <w:pPr>
              <w:pStyle w:val="Compact"/>
            </w:pPr>
            <w:r>
              <w:t xml:space="preserve">Global Administrator</w:t>
            </w:r>
          </w:p>
        </w:tc>
      </w:tr>
      <w:tr>
        <w:tc>
          <w:tcPr/>
          <w:p>
            <w:pPr>
              <w:pStyle w:val="Compact"/>
            </w:pPr>
            <w:r>
              <w:t xml:space="preserve">Update a user’s authentication methods</w:t>
            </w:r>
          </w:p>
        </w:tc>
        <w:tc>
          <w:tcPr/>
          <w:p>
            <w:pPr>
              <w:pStyle w:val="Compact"/>
            </w:pPr>
            <w:r>
              <w:t xml:space="preserve">Authentication Administrator</w:t>
            </w:r>
          </w:p>
        </w:tc>
        <w:tc>
          <w:tcPr/>
          <w:p>
            <w:pPr>
              <w:pStyle w:val="Compact"/>
            </w:pPr>
            <w:r>
              <w:t xml:space="preserve">Privileged Authentication Administrator</w:t>
            </w:r>
          </w:p>
        </w:tc>
      </w:tr>
      <w:tr>
        <w:tc>
          <w:tcPr/>
          <w:p>
            <w:pPr>
              <w:pStyle w:val="Compact"/>
            </w:pPr>
            <w:r>
              <w:t xml:space="preserve">Create or edit Conditional Access policies and named locations</w:t>
            </w:r>
          </w:p>
        </w:tc>
        <w:tc>
          <w:tcPr/>
          <w:p>
            <w:pPr>
              <w:pStyle w:val="Compact"/>
            </w:pPr>
            <w:r>
              <w:t xml:space="preserve">Conditional Access Administrator</w:t>
            </w:r>
          </w:p>
        </w:tc>
        <w:tc>
          <w:tcPr/>
          <w:p>
            <w:pPr>
              <w:pStyle w:val="Compact"/>
            </w:pPr>
            <w:r>
              <w:t xml:space="preserve">Security Administrator, Global Administrator</w:t>
            </w:r>
          </w:p>
        </w:tc>
      </w:tr>
      <w:tr>
        <w:tc>
          <w:tcPr/>
          <w:p>
            <w:pPr>
              <w:pStyle w:val="Compact"/>
            </w:pPr>
            <w:r>
              <w:t xml:space="preserve">Read Conditional Access configuration</w:t>
            </w:r>
          </w:p>
        </w:tc>
        <w:tc>
          <w:tcPr/>
          <w:p>
            <w:pPr>
              <w:pStyle w:val="Compact"/>
            </w:pPr>
            <w:r>
              <w:t xml:space="preserve">Security Reader</w:t>
            </w:r>
          </w:p>
        </w:tc>
        <w:tc>
          <w:tcPr/>
          <w:p>
            <w:pPr>
              <w:pStyle w:val="Compact"/>
            </w:pPr>
            <w:r>
              <w:t xml:space="preserve">Global Reader, Security Administrator</w:t>
            </w:r>
          </w:p>
        </w:tc>
      </w:tr>
      <w:tr>
        <w:tc>
          <w:tcPr/>
          <w:p>
            <w:pPr>
              <w:pStyle w:val="Compact"/>
            </w:pPr>
            <w:r>
              <w:t xml:space="preserve">Read audit and sign-in logs</w:t>
            </w:r>
          </w:p>
        </w:tc>
        <w:tc>
          <w:tcPr/>
          <w:p>
            <w:pPr>
              <w:pStyle w:val="Compact"/>
            </w:pPr>
            <w:r>
              <w:t xml:space="preserve">Reports Reader</w:t>
            </w:r>
          </w:p>
        </w:tc>
        <w:tc>
          <w:tcPr/>
          <w:p>
            <w:pPr>
              <w:pStyle w:val="Compact"/>
            </w:pPr>
            <w:r>
              <w:t xml:space="preserve">Security Administrator, Global Reader</w:t>
            </w:r>
          </w:p>
        </w:tc>
      </w:tr>
      <w:tr>
        <w:tc>
          <w:tcPr/>
          <w:p>
            <w:pPr>
              <w:pStyle w:val="Compact"/>
            </w:pPr>
            <w:r>
              <w:t xml:space="preserve">Assign roles and configure PIM role settings</w:t>
            </w:r>
          </w:p>
        </w:tc>
        <w:tc>
          <w:tcPr/>
          <w:p>
            <w:pPr>
              <w:pStyle w:val="Compact"/>
            </w:pPr>
            <w:r>
              <w:t xml:space="preserve">Privileged Role Administrator</w:t>
            </w:r>
          </w:p>
        </w:tc>
        <w:tc>
          <w:tcPr/>
          <w:p>
            <w:pPr>
              <w:pStyle w:val="Compact"/>
            </w:pPr>
            <w:r>
              <w:t xml:space="preserve">Global Administrator</w:t>
            </w:r>
          </w:p>
        </w:tc>
      </w:tr>
      <w:tr>
        <w:tc>
          <w:tcPr/>
          <w:p>
            <w:pPr>
              <w:pStyle w:val="Compact"/>
            </w:pPr>
            <w:r>
              <w:t xml:space="preserve">View PIM audit activity and role memberships</w:t>
            </w:r>
          </w:p>
        </w:tc>
        <w:tc>
          <w:tcPr/>
          <w:p>
            <w:pPr>
              <w:pStyle w:val="Compact"/>
            </w:pPr>
            <w:r>
              <w:t xml:space="preserve">Security Reader</w:t>
            </w:r>
          </w:p>
        </w:tc>
        <w:tc>
          <w:tcPr/>
          <w:p>
            <w:pPr>
              <w:pStyle w:val="Compact"/>
            </w:pPr>
            <w:r>
              <w:t xml:space="preserve">Privileged Role Administrator</w:t>
            </w:r>
          </w:p>
        </w:tc>
      </w:tr>
      <w:tr>
        <w:tc>
          <w:tcPr/>
          <w:p>
            <w:pPr>
              <w:pStyle w:val="Compact"/>
            </w:pPr>
            <w:r>
              <w:t xml:space="preserve">Grant tenant-wide admin consent (delegated permissions)</w:t>
            </w:r>
          </w:p>
        </w:tc>
        <w:tc>
          <w:tcPr/>
          <w:p>
            <w:pPr>
              <w:pStyle w:val="Compact"/>
            </w:pPr>
            <w:r>
              <w:t xml:space="preserve">Cloud Application Administrator</w:t>
            </w:r>
          </w:p>
        </w:tc>
        <w:tc>
          <w:tcPr/>
          <w:p>
            <w:pPr>
              <w:pStyle w:val="Compact"/>
            </w:pPr>
            <w:r>
              <w:t xml:space="preserve">Global Administrator</w:t>
            </w:r>
          </w:p>
        </w:tc>
      </w:tr>
    </w:tbl>
    <w:p>
      <w:pPr>
        <w:pStyle w:val="BodyText"/>
      </w:pPr>
      <w:r>
        <w:t xml:space="preserve">The table is drawn from Microsoft’s task reference and its admin consent procedure.</w:t>
      </w:r>
      <w:r>
        <w:rPr>
          <w:rStyle w:val="FootnoteReference"/>
        </w:rPr>
        <w:footnoteReference w:id="294"/>
      </w:r>
      <w:r>
        <w:rPr>
          <w:rStyle w:val="FootnoteReference"/>
        </w:rPr>
        <w:footnoteReference w:id="295"/>
      </w:r>
      <w:r>
        <w:t xml:space="preserve"> </w:t>
      </w:r>
      <w:r>
        <w:t xml:space="preserve">Admin consent for Microsoft Graph application permissions needs more than Cloud Application Administrator; Chapter 05 and Chapter 06 cover that case and who approves it.</w:t>
      </w:r>
    </w:p>
    <w:p>
      <w:pPr>
        <w:pStyle w:val="BodyText"/>
      </w:pPr>
      <w:r>
        <w:t xml:space="preserve">Scope comes after role. Several Tier 2 roles can be scoped to an administrative unit, which is a materially smaller grant than a tenant-wide assignment; Book 02, Chapter 05 lists which roles accept AU scope and builds the scoped matrix. Scoping is the cheaper control, so the program scopes first and gates what remains.</w:t>
      </w:r>
    </w:p>
    <w:bookmarkEnd w:id="297"/>
    <w:bookmarkEnd w:id="298"/>
    <w:bookmarkStart w:id="311" w:name="X2aa099b2f60afc2c7bce48e79185e88b7de461b"/>
    <w:p>
      <w:pPr>
        <w:pStyle w:val="Heading2"/>
      </w:pPr>
      <w:bookmarkStart w:id="1188" w:name="_Toc00001188"/>
      <w:r>
        <w:t xml:space="preserve">Tiers: the enterprise access model and the program’s tiers</w:t>
      </w:r>
      <w:bookmarkEnd w:id="1188"/>
    </w:p>
    <w:bookmarkStart w:id="304" w:name="what-microsofts-model-says"/>
    <w:p>
      <w:pPr>
        <w:pStyle w:val="Heading3"/>
      </w:pPr>
      <w:r>
        <w:t xml:space="preserve">What Microsoft’s model says</w:t>
      </w:r>
    </w:p>
    <w:p>
      <w:pPr>
        <w:pStyle w:val="FirstParagraph"/>
      </w:pPr>
      <w:r>
        <w:t xml:space="preserve">Microsoft’s enterprise access model</w:t>
      </w:r>
      <w:r>
        <w:t xml:space="preserve"> </w:t>
      </w:r>
      <w:r>
        <w:rPr>
          <w:i/>
          <w:iCs/>
        </w:rPr>
        <w:t xml:space="preserve">builds on</w:t>
      </w:r>
      <w:r>
        <w:t xml:space="preserve"> </w:t>
      </w:r>
      <w:r>
        <w:t xml:space="preserve">the Active Directory tier model rather than discarding it. The old Tier 0 expands into the</w:t>
      </w:r>
      <w:r>
        <w:t xml:space="preserve"> </w:t>
      </w:r>
      <w:r>
        <w:rPr>
          <w:b/>
          <w:bCs/>
        </w:rPr>
        <w:t xml:space="preserve">control plane</w:t>
      </w:r>
      <w:r>
        <w:t xml:space="preserve">; Tier 1 splits into the</w:t>
      </w:r>
      <w:r>
        <w:t xml:space="preserve"> </w:t>
      </w:r>
      <w:r>
        <w:rPr>
          <w:b/>
          <w:bCs/>
        </w:rPr>
        <w:t xml:space="preserve">management plane</w:t>
      </w:r>
      <w:r>
        <w:t xml:space="preserve"> </w:t>
      </w:r>
      <w:r>
        <w:t xml:space="preserve">and the</w:t>
      </w:r>
      <w:r>
        <w:t xml:space="preserve"> </w:t>
      </w:r>
      <w:r>
        <w:rPr>
          <w:b/>
          <w:bCs/>
        </w:rPr>
        <w:t xml:space="preserve">data and workload plane</w:t>
      </w:r>
      <w:r>
        <w:t xml:space="preserve">; Tier 2 splits into</w:t>
      </w:r>
      <w:r>
        <w:t xml:space="preserve"> </w:t>
      </w:r>
      <w:r>
        <w:rPr>
          <w:b/>
          <w:bCs/>
        </w:rPr>
        <w:t xml:space="preserve">user access</w:t>
      </w:r>
      <w:r>
        <w:t xml:space="preserve"> </w:t>
      </w:r>
      <w:r>
        <w:t xml:space="preserve">and</w:t>
      </w:r>
      <w:r>
        <w:t xml:space="preserve"> </w:t>
      </w:r>
      <w:r>
        <w:rPr>
          <w:b/>
          <w:bCs/>
        </w:rPr>
        <w:t xml:space="preserve">app access</w:t>
      </w:r>
      <w:r>
        <w:t xml:space="preserve">; and a privileged access pathway runs across all of them. The rule that carries over is hierarchy: prevent anything in a lower plane from controlling a higher one.</w:t>
      </w:r>
      <w:r>
        <w:rPr>
          <w:rStyle w:val="FootnoteReference"/>
        </w:rPr>
        <w:footnoteReference w:id="299"/>
      </w:r>
      <w:r>
        <w:t xml:space="preserve"> </w:t>
      </w:r>
      <w:r>
        <w:t xml:space="preserve">Microsoft also treats privileged intermediaries, such as PAM tools, jump hosts, automation runbooks and highly privileged service principals, as control-plane assets, because whoever controls them controls what they reach.</w:t>
      </w:r>
      <w:r>
        <w:rPr>
          <w:rStyle w:val="FootnoteReference"/>
        </w:rPr>
        <w:footnoteReference w:id="301"/>
      </w:r>
    </w:p>
    <w:p>
      <w:pPr>
        <w:pStyle w:val="BodyText"/>
      </w:pPr>
      <w:r>
        <w:t xml:space="preserve">Alongside the planes, Microsoft defines three security levels for accounts, devices and intermediaries:</w:t>
      </w:r>
      <w:r>
        <w:t xml:space="preserve"> </w:t>
      </w:r>
      <w:r>
        <w:rPr>
          <w:b/>
          <w:bCs/>
        </w:rPr>
        <w:t xml:space="preserve">enterprise</w:t>
      </w:r>
      <w:r>
        <w:t xml:space="preserve"> </w:t>
      </w:r>
      <w:r>
        <w:t xml:space="preserve">(every user, the starting point),</w:t>
      </w:r>
      <w:r>
        <w:t xml:space="preserve"> </w:t>
      </w:r>
      <w:r>
        <w:rPr>
          <w:b/>
          <w:bCs/>
        </w:rPr>
        <w:t xml:space="preserve">specialized</w:t>
      </w:r>
      <w:r>
        <w:t xml:space="preserve"> </w:t>
      </w:r>
      <w:r>
        <w:t xml:space="preserve">(elevated business impact, such as developers of business-critical systems, executives and sensitive IT administrators), and</w:t>
      </w:r>
      <w:r>
        <w:t xml:space="preserve"> </w:t>
      </w:r>
      <w:r>
        <w:rPr>
          <w:b/>
          <w:bCs/>
        </w:rPr>
        <w:t xml:space="preserve">privileged</w:t>
      </w:r>
      <w:r>
        <w:t xml:space="preserve"> </w:t>
      </w:r>
      <w:r>
        <w:t xml:space="preserve">(Microsoft Entra administrative roles, other identity-system administrators, and privileged on-premises AD groups).</w:t>
      </w:r>
      <w:r>
        <w:rPr>
          <w:rStyle w:val="FootnoteReference"/>
        </w:rPr>
        <w:footnoteReference w:id="302"/>
      </w:r>
    </w:p>
    <w:bookmarkEnd w:id="304"/>
    <w:bookmarkStart w:id="309" w:name="the-programs-privilege-tiers"/>
    <w:p>
      <w:pPr>
        <w:pStyle w:val="Heading3"/>
      </w:pPr>
      <w:r>
        <w:t xml:space="preserve">The program’s privilege tiers</w:t>
      </w:r>
    </w:p>
    <w:p>
      <w:pPr>
        <w:pStyle w:val="FirstParagraph"/>
      </w:pPr>
      <w:r>
        <w:t xml:space="preserve">The program applies the model to Microsoft Entra roles as four privilege tiers. The tier is set by what a holder could take over, and it decides the activation gate in Chapter 08. The tier boundaries are the program’s design; the hour counts are a starting posture an agency adapts to its own role inventory.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Plane</w:t>
            </w:r>
          </w:p>
        </w:tc>
        <w:tc>
          <w:tcPr/>
          <w:p>
            <w:pPr>
              <w:pStyle w:val="Compact"/>
            </w:pPr>
            <w:r>
              <w:t xml:space="preserve">Roles (examples)</w:t>
            </w:r>
          </w:p>
        </w:tc>
        <w:tc>
          <w:tcPr/>
          <w:p>
            <w:pPr>
              <w:pStyle w:val="Compact"/>
            </w:pPr>
            <w:r>
              <w:t xml:space="preserve">Why they’re here</w:t>
            </w:r>
          </w:p>
        </w:tc>
        <w:tc>
          <w:tcPr/>
          <w:p>
            <w:pPr>
              <w:pStyle w:val="Compact"/>
            </w:pPr>
            <w:r>
              <w:t xml:space="preserve">Gate in PIM</w:t>
            </w:r>
          </w:p>
        </w:tc>
      </w:tr>
      <w:tr>
        <w:tc>
          <w:tcPr/>
          <w:p>
            <w:pPr>
              <w:pStyle w:val="Compact"/>
            </w:pPr>
            <w:r>
              <w:t xml:space="preserve">Tier 0</w:t>
            </w:r>
          </w:p>
        </w:tc>
        <w:tc>
          <w:tcPr/>
          <w:p>
            <w:pPr>
              <w:pStyle w:val="Compact"/>
            </w:pPr>
            <w:r>
              <w:t xml:space="preserve">Control plane</w:t>
            </w:r>
          </w:p>
        </w:tc>
        <w:tc>
          <w:tcPr/>
          <w:p>
            <w:pPr>
              <w:pStyle w:val="Compact"/>
            </w:pPr>
            <w:r>
              <w:t xml:space="preserve">Global Administrator, Privileged Role Administrator, Privileged Authentication Administrator, Security Administrator, Conditional Access Administrator</w:t>
            </w:r>
          </w:p>
        </w:tc>
        <w:tc>
          <w:tcPr/>
          <w:p>
            <w:pPr>
              <w:pStyle w:val="Compact"/>
            </w:pPr>
            <w:r>
              <w:t xml:space="preserve">Can grant any role, reset any administrator’s credentials, or change the policies that protect every sign-in</w:t>
            </w:r>
          </w:p>
        </w:tc>
        <w:tc>
          <w:tcPr/>
          <w:p>
            <w:pPr>
              <w:pStyle w:val="Compact"/>
            </w:pPr>
            <w:r>
              <w:t xml:space="preserve">Approval by a Tier 0 approver group, phishing-resistant authentication context, 4 hours</w:t>
            </w:r>
          </w:p>
        </w:tc>
      </w:tr>
      <w:tr>
        <w:tc>
          <w:tcPr/>
          <w:p>
            <w:pPr>
              <w:pStyle w:val="Compact"/>
            </w:pPr>
            <w:r>
              <w:t xml:space="preserve">Tier 1</w:t>
            </w:r>
          </w:p>
        </w:tc>
        <w:tc>
          <w:tcPr/>
          <w:p>
            <w:pPr>
              <w:pStyle w:val="Compact"/>
            </w:pPr>
            <w:r>
              <w:t xml:space="preserve">Management plane</w:t>
            </w:r>
          </w:p>
        </w:tc>
        <w:tc>
          <w:tcPr/>
          <w:p>
            <w:pPr>
              <w:pStyle w:val="Compact"/>
            </w:pPr>
            <w:r>
              <w:t xml:space="preserve">Exchange, SharePoint, Intune, Teams, Application, Cloud Application and Hybrid Identity Administrator</w:t>
            </w:r>
          </w:p>
        </w:tc>
        <w:tc>
          <w:tcPr/>
          <w:p>
            <w:pPr>
              <w:pStyle w:val="Compact"/>
            </w:pPr>
            <w:r>
              <w:t xml:space="preserve">Control a whole service, every managed device, application credentials, or the synchronization bridge to AD</w:t>
            </w:r>
          </w:p>
        </w:tc>
        <w:tc>
          <w:tcPr/>
          <w:p>
            <w:pPr>
              <w:pStyle w:val="Compact"/>
            </w:pPr>
            <w:r>
              <w:t xml:space="preserve">Approval by a Tier 1 approver group, authentication context, 8 hours</w:t>
            </w:r>
          </w:p>
        </w:tc>
      </w:tr>
      <w:tr>
        <w:tc>
          <w:tcPr/>
          <w:p>
            <w:pPr>
              <w:pStyle w:val="Compact"/>
            </w:pPr>
            <w:r>
              <w:t xml:space="preserve">Tier 2</w:t>
            </w:r>
          </w:p>
        </w:tc>
        <w:tc>
          <w:tcPr/>
          <w:p>
            <w:pPr>
              <w:pStyle w:val="Compact"/>
            </w:pPr>
            <w:r>
              <w:t xml:space="preserve">Scoped operations</w:t>
            </w:r>
          </w:p>
        </w:tc>
        <w:tc>
          <w:tcPr/>
          <w:p>
            <w:pPr>
              <w:pStyle w:val="Compact"/>
            </w:pPr>
            <w:r>
              <w:t xml:space="preserve">User, Groups, Helpdesk, Password and Authentication Administrator, scoped to administrative units</w:t>
            </w:r>
          </w:p>
        </w:tc>
        <w:tc>
          <w:tcPr/>
          <w:p>
            <w:pPr>
              <w:pStyle w:val="Compact"/>
            </w:pPr>
            <w:r>
              <w:t xml:space="preserve">Act on users and groups inside a bounded population</w:t>
            </w:r>
          </w:p>
        </w:tc>
        <w:tc>
          <w:tcPr/>
          <w:p>
            <w:pPr>
              <w:pStyle w:val="Compact"/>
            </w:pPr>
            <w:r>
              <w:t xml:space="preserve">Authentication context and justification; approval optional with a documented risk acceptance, 8 hours</w:t>
            </w:r>
          </w:p>
        </w:tc>
      </w:tr>
      <w:tr>
        <w:tc>
          <w:tcPr/>
          <w:p>
            <w:pPr>
              <w:pStyle w:val="Compact"/>
            </w:pPr>
            <w:r>
              <w:t xml:space="preserve">Read-only</w:t>
            </w:r>
          </w:p>
        </w:tc>
        <w:tc>
          <w:tcPr/>
          <w:p>
            <w:pPr>
              <w:pStyle w:val="Compact"/>
            </w:pPr>
            <w:r>
              <w:t xml:space="preserve">Visibility</w:t>
            </w:r>
          </w:p>
        </w:tc>
        <w:tc>
          <w:tcPr/>
          <w:p>
            <w:pPr>
              <w:pStyle w:val="Compact"/>
            </w:pPr>
            <w:r>
              <w:t xml:space="preserve">Global Reader, Security Reader, Reports Reader</w:t>
            </w:r>
          </w:p>
        </w:tc>
        <w:tc>
          <w:tcPr/>
          <w:p>
            <w:pPr>
              <w:pStyle w:val="Compact"/>
            </w:pPr>
            <w:r>
              <w:t xml:space="preserve">Read configuration, security posture and logs across the tenant</w:t>
            </w:r>
          </w:p>
        </w:tc>
        <w:tc>
          <w:tcPr/>
          <w:p>
            <w:pPr>
              <w:pStyle w:val="Compact"/>
            </w:pPr>
            <w:r>
              <w:t xml:space="preserve">Authentication context and justification, no approval, 8 hours</w:t>
            </w:r>
          </w:p>
        </w:tc>
      </w:tr>
    </w:tbl>
    <w:p>
      <w:pPr>
        <w:pStyle w:val="BodyText"/>
      </w:pPr>
      <w:r>
        <w:t xml:space="preserve">Three placements need explaining.</w:t>
      </w:r>
    </w:p>
    <w:p>
      <w:pPr>
        <w:pStyle w:val="Compact"/>
        <w:numPr>
          <w:ilvl w:val="0"/>
          <w:numId w:val="1020"/>
        </w:numPr>
      </w:pPr>
      <w:r>
        <w:rPr>
          <w:b/>
          <w:bCs/>
        </w:rPr>
        <w:t xml:space="preserve">Conditional Access Administrator is Tier 0.</w:t>
      </w:r>
      <w:r>
        <w:t xml:space="preserve"> </w:t>
      </w:r>
      <w:r>
        <w:t xml:space="preserve">Once PIM’s activation gate points at a Conditional Access authentication context, whoever can edit Conditional Access can weaken the gate, remove it, or block eligible users from activating. Microsoft warns that Conditional Access and Security Administrators can change these requirements and should be treated as highly privileged.</w:t>
      </w:r>
      <w:r>
        <w:rPr>
          <w:rStyle w:val="FootnoteReference"/>
        </w:rPr>
        <w:footnoteReference w:id="305"/>
      </w:r>
      <w:r>
        <w:t xml:space="preserve"> </w:t>
      </w:r>
      <w:r>
        <w:t xml:space="preserve">The role that edits the policy protecting elevation sits in the tier the policy protects.</w:t>
      </w:r>
    </w:p>
    <w:p>
      <w:pPr>
        <w:pStyle w:val="Compact"/>
        <w:numPr>
          <w:ilvl w:val="0"/>
          <w:numId w:val="1020"/>
        </w:numPr>
      </w:pPr>
      <w:r>
        <w:rPr>
          <w:b/>
          <w:bCs/>
        </w:rPr>
        <w:t xml:space="preserve">Hybrid Identity Administrator is Tier 1, but its servers are Tier 0.</w:t>
      </w:r>
      <w:r>
        <w:t xml:space="preserve"> </w:t>
      </w:r>
      <w:r>
        <w:t xml:space="preserve">The role configures synchronization; the sync servers themselves hold credentials that can write to the directory, so they’re privileged intermediaries in Microsoft’s sense and are run as control-plane assets.</w:t>
      </w:r>
      <w:r>
        <w:rPr>
          <w:rStyle w:val="FootnoteReference"/>
        </w:rPr>
        <w:footnoteReference w:id="307"/>
      </w:r>
    </w:p>
    <w:p>
      <w:pPr>
        <w:pStyle w:val="Compact"/>
        <w:numPr>
          <w:ilvl w:val="0"/>
          <w:numId w:val="1020"/>
        </w:numPr>
      </w:pPr>
      <w:r>
        <w:rPr>
          <w:b/>
          <w:bCs/>
        </w:rPr>
        <w:t xml:space="preserve">Readers are tiered at all.</w:t>
      </w:r>
      <w:r>
        <w:t xml:space="preserve"> </w:t>
      </w:r>
      <w:r>
        <w:t xml:space="preserve">Global Reader and Security Reader carry Microsoft’s privileged label.</w:t>
      </w:r>
      <w:r>
        <w:rPr>
          <w:rStyle w:val="FootnoteReference"/>
        </w:rPr>
        <w:footnoteReference w:id="308"/>
      </w:r>
      <w:r>
        <w:t xml:space="preserve"> </w:t>
      </w:r>
      <w:r>
        <w:t xml:space="preserve">Read access to the whole security configuration is reconnaissance for an attacker, so the roles are eligible-only with justification, even without approval.</w:t>
      </w:r>
    </w:p>
    <w:bookmarkEnd w:id="309"/>
    <w:bookmarkStart w:id="310" w:name="three-different-tiers-in-this-workbook"/>
    <w:p>
      <w:pPr>
        <w:pStyle w:val="Heading3"/>
      </w:pPr>
      <w:r>
        <w:t xml:space="preserve">Three different</w:t>
      </w:r>
      <w:r>
        <w:t xml:space="preserve"> </w:t>
      </w:r>
      <w:r>
        <w:t xml:space="preserve">“tiers”</w:t>
      </w:r>
      <w:r>
        <w:t xml:space="preserve"> </w:t>
      </w:r>
      <w:r>
        <w:t xml:space="preserve">in this workbook</w:t>
      </w:r>
    </w:p>
    <w:p>
      <w:pPr>
        <w:pStyle w:val="FirstParagraph"/>
      </w:pPr>
      <w:r>
        <w:t xml:space="preserve">The word tier appears in three places in this workbook with three meanings. They don’t conflict, but they must not be mixed up in a request or a review.</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Term</w:t>
            </w:r>
          </w:p>
        </w:tc>
        <w:tc>
          <w:tcPr/>
          <w:p>
            <w:pPr>
              <w:pStyle w:val="Compact"/>
            </w:pPr>
            <w:r>
              <w:t xml:space="preserve">Where</w:t>
            </w:r>
          </w:p>
        </w:tc>
        <w:tc>
          <w:tcPr/>
          <w:p>
            <w:pPr>
              <w:pStyle w:val="Compact"/>
            </w:pPr>
            <w:r>
              <w:t xml:space="preserve">Meaning</w:t>
            </w:r>
          </w:p>
        </w:tc>
        <w:tc>
          <w:tcPr/>
          <w:p>
            <w:pPr>
              <w:pStyle w:val="Compact"/>
            </w:pPr>
            <w:r>
              <w:t xml:space="preserve">Numbering</w:t>
            </w:r>
          </w:p>
        </w:tc>
      </w:tr>
      <w:tr>
        <w:tc>
          <w:tcPr/>
          <w:p>
            <w:pPr>
              <w:pStyle w:val="Compact"/>
            </w:pPr>
            <w:r>
              <w:t xml:space="preserve">Delegation tier</w:t>
            </w:r>
          </w:p>
        </w:tc>
        <w:tc>
          <w:tcPr/>
          <w:p>
            <w:pPr>
              <w:pStyle w:val="Compact"/>
            </w:pPr>
            <w:r>
              <w:t xml:space="preserve">Book 02, Chapter 05</w:t>
            </w:r>
          </w:p>
        </w:tc>
        <w:tc>
          <w:tcPr/>
          <w:p>
            <w:pPr>
              <w:pStyle w:val="Compact"/>
            </w:pPr>
            <w:r>
              <w:t xml:space="preserve">Scope of an administrative assignment: enterprise read-only, department, sub-team</w:t>
            </w:r>
          </w:p>
        </w:tc>
        <w:tc>
          <w:tcPr/>
          <w:p>
            <w:pPr>
              <w:pStyle w:val="Compact"/>
            </w:pPr>
            <w:r>
              <w:t xml:space="preserve">Tier 1 (widest) to Tier 3 (narrowest)</w:t>
            </w:r>
          </w:p>
        </w:tc>
      </w:tr>
      <w:tr>
        <w:tc>
          <w:tcPr/>
          <w:p>
            <w:pPr>
              <w:pStyle w:val="Compact"/>
            </w:pPr>
            <w:r>
              <w:t xml:space="preserve">Application risk tier</w:t>
            </w:r>
          </w:p>
        </w:tc>
        <w:tc>
          <w:tcPr/>
          <w:p>
            <w:pPr>
              <w:pStyle w:val="Compact"/>
            </w:pPr>
            <w:r>
              <w:t xml:space="preserve">Chapter 06</w:t>
            </w:r>
          </w:p>
        </w:tc>
        <w:tc>
          <w:tcPr/>
          <w:p>
            <w:pPr>
              <w:pStyle w:val="Compact"/>
            </w:pPr>
            <w:r>
              <w:t xml:space="preserve">Risk of an enterprise application, which sets its approval chain and review cadence</w:t>
            </w:r>
          </w:p>
        </w:tc>
        <w:tc>
          <w:tcPr/>
          <w:p>
            <w:pPr>
              <w:pStyle w:val="Compact"/>
            </w:pPr>
            <w:r>
              <w:t xml:space="preserve">Tier 1 (high risk) to Tier 3 (low risk)</w:t>
            </w:r>
          </w:p>
        </w:tc>
      </w:tr>
      <w:tr>
        <w:tc>
          <w:tcPr/>
          <w:p>
            <w:pPr>
              <w:pStyle w:val="Compact"/>
            </w:pPr>
            <w:r>
              <w:t xml:space="preserve">Privilege tier</w:t>
            </w:r>
          </w:p>
        </w:tc>
        <w:tc>
          <w:tcPr/>
          <w:p>
            <w:pPr>
              <w:pStyle w:val="Compact"/>
            </w:pPr>
            <w:r>
              <w:t xml:space="preserve">This chapter</w:t>
            </w:r>
          </w:p>
        </w:tc>
        <w:tc>
          <w:tcPr/>
          <w:p>
            <w:pPr>
              <w:pStyle w:val="Compact"/>
            </w:pPr>
            <w:r>
              <w:t xml:space="preserve">What a role’s holder could take over, which sets its PIM gate</w:t>
            </w:r>
          </w:p>
        </w:tc>
        <w:tc>
          <w:tcPr/>
          <w:p>
            <w:pPr>
              <w:pStyle w:val="Compact"/>
            </w:pPr>
            <w:r>
              <w:t xml:space="preserve">Tier 0 (control plane) to Tier 2, plus read-only</w:t>
            </w:r>
          </w:p>
        </w:tc>
      </w:tr>
    </w:tbl>
    <w:p>
      <w:pPr>
        <w:pStyle w:val="BodyText"/>
      </w:pPr>
      <w:r>
        <w:t xml:space="preserve">The crosswalk is direct. Book 02’s delegation Tier 1 (enterprise readers) are this chapter’s read-only tier; its delegation Tiers 2 and 3 (AU-scoped administrators) are privilege Tier 2. Privilege Tiers 0 and 1 have no AU scope at all; they’re tenant-wide by nature. Where a document needs to be unambiguous, the program writes privilege tiers as</w:t>
      </w:r>
      <w:r>
        <w:t xml:space="preserve"> </w:t>
      </w:r>
      <w:r>
        <w:rPr>
          <w:rStyle w:val="VerbatimChar"/>
        </w:rPr>
        <w:t xml:space="preserve">T0</w:t>
      </w:r>
      <w:r>
        <w:t xml:space="preserve">,</w:t>
      </w:r>
      <w:r>
        <w:t xml:space="preserve"> </w:t>
      </w:r>
      <w:r>
        <w:rPr>
          <w:rStyle w:val="VerbatimChar"/>
        </w:rPr>
        <w:t xml:space="preserve">T1</w:t>
      </w:r>
      <w:r>
        <w:t xml:space="preserve"> </w:t>
      </w:r>
      <w:r>
        <w:t xml:space="preserve">and</w:t>
      </w:r>
      <w:r>
        <w:t xml:space="preserve"> </w:t>
      </w:r>
      <w:r>
        <w:rPr>
          <w:rStyle w:val="VerbatimChar"/>
        </w:rPr>
        <w:t xml:space="preserve">T2</w:t>
      </w:r>
      <w:r>
        <w:t xml:space="preserve">.</w:t>
      </w:r>
    </w:p>
    <w:bookmarkEnd w:id="310"/>
    <w:bookmarkEnd w:id="311"/>
    <w:bookmarkStart w:id="336" w:name="how-a-role-reaches-a-person"/>
    <w:p>
      <w:pPr>
        <w:pStyle w:val="Heading2"/>
      </w:pPr>
      <w:bookmarkStart w:id="1189" w:name="_Toc00001189"/>
      <w:r>
        <w:t xml:space="preserve">How a role reaches a person</w:t>
      </w:r>
      <w:bookmarkEnd w:id="1189"/>
    </w:p>
    <w:p>
      <w:pPr>
        <w:pStyle w:val="FirstParagraph"/>
      </w:pPr>
      <w:r>
        <w:t xml:space="preserve">The program never assigns a privileged role directly to a person as an active assignment. A role is assigned to a role-assignable group as an</w:t>
      </w:r>
      <w:r>
        <w:t xml:space="preserve"> </w:t>
      </w:r>
      <w:r>
        <w:rPr>
          <w:b/>
          <w:bCs/>
        </w:rPr>
        <w:t xml:space="preserve">eligible</w:t>
      </w:r>
      <w:r>
        <w:t xml:space="preserve"> </w:t>
      </w:r>
      <w:r>
        <w:t xml:space="preserve">assignment; people become members of that group through an approved request; and a member uses the role only by activating it in PIM. That gives two separately governed layers: who may ever hold the role, and who may use it now.</w:t>
      </w:r>
    </w:p>
    <w:bookmarkStart w:id="315" w:name="fig-ch04-role-group-pim"/>
    <w:p>
      <w:pPr>
        <w:pStyle w:val="CaptionedFigure"/>
      </w:pPr>
      <w:r>
        <w:drawing>
          <wp:inline>
            <wp:extent cx="5334000" cy="4116630"/>
            <wp:effectExtent b="0" l="0" r="0" t="0"/>
            <wp:docPr descr="How a role reaches a person: an access package grants membership of a role-assignable group, the group holds an eligible role assignment, and a member activates the role through PIM for a bounded window." title="" id="313" name="Picture"/>
            <a:graphic>
              <a:graphicData uri="http://schemas.openxmlformats.org/drawingml/2006/picture">
                <pic:pic>
                  <pic:nvPicPr>
                    <pic:cNvPr descr="/home/runner/work/modernization-workbook/modernization-workbook/docs/images/diagrams/b04-access/png/ch04-role-group-pim.png" id="314" name="Picture"/>
                    <pic:cNvPicPr>
                      <a:picLocks noChangeArrowheads="1" noChangeAspect="1"/>
                    </pic:cNvPicPr>
                  </pic:nvPicPr>
                  <pic:blipFill>
                    <a:blip r:embed="rId312"/>
                    <a:stretch>
                      <a:fillRect/>
                    </a:stretch>
                  </pic:blipFill>
                  <pic:spPr bwMode="auto">
                    <a:xfrm>
                      <a:off x="0" y="0"/>
                      <a:ext cx="5334000" cy="4116630"/>
                    </a:xfrm>
                    <a:prstGeom prst="rect">
                      <a:avLst/>
                    </a:prstGeom>
                    <a:noFill/>
                    <a:ln w="9525">
                      <a:noFill/>
                      <a:headEnd/>
                      <a:tailEnd/>
                    </a:ln>
                  </pic:spPr>
                </pic:pic>
              </a:graphicData>
            </a:graphic>
          </wp:inline>
        </w:drawing>
      </w:r>
    </w:p>
    <w:p>
      <w:pPr>
        <w:pStyle w:val="ImageCaption"/>
      </w:pPr>
      <w:r>
        <w:t xml:space="preserve">How a role reaches a person: an access package grants membership of a role-assignable group, the group holds an eligible role assignment, and a member activates the role through PIM for a bounded window.</w:t>
      </w:r>
    </w:p>
    <w:bookmarkEnd w:id="315"/>
    <w:bookmarkStart w:id="318" w:name="role-assignable-groups"/>
    <w:p>
      <w:pPr>
        <w:pStyle w:val="Heading3"/>
      </w:pPr>
      <w:r>
        <w:t xml:space="preserve">Role-assignable groups</w:t>
      </w:r>
    </w:p>
    <w:p>
      <w:pPr>
        <w:pStyle w:val="FirstParagraph"/>
      </w:pPr>
      <w:r>
        <w:t xml:space="preserve">Only a group created with</w:t>
      </w:r>
      <w:r>
        <w:t xml:space="preserve"> </w:t>
      </w:r>
      <w:r>
        <w:rPr>
          <w:rStyle w:val="VerbatimChar"/>
        </w:rPr>
        <w:t xml:space="preserve">isAssignableToRole</w:t>
      </w:r>
      <w:r>
        <w:t xml:space="preserve"> </w:t>
      </w:r>
      <w:r>
        <w:t xml:space="preserve">set to true can hold a Microsoft Entra role, and the property can be set only at creation; an existing group can’t be converted. Role-assignable groups carry restrictions designed to stop privilege escalation through group management:</w:t>
      </w:r>
      <w:r>
        <w:rPr>
          <w:rStyle w:val="FootnoteReference"/>
        </w:rPr>
        <w:footnoteReference w:id="316"/>
      </w:r>
    </w:p>
    <w:p>
      <w:pPr>
        <w:pStyle w:val="Compact"/>
        <w:numPr>
          <w:ilvl w:val="0"/>
          <w:numId w:val="1021"/>
        </w:numPr>
      </w:pPr>
      <w:r>
        <w:t xml:space="preserve">Membership must be</w:t>
      </w:r>
      <w:r>
        <w:t xml:space="preserve"> </w:t>
      </w:r>
      <w:r>
        <w:rPr>
          <w:b/>
          <w:bCs/>
        </w:rPr>
        <w:t xml:space="preserve">assigned</w:t>
      </w:r>
      <w:r>
        <w:t xml:space="preserve">. A dynamic group can’t hold a role, because an automated rule could add an unwanted account and thereby assign it the role.</w:t>
      </w:r>
    </w:p>
    <w:p>
      <w:pPr>
        <w:pStyle w:val="Compact"/>
        <w:numPr>
          <w:ilvl w:val="0"/>
          <w:numId w:val="1021"/>
        </w:numPr>
      </w:pPr>
      <w:r>
        <w:rPr>
          <w:b/>
          <w:bCs/>
        </w:rPr>
        <w:t xml:space="preserve">Nesting isn’t supported.</w:t>
      </w:r>
      <w:r>
        <w:t xml:space="preserve"> </w:t>
      </w:r>
      <w:r>
        <w:t xml:space="preserve">A group can’t be an active member of a role-assignable group.</w:t>
      </w:r>
    </w:p>
    <w:p>
      <w:pPr>
        <w:pStyle w:val="Compact"/>
        <w:numPr>
          <w:ilvl w:val="0"/>
          <w:numId w:val="1021"/>
        </w:numPr>
      </w:pPr>
      <w:r>
        <w:t xml:space="preserve">Creating one needs at least</w:t>
      </w:r>
      <w:r>
        <w:t xml:space="preserve"> </w:t>
      </w:r>
      <w:r>
        <w:rPr>
          <w:b/>
          <w:bCs/>
        </w:rPr>
        <w:t xml:space="preserve">Privileged Role Administrator</w:t>
      </w:r>
      <w:r>
        <w:t xml:space="preserve">. Privileged Role Administrators manage membership by default; ownership can be delegated to named owners.</w:t>
      </w:r>
    </w:p>
    <w:p>
      <w:pPr>
        <w:pStyle w:val="Compact"/>
        <w:numPr>
          <w:ilvl w:val="0"/>
          <w:numId w:val="1021"/>
        </w:numPr>
      </w:pPr>
      <w:r>
        <w:t xml:space="preserve">Changing a member’s or owner’s credentials, resetting their MFA or editing their sensitive attributes needs at least</w:t>
      </w:r>
      <w:r>
        <w:t xml:space="preserve"> </w:t>
      </w:r>
      <w:r>
        <w:rPr>
          <w:b/>
          <w:bCs/>
        </w:rPr>
        <w:t xml:space="preserve">Privileged Authentication Administrator</w:t>
      </w:r>
      <w:r>
        <w:t xml:space="preserve">, so a help desk can’t take over a group member’s account and inherit the role.</w:t>
      </w:r>
    </w:p>
    <w:p>
      <w:pPr>
        <w:pStyle w:val="Compact"/>
        <w:numPr>
          <w:ilvl w:val="0"/>
          <w:numId w:val="1021"/>
        </w:numPr>
      </w:pPr>
      <w:r>
        <w:t xml:space="preserve">Through Microsoft Graph, membership changes need</w:t>
      </w:r>
      <w:r>
        <w:t xml:space="preserve"> </w:t>
      </w:r>
      <w:r>
        <w:rPr>
          <w:rStyle w:val="VerbatimChar"/>
        </w:rPr>
        <w:t xml:space="preserve">RoleManagement.ReadWrite.Directory</w:t>
      </w:r>
      <w:r>
        <w:t xml:space="preserve">;</w:t>
      </w:r>
      <w:r>
        <w:t xml:space="preserve"> </w:t>
      </w:r>
      <w:r>
        <w:rPr>
          <w:rStyle w:val="VerbatimChar"/>
        </w:rPr>
        <w:t xml:space="preserve">Group.ReadWrite.All</w:t>
      </w:r>
      <w:r>
        <w:t xml:space="preserve"> </w:t>
      </w:r>
      <w:r>
        <w:t xml:space="preserve">isn’t enough.</w:t>
      </w:r>
    </w:p>
    <w:p>
      <w:pPr>
        <w:pStyle w:val="Compact"/>
        <w:numPr>
          <w:ilvl w:val="0"/>
          <w:numId w:val="1021"/>
        </w:numPr>
      </w:pPr>
      <w:r>
        <w:t xml:space="preserve">A tenant can have at most</w:t>
      </w:r>
      <w:r>
        <w:t xml:space="preserve"> </w:t>
      </w:r>
      <w:r>
        <w:rPr>
          <w:b/>
          <w:bCs/>
        </w:rPr>
        <w:t xml:space="preserve">500</w:t>
      </w:r>
      <w:r>
        <w:t xml:space="preserve"> </w:t>
      </w:r>
      <w:r>
        <w:t xml:space="preserve">role-assignable groups. The feature needs Microsoft Entra ID P1; just-in-time activation through PIM needs P2.</w:t>
      </w:r>
    </w:p>
    <w:p>
      <w:pPr>
        <w:pStyle w:val="FirstParagraph"/>
      </w:pPr>
      <w:r>
        <w:t xml:space="preserve">These are the same constraints Book 02, Chapter 05 applies to its</w:t>
      </w:r>
      <w:r>
        <w:t xml:space="preserve"> </w:t>
      </w:r>
      <w:r>
        <w:rPr>
          <w:rStyle w:val="VerbatimChar"/>
        </w:rPr>
        <w:t xml:space="preserve">*-Admins</w:t>
      </w:r>
      <w:r>
        <w:t xml:space="preserve"> </w:t>
      </w:r>
      <w:r>
        <w:t xml:space="preserve">groups. The program names privileged groups</w:t>
      </w:r>
      <w:r>
        <w:t xml:space="preserve"> </w:t>
      </w:r>
      <w:r>
        <w:rPr>
          <w:rStyle w:val="VerbatimChar"/>
        </w:rPr>
        <w:t xml:space="preserve">PRV-&lt;tier&gt;-&lt;role&gt;-&lt;scope&gt;</w:t>
      </w:r>
      <w:r>
        <w:t xml:space="preserve">, for example</w:t>
      </w:r>
      <w:r>
        <w:t xml:space="preserve"> </w:t>
      </w:r>
      <w:r>
        <w:rPr>
          <w:rStyle w:val="VerbatimChar"/>
        </w:rPr>
        <w:t xml:space="preserve">PRV-T0-PrivRoleAdmin</w:t>
      </w:r>
      <w:r>
        <w:t xml:space="preserve">,</w:t>
      </w:r>
      <w:r>
        <w:t xml:space="preserve"> </w:t>
      </w:r>
      <w:r>
        <w:rPr>
          <w:rStyle w:val="VerbatimChar"/>
        </w:rPr>
        <w:t xml:space="preserve">PRV-T1-ExchangeAdmin</w:t>
      </w:r>
      <w:r>
        <w:t xml:space="preserve"> </w:t>
      </w:r>
      <w:r>
        <w:t xml:space="preserve">and</w:t>
      </w:r>
      <w:r>
        <w:t xml:space="preserve"> </w:t>
      </w:r>
      <w:r>
        <w:rPr>
          <w:rStyle w:val="VerbatimChar"/>
        </w:rPr>
        <w:t xml:space="preserve">PRV-T2-UserAdmin-AU-Finance</w:t>
      </w:r>
      <w:r>
        <w:t xml:space="preserve">, so that the tier is visible in every review, alert and audit record.</w:t>
      </w:r>
    </w:p>
    <w:bookmarkEnd w:id="318"/>
    <w:bookmarkStart w:id="325" w:name="X13a620289717f73a6148b2edd641c984ff97b0d"/>
    <w:p>
      <w:pPr>
        <w:pStyle w:val="Heading3"/>
      </w:pPr>
      <w:r>
        <w:t xml:space="preserve">Two ways to model eligibility through a group</w:t>
      </w:r>
    </w:p>
    <w:p>
      <w:pPr>
        <w:pStyle w:val="FirstParagraph"/>
      </w:pPr>
      <w:r>
        <w:t xml:space="preserve">Microsoft documents two patterns, and they behave differently.</w:t>
      </w:r>
      <w:r>
        <w:rPr>
          <w:rStyle w:val="FootnoteReference"/>
        </w:rPr>
        <w:footnoteReference w:id="319"/>
      </w:r>
      <w:r>
        <w:rPr>
          <w:rStyle w:val="FootnoteReference"/>
        </w:rPr>
        <w:footnoteReference w:id="321"/>
      </w:r>
    </w:p>
    <w:p>
      <w:pPr>
        <w:pStyle w:val="Compact"/>
        <w:numPr>
          <w:ilvl w:val="0"/>
          <w:numId w:val="1022"/>
        </w:numPr>
      </w:pPr>
      <w:r>
        <w:rPr>
          <w:b/>
          <w:bCs/>
        </w:rPr>
        <w:t xml:space="preserve">Eligible group-to-role assignment, active members.</w:t>
      </w:r>
      <w:r>
        <w:t xml:space="preserve"> </w:t>
      </w:r>
      <w:r>
        <w:t xml:space="preserve">The group holds an eligible assignment; members are permanent members of the group and activate the role itself.</w:t>
      </w:r>
    </w:p>
    <w:p>
      <w:pPr>
        <w:pStyle w:val="Compact"/>
        <w:numPr>
          <w:ilvl w:val="0"/>
          <w:numId w:val="1022"/>
        </w:numPr>
      </w:pPr>
      <w:r>
        <w:rPr>
          <w:b/>
          <w:bCs/>
        </w:rPr>
        <w:t xml:space="preserve">Active group-to-role assignment, eligible members.</w:t>
      </w:r>
      <w:r>
        <w:t xml:space="preserve"> </w:t>
      </w:r>
      <w:r>
        <w:t xml:space="preserve">The group holds an active assignment; people are eligible members and activate their membership through PIM for Groups.</w:t>
      </w:r>
    </w:p>
    <w:p>
      <w:pPr>
        <w:pStyle w:val="FirstParagraph"/>
      </w:pPr>
      <w:r>
        <w:t xml:space="preserve">The program uses the first pattern for Microsoft Entra roles. Microsoft notes that roles with permissions in SharePoint, Exchange or the Microsoft Purview portal can take significant time to become usable under the second pattern, and recommends the first pattern or direct PIM for Microsoft Entra roles in those cases.</w:t>
      </w:r>
      <w:r>
        <w:rPr>
          <w:rStyle w:val="FootnoteReference"/>
        </w:rPr>
        <w:footnoteReference w:id="323"/>
      </w:r>
      <w:r>
        <w:t xml:space="preserve"> </w:t>
      </w:r>
      <w:r>
        <w:t xml:space="preserve">The first pattern also keeps the activation on the role, where its role settings, alerts and reviews live.</w:t>
      </w:r>
    </w:p>
    <w:p>
      <w:pPr>
        <w:pStyle w:val="BodyText"/>
      </w:pPr>
      <w:r>
        <w:t xml:space="preserve">Whichever pattern applies, Microsoft recommends requiring approval for eligible assignments in groups used to elevate into Microsoft Entra roles. Without approval, a less-privileged administrator who can reset an eligible user’s credentials could activate the assignment on that user’s behalf.</w:t>
      </w:r>
      <w:r>
        <w:rPr>
          <w:rStyle w:val="FootnoteReference"/>
        </w:rPr>
        <w:footnoteReference w:id="324"/>
      </w:r>
    </w:p>
    <w:bookmarkEnd w:id="325"/>
    <w:bookmarkStart w:id="332" w:name="pim-for-groups"/>
    <w:p>
      <w:pPr>
        <w:pStyle w:val="Heading3"/>
      </w:pPr>
      <w:r>
        <w:t xml:space="preserve">PIM for Groups</w:t>
      </w:r>
    </w:p>
    <w:p>
      <w:pPr>
        <w:pStyle w:val="FirstParagraph"/>
      </w:pPr>
      <w:r>
        <w:t xml:space="preserve">PIM for Groups (called privileged access groups until January 2023) gives just-in-time membership or ownership of a security group or Microsoft 365 group, with policies like those for roles: approval, MFA, justification and a maximum activation time. Each group has two policies, one for membership and one for ownership. A group doesn’t need to be role-assignable to be managed by PIM, and more than 500 groups can be in PIM even though only 500 can be role-assignable; dynamic groups and groups synchronized from on-premises AD can’t be enabled.</w:t>
      </w:r>
      <w:r>
        <w:rPr>
          <w:rStyle w:val="FootnoteReference"/>
        </w:rPr>
        <w:footnoteReference w:id="326"/>
      </w:r>
      <w:r>
        <w:t xml:space="preserve"> </w:t>
      </w:r>
      <w:r>
        <w:t xml:space="preserve">Licensing is Microsoft Entra ID P2 or Microsoft Entra ID Governance for eligible and time-bound users and for approvers.</w:t>
      </w:r>
      <w:r>
        <w:rPr>
          <w:rStyle w:val="FootnoteReference"/>
        </w:rPr>
        <w:footnoteReference w:id="327"/>
      </w:r>
    </w:p>
    <w:p>
      <w:pPr>
        <w:pStyle w:val="BodyText"/>
      </w:pPr>
      <w:r>
        <w:t xml:space="preserve">The program uses PIM for Groups where the privilege isn’t an Entra role: groups that grant Azure roles, Intune scope, access to sensitive applications, or Conditional Access exclusions such as Chapter 07’s governed travel exception (Chapter 07). Microsoft recommends creating even those groups as role-assignable when they guard sensitive resources, for the extra management protection.</w:t>
      </w:r>
      <w:r>
        <w:rPr>
          <w:rStyle w:val="FootnoteReference"/>
        </w:rPr>
        <w:footnoteReference w:id="329"/>
      </w:r>
    </w:p>
    <w:p>
      <w:pPr>
        <w:pStyle w:val="BodyText"/>
      </w:pPr>
      <w:r>
        <w:t xml:space="preserve">When an eligible group itself holds an eligible Azure role, the user activates twice: first the group membership, then the role.</w:t>
      </w:r>
      <w:r>
        <w:rPr>
          <w:rStyle w:val="FootnoteReference"/>
        </w:rPr>
        <w:footnoteReference w:id="330"/>
      </w:r>
    </w:p>
    <w:bookmarkEnd w:id="332"/>
    <w:bookmarkStart w:id="335" w:name="layer-1-who-may-ever-hold-the-role"/>
    <w:p>
      <w:pPr>
        <w:pStyle w:val="Heading3"/>
      </w:pPr>
      <w:r>
        <w:t xml:space="preserve">Layer 1: who may ever hold the role</w:t>
      </w:r>
    </w:p>
    <w:p>
      <w:pPr>
        <w:pStyle w:val="FirstParagraph"/>
      </w:pPr>
      <w:r>
        <w:t xml:space="preserve">Layer 1 is entitlement management. The program publishes membership of each role-assignable group as an access package with an approval policy, an expiry and a recurring review (Chapter 09). Entitlement management can also place Microsoft Entra roles directly in an access package, but that capability is in preview, and Microsoft is restricting it to roles without privileged permissions; privileged roles belong in PIM.</w:t>
      </w:r>
      <w:r>
        <w:rPr>
          <w:rStyle w:val="FootnoteReference"/>
        </w:rPr>
        <w:footnoteReference w:id="333"/>
      </w:r>
      <w:r>
        <w:t xml:space="preserve"> </w:t>
      </w:r>
      <w:r>
        <w:t xml:space="preserve">The program therefore never puts a role in a package directly. Packages grant membership of the group that holds the eligible assignment, and Chapter 09 adds the rule that no package grants an active privileged role.</w:t>
      </w:r>
    </w:p>
    <w:bookmarkEnd w:id="335"/>
    <w:bookmarkEnd w:id="336"/>
    <w:bookmarkStart w:id="363" w:name="azure-rbac-and-native-cloud-iam"/>
    <w:p>
      <w:pPr>
        <w:pStyle w:val="Heading2"/>
      </w:pPr>
      <w:bookmarkStart w:id="1190" w:name="_Toc00001190"/>
      <w:r>
        <w:t xml:space="preserve">Azure RBAC and native cloud IAM</w:t>
      </w:r>
      <w:bookmarkEnd w:id="1190"/>
    </w:p>
    <w:p>
      <w:pPr>
        <w:pStyle w:val="FirstParagraph"/>
      </w:pPr>
      <w:r>
        <w:t xml:space="preserve">Microsoft Entra roles govern the directory. Azure resources, AWS accounts and VMware estates each have their own authorization system, and each needs the same discipline: least privilege, a tier, time-bound use and review. The Federal Compliance books hold the operational depth; this section places each system in the tier model.</w:t>
      </w:r>
    </w:p>
    <w:bookmarkStart w:id="346" w:name="azure-rbac"/>
    <w:p>
      <w:pPr>
        <w:pStyle w:val="Heading3"/>
      </w:pPr>
      <w:r>
        <w:t xml:space="preserve">Azure RBAC</w:t>
      </w:r>
    </w:p>
    <w:p>
      <w:pPr>
        <w:pStyle w:val="FirstParagraph"/>
      </w:pPr>
      <w:r>
        <w:t xml:space="preserve">Azure role-based access control assigns Azure roles at management group, subscription, resource group or resource scope. Microsoft classifies five built-in roles as</w:t>
      </w:r>
      <w:r>
        <w:t xml:space="preserve"> </w:t>
      </w:r>
      <w:r>
        <w:rPr>
          <w:b/>
          <w:bCs/>
        </w:rPr>
        <w:t xml:space="preserve">privileged administrator roles</w:t>
      </w:r>
      <w:r>
        <w:t xml:space="preserve">: Owner, Contributor, Reservations Administrator, Role Based Access Control Administrator and User Access Administrator.</w:t>
      </w:r>
      <w:r>
        <w:rPr>
          <w:rStyle w:val="FootnoteReference"/>
        </w:rPr>
        <w:footnoteReference w:id="337"/>
      </w:r>
      <w:r>
        <w:t xml:space="preserve"> </w:t>
      </w:r>
      <w:r>
        <w:t xml:space="preserve">Microsoft’s best practices are to remove unnecessary privileged assignments, prefer job-function roles, use the narrowest scope, add conditions when delegating role assignment, and keep a maximum of three subscription owners.</w:t>
      </w:r>
      <w:r>
        <w:rPr>
          <w:rStyle w:val="FootnoteReference"/>
        </w:rPr>
        <w:footnoteReference w:id="339"/>
      </w:r>
    </w:p>
    <w:p>
      <w:pPr>
        <w:pStyle w:val="BodyText"/>
      </w:pPr>
      <w:r>
        <w:t xml:space="preserve">PIM covers Azure roles too: eligible assignments at management group, subscription, resource group and resource scope, activated from PIM or the resource’s Access control (IAM) page, with Microsoft Entra ID P2 or Microsoft Entra ID Governance.</w:t>
      </w:r>
      <w:r>
        <w:rPr>
          <w:rStyle w:val="FootnoteReference"/>
        </w:rPr>
        <w:footnoteReference w:id="341"/>
      </w:r>
      <w:r>
        <w:t xml:space="preserve"> </w:t>
      </w:r>
      <w:r>
        <w:t xml:space="preserve">The program’s placements: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Azure assignment</w:t>
            </w:r>
          </w:p>
        </w:tc>
        <w:tc>
          <w:tcPr/>
          <w:p>
            <w:pPr>
              <w:pStyle w:val="Compact"/>
            </w:pPr>
            <w:r>
              <w:t xml:space="preserve">Tier</w:t>
            </w:r>
          </w:p>
        </w:tc>
        <w:tc>
          <w:tcPr/>
          <w:p>
            <w:pPr>
              <w:pStyle w:val="Compact"/>
            </w:pPr>
            <w:r>
              <w:t xml:space="preserve">Reason</w:t>
            </w:r>
          </w:p>
        </w:tc>
      </w:tr>
      <w:tr>
        <w:tc>
          <w:tcPr/>
          <w:p>
            <w:pPr>
              <w:pStyle w:val="Compact"/>
            </w:pPr>
            <w:r>
              <w:t xml:space="preserve">Owner, User Access Administrator or Role Based Access Control Administrator at root or a top management group</w:t>
            </w:r>
          </w:p>
        </w:tc>
        <w:tc>
          <w:tcPr/>
          <w:p>
            <w:pPr>
              <w:pStyle w:val="Compact"/>
            </w:pPr>
            <w:r>
              <w:t xml:space="preserve">T0</w:t>
            </w:r>
          </w:p>
        </w:tc>
        <w:tc>
          <w:tcPr/>
          <w:p>
            <w:pPr>
              <w:pStyle w:val="Compact"/>
            </w:pPr>
            <w:r>
              <w:t xml:space="preserve">Can grant any Azure role anywhere below, including over the identity and logging infrastructure</w:t>
            </w:r>
          </w:p>
        </w:tc>
      </w:tr>
      <w:tr>
        <w:tc>
          <w:tcPr/>
          <w:p>
            <w:pPr>
              <w:pStyle w:val="Compact"/>
            </w:pPr>
            <w:r>
              <w:t xml:space="preserve">Any privileged administrator role on subscriptions that host identity infrastructure, PIM evidence or the log workspace</w:t>
            </w:r>
          </w:p>
        </w:tc>
        <w:tc>
          <w:tcPr/>
          <w:p>
            <w:pPr>
              <w:pStyle w:val="Compact"/>
            </w:pPr>
            <w:r>
              <w:t xml:space="preserve">T0</w:t>
            </w:r>
          </w:p>
        </w:tc>
        <w:tc>
          <w:tcPr/>
          <w:p>
            <w:pPr>
              <w:pStyle w:val="Compact"/>
            </w:pPr>
            <w:r>
              <w:t xml:space="preserve">Control of the evidence and the identity servers is control of the control plane</w:t>
            </w:r>
          </w:p>
        </w:tc>
      </w:tr>
      <w:tr>
        <w:tc>
          <w:tcPr/>
          <w:p>
            <w:pPr>
              <w:pStyle w:val="Compact"/>
            </w:pPr>
            <w:r>
              <w:t xml:space="preserve">Owner or Contributor on a workload subscription</w:t>
            </w:r>
          </w:p>
        </w:tc>
        <w:tc>
          <w:tcPr/>
          <w:p>
            <w:pPr>
              <w:pStyle w:val="Compact"/>
            </w:pPr>
            <w:r>
              <w:t xml:space="preserve">T1</w:t>
            </w:r>
          </w:p>
        </w:tc>
        <w:tc>
          <w:tcPr/>
          <w:p>
            <w:pPr>
              <w:pStyle w:val="Compact"/>
            </w:pPr>
            <w:r>
              <w:t xml:space="preserve">Full management of one workload’s resources</w:t>
            </w:r>
          </w:p>
        </w:tc>
      </w:tr>
      <w:tr>
        <w:tc>
          <w:tcPr/>
          <w:p>
            <w:pPr>
              <w:pStyle w:val="Compact"/>
            </w:pPr>
            <w:r>
              <w:t xml:space="preserve">Job-function roles (for example Virtual Machine Contributor) scoped to a resource group</w:t>
            </w:r>
          </w:p>
        </w:tc>
        <w:tc>
          <w:tcPr/>
          <w:p>
            <w:pPr>
              <w:pStyle w:val="Compact"/>
            </w:pPr>
            <w:r>
              <w:t xml:space="preserve">T2</w:t>
            </w:r>
          </w:p>
        </w:tc>
        <w:tc>
          <w:tcPr/>
          <w:p>
            <w:pPr>
              <w:pStyle w:val="Compact"/>
            </w:pPr>
            <w:r>
              <w:t xml:space="preserve">Bounded operational change</w:t>
            </w:r>
          </w:p>
        </w:tc>
      </w:tr>
      <w:tr>
        <w:tc>
          <w:tcPr/>
          <w:p>
            <w:pPr>
              <w:pStyle w:val="Compact"/>
            </w:pPr>
            <w:r>
              <w:t xml:space="preserve">Reader at any scope</w:t>
            </w:r>
          </w:p>
        </w:tc>
        <w:tc>
          <w:tcPr/>
          <w:p>
            <w:pPr>
              <w:pStyle w:val="Compact"/>
            </w:pPr>
            <w:r>
              <w:t xml:space="preserve">Read-only</w:t>
            </w:r>
          </w:p>
        </w:tc>
        <w:tc>
          <w:tcPr/>
          <w:p>
            <w:pPr>
              <w:pStyle w:val="Compact"/>
            </w:pPr>
            <w:r>
              <w:t xml:space="preserve">Visibility</w:t>
            </w:r>
          </w:p>
        </w:tc>
      </w:tr>
    </w:tbl>
    <w:p>
      <w:pPr>
        <w:pStyle w:val="BodyText"/>
      </w:pPr>
      <w:r>
        <w:t xml:space="preserve">One Azure capability crosses tiers by design. A Global Administrator can</w:t>
      </w:r>
      <w:r>
        <w:t xml:space="preserve"> </w:t>
      </w:r>
      <w:r>
        <w:rPr>
          <w:b/>
          <w:bCs/>
        </w:rPr>
        <w:t xml:space="preserve">elevate access</w:t>
      </w:r>
      <w:r>
        <w:t xml:space="preserve">, which assigns User Access Administrator at root scope (</w:t>
      </w:r>
      <w:r>
        <w:rPr>
          <w:rStyle w:val="VerbatimChar"/>
        </w:rPr>
        <w:t xml:space="preserve">/</w:t>
      </w:r>
      <w:r>
        <w:t xml:space="preserve">) over every subscription and management group; Microsoft’s guidance is to remove the elevation as soon as the task is done.</w:t>
      </w:r>
      <w:r>
        <w:rPr>
          <w:rStyle w:val="FootnoteReference"/>
        </w:rPr>
        <w:footnoteReference w:id="342"/>
      </w:r>
      <w:r>
        <w:t xml:space="preserve"> </w:t>
      </w:r>
      <w:r>
        <w:t xml:space="preserve">The program treats every elevation as a Tier 0 event: alerted, justified in a ticket, and removed the same day.</w:t>
      </w:r>
    </w:p>
    <w:p>
      <w:pPr>
        <w:pStyle w:val="BodyText"/>
      </w:pPr>
      <w:r>
        <w:t xml:space="preserve">Signing in to a virtual machine is a separate permission. Owner and Contributor don’t by themselves grant Microsoft Entra sign-in to a VM; the Virtual Machine Administrator Login or Virtual Machine User Login role does, and Microsoft describes the split between people who control VMs and people who can sign in to them as intentional and audited. Microsoft recommends assigning the sign-in roles at resource group or broader scope rather than per VM, to stay within assignment limits.</w:t>
      </w:r>
      <w:r>
        <w:rPr>
          <w:rStyle w:val="FootnoteReference"/>
        </w:rPr>
        <w:footnoteReference w:id="344"/>
      </w:r>
      <w:r>
        <w:t xml:space="preserve"> </w:t>
      </w:r>
      <w:r>
        <w:t xml:space="preserve">The program holds Virtual Machine Administrator Login as an eligible assignment on the resource groups an administrator manages. Arc-enabled server just-in-time access, and the CA026 policy that governs the Azure management plane for server administrators (Chapter 07), are covered in the Privileged Access Management book.</w:t>
      </w:r>
    </w:p>
    <w:bookmarkEnd w:id="346"/>
    <w:bookmarkStart w:id="357" w:name="aws"/>
    <w:p>
      <w:pPr>
        <w:pStyle w:val="Heading3"/>
      </w:pPr>
      <w:r>
        <w:t xml:space="preserve">AWS</w:t>
      </w:r>
    </w:p>
    <w:p>
      <w:pPr>
        <w:pStyle w:val="FirstParagraph"/>
      </w:pPr>
      <w:r>
        <w:t xml:space="preserve">In AWS IAM Identity Center, a</w:t>
      </w:r>
      <w:r>
        <w:t xml:space="preserve"> </w:t>
      </w:r>
      <w:r>
        <w:rPr>
          <w:b/>
          <w:bCs/>
        </w:rPr>
        <w:t xml:space="preserve">permission set</w:t>
      </w:r>
      <w:r>
        <w:t xml:space="preserve"> </w:t>
      </w:r>
      <w:r>
        <w:t xml:space="preserve">is a template of IAM policies; assigning it to a user or group in an account creates an Identity Center-controlled IAM role there. The session duration for a permission set defaults to one hour and can be set up to 12 hours; the access portal session defaults to eight hours and can be set up to 90 days.</w:t>
      </w:r>
      <w:r>
        <w:rPr>
          <w:rStyle w:val="FootnoteReference"/>
        </w:rPr>
        <w:footnoteReference w:id="347"/>
      </w:r>
      <w:r>
        <w:t xml:space="preserve"> </w:t>
      </w:r>
      <w:r>
        <w:t xml:space="preserve">AWS’s IAM best practices start with least-privilege permissions and federation with temporary credentials for people, and include using IAM Access Analyzer to generate policies and remove unused access.</w:t>
      </w:r>
      <w:r>
        <w:rPr>
          <w:rStyle w:val="FootnoteReference"/>
        </w:rPr>
        <w:footnoteReference w:id="349"/>
      </w:r>
      <w:r>
        <w:t xml:space="preserve"> </w:t>
      </w:r>
      <w:r>
        <w:t xml:space="preserve">Access Analyzer’s unused-access findings report unused roles, unused access keys and passwords, and unused service- and action-level permissions; they’re priced per IAM role or user analyzed each month.</w:t>
      </w:r>
      <w:r>
        <w:rPr>
          <w:rStyle w:val="FootnoteReference"/>
        </w:rPr>
        <w:footnoteReference w:id="351"/>
      </w:r>
    </w:p>
    <w:p>
      <w:pPr>
        <w:pStyle w:val="BodyText"/>
      </w:pPr>
      <w:r>
        <w:t xml:space="preserve">Identity Center has no PIM equivalent of its own. AWS’s guidance on temporary elevated access points to partner solutions validated in its Security Competency program.</w:t>
      </w:r>
      <w:r>
        <w:rPr>
          <w:rStyle w:val="FootnoteReference"/>
        </w:rPr>
        <w:footnoteReference w:id="353"/>
      </w:r>
      <w:r>
        <w:t xml:space="preserve"> </w:t>
      </w:r>
      <w:r>
        <w:t xml:space="preserve">TEAM (Temporary Elevated Access Management) is an open-source sample in the</w:t>
      </w:r>
      <w:r>
        <w:t xml:space="preserve"> </w:t>
      </w:r>
      <w:r>
        <w:rPr>
          <w:rStyle w:val="VerbatimChar"/>
        </w:rPr>
        <w:t xml:space="preserve">aws-samples</w:t>
      </w:r>
      <w:r>
        <w:t xml:space="preserve"> </w:t>
      </w:r>
      <w:r>
        <w:t xml:space="preserve">organization, not an AWS service, and the customer is responsible for operating and securing it.</w:t>
      </w:r>
      <w:r>
        <w:rPr>
          <w:rStyle w:val="FootnoteReference"/>
        </w:rPr>
        <w:footnoteReference w:id="355"/>
      </w:r>
      <w:r>
        <w:t xml:space="preserve"> </w:t>
      </w:r>
      <w:r>
        <w:t xml:space="preserve">The program’s tiering applies unchanged: permission sets that can change IAM, Identity Center or the organization are T0; administrator permission sets on a workload account are T1; and every privileged permission set is requested and approved outside AWS, with assignments granted for a bounded period.</w:t>
      </w:r>
    </w:p>
    <w:bookmarkEnd w:id="357"/>
    <w:bookmarkStart w:id="362" w:name="vmware-vsphere"/>
    <w:p>
      <w:pPr>
        <w:pStyle w:val="Heading3"/>
      </w:pPr>
      <w:r>
        <w:t xml:space="preserve">VMware vSphere</w:t>
      </w:r>
    </w:p>
    <w:p>
      <w:pPr>
        <w:pStyle w:val="FirstParagraph"/>
      </w:pPr>
      <w:r>
        <w:t xml:space="preserve">vSphere authorizes through fine-grained</w:t>
      </w:r>
      <w:r>
        <w:t xml:space="preserve"> </w:t>
      </w:r>
      <w:r>
        <w:rPr>
          <w:b/>
          <w:bCs/>
        </w:rPr>
        <w:t xml:space="preserve">privileges</w:t>
      </w:r>
      <w:r>
        <w:t xml:space="preserve">, grouped into</w:t>
      </w:r>
      <w:r>
        <w:t xml:space="preserve"> </w:t>
      </w:r>
      <w:r>
        <w:rPr>
          <w:b/>
          <w:bCs/>
        </w:rPr>
        <w:t xml:space="preserve">roles</w:t>
      </w:r>
      <w:r>
        <w:t xml:space="preserve">, which a</w:t>
      </w:r>
      <w:r>
        <w:t xml:space="preserve"> </w:t>
      </w:r>
      <w:r>
        <w:rPr>
          <w:b/>
          <w:bCs/>
        </w:rPr>
        <w:t xml:space="preserve">permission</w:t>
      </w:r>
      <w:r>
        <w:t xml:space="preserve"> </w:t>
      </w:r>
      <w:r>
        <w:t xml:space="preserve">grants to a user or group on an inventory object; global permissions span all inventory hierarchies, and system roles such as Administrator are predefined and can’t be changed.</w:t>
      </w:r>
      <w:r>
        <w:rPr>
          <w:rStyle w:val="FootnoteReference"/>
        </w:rPr>
        <w:footnoteReference w:id="358"/>
      </w:r>
      <w:r>
        <w:t xml:space="preserve"> </w:t>
      </w:r>
      <w:r>
        <w:t xml:space="preserve">vCenter can federate sign-in with Microsoft Entra ID over OpenID Connect, with SCIM provisioning of users and groups, from vSphere 8.0 Update 2.</w:t>
      </w:r>
      <w:r>
        <w:rPr>
          <w:rStyle w:val="FootnoteReference"/>
        </w:rPr>
        <w:footnoteReference w:id="360"/>
      </w:r>
      <w:r>
        <w:t xml:space="preserve"> </w:t>
      </w:r>
      <w:r>
        <w:t xml:space="preserve">Federation brings vCenter sign-ins under Conditional Access, but the vCenter roles themselves stay outside PIM: a group’s membership can be made just-in-time with PIM for Groups, and the vCenter permission granted to that group then follows the activation.</w:t>
      </w:r>
    </w:p>
    <w:p>
      <w:pPr>
        <w:pStyle w:val="BodyText"/>
      </w:pPr>
      <w:r>
        <w:t xml:space="preserve">The native cloud IAM book reports that its cross-cloud entitlement engine covers Azure RBAC and AWS IAM but that no evidence was found of equivalent coverage for vCenter permissions, so vSphere privilege drift is detected by the program’s own exports rather than by that engine. That book, and the Privileged Access Management book for vaulting and recorded sessions on standing accounts, hold the operational detail.</w:t>
      </w:r>
    </w:p>
    <w:bookmarkEnd w:id="362"/>
    <w:bookmarkEnd w:id="363"/>
    <w:bookmarkStart w:id="368" w:name="privileged-access-workstations"/>
    <w:p>
      <w:pPr>
        <w:pStyle w:val="Heading2"/>
      </w:pPr>
      <w:bookmarkStart w:id="1191" w:name="_Toc00001191"/>
      <w:r>
        <w:t xml:space="preserve">Privileged access workstations</w:t>
      </w:r>
      <w:bookmarkEnd w:id="1191"/>
    </w:p>
    <w:p>
      <w:pPr>
        <w:pStyle w:val="FirstParagraph"/>
      </w:pPr>
      <w:r>
        <w:t xml:space="preserve">A privileged access workstation (PAW) is a device at Microsoft’s privileged security level, used only for administration. At that level Microsoft’s device controls deny personal-device enrollment, block URLs by default, remove local administrator rights, enforce application control, and allow only Intune-installed applications.</w:t>
      </w:r>
      <w:r>
        <w:rPr>
          <w:rStyle w:val="FootnoteReference"/>
        </w:rPr>
        <w:footnoteReference w:id="364"/>
      </w:r>
      <w:r>
        <w:t xml:space="preserve"> </w:t>
      </w:r>
      <w:r>
        <w:t xml:space="preserve">Microsoft’s deployment guidance builds PAWs with Intune and Windows Autopilot, tags them into a dynamic device group, holds them at the Enrollment Status Page until setup completes, and enforces their use with Conditional Access.</w:t>
      </w:r>
      <w:r>
        <w:rPr>
          <w:rStyle w:val="FootnoteReference"/>
        </w:rPr>
        <w:footnoteReference w:id="366"/>
      </w:r>
      <w:r>
        <w:t xml:space="preserve"> </w:t>
      </w:r>
      <w:r>
        <w:t xml:space="preserve">Both pages are dated: they target Windows 10 and use retired product names. The program uses them as Microsoft’s published reference design, not as a current procedure, and builds PAWs on the agency’s supported Windows release and current Intune baselines.</w:t>
      </w:r>
    </w:p>
    <w:p>
      <w:pPr>
        <w:pStyle w:val="BodyText"/>
      </w:pPr>
      <w:r>
        <w:t xml:space="preserve">The program’s PAW rule is Book 02’s: administration of privileged roles happens only from a PAW (Book 02, Chapter 10). Enforcement is two Conditional Access policies in Chapter 07:</w:t>
      </w:r>
      <w:r>
        <w:t xml:space="preserve"> </w:t>
      </w:r>
      <w:r>
        <w:rPr>
          <w:b/>
          <w:bCs/>
        </w:rPr>
        <w:t xml:space="preserve">CA004</w:t>
      </w:r>
      <w:r>
        <w:t xml:space="preserve"> </w:t>
      </w:r>
      <w:r>
        <w:t xml:space="preserve">requires a compliant device for the administrator persona, and</w:t>
      </w:r>
      <w:r>
        <w:t xml:space="preserve"> </w:t>
      </w:r>
      <w:r>
        <w:rPr>
          <w:b/>
          <w:bCs/>
        </w:rPr>
        <w:t xml:space="preserve">CA025</w:t>
      </w:r>
      <w:r>
        <w:t xml:space="preserve"> </w:t>
      </w:r>
      <w:r>
        <w:t xml:space="preserve">blocks the Microsoft admin portals and Azure management from any device not labeled as a PAW. The PAW condition lives in its own block policy because a grant policy scoped by a device filter simply doesn’t apply on other devices. Chapter 08 adds a compliant-device requirement to the PIM activation context, so the role can’t be activated off a managed device either. The hardware, operating system and application-control baseline is in the Privileged Access Management book.</w:t>
      </w:r>
    </w:p>
    <w:bookmarkEnd w:id="368"/>
    <w:bookmarkStart w:id="373" w:name="emergency-access-accounts"/>
    <w:p>
      <w:pPr>
        <w:pStyle w:val="Heading2"/>
      </w:pPr>
      <w:bookmarkStart w:id="1192" w:name="_Toc00001192"/>
      <w:r>
        <w:t xml:space="preserve">Emergency access accounts</w:t>
      </w:r>
      <w:bookmarkEnd w:id="1192"/>
    </w:p>
    <w:p>
      <w:pPr>
        <w:pStyle w:val="FirstParagraph"/>
      </w:pPr>
      <w:r>
        <w:t xml:space="preserve">Emergency access (</w:t>
      </w:r>
      <w:r>
        <w:t xml:space="preserve">“break-glass”</w:t>
      </w:r>
      <w:r>
        <w:t xml:space="preserve">) accounts are the documented exception to everything above. They restore access when normal administrator sign-in, MFA, Conditional Access or PIM fails, so they can’t depend on any of them. Book 02, Chapter 09 sets the program’s standard, and this book keeps it, with Microsoft’s current wording applied:</w:t>
      </w:r>
      <w:r>
        <w:rPr>
          <w:rStyle w:val="FootnoteReference"/>
        </w:rPr>
        <w:footnoteReference w:id="369"/>
      </w:r>
    </w:p>
    <w:p>
      <w:pPr>
        <w:pStyle w:val="Compact"/>
        <w:numPr>
          <w:ilvl w:val="0"/>
          <w:numId w:val="1023"/>
        </w:numPr>
      </w:pPr>
      <w:r>
        <w:rPr>
          <w:b/>
          <w:bCs/>
        </w:rPr>
        <w:t xml:space="preserve">Two or more</w:t>
      </w:r>
      <w:r>
        <w:t xml:space="preserve"> </w:t>
      </w:r>
      <w:r>
        <w:t xml:space="preserve">cloud-only accounts on the tenant’s</w:t>
      </w:r>
      <w:r>
        <w:t xml:space="preserve"> </w:t>
      </w:r>
      <w:r>
        <w:rPr>
          <w:rStyle w:val="VerbatimChar"/>
        </w:rPr>
        <w:t xml:space="preserve">*.onmicrosoft.com</w:t>
      </w:r>
      <w:r>
        <w:t xml:space="preserve"> </w:t>
      </w:r>
      <w:r>
        <w:t xml:space="preserve">domain, neither synchronized nor federated, and not tied to an individual or an employee’s phone.</w:t>
      </w:r>
    </w:p>
    <w:p>
      <w:pPr>
        <w:pStyle w:val="Compact"/>
        <w:numPr>
          <w:ilvl w:val="0"/>
          <w:numId w:val="1023"/>
        </w:numPr>
      </w:pPr>
      <w:r>
        <w:rPr>
          <w:b/>
          <w:bCs/>
        </w:rPr>
        <w:t xml:space="preserve">Permanent active Global Administrator</w:t>
      </w:r>
      <w:r>
        <w:t xml:space="preserve">, assigned in PIM. These and service principals that can’t perform an activation are the only standing active assignments in the tenant.</w:t>
      </w:r>
    </w:p>
    <w:p>
      <w:pPr>
        <w:pStyle w:val="Compact"/>
        <w:numPr>
          <w:ilvl w:val="0"/>
          <w:numId w:val="1023"/>
        </w:numPr>
      </w:pPr>
      <w:r>
        <w:rPr>
          <w:b/>
          <w:bCs/>
        </w:rPr>
        <w:t xml:space="preserve">Phishing-resistant authentication</w:t>
      </w:r>
      <w:r>
        <w:t xml:space="preserve">, a passkey (FIDO2) security key or certificate-based authentication, with methods different from those of the normal administrator accounts and credentials that don’t expire.</w:t>
      </w:r>
    </w:p>
    <w:p>
      <w:pPr>
        <w:pStyle w:val="Compact"/>
        <w:numPr>
          <w:ilvl w:val="0"/>
          <w:numId w:val="1023"/>
        </w:numPr>
      </w:pPr>
      <w:r>
        <w:rPr>
          <w:b/>
          <w:bCs/>
        </w:rPr>
        <w:t xml:space="preserve">Excluded from Conditional Access policies that block or restrict sign-in</w:t>
      </w:r>
      <w:r>
        <w:t xml:space="preserve">, through one dedicated exclusion group. Report-only policies need no exclusion, which is why Chapter 07’s report-only CA090 still records their sign-ins.</w:t>
      </w:r>
    </w:p>
    <w:p>
      <w:pPr>
        <w:pStyle w:val="Compact"/>
        <w:numPr>
          <w:ilvl w:val="0"/>
          <w:numId w:val="1023"/>
        </w:numPr>
      </w:pPr>
      <w:r>
        <w:rPr>
          <w:b/>
          <w:bCs/>
        </w:rPr>
        <w:t xml:space="preserve">Alerted</w:t>
      </w:r>
      <w:r>
        <w:t xml:space="preserve"> </w:t>
      </w:r>
      <w:r>
        <w:t xml:space="preserve">on every sign-in and audit event, with any use treated as an incident until a post-use review closes it.</w:t>
      </w:r>
    </w:p>
    <w:p>
      <w:pPr>
        <w:pStyle w:val="Compact"/>
        <w:numPr>
          <w:ilvl w:val="0"/>
          <w:numId w:val="1023"/>
        </w:numPr>
      </w:pPr>
      <w:r>
        <w:rPr>
          <w:b/>
          <w:bCs/>
        </w:rPr>
        <w:t xml:space="preserve">Validated</w:t>
      </w:r>
      <w:r>
        <w:t xml:space="preserve"> </w:t>
      </w:r>
      <w:r>
        <w:t xml:space="preserve">at least every 90 days, by signing in and performing an administrative task against the current Conditional Access set, from a PAW or designated secure workstation.</w:t>
      </w:r>
    </w:p>
    <w:p>
      <w:pPr>
        <w:pStyle w:val="FirstParagraph"/>
      </w:pPr>
      <w:r>
        <w:t xml:space="preserve">Two notes keep this current. Microsoft’s mandatory MFA for the Azure portal, the Microsoft Entra admin center and the Intune admin center (from October 2024), and for Azure CLI, Azure PowerShell and infrastructure-as-code operations (from October 1, 2025), applies to emergency accounts too; Microsoft enforces it only in the public Azure cloud, not in Azure for US Government or other sovereign clouds.</w:t>
      </w:r>
      <w:r>
        <w:rPr>
          <w:rStyle w:val="FootnoteReference"/>
        </w:rPr>
        <w:footnoteReference w:id="371"/>
      </w:r>
      <w:r>
        <w:t xml:space="preserve"> </w:t>
      </w:r>
      <w:r>
        <w:t xml:space="preserve">The program requires phishing-resistant MFA on these accounts in every cloud, so the difference doesn’t change the design. And the older pattern of a password in two sealed envelopes as the only credential, still described in parts of the compliance series, is superseded: a password alone can no longer sign in to the admin portals where mandatory MFA applies.</w:t>
      </w:r>
    </w:p>
    <w:p>
      <w:pPr>
        <w:pStyle w:val="BodyText"/>
      </w:pPr>
      <w:r>
        <w:t xml:space="preserve">The accounts must exist and be tested</w:t>
      </w:r>
      <w:r>
        <w:t xml:space="preserve"> </w:t>
      </w:r>
      <w:r>
        <w:rPr>
          <w:b/>
          <w:bCs/>
        </w:rPr>
        <w:t xml:space="preserve">before</w:t>
      </w:r>
      <w:r>
        <w:t xml:space="preserve"> </w:t>
      </w:r>
      <w:r>
        <w:t xml:space="preserve">any role is converted to eligible or any approval requirement is switched on. Chapter 08 explains the lockout that ordering prevents.</w:t>
      </w:r>
    </w:p>
    <w:bookmarkEnd w:id="373"/>
    <w:bookmarkStart w:id="379" w:name="X55089130338ccd5157670d09d4cf24a484aabfd"/>
    <w:p>
      <w:pPr>
        <w:pStyle w:val="Heading2"/>
      </w:pPr>
      <w:bookmarkStart w:id="1193" w:name="_Toc00001193"/>
      <w:r>
        <w:t xml:space="preserve">What the tiers answer in federal requirements</w:t>
      </w:r>
      <w:bookmarkEnd w:id="1193"/>
    </w:p>
    <w:p>
      <w:pPr>
        <w:pStyle w:val="FirstParagraph"/>
      </w:pPr>
      <w:r>
        <w:t xml:space="preserve">The tier model is the program’s answer to the least-privilege and account-management family of NIST SP 800-53 Revision 5.</w:t>
      </w:r>
      <w:r>
        <w:rPr>
          <w:rStyle w:val="FootnoteReference"/>
        </w:rPr>
        <w:footnoteReference w:id="374"/>
      </w:r>
    </w:p>
    <w:p>
      <w:pPr>
        <w:pStyle w:val="Compact"/>
        <w:numPr>
          <w:ilvl w:val="0"/>
          <w:numId w:val="1024"/>
        </w:numPr>
      </w:pPr>
      <w:r>
        <w:rPr>
          <w:b/>
          <w:bCs/>
        </w:rPr>
        <w:t xml:space="preserve">AC-6</w:t>
      </w:r>
      <w:r>
        <w:t xml:space="preserve"> </w:t>
      </w:r>
      <w:r>
        <w:t xml:space="preserve">requires least privilege: only the accesses necessary for assigned tasks. The task-to-role lookup, AU scoping and the tiers implement it.</w:t>
      </w:r>
    </w:p>
    <w:p>
      <w:pPr>
        <w:pStyle w:val="Compact"/>
        <w:numPr>
          <w:ilvl w:val="0"/>
          <w:numId w:val="1024"/>
        </w:numPr>
      </w:pPr>
      <w:r>
        <w:rPr>
          <w:b/>
          <w:bCs/>
        </w:rPr>
        <w:t xml:space="preserve">AC-6(1)</w:t>
      </w:r>
      <w:r>
        <w:t xml:space="preserve"> </w:t>
      </w:r>
      <w:r>
        <w:t xml:space="preserve">requires authorizing access to defined security functions for defined individuals or roles, and</w:t>
      </w:r>
      <w:r>
        <w:t xml:space="preserve"> </w:t>
      </w:r>
      <w:r>
        <w:rPr>
          <w:b/>
          <w:bCs/>
        </w:rPr>
        <w:t xml:space="preserve">AC-6(5)</w:t>
      </w:r>
      <w:r>
        <w:t xml:space="preserve"> </w:t>
      </w:r>
      <w:r>
        <w:t xml:space="preserve">restricts privileged accounts to defined personnel or roles. The eligible-assignment inventory of the</w:t>
      </w:r>
      <w:r>
        <w:t xml:space="preserve"> </w:t>
      </w:r>
      <w:r>
        <w:rPr>
          <w:rStyle w:val="VerbatimChar"/>
        </w:rPr>
        <w:t xml:space="preserve">PRV-*</w:t>
      </w:r>
      <w:r>
        <w:t xml:space="preserve"> </w:t>
      </w:r>
      <w:r>
        <w:t xml:space="preserve">groups is that definition, with the two standing-access exceptions listed by name.</w:t>
      </w:r>
    </w:p>
    <w:p>
      <w:pPr>
        <w:pStyle w:val="Compact"/>
        <w:numPr>
          <w:ilvl w:val="0"/>
          <w:numId w:val="1024"/>
        </w:numPr>
      </w:pPr>
      <w:r>
        <w:rPr>
          <w:b/>
          <w:bCs/>
        </w:rPr>
        <w:t xml:space="preserve">AC-6(2)</w:t>
      </w:r>
      <w:r>
        <w:t xml:space="preserve"> </w:t>
      </w:r>
      <w:r>
        <w:t xml:space="preserve">requires non-privileged accounts or roles for nonsecurity functions. Eligible-only roles and a separate administrator account make the administrator a standard user between activations.</w:t>
      </w:r>
    </w:p>
    <w:p>
      <w:pPr>
        <w:pStyle w:val="Compact"/>
        <w:numPr>
          <w:ilvl w:val="0"/>
          <w:numId w:val="1024"/>
        </w:numPr>
      </w:pPr>
      <w:r>
        <w:rPr>
          <w:b/>
          <w:bCs/>
        </w:rPr>
        <w:t xml:space="preserve">AC-6(7)</w:t>
      </w:r>
      <w:r>
        <w:t xml:space="preserve"> </w:t>
      </w:r>
      <w:r>
        <w:t xml:space="preserve">requires reviewing privileges at a defined frequency and removing them when not needed;</w:t>
      </w:r>
      <w:r>
        <w:t xml:space="preserve"> </w:t>
      </w:r>
      <w:r>
        <w:rPr>
          <w:b/>
          <w:bCs/>
        </w:rPr>
        <w:t xml:space="preserve">AC-6(9)</w:t>
      </w:r>
      <w:r>
        <w:t xml:space="preserve"> </w:t>
      </w:r>
      <w:r>
        <w:t xml:space="preserve">requires logging privileged functions;</w:t>
      </w:r>
      <w:r>
        <w:t xml:space="preserve"> </w:t>
      </w:r>
      <w:r>
        <w:rPr>
          <w:b/>
          <w:bCs/>
        </w:rPr>
        <w:t xml:space="preserve">AC-6(10)</w:t>
      </w:r>
      <w:r>
        <w:t xml:space="preserve"> </w:t>
      </w:r>
      <w:r>
        <w:t xml:space="preserve">requires preventing non-privileged users from executing them. Chapter 08 builds the reviews, logging and gate.</w:t>
      </w:r>
    </w:p>
    <w:p>
      <w:pPr>
        <w:pStyle w:val="Compact"/>
        <w:numPr>
          <w:ilvl w:val="0"/>
          <w:numId w:val="1024"/>
        </w:numPr>
      </w:pPr>
      <w:r>
        <w:rPr>
          <w:b/>
          <w:bCs/>
        </w:rPr>
        <w:t xml:space="preserve">AC-2</w:t>
      </w:r>
      <w:r>
        <w:t xml:space="preserve"> </w:t>
      </w:r>
      <w:r>
        <w:t xml:space="preserve">requires defined account types, prerequisites for role membership, approval, monitoring and periodic review, and</w:t>
      </w:r>
      <w:r>
        <w:t xml:space="preserve"> </w:t>
      </w:r>
      <w:r>
        <w:rPr>
          <w:b/>
          <w:bCs/>
        </w:rPr>
        <w:t xml:space="preserve">AC-2(1)</w:t>
      </w:r>
      <w:r>
        <w:t xml:space="preserve"> </w:t>
      </w:r>
      <w:r>
        <w:t xml:space="preserve">automated account management. Group-based assignment through approved packages and automatic PIM expiry provide both.</w:t>
      </w:r>
    </w:p>
    <w:p>
      <w:pPr>
        <w:pStyle w:val="FirstParagraph"/>
      </w:pPr>
      <w:r>
        <w:t xml:space="preserve">All of these controls are in the NIST SP 800-53B Moderate baseline, which FedRAMP Moderate builds on.</w:t>
      </w:r>
      <w:r>
        <w:rPr>
          <w:rStyle w:val="FootnoteReference"/>
        </w:rPr>
        <w:footnoteReference w:id="375"/>
      </w:r>
      <w:r>
        <w:t xml:space="preserve"> </w:t>
      </w:r>
      <w:r>
        <w:rPr>
          <w:b/>
          <w:bCs/>
        </w:rPr>
        <w:t xml:space="preserve">AC-2(7)</w:t>
      </w:r>
      <w:r>
        <w:t xml:space="preserve">, which asks for privileged accounts administered under a role-based or attribute-based scheme with monitoring and revocation, isn’t selected in the Moderate baseline; the tier model meets its intent anyway, which matters to agencies that tailor it in.</w:t>
      </w:r>
      <w:r>
        <w:rPr>
          <w:rStyle w:val="FootnoteReference"/>
        </w:rPr>
        <w:footnoteReference w:id="377"/>
      </w:r>
      <w:r>
        <w:rPr>
          <w:rStyle w:val="FootnoteReference"/>
        </w:rPr>
        <w:footnoteReference w:id="378"/>
      </w:r>
      <w:r>
        <w:t xml:space="preserve"> </w:t>
      </w:r>
      <w:r>
        <w:t xml:space="preserve">Chapter 08 carries the full control mapping for the activation gate.</w:t>
      </w:r>
    </w:p>
    <w:bookmarkEnd w:id="379"/>
    <w:bookmarkStart w:id="380" w:name="continue-the-book-3"/>
    <w:p>
      <w:pPr>
        <w:pStyle w:val="Heading2"/>
      </w:pPr>
      <w:bookmarkStart w:id="1194" w:name="_Toc00001194"/>
      <w:r>
        <w:t xml:space="preserve">Continue the book</w:t>
      </w:r>
      <w:bookmarkEnd w:id="1194"/>
    </w:p>
    <w:p>
      <w:pPr>
        <w:pStyle w:val="FirstParagraph"/>
      </w:pPr>
      <w:r>
        <w:t xml:space="preserve">← Previous: Chapter 03 — The Conditional Access Model · Book index · Next: Chapter 05 — Applications and Workload Identities →</w:t>
      </w:r>
    </w:p>
    <w:bookmarkEnd w:id="380"/>
    <w:bookmarkEnd w:id="381"/>
    <w:bookmarkStart w:id="500" w:name="Xb7d26925bdf1c1f7322b266828ea22a3d5ccd65"/>
    <w:p>
      <w:pPr>
        <w:pStyle w:val="Heading1"/>
      </w:pPr>
      <w:bookmarkStart w:id="1195" w:name="_Toc00001195"/>
      <w:r>
        <w:t xml:space="preserve">Chapter 05 — Applications and Workload Identities</w:t>
      </w:r>
      <w:bookmarkEnd w:id="1195"/>
    </w:p>
    <w:p>
      <w:pPr>
        <w:pStyle w:val="FirstParagraph"/>
      </w:pPr>
      <w:r>
        <w:rPr>
          <w:i/>
          <w:iCs/>
        </w:rPr>
        <w:t xml:space="preserve">An application is a principal like any user, except that nobody reviews its access unless someone is told to, and its credentials don’t leave when its author does.</w:t>
      </w:r>
    </w:p>
    <w:bookmarkStart w:id="382" w:name="in-this-chapter-4"/>
    <w:p>
      <w:pPr>
        <w:pStyle w:val="Heading2"/>
      </w:pPr>
      <w:bookmarkStart w:id="1196" w:name="_Toc00001196"/>
      <w:r>
        <w:t xml:space="preserve">In this chapter</w:t>
      </w:r>
      <w:bookmarkEnd w:id="1196"/>
    </w:p>
    <w:p>
      <w:pPr>
        <w:pStyle w:val="FirstParagraph"/>
      </w:pPr>
      <w:r>
        <w:t xml:space="preserve">How Entra ID represents an application (the app registration and the service principal behind each enterprise application), what delegated and application permissions grant, and how user consent, admin consent, the consent policy and permission classifications decide who can grant them. Then ownership, credentials and the order of preference among them, managed identities and workload identity federation, Conditional Access for workload identities, app instance property lock, and the governed lifecycle the program puts every app registration through.</w:t>
      </w:r>
    </w:p>
    <w:bookmarkEnd w:id="382"/>
    <w:p>
      <w:pPr>
        <w:pStyle w:val="BodyText"/>
      </w:pPr>
      <w:r>
        <w:t xml:space="preserve">Most access decisions in this book are made about people: who can sign in, from where, with what strength of authentication, and with what standing privilege. Applications get the same kind of access through a different door. An application acquires a token, presents it to an API, and acts on data, either for a signed-in user or entirely on its own. The decisions that grant that access are consent grants and app role assignments. They’re made once, often by whoever was holding an administrator role when a vendor asked for them, and they stay in force until someone removes them. A client secret pasted into a pipeline variable, a consent to</w:t>
      </w:r>
      <w:r>
        <w:t xml:space="preserve"> </w:t>
      </w:r>
      <w:r>
        <w:rPr>
          <w:rStyle w:val="VerbatimChar"/>
        </w:rPr>
        <w:t xml:space="preserve">Mail.ReadWrite</w:t>
      </w:r>
      <w:r>
        <w:t xml:space="preserve"> </w:t>
      </w:r>
      <w:r>
        <w:t xml:space="preserve">granted</w:t>
      </w:r>
      <w:r>
        <w:t xml:space="preserve"> </w:t>
      </w:r>
      <w:r>
        <w:t xml:space="preserve">“to make it work,”</w:t>
      </w:r>
      <w:r>
        <w:t xml:space="preserve"> </w:t>
      </w:r>
      <w:r>
        <w:t xml:space="preserve">and an app whose only owner left two years ago are each a standing access decision that no policy is re-evaluating.</w:t>
      </w:r>
    </w:p>
    <w:p>
      <w:pPr>
        <w:pStyle w:val="BodyText"/>
      </w:pPr>
      <w:r>
        <w:t xml:space="preserve">That’s the reason this book treats application access as policy. Conditional Access (Chapter 03) evaluates sign-ins; it says almost nothing about what an application’s consented permissions let it do once it holds a token. Privileged roles (Chapter 04) govern administrators; the roles that manage applications turn out to be some of the most powerful in the tenant. This chapter describes the objects and controls. Chapter 06 says who decides each of them, and Chapter 09 covers the reviews that keep them current.</w:t>
      </w:r>
    </w:p>
    <w:bookmarkStart w:id="386" w:name="fig-ch05-app-object-model"/>
    <w:p>
      <w:pPr>
        <w:pStyle w:val="CaptionedFigure"/>
      </w:pPr>
      <w:r>
        <w:drawing>
          <wp:inline>
            <wp:extent cx="5334000" cy="2092765"/>
            <wp:effectExtent b="0" l="0" r="0" t="0"/>
            <wp:docPr descr="An application object is the template for a service principal in each tenant that uses the app; managed identities are service principals without an application object, and governance attaches to both." title="" id="384" name="Picture"/>
            <a:graphic>
              <a:graphicData uri="http://schemas.openxmlformats.org/drawingml/2006/picture">
                <pic:pic>
                  <pic:nvPicPr>
                    <pic:cNvPr descr="/home/runner/work/modernization-workbook/modernization-workbook/docs/images/diagrams/b04-access/png/ch05-app-object-model.png" id="385" name="Picture"/>
                    <pic:cNvPicPr>
                      <a:picLocks noChangeArrowheads="1" noChangeAspect="1"/>
                    </pic:cNvPicPr>
                  </pic:nvPicPr>
                  <pic:blipFill>
                    <a:blip r:embed="rId383"/>
                    <a:stretch>
                      <a:fillRect/>
                    </a:stretch>
                  </pic:blipFill>
                  <pic:spPr bwMode="auto">
                    <a:xfrm>
                      <a:off x="0" y="0"/>
                      <a:ext cx="5334000" cy="2092765"/>
                    </a:xfrm>
                    <a:prstGeom prst="rect">
                      <a:avLst/>
                    </a:prstGeom>
                    <a:noFill/>
                    <a:ln w="9525">
                      <a:noFill/>
                      <a:headEnd/>
                      <a:tailEnd/>
                    </a:ln>
                  </pic:spPr>
                </pic:pic>
              </a:graphicData>
            </a:graphic>
          </wp:inline>
        </w:drawing>
      </w:r>
    </w:p>
    <w:p>
      <w:pPr>
        <w:pStyle w:val="ImageCaption"/>
      </w:pPr>
      <w:r>
        <w:t xml:space="preserve">An application object is the template for a service principal in each tenant that uses the app; managed identities are service principals without an application object, and governance attaches to both.</w:t>
      </w:r>
    </w:p>
    <w:bookmarkEnd w:id="386"/>
    <w:bookmarkStart w:id="398" w:name="two-objects-for-one-application"/>
    <w:p>
      <w:pPr>
        <w:pStyle w:val="Heading2"/>
      </w:pPr>
      <w:bookmarkStart w:id="1197" w:name="_Toc00001197"/>
      <w:r>
        <w:t xml:space="preserve">Two objects for one application</w:t>
      </w:r>
      <w:bookmarkEnd w:id="1197"/>
    </w:p>
    <w:p>
      <w:pPr>
        <w:pStyle w:val="FirstParagraph"/>
      </w:pPr>
      <w:r>
        <w:t xml:space="preserve">Entra ID splits every application into two directory objects, and most governance confusion comes from treating them as one.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App registration</w:t>
            </w:r>
          </w:p>
        </w:tc>
        <w:tc>
          <w:tcPr/>
          <w:p>
            <w:pPr>
              <w:pStyle w:val="Compact"/>
            </w:pPr>
            <w:r>
              <w:t xml:space="preserve">Enterprise application</w:t>
            </w:r>
          </w:p>
        </w:tc>
      </w:tr>
      <w:tr>
        <w:tc>
          <w:tcPr/>
          <w:p>
            <w:pPr>
              <w:pStyle w:val="Compact"/>
            </w:pPr>
            <w:r>
              <w:t xml:space="preserve">Directory object</w:t>
            </w:r>
          </w:p>
        </w:tc>
        <w:tc>
          <w:tcPr/>
          <w:p>
            <w:pPr>
              <w:pStyle w:val="Compact"/>
            </w:pPr>
            <w:r>
              <w:t xml:space="preserve">Application object</w:t>
            </w:r>
          </w:p>
        </w:tc>
        <w:tc>
          <w:tcPr/>
          <w:p>
            <w:pPr>
              <w:pStyle w:val="Compact"/>
            </w:pPr>
            <w:r>
              <w:t xml:space="preserve">Service principal</w:t>
            </w:r>
          </w:p>
        </w:tc>
      </w:tr>
      <w:tr>
        <w:tc>
          <w:tcPr/>
          <w:p>
            <w:pPr>
              <w:pStyle w:val="Compact"/>
            </w:pPr>
            <w:r>
              <w:t xml:space="preserve">How many</w:t>
            </w:r>
          </w:p>
        </w:tc>
        <w:tc>
          <w:tcPr/>
          <w:p>
            <w:pPr>
              <w:pStyle w:val="Compact"/>
            </w:pPr>
            <w:r>
              <w:t xml:space="preserve">Exactly one, in the app’s home tenant</w:t>
            </w:r>
          </w:p>
        </w:tc>
        <w:tc>
          <w:tcPr/>
          <w:p>
            <w:pPr>
              <w:pStyle w:val="Compact"/>
            </w:pPr>
            <w:r>
              <w:t xml:space="preserve">One in every tenant where the app is used</w:t>
            </w:r>
          </w:p>
        </w:tc>
      </w:tr>
      <w:tr>
        <w:tc>
          <w:tcPr/>
          <w:p>
            <w:pPr>
              <w:pStyle w:val="Compact"/>
            </w:pPr>
            <w:r>
              <w:t xml:space="preserve">What it defines</w:t>
            </w:r>
          </w:p>
        </w:tc>
        <w:tc>
          <w:tcPr/>
          <w:p>
            <w:pPr>
              <w:pStyle w:val="Compact"/>
            </w:pPr>
            <w:r>
              <w:t xml:space="preserve">How tokens are issued to the app, which resources it may request, and what actions it can take: redirect URIs, credentials, app roles, requested permissions</w:t>
            </w:r>
          </w:p>
        </w:tc>
        <w:tc>
          <w:tcPr/>
          <w:p>
            <w:pPr>
              <w:pStyle w:val="Compact"/>
            </w:pPr>
            <w:r>
              <w:t xml:space="preserve">What the app can actually do in this tenant: granted permissions, user and group assignments, local Conditional Access targeting, provisioning settings</w:t>
            </w:r>
          </w:p>
        </w:tc>
      </w:tr>
      <w:tr>
        <w:tc>
          <w:tcPr/>
          <w:p>
            <w:pPr>
              <w:pStyle w:val="Compact"/>
            </w:pPr>
            <w:r>
              <w:t xml:space="preserve">Where you manage it</w:t>
            </w:r>
          </w:p>
        </w:tc>
        <w:tc>
          <w:tcPr/>
          <w:p>
            <w:pPr>
              <w:pStyle w:val="Compact"/>
            </w:pPr>
            <w:r>
              <w:rPr>
                <w:b/>
                <w:bCs/>
              </w:rPr>
              <w:t xml:space="preserve">App registrations</w:t>
            </w:r>
            <w:r>
              <w:t xml:space="preserve"> </w:t>
            </w:r>
            <w:r>
              <w:t xml:space="preserve">in the Microsoft Entra admin center</w:t>
            </w:r>
          </w:p>
        </w:tc>
        <w:tc>
          <w:tcPr/>
          <w:p>
            <w:pPr>
              <w:pStyle w:val="Compact"/>
            </w:pPr>
            <w:r>
              <w:rPr>
                <w:b/>
                <w:bCs/>
              </w:rPr>
              <w:t xml:space="preserve">Enterprise applications</w:t>
            </w:r>
          </w:p>
        </w:tc>
      </w:tr>
      <w:tr>
        <w:tc>
          <w:tcPr/>
          <w:p>
            <w:pPr>
              <w:pStyle w:val="Compact"/>
            </w:pPr>
            <w:r>
              <w:t xml:space="preserve">Analogy</w:t>
            </w:r>
          </w:p>
        </w:tc>
        <w:tc>
          <w:tcPr/>
          <w:p>
            <w:pPr>
              <w:pStyle w:val="Compact"/>
            </w:pPr>
            <w:r>
              <w:t xml:space="preserve">A class</w:t>
            </w:r>
          </w:p>
        </w:tc>
        <w:tc>
          <w:tcPr/>
          <w:p>
            <w:pPr>
              <w:pStyle w:val="Compact"/>
            </w:pPr>
            <w:r>
              <w:t xml:space="preserve">An instance</w:t>
            </w:r>
          </w:p>
        </w:tc>
      </w:tr>
    </w:tbl>
    <w:p>
      <w:pPr>
        <w:pStyle w:val="BodyText"/>
      </w:pPr>
      <w:r>
        <w:t xml:space="preserve">Microsoft describes the application object as the global representation of an app, used as a template for the service principal, and the service principal as its local representation in a specific tenant.</w:t>
      </w:r>
      <w:r>
        <w:rPr>
          <w:rStyle w:val="FootnoteReference"/>
        </w:rPr>
        <w:footnoteReference w:id="387"/>
      </w:r>
      <w:r>
        <w:t xml:space="preserve"> </w:t>
      </w:r>
      <w:r>
        <w:t xml:space="preserve">Registering an app in the admin center creates both objects in the home tenant; creating an app through Microsoft Graph makes creating the service principal a separate step. A multitenant app also gets a service principal in each tenant where a user or administrator consents to it. Changes to the application object reach only the home tenant’s service principal, and deleting the application object deletes that service principal too. For an app that needs to stop working while it’s investigated, Entra ID can deactivate it instead, which stops new tokens from being issued while keeping both objects intact.</w:t>
      </w:r>
      <w:r>
        <w:rPr>
          <w:rStyle w:val="FootnoteReference"/>
        </w:rPr>
        <w:footnoteReference w:id="389"/>
      </w:r>
    </w:p>
    <w:p>
      <w:pPr>
        <w:pStyle w:val="BodyText"/>
      </w:pPr>
      <w:r>
        <w:t xml:space="preserve">There are three types of service principal.</w:t>
      </w:r>
      <w:r>
        <w:rPr>
          <w:rStyle w:val="FootnoteReference"/>
        </w:rPr>
        <w:footnoteReference w:id="390"/>
      </w:r>
    </w:p>
    <w:p>
      <w:pPr>
        <w:pStyle w:val="Compact"/>
        <w:numPr>
          <w:ilvl w:val="0"/>
          <w:numId w:val="1025"/>
        </w:numPr>
      </w:pPr>
      <w:r>
        <w:rPr>
          <w:b/>
          <w:bCs/>
        </w:rPr>
        <w:t xml:space="preserve">Application.</w:t>
      </w:r>
      <w:r>
        <w:t xml:space="preserve"> </w:t>
      </w:r>
      <w:r>
        <w:t xml:space="preserve">The instance of an application object in one tenant. This is what nearly every enterprise application is.</w:t>
      </w:r>
    </w:p>
    <w:p>
      <w:pPr>
        <w:pStyle w:val="Compact"/>
        <w:numPr>
          <w:ilvl w:val="0"/>
          <w:numId w:val="1025"/>
        </w:numPr>
      </w:pPr>
      <w:r>
        <w:rPr>
          <w:b/>
          <w:bCs/>
        </w:rPr>
        <w:t xml:space="preserve">Managed identity.</w:t>
      </w:r>
      <w:r>
        <w:t xml:space="preserve"> </w:t>
      </w:r>
      <w:r>
        <w:t xml:space="preserve">A service principal that represents an Azure managed identity. It has no application object, and it can be granted access but can’t be modified directly.</w:t>
      </w:r>
    </w:p>
    <w:p>
      <w:pPr>
        <w:pStyle w:val="Compact"/>
        <w:numPr>
          <w:ilvl w:val="0"/>
          <w:numId w:val="1025"/>
        </w:numPr>
      </w:pPr>
      <w:r>
        <w:rPr>
          <w:b/>
          <w:bCs/>
        </w:rPr>
        <w:t xml:space="preserve">Legacy.</w:t>
      </w:r>
      <w:r>
        <w:t xml:space="preserve"> </w:t>
      </w:r>
      <w:r>
        <w:t xml:space="preserve">An app created before app registrations existed, or through a legacy experience. It can carry credentials and reply URLs but has no app registration, and it works only in the tenant where it was created.</w:t>
      </w:r>
    </w:p>
    <w:p>
      <w:pPr>
        <w:pStyle w:val="FirstParagraph"/>
      </w:pPr>
      <w:r>
        <w:t xml:space="preserve">Service principals also appear without anyone registering anything. The first user who consents to a third-party app creates its service principal, and Microsoft services provision their own service principals just in time, sometimes with a directory role such as Directory Readers.</w:t>
      </w:r>
      <w:r>
        <w:rPr>
          <w:rStyle w:val="FootnoteReference"/>
        </w:rPr>
        <w:footnoteReference w:id="391"/>
      </w:r>
      <w:r>
        <w:t xml:space="preserve"> </w:t>
      </w:r>
      <w:r>
        <w:t xml:space="preserve">An inventory of enterprise applications is therefore always larger than the list of apps anyone asked for, which is why the program classifies an unclassified service principal as high risk until someone proves otherwise (Chapter 06).</w:t>
      </w:r>
    </w:p>
    <w:bookmarkStart w:id="397" w:name="who-can-create-applications"/>
    <w:p>
      <w:pPr>
        <w:pStyle w:val="Heading3"/>
      </w:pPr>
      <w:r>
        <w:t xml:space="preserve">Who can create applications</w:t>
      </w:r>
    </w:p>
    <w:p>
      <w:pPr>
        <w:pStyle w:val="FirstParagraph"/>
      </w:pPr>
      <w:r>
        <w:t xml:space="preserve">By default every member user can register applications and manage the ones they create, and can consent to apps accessing company data on their behalf. Microsoft documents how to turn both off: set</w:t>
      </w:r>
      <w:r>
        <w:t xml:space="preserve"> </w:t>
      </w:r>
      <w:r>
        <w:rPr>
          <w:b/>
          <w:bCs/>
        </w:rPr>
        <w:t xml:space="preserve">Users can register applications</w:t>
      </w:r>
      <w:r>
        <w:t xml:space="preserve"> </w:t>
      </w:r>
      <w:r>
        <w:t xml:space="preserve">to</w:t>
      </w:r>
      <w:r>
        <w:t xml:space="preserve"> </w:t>
      </w:r>
      <w:r>
        <w:rPr>
          <w:b/>
          <w:bCs/>
        </w:rPr>
        <w:t xml:space="preserve">No</w:t>
      </w:r>
      <w:r>
        <w:t xml:space="preserve">, set user consent to</w:t>
      </w:r>
      <w:r>
        <w:t xml:space="preserve"> </w:t>
      </w:r>
      <w:r>
        <w:rPr>
          <w:b/>
          <w:bCs/>
        </w:rPr>
        <w:t xml:space="preserve">Do not allow user consent</w:t>
      </w:r>
      <w:r>
        <w:t xml:space="preserve">, and give the Application Developer role to the people who should still register apps.</w:t>
      </w:r>
      <w:r>
        <w:rPr>
          <w:rStyle w:val="FootnoteReference"/>
        </w:rPr>
        <w:footnoteReference w:id="393"/>
      </w:r>
      <w:r>
        <w:t xml:space="preserve"> </w:t>
      </w:r>
      <w:r>
        <w:t xml:space="preserve">The Application Developer role can create up to 250 application objects; a custom role can lift that limit.</w:t>
      </w:r>
      <w:r>
        <w:rPr>
          <w:rStyle w:val="FootnoteReference"/>
        </w:rPr>
        <w:footnoteReference w:id="395"/>
      </w:r>
    </w:p>
    <w:p>
      <w:pPr>
        <w:pStyle w:val="BodyText"/>
      </w:pPr>
      <w:r>
        <w:t xml:space="preserve">The program sets</w:t>
      </w:r>
      <w:r>
        <w:t xml:space="preserve"> </w:t>
      </w:r>
      <w:r>
        <w:rPr>
          <w:b/>
          <w:bCs/>
        </w:rPr>
        <w:t xml:space="preserve">Users can register applications</w:t>
      </w:r>
      <w:r>
        <w:t xml:space="preserve"> </w:t>
      </w:r>
      <w:r>
        <w:t xml:space="preserve">to</w:t>
      </w:r>
      <w:r>
        <w:t xml:space="preserve"> </w:t>
      </w:r>
      <w:r>
        <w:rPr>
          <w:b/>
          <w:bCs/>
        </w:rPr>
        <w:t xml:space="preserve">No</w:t>
      </w:r>
      <w:r>
        <w:t xml:space="preserve"> </w:t>
      </w:r>
      <w:r>
        <w:t xml:space="preserve">and routes every new registration through the request in Chapter 06. Developers who build apps get Application Developer, scoped to the work, and the registrations they create still enter the governed lifecycle at the end of this chapter.</w:t>
      </w:r>
    </w:p>
    <w:bookmarkEnd w:id="397"/>
    <w:bookmarkEnd w:id="398"/>
    <w:bookmarkStart w:id="408" w:name="X459a546087259522beb72b64ef32e0de1322b87"/>
    <w:p>
      <w:pPr>
        <w:pStyle w:val="Heading2"/>
      </w:pPr>
      <w:bookmarkStart w:id="1198" w:name="_Toc00001198"/>
      <w:r>
        <w:t xml:space="preserve">Permissions: what an application can be granted</w:t>
      </w:r>
      <w:bookmarkEnd w:id="1198"/>
    </w:p>
    <w:p>
      <w:pPr>
        <w:pStyle w:val="FirstParagraph"/>
      </w:pPr>
      <w:r>
        <w:t xml:space="preserve">An application asks for access to an API as permissions, and the two kinds carry very different risk.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Delegated permission</w:t>
            </w:r>
          </w:p>
        </w:tc>
        <w:tc>
          <w:tcPr/>
          <w:p>
            <w:pPr>
              <w:pStyle w:val="Compact"/>
            </w:pPr>
            <w:r>
              <w:t xml:space="preserve">Application permission (app role)</w:t>
            </w:r>
          </w:p>
        </w:tc>
      </w:tr>
      <w:tr>
        <w:tc>
          <w:tcPr/>
          <w:p>
            <w:pPr>
              <w:pStyle w:val="Compact"/>
            </w:pPr>
            <w:r>
              <w:t xml:space="preserve">Who the app acts as</w:t>
            </w:r>
          </w:p>
        </w:tc>
        <w:tc>
          <w:tcPr/>
          <w:p>
            <w:pPr>
              <w:pStyle w:val="Compact"/>
            </w:pPr>
            <w:r>
              <w:t xml:space="preserve">A signed-in user</w:t>
            </w:r>
          </w:p>
        </w:tc>
        <w:tc>
          <w:tcPr/>
          <w:p>
            <w:pPr>
              <w:pStyle w:val="Compact"/>
            </w:pPr>
            <w:r>
              <w:t xml:space="preserve">Itself, with no user present</w:t>
            </w:r>
          </w:p>
        </w:tc>
      </w:tr>
      <w:tr>
        <w:tc>
          <w:tcPr/>
          <w:p>
            <w:pPr>
              <w:pStyle w:val="Compact"/>
            </w:pPr>
            <w:r>
              <w:t xml:space="preserve">Effective access</w:t>
            </w:r>
          </w:p>
        </w:tc>
        <w:tc>
          <w:tcPr/>
          <w:p>
            <w:pPr>
              <w:pStyle w:val="Compact"/>
            </w:pPr>
            <w:r>
              <w:t xml:space="preserve">The intersection of the user’s own rights and the granted scope</w:t>
            </w:r>
          </w:p>
        </w:tc>
        <w:tc>
          <w:tcPr/>
          <w:p>
            <w:pPr>
              <w:pStyle w:val="Compact"/>
            </w:pPr>
            <w:r>
              <w:t xml:space="preserve">Everything the scope allows, across the tenant</w:t>
            </w:r>
          </w:p>
        </w:tc>
      </w:tr>
      <w:tr>
        <w:tc>
          <w:tcPr/>
          <w:p>
            <w:pPr>
              <w:pStyle w:val="Compact"/>
            </w:pPr>
            <w:r>
              <w:t xml:space="preserve">Who can grant it</w:t>
            </w:r>
          </w:p>
        </w:tc>
        <w:tc>
          <w:tcPr/>
          <w:p>
            <w:pPr>
              <w:pStyle w:val="Compact"/>
            </w:pPr>
            <w:r>
              <w:t xml:space="preserve">The user, if the consent policy allows it for that permission; otherwise an administrator</w:t>
            </w:r>
          </w:p>
        </w:tc>
        <w:tc>
          <w:tcPr/>
          <w:p>
            <w:pPr>
              <w:pStyle w:val="Compact"/>
            </w:pPr>
            <w:r>
              <w:t xml:space="preserve">An administrator only</w:t>
            </w:r>
          </w:p>
        </w:tc>
      </w:tr>
      <w:tr>
        <w:tc>
          <w:tcPr/>
          <w:p>
            <w:pPr>
              <w:pStyle w:val="Compact"/>
            </w:pPr>
            <w:r>
              <w:t xml:space="preserve">Typical use</w:t>
            </w:r>
          </w:p>
        </w:tc>
        <w:tc>
          <w:tcPr/>
          <w:p>
            <w:pPr>
              <w:pStyle w:val="Compact"/>
            </w:pPr>
            <w:r>
              <w:t xml:space="preserve">Interactive apps, single sign-on, add-ins</w:t>
            </w:r>
          </w:p>
        </w:tc>
        <w:tc>
          <w:tcPr/>
          <w:p>
            <w:pPr>
              <w:pStyle w:val="Compact"/>
            </w:pPr>
            <w:r>
              <w:t xml:space="preserve">Daemons, integrations, connectors, background jobs</w:t>
            </w:r>
          </w:p>
        </w:tc>
      </w:tr>
    </w:tbl>
    <w:p>
      <w:pPr>
        <w:pStyle w:val="BodyText"/>
      </w:pPr>
      <w:r>
        <w:t xml:space="preserve">Microsoft’s guidance is to request the least permissive permission that works, to prefer delegated access over app-only access wherever possible, and to remove permissions the app no longer uses.</w:t>
      </w:r>
      <w:r>
        <w:rPr>
          <w:rStyle w:val="FootnoteReference"/>
        </w:rPr>
        <w:footnoteReference w:id="399"/>
      </w:r>
      <w:r>
        <w:t xml:space="preserve"> </w:t>
      </w:r>
      <w:r>
        <w:t xml:space="preserve">Removing a permission from the app registration doesn’t revoke a grant that already exists; an administrator has to revoke it on the enterprise application too.</w:t>
      </w:r>
      <w:r>
        <w:rPr>
          <w:rStyle w:val="FootnoteReference"/>
        </w:rPr>
        <w:footnoteReference w:id="401"/>
      </w:r>
    </w:p>
    <w:p>
      <w:pPr>
        <w:pStyle w:val="BodyText"/>
      </w:pPr>
      <w:r>
        <w:t xml:space="preserve">The program assigns every commonly requested Microsoft Graph permission a risk level, and that level sets who approves it (Chapter 06). The table is the program’s classification, used in security review; it isn’t a Microsoft rating.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Permission</w:t>
            </w:r>
          </w:p>
        </w:tc>
        <w:tc>
          <w:tcPr/>
          <w:p>
            <w:pPr>
              <w:pStyle w:val="Compact"/>
            </w:pPr>
            <w:r>
              <w:t xml:space="preserve">Type</w:t>
            </w:r>
          </w:p>
        </w:tc>
        <w:tc>
          <w:tcPr/>
          <w:p>
            <w:pPr>
              <w:pStyle w:val="Compact"/>
            </w:pPr>
            <w:r>
              <w:t xml:space="preserve">Program risk level</w:t>
            </w:r>
          </w:p>
        </w:tc>
        <w:tc>
          <w:tcPr/>
          <w:p>
            <w:pPr>
              <w:pStyle w:val="Compact"/>
            </w:pPr>
            <w:r>
              <w:t xml:space="preserve">What it allows</w:t>
            </w:r>
          </w:p>
        </w:tc>
      </w:tr>
      <w:tr>
        <w:tc>
          <w:tcPr/>
          <w:p>
            <w:pPr>
              <w:pStyle w:val="Compact"/>
            </w:pPr>
            <w:r>
              <w:rPr>
                <w:rStyle w:val="VerbatimChar"/>
              </w:rPr>
              <w:t xml:space="preserve">Mail.ReadWrite</w:t>
            </w:r>
            <w:r>
              <w:t xml:space="preserve">,</w:t>
            </w:r>
            <w:r>
              <w:t xml:space="preserve"> </w:t>
            </w:r>
            <w:r>
              <w:rPr>
                <w:rStyle w:val="VerbatimChar"/>
              </w:rPr>
              <w:t xml:space="preserve">Mail.Send</w:t>
            </w:r>
          </w:p>
        </w:tc>
        <w:tc>
          <w:tcPr/>
          <w:p>
            <w:pPr>
              <w:pStyle w:val="Compact"/>
            </w:pPr>
            <w:r>
              <w:t xml:space="preserve">Application</w:t>
            </w:r>
          </w:p>
        </w:tc>
        <w:tc>
          <w:tcPr/>
          <w:p>
            <w:pPr>
              <w:pStyle w:val="Compact"/>
            </w:pPr>
            <w:r>
              <w:t xml:space="preserve">Critical</w:t>
            </w:r>
          </w:p>
        </w:tc>
        <w:tc>
          <w:tcPr/>
          <w:p>
            <w:pPr>
              <w:pStyle w:val="Compact"/>
            </w:pPr>
            <w:r>
              <w:t xml:space="preserve">Read and write mail in every mailbox, or send mail as any user</w:t>
            </w:r>
          </w:p>
        </w:tc>
      </w:tr>
      <w:tr>
        <w:tc>
          <w:tcPr/>
          <w:p>
            <w:pPr>
              <w:pStyle w:val="Compact"/>
            </w:pPr>
            <w:r>
              <w:rPr>
                <w:rStyle w:val="VerbatimChar"/>
              </w:rPr>
              <w:t xml:space="preserve">Files.ReadWrite.All</w:t>
            </w:r>
          </w:p>
        </w:tc>
        <w:tc>
          <w:tcPr/>
          <w:p>
            <w:pPr>
              <w:pStyle w:val="Compact"/>
            </w:pPr>
            <w:r>
              <w:t xml:space="preserve">Application</w:t>
            </w:r>
          </w:p>
        </w:tc>
        <w:tc>
          <w:tcPr/>
          <w:p>
            <w:pPr>
              <w:pStyle w:val="Compact"/>
            </w:pPr>
            <w:r>
              <w:t xml:space="preserve">Critical</w:t>
            </w:r>
          </w:p>
        </w:tc>
        <w:tc>
          <w:tcPr/>
          <w:p>
            <w:pPr>
              <w:pStyle w:val="Compact"/>
            </w:pPr>
            <w:r>
              <w:t xml:space="preserve">Read and write every OneDrive and SharePoint file</w:t>
            </w:r>
          </w:p>
        </w:tc>
      </w:tr>
      <w:tr>
        <w:tc>
          <w:tcPr/>
          <w:p>
            <w:pPr>
              <w:pStyle w:val="Compact"/>
            </w:pPr>
            <w:r>
              <w:rPr>
                <w:rStyle w:val="VerbatimChar"/>
              </w:rPr>
              <w:t xml:space="preserve">User.ReadWrite.All</w:t>
            </w:r>
            <w:r>
              <w:t xml:space="preserve">,</w:t>
            </w:r>
            <w:r>
              <w:t xml:space="preserve"> </w:t>
            </w:r>
            <w:r>
              <w:rPr>
                <w:rStyle w:val="VerbatimChar"/>
              </w:rPr>
              <w:t xml:space="preserve">Directory.ReadWrite.All</w:t>
            </w:r>
          </w:p>
        </w:tc>
        <w:tc>
          <w:tcPr/>
          <w:p>
            <w:pPr>
              <w:pStyle w:val="Compact"/>
            </w:pPr>
            <w:r>
              <w:t xml:space="preserve">Application</w:t>
            </w:r>
          </w:p>
        </w:tc>
        <w:tc>
          <w:tcPr/>
          <w:p>
            <w:pPr>
              <w:pStyle w:val="Compact"/>
            </w:pPr>
            <w:r>
              <w:t xml:space="preserve">Critical</w:t>
            </w:r>
          </w:p>
        </w:tc>
        <w:tc>
          <w:tcPr/>
          <w:p>
            <w:pPr>
              <w:pStyle w:val="Compact"/>
            </w:pPr>
            <w:r>
              <w:t xml:space="preserve">Change any user or directory object</w:t>
            </w:r>
          </w:p>
        </w:tc>
      </w:tr>
      <w:tr>
        <w:tc>
          <w:tcPr/>
          <w:p>
            <w:pPr>
              <w:pStyle w:val="Compact"/>
            </w:pPr>
            <w:r>
              <w:rPr>
                <w:rStyle w:val="VerbatimChar"/>
              </w:rPr>
              <w:t xml:space="preserve">RoleManagement.ReadWrite.Directory</w:t>
            </w:r>
          </w:p>
        </w:tc>
        <w:tc>
          <w:tcPr/>
          <w:p>
            <w:pPr>
              <w:pStyle w:val="Compact"/>
            </w:pPr>
            <w:r>
              <w:t xml:space="preserve">Application</w:t>
            </w:r>
          </w:p>
        </w:tc>
        <w:tc>
          <w:tcPr/>
          <w:p>
            <w:pPr>
              <w:pStyle w:val="Compact"/>
            </w:pPr>
            <w:r>
              <w:t xml:space="preserve">Critical</w:t>
            </w:r>
          </w:p>
        </w:tc>
        <w:tc>
          <w:tcPr/>
          <w:p>
            <w:pPr>
              <w:pStyle w:val="Compact"/>
            </w:pPr>
            <w:r>
              <w:t xml:space="preserve">Read and write role assignments, including assigning admin roles</w:t>
            </w:r>
          </w:p>
        </w:tc>
      </w:tr>
      <w:tr>
        <w:tc>
          <w:tcPr/>
          <w:p>
            <w:pPr>
              <w:pStyle w:val="Compact"/>
            </w:pPr>
            <w:r>
              <w:rPr>
                <w:rStyle w:val="VerbatimChar"/>
              </w:rPr>
              <w:t xml:space="preserve">User.Read.All</w:t>
            </w:r>
            <w:r>
              <w:t xml:space="preserve">,</w:t>
            </w:r>
            <w:r>
              <w:t xml:space="preserve"> </w:t>
            </w:r>
            <w:r>
              <w:rPr>
                <w:rStyle w:val="VerbatimChar"/>
              </w:rPr>
              <w:t xml:space="preserve">Group.ReadWrite.All</w:t>
            </w:r>
            <w:r>
              <w:t xml:space="preserve">,</w:t>
            </w:r>
            <w:r>
              <w:t xml:space="preserve"> </w:t>
            </w:r>
            <w:r>
              <w:rPr>
                <w:rStyle w:val="VerbatimChar"/>
              </w:rPr>
              <w:t xml:space="preserve">Calendars.ReadWrite</w:t>
            </w:r>
            <w:r>
              <w:t xml:space="preserve">,</w:t>
            </w:r>
            <w:r>
              <w:t xml:space="preserve"> </w:t>
            </w:r>
            <w:r>
              <w:rPr>
                <w:rStyle w:val="VerbatimChar"/>
              </w:rPr>
              <w:t xml:space="preserve">Mail.Read</w:t>
            </w:r>
          </w:p>
        </w:tc>
        <w:tc>
          <w:tcPr/>
          <w:p>
            <w:pPr>
              <w:pStyle w:val="Compact"/>
            </w:pPr>
            <w:r>
              <w:t xml:space="preserve">Application</w:t>
            </w:r>
          </w:p>
        </w:tc>
        <w:tc>
          <w:tcPr/>
          <w:p>
            <w:pPr>
              <w:pStyle w:val="Compact"/>
            </w:pPr>
            <w:r>
              <w:t xml:space="preserve">High</w:t>
            </w:r>
          </w:p>
        </w:tc>
        <w:tc>
          <w:tcPr/>
          <w:p>
            <w:pPr>
              <w:pStyle w:val="Compact"/>
            </w:pPr>
            <w:r>
              <w:t xml:space="preserve">Read every profile, change any group’s membership, write every calendar, or read every mailbox</w:t>
            </w:r>
          </w:p>
        </w:tc>
      </w:tr>
      <w:tr>
        <w:tc>
          <w:tcPr/>
          <w:p>
            <w:pPr>
              <w:pStyle w:val="Compact"/>
            </w:pPr>
            <w:r>
              <w:rPr>
                <w:rStyle w:val="VerbatimChar"/>
              </w:rPr>
              <w:t xml:space="preserve">Mail.ReadWrite</w:t>
            </w:r>
            <w:r>
              <w:t xml:space="preserve">,</w:t>
            </w:r>
            <w:r>
              <w:t xml:space="preserve"> </w:t>
            </w:r>
            <w:r>
              <w:rPr>
                <w:rStyle w:val="VerbatimChar"/>
              </w:rPr>
              <w:t xml:space="preserve">Files.ReadWrite</w:t>
            </w:r>
            <w:r>
              <w:t xml:space="preserve">,</w:t>
            </w:r>
            <w:r>
              <w:t xml:space="preserve"> </w:t>
            </w:r>
            <w:r>
              <w:rPr>
                <w:rStyle w:val="VerbatimChar"/>
              </w:rPr>
              <w:t xml:space="preserve">Calendars.ReadWrite</w:t>
            </w:r>
          </w:p>
        </w:tc>
        <w:tc>
          <w:tcPr/>
          <w:p>
            <w:pPr>
              <w:pStyle w:val="Compact"/>
            </w:pPr>
            <w:r>
              <w:t xml:space="preserve">Delegated</w:t>
            </w:r>
          </w:p>
        </w:tc>
        <w:tc>
          <w:tcPr/>
          <w:p>
            <w:pPr>
              <w:pStyle w:val="Compact"/>
            </w:pPr>
            <w:r>
              <w:t xml:space="preserve">Moderate</w:t>
            </w:r>
          </w:p>
        </w:tc>
        <w:tc>
          <w:tcPr/>
          <w:p>
            <w:pPr>
              <w:pStyle w:val="Compact"/>
            </w:pPr>
            <w:r>
              <w:t xml:space="preserve">Read and write the signed-in user’s mail, files or calendar</w:t>
            </w:r>
          </w:p>
        </w:tc>
      </w:tr>
      <w:tr>
        <w:tc>
          <w:tcPr/>
          <w:p>
            <w:pPr>
              <w:pStyle w:val="Compact"/>
            </w:pPr>
            <w:r>
              <w:rPr>
                <w:rStyle w:val="VerbatimChar"/>
              </w:rPr>
              <w:t xml:space="preserve">User.Read</w:t>
            </w:r>
            <w:r>
              <w:t xml:space="preserve">,</w:t>
            </w:r>
            <w:r>
              <w:t xml:space="preserve"> </w:t>
            </w:r>
            <w:r>
              <w:rPr>
                <w:rStyle w:val="VerbatimChar"/>
              </w:rPr>
              <w:t xml:space="preserve">openid</w:t>
            </w:r>
            <w:r>
              <w:t xml:space="preserve">,</w:t>
            </w:r>
            <w:r>
              <w:t xml:space="preserve"> </w:t>
            </w:r>
            <w:r>
              <w:rPr>
                <w:rStyle w:val="VerbatimChar"/>
              </w:rPr>
              <w:t xml:space="preserve">profile</w:t>
            </w:r>
            <w:r>
              <w:t xml:space="preserve">,</w:t>
            </w:r>
            <w:r>
              <w:t xml:space="preserve"> </w:t>
            </w:r>
            <w:r>
              <w:rPr>
                <w:rStyle w:val="VerbatimChar"/>
              </w:rPr>
              <w:t xml:space="preserve">email</w:t>
            </w:r>
            <w:r>
              <w:t xml:space="preserve">,</w:t>
            </w:r>
            <w:r>
              <w:t xml:space="preserve"> </w:t>
            </w:r>
            <w:r>
              <w:rPr>
                <w:rStyle w:val="VerbatimChar"/>
              </w:rPr>
              <w:t xml:space="preserve">offline_access</w:t>
            </w:r>
          </w:p>
        </w:tc>
        <w:tc>
          <w:tcPr/>
          <w:p>
            <w:pPr>
              <w:pStyle w:val="Compact"/>
            </w:pPr>
            <w:r>
              <w:t xml:space="preserve">Delegated</w:t>
            </w:r>
          </w:p>
        </w:tc>
        <w:tc>
          <w:tcPr/>
          <w:p>
            <w:pPr>
              <w:pStyle w:val="Compact"/>
            </w:pPr>
            <w:r>
              <w:t xml:space="preserve">Low</w:t>
            </w:r>
          </w:p>
        </w:tc>
        <w:tc>
          <w:tcPr/>
          <w:p>
            <w:pPr>
              <w:pStyle w:val="Compact"/>
            </w:pPr>
            <w:r>
              <w:t xml:space="preserve">Sign the user in and read their basic profile</w:t>
            </w:r>
          </w:p>
        </w:tc>
      </w:tr>
    </w:tbl>
    <w:p>
      <w:pPr>
        <w:pStyle w:val="BodyText"/>
      </w:pPr>
      <w:r>
        <w:t xml:space="preserve">Application permission names don’t reliably end in</w:t>
      </w:r>
      <w:r>
        <w:t xml:space="preserve"> </w:t>
      </w:r>
      <w:r>
        <w:rPr>
          <w:rStyle w:val="VerbatimChar"/>
        </w:rPr>
        <w:t xml:space="preserve">.All</w:t>
      </w:r>
      <w:r>
        <w:t xml:space="preserve">: the application permission that reads and writes mail in all mailboxes is</w:t>
      </w:r>
      <w:r>
        <w:t xml:space="preserve"> </w:t>
      </w:r>
      <w:r>
        <w:rPr>
          <w:rStyle w:val="VerbatimChar"/>
        </w:rPr>
        <w:t xml:space="preserve">Mail.ReadWrite</w:t>
      </w:r>
      <w:r>
        <w:t xml:space="preserve">, and the one that sends mail as any user is</w:t>
      </w:r>
      <w:r>
        <w:t xml:space="preserve"> </w:t>
      </w:r>
      <w:r>
        <w:rPr>
          <w:rStyle w:val="VerbatimChar"/>
        </w:rPr>
        <w:t xml:space="preserve">Mail.Send</w:t>
      </w:r>
      <w:r>
        <w:t xml:space="preserve">, the same names as their delegated counterparts.</w:t>
      </w:r>
      <w:r>
        <w:rPr>
          <w:rStyle w:val="FootnoteReference"/>
        </w:rPr>
        <w:footnoteReference w:id="403"/>
      </w:r>
      <w:r>
        <w:t xml:space="preserve"> </w:t>
      </w:r>
      <w:r>
        <w:t xml:space="preserve">Review the permission type, not the suffix. For mail, Exchange Online can narrow an app with those permissions to specific mailboxes through an application access policy, which the program requires for any mail application permission it approves.</w:t>
      </w:r>
      <w:r>
        <w:rPr>
          <w:rStyle w:val="FootnoteReference"/>
        </w:rPr>
        <w:footnoteReference w:id="405"/>
      </w:r>
    </w:p>
    <w:p>
      <w:pPr>
        <w:pStyle w:val="BodyText"/>
      </w:pPr>
      <w:r>
        <w:t xml:space="preserve">The low row is deliberately the minimum for sign-in: Microsoft lists</w:t>
      </w:r>
      <w:r>
        <w:t xml:space="preserve"> </w:t>
      </w:r>
      <w:r>
        <w:rPr>
          <w:rStyle w:val="VerbatimChar"/>
        </w:rPr>
        <w:t xml:space="preserve">openid</w:t>
      </w:r>
      <w:r>
        <w:t xml:space="preserve">,</w:t>
      </w:r>
      <w:r>
        <w:t xml:space="preserve"> </w:t>
      </w:r>
      <w:r>
        <w:rPr>
          <w:rStyle w:val="VerbatimChar"/>
        </w:rPr>
        <w:t xml:space="preserve">profile</w:t>
      </w:r>
      <w:r>
        <w:t xml:space="preserve">,</w:t>
      </w:r>
      <w:r>
        <w:t xml:space="preserve"> </w:t>
      </w:r>
      <w:r>
        <w:rPr>
          <w:rStyle w:val="VerbatimChar"/>
        </w:rPr>
        <w:t xml:space="preserve">email</w:t>
      </w:r>
      <w:r>
        <w:t xml:space="preserve"> </w:t>
      </w:r>
      <w:r>
        <w:t xml:space="preserve">and</w:t>
      </w:r>
      <w:r>
        <w:t xml:space="preserve"> </w:t>
      </w:r>
      <w:r>
        <w:rPr>
          <w:rStyle w:val="VerbatimChar"/>
        </w:rPr>
        <w:t xml:space="preserve">offline_access</w:t>
      </w:r>
      <w:r>
        <w:t xml:space="preserve"> </w:t>
      </w:r>
      <w:r>
        <w:t xml:space="preserve">as the delegated Graph permissions needed for basic sign-in, which also let an app keep access while the user isn’t using it.</w:t>
      </w:r>
      <w:r>
        <w:rPr>
          <w:rStyle w:val="FootnoteReference"/>
        </w:rPr>
        <w:footnoteReference w:id="406"/>
      </w:r>
    </w:p>
    <w:bookmarkEnd w:id="408"/>
    <w:bookmarkStart w:id="439" w:name="consent"/>
    <w:p>
      <w:pPr>
        <w:pStyle w:val="Heading2"/>
      </w:pPr>
      <w:bookmarkStart w:id="1199" w:name="_Toc00001199"/>
      <w:r>
        <w:t xml:space="preserve">Consent</w:t>
      </w:r>
      <w:bookmarkEnd w:id="1199"/>
    </w:p>
    <w:p>
      <w:pPr>
        <w:pStyle w:val="FirstParagraph"/>
      </w:pPr>
      <w:r>
        <w:t xml:space="preserve">Consent is the act that turns a requested permission into a granted one. Microsoft defines it as the process where users grant an application permission to access a protected resource, and splits it into user consent (delegated permissions, for the user’s own data) and admin consent (on behalf of the organization, and the only route to application permissions).</w:t>
      </w:r>
      <w:r>
        <w:rPr>
          <w:rStyle w:val="FootnoteReference"/>
        </w:rPr>
        <w:footnoteReference w:id="409"/>
      </w:r>
    </w:p>
    <w:bookmarkStart w:id="420" w:name="user-consent-and-the-consent-policy"/>
    <w:p>
      <w:pPr>
        <w:pStyle w:val="Heading3"/>
      </w:pPr>
      <w:r>
        <w:t xml:space="preserve">User consent and the consent policy</w:t>
      </w:r>
    </w:p>
    <w:p>
      <w:pPr>
        <w:pStyle w:val="FirstParagraph"/>
      </w:pPr>
      <w:r>
        <w:t xml:space="preserve">User consent settings apply to every user in the tenant and offer three built-in choices:</w:t>
      </w:r>
      <w:r>
        <w:rPr>
          <w:rStyle w:val="FootnoteReference"/>
        </w:rPr>
        <w:footnoteReference w:id="411"/>
      </w:r>
    </w:p>
    <w:p>
      <w:pPr>
        <w:pStyle w:val="Compact"/>
        <w:numPr>
          <w:ilvl w:val="0"/>
          <w:numId w:val="1026"/>
        </w:numPr>
      </w:pPr>
      <w:r>
        <w:rPr>
          <w:b/>
          <w:bCs/>
        </w:rPr>
        <w:t xml:space="preserve">Do not allow user consent.</w:t>
      </w:r>
      <w:r>
        <w:t xml:space="preserve"> </w:t>
      </w:r>
      <w:r>
        <w:t xml:space="preserve">Users keep using apps they already consented to, and apps an administrator consented to for them, but can’t grant new permissions.</w:t>
      </w:r>
    </w:p>
    <w:p>
      <w:pPr>
        <w:pStyle w:val="Compact"/>
        <w:numPr>
          <w:ilvl w:val="0"/>
          <w:numId w:val="1026"/>
        </w:numPr>
      </w:pPr>
      <w:r>
        <w:rPr>
          <w:b/>
          <w:bCs/>
        </w:rPr>
        <w:t xml:space="preserve">Allow user consent for apps from verified publishers or apps registered in your organization, for permissions you select.</w:t>
      </w:r>
      <w:r>
        <w:t xml:space="preserve"> </w:t>
      </w:r>
      <w:r>
        <w:t xml:space="preserve">Users can consent only to permissions classified as low impact, and only for those apps. The policy behind this option is</w:t>
      </w:r>
      <w:r>
        <w:t xml:space="preserve"> </w:t>
      </w:r>
      <w:r>
        <w:rPr>
          <w:rStyle w:val="VerbatimChar"/>
        </w:rPr>
        <w:t xml:space="preserve">microsoft-user-default-low</w:t>
      </w:r>
      <w:r>
        <w:t xml:space="preserve">.</w:t>
      </w:r>
      <w:r>
        <w:rPr>
          <w:rStyle w:val="FootnoteReference"/>
        </w:rPr>
        <w:footnoteReference w:id="412"/>
      </w:r>
    </w:p>
    <w:p>
      <w:pPr>
        <w:pStyle w:val="Compact"/>
        <w:numPr>
          <w:ilvl w:val="0"/>
          <w:numId w:val="1026"/>
        </w:numPr>
      </w:pPr>
      <w:r>
        <w:rPr>
          <w:b/>
          <w:bCs/>
        </w:rPr>
        <w:t xml:space="preserve">Allow user consent for apps.</w:t>
      </w:r>
      <w:r>
        <w:t xml:space="preserve"> </w:t>
      </w:r>
      <w:r>
        <w:t xml:space="preserve">Any user can consent to any permission that doesn’t need admin consent, for any app (</w:t>
      </w:r>
      <w:r>
        <w:rPr>
          <w:rStyle w:val="VerbatimChar"/>
        </w:rPr>
        <w:t xml:space="preserve">microsoft-user-default-legacy</w:t>
      </w:r>
      <w:r>
        <w:t xml:space="preserve">).</w:t>
      </w:r>
      <w:r>
        <w:rPr>
          <w:rStyle w:val="FootnoteReference"/>
        </w:rPr>
        <w:footnoteReference w:id="414"/>
      </w:r>
    </w:p>
    <w:p>
      <w:pPr>
        <w:pStyle w:val="FirstParagraph"/>
      </w:pPr>
      <w:r>
        <w:t xml:space="preserve">Microsoft says that by default all users can consent to permissions that don’t require administrator consent, and recommends allowing user consent only for apps from verified publishers.</w:t>
      </w:r>
      <w:r>
        <w:rPr>
          <w:rStyle w:val="FootnoteReference"/>
        </w:rPr>
        <w:footnoteReference w:id="415"/>
      </w:r>
      <w:r>
        <w:t xml:space="preserve"> </w:t>
      </w:r>
      <w:r>
        <w:t xml:space="preserve">Changing the setting affects only future consent; existing grants stay until they’re revoked. Configuring it takes Privileged Role Administrator through Microsoft Graph, or Global Administrator in the admin center.</w:t>
      </w:r>
      <w:r>
        <w:rPr>
          <w:rStyle w:val="FootnoteReference"/>
        </w:rPr>
        <w:footnoteReference w:id="416"/>
      </w:r>
    </w:p>
    <w:p>
      <w:pPr>
        <w:pStyle w:val="BodyText"/>
      </w:pPr>
      <w:r>
        <w:t xml:space="preserve">Every tenant also has built-in app consent policies that can’t be edited. Two of them,</w:t>
      </w:r>
      <w:r>
        <w:t xml:space="preserve"> </w:t>
      </w:r>
      <w:r>
        <w:rPr>
          <w:rStyle w:val="VerbatimChar"/>
        </w:rPr>
        <w:t xml:space="preserve">microsoft-user-default-recommended</w:t>
      </w:r>
      <w:r>
        <w:t xml:space="preserve"> </w:t>
      </w:r>
      <w:r>
        <w:t xml:space="preserve">and</w:t>
      </w:r>
      <w:r>
        <w:t xml:space="preserve"> </w:t>
      </w:r>
      <w:r>
        <w:rPr>
          <w:rStyle w:val="VerbatimChar"/>
        </w:rPr>
        <w:t xml:space="preserve">microsoft-user-default-allow-consent-apps</w:t>
      </w:r>
      <w:r>
        <w:t xml:space="preserve">, are Microsoft-managed: Microsoft updates their conditions as its recommendations change. Organizations that need finer control can write custom app consent policies.</w:t>
      </w:r>
      <w:r>
        <w:rPr>
          <w:rStyle w:val="FootnoteReference"/>
        </w:rPr>
        <w:footnoteReference w:id="417"/>
      </w:r>
    </w:p>
    <w:p>
      <w:pPr>
        <w:pStyle w:val="BodyText"/>
      </w:pPr>
      <w:r>
        <w:t xml:space="preserve">The program’s setting is the middle option: user consent only for verified-publisher and in-tenant apps, only for permissions classified as low. Everything else goes to the admin consent workflow. One interaction makes this safer than it looks: an app configured to require user assignment always needs admin consent, even when the user consent policy would otherwise allow a user to consent for themselves.</w:t>
      </w:r>
      <w:r>
        <w:rPr>
          <w:rStyle w:val="FootnoteReference"/>
        </w:rPr>
        <w:footnoteReference w:id="419"/>
      </w:r>
      <w:r>
        <w:t xml:space="preserve"> </w:t>
      </w:r>
      <w:r>
        <w:t xml:space="preserve">The program requires assignment on every enterprise application (Chapter 06), so user consent in practice covers only a narrow set of sign-in permissions.</w:t>
      </w:r>
    </w:p>
    <w:bookmarkEnd w:id="420"/>
    <w:bookmarkStart w:id="422" w:name="permission-classifications"/>
    <w:p>
      <w:pPr>
        <w:pStyle w:val="Heading3"/>
      </w:pPr>
      <w:r>
        <w:t xml:space="preserve">Permission classifications</w:t>
      </w:r>
    </w:p>
    <w:p>
      <w:pPr>
        <w:pStyle w:val="FirstParagraph"/>
      </w:pPr>
      <w:r>
        <w:t xml:space="preserve">Permission classifications are how a tenant tells the consent policy which permissions are low impact. Entra ID supports Low, plus Medium and High in preview, and only delegated permissions that don’t already require admin consent can be classified. Classifying takes Application Administrator or Cloud Application Administrator.</w:t>
      </w:r>
      <w:r>
        <w:rPr>
          <w:rStyle w:val="FootnoteReference"/>
        </w:rPr>
        <w:footnoteReference w:id="421"/>
      </w:r>
      <w:r>
        <w:t xml:space="preserve"> </w:t>
      </w:r>
      <w:r>
        <w:t xml:space="preserve">The program classifies exactly the low row of the table above as Low and leaves everything else unclassified, which keeps it out of user consent.</w:t>
      </w:r>
    </w:p>
    <w:bookmarkEnd w:id="422"/>
    <w:bookmarkStart w:id="434" w:name="admin-consent"/>
    <w:p>
      <w:pPr>
        <w:pStyle w:val="Heading3"/>
      </w:pPr>
      <w:r>
        <w:t xml:space="preserve">Admin consent</w:t>
      </w:r>
    </w:p>
    <w:p>
      <w:pPr>
        <w:pStyle w:val="FirstParagraph"/>
      </w:pPr>
      <w:r>
        <w:t xml:space="preserve">Admin consent grants an app access for the whole organization, and for application permissions it’s the only route. Microsoft calls it a sensitive operation that can give an app’s publisher access to significant portions of an organization’s data, or to highly privileged operations such as role management, all mailboxes or full user impersonation, and tells administrators not to grant it unless they understand who controls the app and why it needs the permissions.</w:t>
      </w:r>
      <w:r>
        <w:rPr>
          <w:rStyle w:val="FootnoteReference"/>
        </w:rPr>
        <w:footnoteReference w:id="423"/>
      </w:r>
    </w:p>
    <w:p>
      <w:pPr>
        <w:pStyle w:val="BodyText"/>
      </w:pPr>
      <w:r>
        <w:t xml:space="preserve">Which role can grant it depends on what’s being granted:</w:t>
      </w:r>
      <w:r>
        <w:rPr>
          <w:rStyle w:val="FootnoteReference"/>
        </w:rPr>
        <w:footnoteReference w:id="424"/>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Can grant admin consent for</w:t>
            </w:r>
          </w:p>
        </w:tc>
      </w:tr>
      <w:tr>
        <w:tc>
          <w:tcPr/>
          <w:p>
            <w:pPr>
              <w:pStyle w:val="Compact"/>
            </w:pPr>
            <w:r>
              <w:t xml:space="preserve">Privileged Role Administrator</w:t>
            </w:r>
          </w:p>
        </w:tc>
        <w:tc>
          <w:tcPr/>
          <w:p>
            <w:pPr>
              <w:pStyle w:val="Compact"/>
            </w:pPr>
            <w:r>
              <w:t xml:space="preserve">Any permission, for any API</w:t>
            </w:r>
          </w:p>
        </w:tc>
      </w:tr>
      <w:tr>
        <w:tc>
          <w:tcPr/>
          <w:p>
            <w:pPr>
              <w:pStyle w:val="Compact"/>
            </w:pPr>
            <w:r>
              <w:t xml:space="preserve">Cloud Application Administrator, Application Administrator, AI Administrator</w:t>
            </w:r>
          </w:p>
        </w:tc>
        <w:tc>
          <w:tcPr/>
          <w:p>
            <w:pPr>
              <w:pStyle w:val="Compact"/>
            </w:pPr>
            <w:r>
              <w:t xml:space="preserve">Any permission for any API, except Microsoft Graph app roles (application permissions)</w:t>
            </w:r>
          </w:p>
        </w:tc>
      </w:tr>
      <w:tr>
        <w:tc>
          <w:tcPr/>
          <w:p>
            <w:pPr>
              <w:pStyle w:val="Compact"/>
            </w:pPr>
            <w:r>
              <w:t xml:space="preserve">Custom role with the permission to grant permissions to applications</w:t>
            </w:r>
          </w:p>
        </w:tc>
        <w:tc>
          <w:tcPr/>
          <w:p>
            <w:pPr>
              <w:pStyle w:val="Compact"/>
            </w:pPr>
            <w:r>
              <w:t xml:space="preserve">The permissions the custom role allows</w:t>
            </w:r>
          </w:p>
        </w:tc>
      </w:tr>
    </w:tbl>
    <w:p>
      <w:pPr>
        <w:pStyle w:val="BodyText"/>
      </w:pPr>
      <w:r>
        <w:t xml:space="preserve">The exception is narrower than it sounds. Application Administrator and Cloud Application Administrator can still consent to application permissions for every API other than Microsoft Graph and Azure AD Graph, including other Microsoft APIs and third-party APIs.</w:t>
      </w:r>
      <w:r>
        <w:rPr>
          <w:rStyle w:val="FootnoteReference"/>
        </w:rPr>
        <w:footnoteReference w:id="425"/>
      </w:r>
      <w:r>
        <w:t xml:space="preserve"> </w:t>
      </w:r>
      <w:r>
        <w:t xml:space="preserve">Chapter 06 explains why this matters for help desk role design.</w:t>
      </w:r>
    </w:p>
    <w:p>
      <w:pPr>
        <w:pStyle w:val="BodyText"/>
      </w:pPr>
      <w:r>
        <w:t xml:space="preserve">Four behaviors of consent grants shape the governance around them:</w:t>
      </w:r>
    </w:p>
    <w:p>
      <w:pPr>
        <w:pStyle w:val="Compact"/>
        <w:numPr>
          <w:ilvl w:val="0"/>
          <w:numId w:val="1027"/>
        </w:numPr>
      </w:pPr>
      <w:r>
        <w:rPr>
          <w:b/>
          <w:bCs/>
        </w:rPr>
        <w:t xml:space="preserve">Grants don’t expire.</w:t>
      </w:r>
      <w:r>
        <w:t xml:space="preserve"> </w:t>
      </w:r>
      <w:r>
        <w:t xml:space="preserve">A delegated permission grant carries start and end times, but Microsoft Graph ignores both today.</w:t>
      </w:r>
      <w:r>
        <w:rPr>
          <w:rStyle w:val="FootnoteReference"/>
        </w:rPr>
        <w:footnoteReference w:id="426"/>
      </w:r>
      <w:r>
        <w:t xml:space="preserve"> </w:t>
      </w:r>
      <w:r>
        <w:t xml:space="preserve">A grant stays until someone deletes it.</w:t>
      </w:r>
    </w:p>
    <w:p>
      <w:pPr>
        <w:pStyle w:val="Compact"/>
        <w:numPr>
          <w:ilvl w:val="0"/>
          <w:numId w:val="1027"/>
        </w:numPr>
      </w:pPr>
      <w:r>
        <w:rPr>
          <w:b/>
          <w:bCs/>
        </w:rPr>
        <w:t xml:space="preserve">Granting can also revoke.</w:t>
      </w:r>
      <w:r>
        <w:t xml:space="preserve"> </w:t>
      </w:r>
      <w:r>
        <w:t xml:space="preserve">Granting tenant-wide admin consent can revoke permissions already granted tenant-wide for that app; permissions users granted for themselves aren’t affected.</w:t>
      </w:r>
      <w:r>
        <w:rPr>
          <w:rStyle w:val="FootnoteReference"/>
        </w:rPr>
        <w:footnoteReference w:id="428"/>
      </w:r>
    </w:p>
    <w:p>
      <w:pPr>
        <w:pStyle w:val="Compact"/>
        <w:numPr>
          <w:ilvl w:val="0"/>
          <w:numId w:val="1027"/>
        </w:numPr>
      </w:pPr>
      <w:r>
        <w:rPr>
          <w:b/>
          <w:bCs/>
        </w:rPr>
        <w:t xml:space="preserve">Revoking isn’t instant.</w:t>
      </w:r>
      <w:r>
        <w:t xml:space="preserve"> </w:t>
      </w:r>
      <w:r>
        <w:t xml:space="preserve">When a delegated grant is deleted, access tokens already issued stay valid for their lifetime; only new tokens are refused.</w:t>
      </w:r>
      <w:r>
        <w:rPr>
          <w:rStyle w:val="FootnoteReference"/>
        </w:rPr>
        <w:footnoteReference w:id="429"/>
      </w:r>
    </w:p>
    <w:p>
      <w:pPr>
        <w:pStyle w:val="Compact"/>
        <w:numPr>
          <w:ilvl w:val="0"/>
          <w:numId w:val="1027"/>
        </w:numPr>
      </w:pPr>
      <w:r>
        <w:rPr>
          <w:b/>
          <w:bCs/>
        </w:rPr>
        <w:t xml:space="preserve">Revoking isn’t permanent.</w:t>
      </w:r>
      <w:r>
        <w:t xml:space="preserve"> </w:t>
      </w:r>
      <w:r>
        <w:t xml:space="preserve">Revoking a permission doesn’t stop users from consenting to it again; the app has to stop requesting it, or user consent has to be blocked.</w:t>
      </w:r>
      <w:r>
        <w:rPr>
          <w:rStyle w:val="FootnoteReference"/>
        </w:rPr>
        <w:footnoteReference w:id="431"/>
      </w:r>
    </w:p>
    <w:p>
      <w:pPr>
        <w:pStyle w:val="FirstParagraph"/>
      </w:pPr>
      <w:r>
        <w:t xml:space="preserve">Grants made programmatically through Microsoft Graph take effect immediately, with no confirmation prompt.</w:t>
      </w:r>
      <w:r>
        <w:rPr>
          <w:rStyle w:val="FootnoteReference"/>
        </w:rPr>
        <w:footnoteReference w:id="433"/>
      </w:r>
      <w:r>
        <w:t xml:space="preserve"> </w:t>
      </w:r>
      <w:r>
        <w:t xml:space="preserve">That’s another reason the program treats Graph write access to</w:t>
      </w:r>
      <w:r>
        <w:t xml:space="preserve"> </w:t>
      </w:r>
      <w:r>
        <w:rPr>
          <w:rStyle w:val="VerbatimChar"/>
        </w:rPr>
        <w:t xml:space="preserve">oauth2PermissionGrants</w:t>
      </w:r>
      <w:r>
        <w:t xml:space="preserve"> </w:t>
      </w:r>
      <w:r>
        <w:t xml:space="preserve">and</w:t>
      </w:r>
      <w:r>
        <w:t xml:space="preserve"> </w:t>
      </w:r>
      <w:r>
        <w:rPr>
          <w:rStyle w:val="VerbatimChar"/>
        </w:rPr>
        <w:t xml:space="preserve">appRoleAssignedTo</w:t>
      </w:r>
      <w:r>
        <w:t xml:space="preserve"> </w:t>
      </w:r>
      <w:r>
        <w:t xml:space="preserve">as critical.</w:t>
      </w:r>
    </w:p>
    <w:bookmarkEnd w:id="434"/>
    <w:bookmarkStart w:id="438" w:name="the-admin-consent-workflow"/>
    <w:p>
      <w:pPr>
        <w:pStyle w:val="Heading3"/>
      </w:pPr>
      <w:r>
        <w:t xml:space="preserve">The admin consent workflow</w:t>
      </w:r>
    </w:p>
    <w:p>
      <w:pPr>
        <w:pStyle w:val="FirstParagraph"/>
      </w:pPr>
      <w:r>
        <w:t xml:space="preserve">The admin consent workflow gives users a route when they can’t consent: they see</w:t>
      </w:r>
      <w:r>
        <w:t xml:space="preserve"> </w:t>
      </w:r>
      <w:r>
        <w:rPr>
          <w:b/>
          <w:bCs/>
        </w:rPr>
        <w:t xml:space="preserve">Approval required</w:t>
      </w:r>
      <w:r>
        <w:t xml:space="preserve">, enter a justification, and submit a request that goes to designated reviewers by email. Only a user’s first request for an app goes to the reviewers, and the user is told when it’s approved, denied or blocked.</w:t>
      </w:r>
      <w:r>
        <w:rPr>
          <w:rStyle w:val="FootnoteReference"/>
        </w:rPr>
        <w:footnoteReference w:id="435"/>
      </w:r>
    </w:p>
    <w:p>
      <w:pPr>
        <w:pStyle w:val="BodyText"/>
      </w:pPr>
      <w:r>
        <w:t xml:space="preserve">Configuration details matter for the approval model in Chapter 06:</w:t>
      </w:r>
      <w:r>
        <w:rPr>
          <w:rStyle w:val="FootnoteReference"/>
        </w:rPr>
        <w:footnoteReference w:id="436"/>
      </w:r>
    </w:p>
    <w:p>
      <w:pPr>
        <w:pStyle w:val="Compact"/>
        <w:numPr>
          <w:ilvl w:val="0"/>
          <w:numId w:val="1028"/>
        </w:numPr>
      </w:pPr>
      <w:r>
        <w:t xml:space="preserve">Turning the workflow on requires Global Administrator. Changes can take up to an hour to apply.</w:t>
      </w:r>
    </w:p>
    <w:p>
      <w:pPr>
        <w:pStyle w:val="Compact"/>
        <w:numPr>
          <w:ilvl w:val="0"/>
          <w:numId w:val="1028"/>
        </w:numPr>
      </w:pPr>
      <w:r>
        <w:t xml:space="preserve">Reviewers can be users, groups or roles. Being a reviewer doesn’t grant any privilege: to approve, a reviewer must already hold a role that can grant the consent requested.</w:t>
      </w:r>
    </w:p>
    <w:p>
      <w:pPr>
        <w:pStyle w:val="Compact"/>
        <w:numPr>
          <w:ilvl w:val="0"/>
          <w:numId w:val="1028"/>
        </w:numPr>
      </w:pPr>
      <w:r>
        <w:t xml:space="preserve">Reviewers can view, block or deny any request, but only Global Administrators can approve requests for apps asking for Microsoft Graph app roles.</w:t>
      </w:r>
    </w:p>
    <w:p>
      <w:pPr>
        <w:pStyle w:val="Compact"/>
        <w:numPr>
          <w:ilvl w:val="0"/>
          <w:numId w:val="1028"/>
        </w:numPr>
      </w:pPr>
      <w:r>
        <w:t xml:space="preserve">Requests expire after a configured number of days, with reminder emails. Reviewers added later don’t see requests made before they were added, and reviewers removed later keep the requests they already had.</w:t>
      </w:r>
    </w:p>
    <w:p>
      <w:pPr>
        <w:pStyle w:val="FirstParagraph"/>
      </w:pPr>
      <w:r>
        <w:t xml:space="preserve">The program enables the workflow, names the identity governance office as reviewers, and treats the workflow as the intake for the admin consent approval chain, not as the approval itself. The tier decision and security review happen in the ticket; the workflow request is where the grant is finally executed by a holder of the right role. Requests for Microsoft Graph application permissions that arrive through the workflow need a Global Administrator to approve them there, so the program grants those through the Enterprise applications pane, as Privileged Role Administrator activated through PIM (Chapter 08), once the ticket is approved.</w:t>
      </w:r>
    </w:p>
    <w:bookmarkEnd w:id="438"/>
    <w:bookmarkEnd w:id="439"/>
    <w:bookmarkStart w:id="449" w:name="ownership"/>
    <w:p>
      <w:pPr>
        <w:pStyle w:val="Heading2"/>
      </w:pPr>
      <w:bookmarkStart w:id="1200" w:name="_Toc00001200"/>
      <w:r>
        <w:t xml:space="preserve">Ownership</w:t>
      </w:r>
      <w:bookmarkEnd w:id="1200"/>
    </w:p>
    <w:p>
      <w:pPr>
        <w:pStyle w:val="FirstParagraph"/>
      </w:pPr>
      <w:r>
        <w:t xml:space="preserve">Owners are the most misunderstood control on an application. They aren’t a contact field.</w:t>
      </w:r>
    </w:p>
    <w:p>
      <w:pPr>
        <w:pStyle w:val="Compact"/>
        <w:numPr>
          <w:ilvl w:val="0"/>
          <w:numId w:val="1029"/>
        </w:numPr>
      </w:pPr>
      <w:r>
        <w:t xml:space="preserve">An owner of an enterprise application can manage its organization-specific configuration, including single sign-on, provisioning and user assignment, and can add or remove other owners. Microsoft describes owners as having the same permissions as application administrators, scoped to the app.</w:t>
      </w:r>
      <w:r>
        <w:rPr>
          <w:rStyle w:val="FootnoteReference"/>
        </w:rPr>
        <w:footnoteReference w:id="440"/>
      </w:r>
    </w:p>
    <w:p>
      <w:pPr>
        <w:pStyle w:val="Compact"/>
        <w:numPr>
          <w:ilvl w:val="0"/>
          <w:numId w:val="1029"/>
        </w:numPr>
      </w:pPr>
      <w:r>
        <w:t xml:space="preserve">The app may hold more permissions than its owner does. An owner can add a credential and act as the app, which Microsoft calls an elevation of privilege over the owner’s own access.</w:t>
      </w:r>
      <w:r>
        <w:rPr>
          <w:rStyle w:val="FootnoteReference"/>
        </w:rPr>
        <w:footnoteReference w:id="442"/>
      </w:r>
      <w:r>
        <w:t xml:space="preserve"> </w:t>
      </w:r>
      <w:r>
        <w:t xml:space="preserve">Application Administrator and Cloud Application Administrator carry the same risk across every app in the tenant.</w:t>
      </w:r>
      <w:r>
        <w:rPr>
          <w:rStyle w:val="FootnoteReference"/>
        </w:rPr>
        <w:footnoteReference w:id="443"/>
      </w:r>
    </w:p>
    <w:p>
      <w:pPr>
        <w:pStyle w:val="Compact"/>
        <w:numPr>
          <w:ilvl w:val="0"/>
          <w:numId w:val="1029"/>
        </w:numPr>
      </w:pPr>
      <w:r>
        <w:t xml:space="preserve">The user who registers an application becomes the app registration’s owner automatically. That user becomes owner of the enterprise application only when they hold no administrator role, and Application Administrators and Cloud Application Administrators aren’t added as owners of apps they create.</w:t>
      </w:r>
      <w:r>
        <w:rPr>
          <w:rStyle w:val="FootnoteReference"/>
        </w:rPr>
        <w:footnoteReference w:id="444"/>
      </w:r>
      <w:r>
        <w:rPr>
          <w:rStyle w:val="FootnoteReference"/>
        </w:rPr>
        <w:footnoteReference w:id="445"/>
      </w:r>
    </w:p>
    <w:p>
      <w:pPr>
        <w:pStyle w:val="Compact"/>
        <w:numPr>
          <w:ilvl w:val="0"/>
          <w:numId w:val="1029"/>
        </w:numPr>
      </w:pPr>
      <w:r>
        <w:t xml:space="preserve">Groups can’t own enterprise applications.</w:t>
      </w:r>
      <w:r>
        <w:rPr>
          <w:rStyle w:val="FootnoteReference"/>
        </w:rPr>
        <w:footnoteReference w:id="446"/>
      </w:r>
    </w:p>
    <w:p>
      <w:pPr>
        <w:pStyle w:val="FirstParagraph"/>
      </w:pPr>
      <w:r>
        <w:t xml:space="preserve">Microsoft’s recommendations are to keep ownership to a minimal set of people, review owners every few months, monitor so that every app has at least two owners where possible, and use the application’s</w:t>
      </w:r>
      <w:r>
        <w:t xml:space="preserve"> </w:t>
      </w:r>
      <w:r>
        <w:rPr>
          <w:rStyle w:val="VerbatimChar"/>
        </w:rPr>
        <w:t xml:space="preserve">serviceManagementReference</w:t>
      </w:r>
      <w:r>
        <w:t xml:space="preserve"> </w:t>
      </w:r>
      <w:r>
        <w:t xml:space="preserve">property to point at a team record in the service or asset management system, so a contact survives any one person leaving. Ownerless apps can be found through Microsoft Graph.</w:t>
      </w:r>
      <w:r>
        <w:rPr>
          <w:rStyle w:val="FootnoteReference"/>
        </w:rPr>
        <w:footnoteReference w:id="447"/>
      </w:r>
      <w:r>
        <w:rPr>
          <w:rStyle w:val="FootnoteReference"/>
        </w:rPr>
        <w:footnoteReference w:id="448"/>
      </w:r>
    </w:p>
    <w:p>
      <w:pPr>
        <w:pStyle w:val="BodyText"/>
      </w:pPr>
      <w:r>
        <w:t xml:space="preserve">The program follows those recommendations and adds one rule. The Owners list holds two named people who are expected to manage the app’s configuration in Entra ID, and nobody else. The business owner who approves access is recorded in the application registry and in</w:t>
      </w:r>
      <w:r>
        <w:t xml:space="preserve"> </w:t>
      </w:r>
      <w:r>
        <w:rPr>
          <w:rStyle w:val="VerbatimChar"/>
        </w:rPr>
        <w:t xml:space="preserve">serviceManagementReference</w:t>
      </w:r>
      <w:r>
        <w:t xml:space="preserve">, not added to Owners, unless that person also needs to configure the app. Putting every business approver in Owners hands each of them the app’s credentials.</w:t>
      </w:r>
    </w:p>
    <w:bookmarkEnd w:id="449"/>
    <w:bookmarkStart w:id="461" w:name="credentials"/>
    <w:p>
      <w:pPr>
        <w:pStyle w:val="Heading2"/>
      </w:pPr>
      <w:bookmarkStart w:id="1201" w:name="_Toc00001201"/>
      <w:r>
        <w:t xml:space="preserve">Credentials</w:t>
      </w:r>
      <w:bookmarkEnd w:id="1201"/>
    </w:p>
    <w:p>
      <w:pPr>
        <w:pStyle w:val="FirstParagraph"/>
      </w:pPr>
      <w:r>
        <w:t xml:space="preserve">An application that isn’t a public client needs a credential to prove its identity. Microsoft’s guidance gives a clear order of preference:</w:t>
      </w:r>
      <w:r>
        <w:rPr>
          <w:rStyle w:val="FootnoteReference"/>
        </w:rPr>
        <w:footnoteReference w:id="450"/>
      </w:r>
    </w:p>
    <w:p>
      <w:pPr>
        <w:pStyle w:val="Compact"/>
        <w:numPr>
          <w:ilvl w:val="0"/>
          <w:numId w:val="1030"/>
        </w:numPr>
      </w:pPr>
      <w:r>
        <w:rPr>
          <w:b/>
          <w:bCs/>
        </w:rPr>
        <w:t xml:space="preserve">A managed identity</w:t>
      </w:r>
      <w:r>
        <w:t xml:space="preserve">, used directly or configured as the credential on an app registration. It’s the most secure option and needs no credential management, but it’s available only when the workload runs on Azure.</w:t>
      </w:r>
    </w:p>
    <w:p>
      <w:pPr>
        <w:pStyle w:val="Compact"/>
        <w:numPr>
          <w:ilvl w:val="0"/>
          <w:numId w:val="1030"/>
        </w:numPr>
      </w:pPr>
      <w:r>
        <w:rPr>
          <w:b/>
          <w:bCs/>
        </w:rPr>
        <w:t xml:space="preserve">A federated identity credential</w:t>
      </w:r>
      <w:r>
        <w:t xml:space="preserve"> </w:t>
      </w:r>
      <w:r>
        <w:t xml:space="preserve">that trusts the workload’s own platform, such as a GitHub Actions workflow or a Kubernetes service account. Microsoft warns that an app is only as secure as the identity platform it trusts.</w:t>
      </w:r>
    </w:p>
    <w:p>
      <w:pPr>
        <w:pStyle w:val="Compact"/>
        <w:numPr>
          <w:ilvl w:val="0"/>
          <w:numId w:val="1030"/>
        </w:numPr>
      </w:pPr>
      <w:r>
        <w:rPr>
          <w:b/>
          <w:bCs/>
        </w:rPr>
        <w:t xml:space="preserve">A certificate</w:t>
      </w:r>
      <w:r>
        <w:t xml:space="preserve">, kept in a key vault and issued by a trusted certificate authority rather than self-signed, though a self-signed certificate is still better than a password.</w:t>
      </w:r>
    </w:p>
    <w:p>
      <w:pPr>
        <w:pStyle w:val="Compact"/>
        <w:numPr>
          <w:ilvl w:val="0"/>
          <w:numId w:val="1030"/>
        </w:numPr>
      </w:pPr>
      <w:r>
        <w:rPr>
          <w:b/>
          <w:bCs/>
        </w:rPr>
        <w:t xml:space="preserve">Never a client secret.</w:t>
      </w:r>
      <w:r>
        <w:t xml:space="preserve"> </w:t>
      </w:r>
      <w:r>
        <w:t xml:space="preserve">Microsoft’s guidance is not to use password credentials, because they’re often mismanaged and easily compromised.</w:t>
      </w:r>
    </w:p>
    <w:p>
      <w:pPr>
        <w:pStyle w:val="FirstParagraph"/>
      </w:pPr>
      <w:r>
        <w:t xml:space="preserve">The same guidance says to keep no credentials on public clients, to remove unused credentials, to roll credentials over often, not to share them across apps or pile many onto one app, and to scan pipelines so credentials never reach a code repository.</w:t>
      </w:r>
      <w:r>
        <w:rPr>
          <w:rStyle w:val="FootnoteReference"/>
        </w:rPr>
        <w:footnoteReference w:id="451"/>
      </w:r>
    </w:p>
    <w:bookmarkStart w:id="460" w:name="Xf3119ccb8eb77228e2f591e84dc50efe76a6a52"/>
    <w:p>
      <w:pPr>
        <w:pStyle w:val="Heading3"/>
      </w:pPr>
      <w:r>
        <w:t xml:space="preserve">Enforcing the order with app management policies</w:t>
      </w:r>
    </w:p>
    <w:p>
      <w:pPr>
        <w:pStyle w:val="FirstParagraph"/>
      </w:pPr>
      <w:r>
        <w:t xml:space="preserve">Application management policies turn credential rules into tenant policy. A tenant-wide default policy, plus optional policies applied to individual apps, can restrict:</w:t>
      </w:r>
      <w:r>
        <w:rPr>
          <w:rStyle w:val="FootnoteReference"/>
        </w:rPr>
        <w:footnoteReference w:id="452"/>
      </w:r>
      <w:r>
        <w:rPr>
          <w:rStyle w:val="FootnoteReference"/>
        </w:rPr>
        <w:footnoteReference w:id="454"/>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Restriction</w:t>
            </w:r>
          </w:p>
        </w:tc>
        <w:tc>
          <w:tcPr/>
          <w:p>
            <w:pPr>
              <w:pStyle w:val="Compact"/>
            </w:pPr>
            <w:r>
              <w:t xml:space="preserve">Effect</w:t>
            </w:r>
          </w:p>
        </w:tc>
      </w:tr>
      <w:tr>
        <w:tc>
          <w:tcPr/>
          <w:p>
            <w:pPr>
              <w:pStyle w:val="Compact"/>
            </w:pPr>
            <w:r>
              <w:rPr>
                <w:rStyle w:val="VerbatimChar"/>
              </w:rPr>
              <w:t xml:space="preserve">passwordAddition</w:t>
            </w:r>
            <w:r>
              <w:t xml:space="preserve">,</w:t>
            </w:r>
            <w:r>
              <w:t xml:space="preserve"> </w:t>
            </w:r>
            <w:r>
              <w:rPr>
                <w:rStyle w:val="VerbatimChar"/>
              </w:rPr>
              <w:t xml:space="preserve">customPasswordAddition</w:t>
            </w:r>
          </w:p>
        </w:tc>
        <w:tc>
          <w:tcPr/>
          <w:p>
            <w:pPr>
              <w:pStyle w:val="Compact"/>
            </w:pPr>
            <w:r>
              <w:t xml:space="preserve">Block new client secrets, or new custom (not Entra-generated) secrets</w:t>
            </w:r>
          </w:p>
        </w:tc>
      </w:tr>
      <w:tr>
        <w:tc>
          <w:tcPr/>
          <w:p>
            <w:pPr>
              <w:pStyle w:val="Compact"/>
            </w:pPr>
            <w:r>
              <w:rPr>
                <w:rStyle w:val="VerbatimChar"/>
              </w:rPr>
              <w:t xml:space="preserve">passwordLifetime</w:t>
            </w:r>
          </w:p>
        </w:tc>
        <w:tc>
          <w:tcPr/>
          <w:p>
            <w:pPr>
              <w:pStyle w:val="Compact"/>
            </w:pPr>
            <w:r>
              <w:t xml:space="preserve">Cap the lifetime of new secrets</w:t>
            </w:r>
          </w:p>
        </w:tc>
      </w:tr>
      <w:tr>
        <w:tc>
          <w:tcPr/>
          <w:p>
            <w:pPr>
              <w:pStyle w:val="Compact"/>
            </w:pPr>
            <w:r>
              <w:rPr>
                <w:rStyle w:val="VerbatimChar"/>
              </w:rPr>
              <w:t xml:space="preserve">symmetricKeyAddition</w:t>
            </w:r>
            <w:r>
              <w:t xml:space="preserve">,</w:t>
            </w:r>
            <w:r>
              <w:t xml:space="preserve"> </w:t>
            </w:r>
            <w:r>
              <w:rPr>
                <w:rStyle w:val="VerbatimChar"/>
              </w:rPr>
              <w:t xml:space="preserve">symmetricKeyLifetime</w:t>
            </w:r>
          </w:p>
        </w:tc>
        <w:tc>
          <w:tcPr/>
          <w:p>
            <w:pPr>
              <w:pStyle w:val="Compact"/>
            </w:pPr>
            <w:r>
              <w:t xml:space="preserve">Block or cap symmetric keys, which are effectively passwords</w:t>
            </w:r>
          </w:p>
        </w:tc>
      </w:tr>
      <w:tr>
        <w:tc>
          <w:tcPr/>
          <w:p>
            <w:pPr>
              <w:pStyle w:val="Compact"/>
            </w:pPr>
            <w:r>
              <w:rPr>
                <w:rStyle w:val="VerbatimChar"/>
              </w:rPr>
              <w:t xml:space="preserve">asymmetricKeyLifetime</w:t>
            </w:r>
          </w:p>
        </w:tc>
        <w:tc>
          <w:tcPr/>
          <w:p>
            <w:pPr>
              <w:pStyle w:val="Compact"/>
            </w:pPr>
            <w:r>
              <w:t xml:space="preserve">Cap the lifetime of new certificates</w:t>
            </w:r>
          </w:p>
        </w:tc>
      </w:tr>
      <w:tr>
        <w:tc>
          <w:tcPr/>
          <w:p>
            <w:pPr>
              <w:pStyle w:val="Compact"/>
            </w:pPr>
            <w:r>
              <w:rPr>
                <w:rStyle w:val="VerbatimChar"/>
              </w:rPr>
              <w:t xml:space="preserve">nonDefaultUriAddition</w:t>
            </w:r>
          </w:p>
        </w:tc>
        <w:tc>
          <w:tcPr/>
          <w:p>
            <w:pPr>
              <w:pStyle w:val="Compact"/>
            </w:pPr>
            <w:r>
              <w:t xml:space="preserve">Block identifier URIs other than</w:t>
            </w:r>
            <w:r>
              <w:t xml:space="preserve"> </w:t>
            </w:r>
            <w:r>
              <w:rPr>
                <w:rStyle w:val="VerbatimChar"/>
              </w:rPr>
              <w:t xml:space="preserve">api://{appId}</w:t>
            </w:r>
            <w:r>
              <w:t xml:space="preserve"> </w:t>
            </w:r>
            <w:r>
              <w:t xml:space="preserve">or</w:t>
            </w:r>
            <w:r>
              <w:t xml:space="preserve"> </w:t>
            </w:r>
            <w:r>
              <w:rPr>
                <w:rStyle w:val="VerbatimChar"/>
              </w:rPr>
              <w:t xml:space="preserve">api://{tenantId}/{appId}</w:t>
            </w:r>
          </w:p>
        </w:tc>
      </w:tr>
    </w:tbl>
    <w:p>
      <w:pPr>
        <w:pStyle w:val="BodyText"/>
      </w:pPr>
      <w:r>
        <w:t xml:space="preserve">Each restriction can apply only to apps created after a chosen date, which lets a tenant enforce the rule for new registrations while it remediates old ones. Microsoft’s recommended settings are to block client secrets and symmetric keys outright and to cap certificate lifetime at 180 days.</w:t>
      </w:r>
      <w:r>
        <w:rPr>
          <w:rStyle w:val="FootnoteReference"/>
        </w:rPr>
        <w:footnoteReference w:id="456"/>
      </w:r>
      <w:r>
        <w:t xml:space="preserve"> </w:t>
      </w:r>
      <w:r>
        <w:t xml:space="preserve">Application management policies are a free capability of Microsoft Entra Workload ID, not a Premium feature.</w:t>
      </w:r>
      <w:r>
        <w:rPr>
          <w:rStyle w:val="FootnoteReference"/>
        </w:rPr>
        <w:footnoteReference w:id="458"/>
      </w:r>
    </w:p>
    <w:p>
      <w:pPr>
        <w:pStyle w:val="BodyText"/>
      </w:pPr>
      <w:r>
        <w:t xml:space="preserve">The program adopts Microsoft’s recommended policy for every app created after its effective date. That is stricter than the rotation standard in Book 02, Chapter 09, which allows certificates rotated annually for service accounts being migrated. The two fit together: an existing workload moves onto a certificate and is rotated at least annually while it’s remediated, and every new registration starts under the 180-day cap with secrets blocked. Where an app genuinely can’t use a certificate, the exception is a documented, time-limited policy exception (Chapter 06), with the shortest secret lifetime the app tolerates and automated rotation. The program governs the workflow for issuing and rotating certificates; the choice of certificate authority belongs to the cryptographic architecture in Vol I Book 03.</w:t>
      </w:r>
    </w:p>
    <w:bookmarkEnd w:id="460"/>
    <w:bookmarkEnd w:id="461"/>
    <w:bookmarkStart w:id="474" w:name="X508e1d06e25399f9d62ebc2d348b17f1e0c2cdd"/>
    <w:p>
      <w:pPr>
        <w:pStyle w:val="Heading2"/>
      </w:pPr>
      <w:bookmarkStart w:id="1202" w:name="_Toc00001202"/>
      <w:r>
        <w:t xml:space="preserve">Managed identities and workload identity federation</w:t>
      </w:r>
      <w:bookmarkEnd w:id="1202"/>
    </w:p>
    <w:p>
      <w:pPr>
        <w:pStyle w:val="FirstParagraph"/>
      </w:pPr>
      <w:r>
        <w:t xml:space="preserve">Workload identity is Microsoft’s term for any identity assigned to software: applications, service principals and managed identities.</w:t>
      </w:r>
      <w:r>
        <w:rPr>
          <w:rStyle w:val="FootnoteReference"/>
        </w:rPr>
        <w:footnoteReference w:id="462"/>
      </w:r>
      <w:r>
        <w:t xml:space="preserve"> </w:t>
      </w:r>
      <w:r>
        <w:t xml:space="preserve">Book 02, Chapter 09 maps each Active Directory service account type to one of them and covers the mechanics of federated identity credentials (issuer, subject, audience, and the 20-credential limit). This section adds what matters for access policy.</w:t>
      </w:r>
    </w:p>
    <w:bookmarkStart w:id="469" w:name="managed-identities"/>
    <w:p>
      <w:pPr>
        <w:pStyle w:val="Heading3"/>
      </w:pPr>
      <w:r>
        <w:t xml:space="preserve">Managed identities</w:t>
      </w:r>
    </w:p>
    <w:p>
      <w:pPr>
        <w:pStyle w:val="FirstParagraph"/>
      </w:pPr>
      <w:r>
        <w:t xml:space="preserve">A managed identity is a service principal whose credential Azure manages. A system-assigned identity is created with an Azure resource, can be used only by that resource, and is deleted with it. A user-assigned identity is a standalone Azure resource that several resources can share and that must be deleted explicitly.</w:t>
      </w:r>
      <w:r>
        <w:rPr>
          <w:rStyle w:val="FootnoteReference"/>
        </w:rPr>
        <w:footnoteReference w:id="463"/>
      </w:r>
      <w:r>
        <w:t xml:space="preserve"> </w:t>
      </w:r>
      <w:r>
        <w:t xml:space="preserve">Microsoft recommends user-assigned identities for most scenarios, partly because they let identity creation and role assignment be approved separately from resource deployment, and recommends system-assigned identities where audit logs must name the specific resource or where permissions must disappear with the resource.</w:t>
      </w:r>
      <w:r>
        <w:rPr>
          <w:rStyle w:val="FootnoteReference"/>
        </w:rPr>
        <w:footnoteReference w:id="465"/>
      </w:r>
    </w:p>
    <w:p>
      <w:pPr>
        <w:pStyle w:val="BodyText"/>
      </w:pPr>
      <w:r>
        <w:t xml:space="preserve">Microsoft suggests a managed identity instead of an app registration when the service runs in Azure, doesn’t sign users in, isn’t a web API that receives tokens, and doesn’t operate across tenants.</w:t>
      </w:r>
      <w:r>
        <w:rPr>
          <w:rStyle w:val="FootnoteReference"/>
        </w:rPr>
        <w:footnoteReference w:id="467"/>
      </w:r>
      <w:r>
        <w:t xml:space="preserve"> </w:t>
      </w:r>
      <w:r>
        <w:t xml:space="preserve">When those conditions hold, the program uses one.</w:t>
      </w:r>
    </w:p>
    <w:p>
      <w:pPr>
        <w:pStyle w:val="BodyText"/>
      </w:pPr>
      <w:r>
        <w:t xml:space="preserve">The access-policy consequence is that managed identities fall outside two controls this book relies on. Conditional Access for workload identities doesn’t cover them, and Microsoft points to access reviews instead.</w:t>
      </w:r>
      <w:r>
        <w:rPr>
          <w:rStyle w:val="FootnoteReference"/>
        </w:rPr>
        <w:footnoteReference w:id="468"/>
      </w:r>
      <w:r>
        <w:t xml:space="preserve"> </w:t>
      </w:r>
      <w:r>
        <w:t xml:space="preserve">A managed identity’s access therefore has to be governed through its role assignments and permission grants, reviewed on the same cadence as the app registrations they replace.</w:t>
      </w:r>
    </w:p>
    <w:bookmarkEnd w:id="469"/>
    <w:bookmarkStart w:id="473" w:name="workload-identity-federation"/>
    <w:p>
      <w:pPr>
        <w:pStyle w:val="Heading3"/>
      </w:pPr>
      <w:r>
        <w:t xml:space="preserve">Workload identity federation</w:t>
      </w:r>
    </w:p>
    <w:p>
      <w:pPr>
        <w:pStyle w:val="FirstParagraph"/>
      </w:pPr>
      <w:r>
        <w:t xml:space="preserve">Workload identity federation lets an app registration or a user-assigned managed identity trust tokens from an external identity provider, and exchange them for Microsoft Entra access tokens, so the workload holds no secret that could leak or expire. Microsoft supports it for Kubernetes clusters (in Azure, other clouds or on premises), GitHub Actions, Google Cloud, and Azure compute that uses an app identity through a user-assigned managed identity.</w:t>
      </w:r>
      <w:r>
        <w:rPr>
          <w:rStyle w:val="FootnoteReference"/>
        </w:rPr>
        <w:footnoteReference w:id="470"/>
      </w:r>
      <w:r>
        <w:t xml:space="preserve"> </w:t>
      </w:r>
      <w:r>
        <w:t xml:space="preserve">Both managed identities and workload identity federation are free features.</w:t>
      </w:r>
      <w:r>
        <w:rPr>
          <w:rStyle w:val="FootnoteReference"/>
        </w:rPr>
        <w:footnoteReference w:id="472"/>
      </w:r>
    </w:p>
    <w:p>
      <w:pPr>
        <w:pStyle w:val="BodyText"/>
      </w:pPr>
      <w:r>
        <w:t xml:space="preserve">Federation moves the trust decision rather than removing it. Approving a federated credential is approving every workload the external issuer will vouch for under that subject, so the program treats a new federated credential as a change of credential that needs the owner’s and the governance office’s approval, and records the issuer and subject in the application registry.</w:t>
      </w:r>
    </w:p>
    <w:bookmarkEnd w:id="473"/>
    <w:bookmarkEnd w:id="474"/>
    <w:bookmarkStart w:id="484" w:name="X35a16549d3bda115f785bf0206acc58b5cdd095"/>
    <w:p>
      <w:pPr>
        <w:pStyle w:val="Heading2"/>
      </w:pPr>
      <w:bookmarkStart w:id="1203" w:name="_Toc00001203"/>
      <w:r>
        <w:t xml:space="preserve">Conditional Access for workload identities</w:t>
      </w:r>
      <w:bookmarkEnd w:id="1203"/>
    </w:p>
    <w:p>
      <w:pPr>
        <w:pStyle w:val="FirstParagraph"/>
      </w:pPr>
      <w:r>
        <w:t xml:space="preserve">Conditional Access can target service principals directly. Microsoft notes why workload identities need it: they can’t perform multifactor authentication, often have no formal lifecycle, and have to store their credentials somewhere.</w:t>
      </w:r>
      <w:r>
        <w:rPr>
          <w:rStyle w:val="FootnoteReference"/>
        </w:rPr>
        <w:footnoteReference w:id="475"/>
      </w:r>
      <w:r>
        <w:t xml:space="preserve"> </w:t>
      </w:r>
      <w:r>
        <w:t xml:space="preserve">A workload identity policy can block a service principal:</w:t>
      </w:r>
      <w:r>
        <w:rPr>
          <w:rStyle w:val="FootnoteReference"/>
        </w:rPr>
        <w:footnoteReference w:id="476"/>
      </w:r>
    </w:p>
    <w:p>
      <w:pPr>
        <w:pStyle w:val="Compact"/>
        <w:numPr>
          <w:ilvl w:val="0"/>
          <w:numId w:val="1031"/>
        </w:numPr>
      </w:pPr>
      <w:r>
        <w:t xml:space="preserve">From outside known public IP ranges.</w:t>
      </w:r>
    </w:p>
    <w:p>
      <w:pPr>
        <w:pStyle w:val="Compact"/>
        <w:numPr>
          <w:ilvl w:val="0"/>
          <w:numId w:val="1031"/>
        </w:numPr>
      </w:pPr>
      <w:r>
        <w:t xml:space="preserve">When Microsoft Entra ID Protection detects risk on it.</w:t>
      </w:r>
    </w:p>
    <w:p>
      <w:pPr>
        <w:pStyle w:val="Compact"/>
        <w:numPr>
          <w:ilvl w:val="0"/>
          <w:numId w:val="1031"/>
        </w:numPr>
      </w:pPr>
      <w:r>
        <w:t xml:space="preserve">In combination with authentication contexts.</w:t>
      </w:r>
    </w:p>
    <w:p>
      <w:pPr>
        <w:pStyle w:val="FirstParagraph"/>
      </w:pPr>
      <w:r>
        <w:t xml:space="preserve">Block is the only grant control. Policies can run in report-only mode first, and results appear in the service principal sign-in logs.</w:t>
      </w:r>
      <w:r>
        <w:rPr>
          <w:rStyle w:val="FootnoteReference"/>
        </w:rPr>
        <w:footnoteReference w:id="477"/>
      </w:r>
      <w:r>
        <w:t xml:space="preserve"> </w:t>
      </w:r>
      <w:r>
        <w:t xml:space="preserve">The limits decide where the control can be used at all:</w:t>
      </w:r>
      <w:r>
        <w:rPr>
          <w:rStyle w:val="FootnoteReference"/>
        </w:rPr>
        <w:footnoteReference w:id="478"/>
      </w:r>
    </w:p>
    <w:p>
      <w:pPr>
        <w:pStyle w:val="Compact"/>
        <w:numPr>
          <w:ilvl w:val="0"/>
          <w:numId w:val="1032"/>
        </w:numPr>
      </w:pPr>
      <w:r>
        <w:t xml:space="preserve">Creating or modifying these policies requires Workload Identities Premium licenses. Without them, existing policies keep working but can’t be changed.</w:t>
      </w:r>
    </w:p>
    <w:p>
      <w:pPr>
        <w:pStyle w:val="Compact"/>
        <w:numPr>
          <w:ilvl w:val="0"/>
          <w:numId w:val="1032"/>
        </w:numPr>
      </w:pPr>
      <w:r>
        <w:t xml:space="preserve">Policies apply only to single-tenant service principals registered in the tenant. Microsoft and third-party SaaS apps, multitenant apps and managed identities aren’t covered.</w:t>
      </w:r>
    </w:p>
    <w:p>
      <w:pPr>
        <w:pStyle w:val="Compact"/>
        <w:numPr>
          <w:ilvl w:val="0"/>
          <w:numId w:val="1032"/>
        </w:numPr>
      </w:pPr>
      <w:r>
        <w:t xml:space="preserve">A policy assigned to a group that contains a service principal isn’t enforced for it; the service principal has to be assigned to the policy directly.</w:t>
      </w:r>
    </w:p>
    <w:p>
      <w:pPr>
        <w:pStyle w:val="FirstParagraph"/>
      </w:pPr>
      <w:r>
        <w:t xml:space="preserve">Book 02, Chapter 09 states the same limits. In this book, location policies for workload identities are part of the policy library in Chapter 07.</w:t>
      </w:r>
    </w:p>
    <w:bookmarkStart w:id="483" w:name="what-workload-id-premium-adds"/>
    <w:p>
      <w:pPr>
        <w:pStyle w:val="Heading3"/>
      </w:pPr>
      <w:r>
        <w:t xml:space="preserve">What Workload ID Premium adds</w:t>
      </w:r>
    </w:p>
    <w:p>
      <w:pPr>
        <w:pStyle w:val="FirstParagraph"/>
      </w:pPr>
      <w:r>
        <w:t xml:space="preserve">Workload ID Premium is a standalone product, not part of other premium plans. One license in a tenant unlocks the Premium features without per-identity assignment, though Microsoft licenses by the number of eligible workload identities.</w:t>
      </w:r>
      <w:r>
        <w:rPr>
          <w:rStyle w:val="FootnoteReference"/>
        </w:rPr>
        <w:footnoteReference w:id="479"/>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Free</w:t>
            </w:r>
          </w:p>
        </w:tc>
        <w:tc>
          <w:tcPr/>
          <w:p>
            <w:pPr>
              <w:pStyle w:val="Compact"/>
            </w:pPr>
            <w:r>
              <w:t xml:space="preserve">Premium</w:t>
            </w:r>
          </w:p>
        </w:tc>
      </w:tr>
      <w:tr>
        <w:tc>
          <w:tcPr/>
          <w:p>
            <w:pPr>
              <w:pStyle w:val="Compact"/>
            </w:pPr>
            <w:r>
              <w:t xml:space="preserve">Create and manage workload identities; sign-in and audit logs</w:t>
            </w:r>
          </w:p>
        </w:tc>
        <w:tc>
          <w:tcPr/>
          <w:p>
            <w:pPr>
              <w:pStyle w:val="Compact"/>
            </w:pPr>
            <w:r>
              <w:t xml:space="preserve">Yes</w:t>
            </w:r>
          </w:p>
        </w:tc>
        <w:tc>
          <w:tcPr/>
          <w:p>
            <w:pPr>
              <w:pStyle w:val="Compact"/>
            </w:pPr>
            <w:r>
              <w:t xml:space="preserve">Yes</w:t>
            </w:r>
          </w:p>
        </w:tc>
      </w:tr>
      <w:tr>
        <w:tc>
          <w:tcPr/>
          <w:p>
            <w:pPr>
              <w:pStyle w:val="Compact"/>
            </w:pPr>
            <w:r>
              <w:t xml:space="preserve">Managed identities; workload identity federation</w:t>
            </w:r>
          </w:p>
        </w:tc>
        <w:tc>
          <w:tcPr/>
          <w:p>
            <w:pPr>
              <w:pStyle w:val="Compact"/>
            </w:pPr>
            <w:r>
              <w:t xml:space="preserve">Yes</w:t>
            </w:r>
          </w:p>
        </w:tc>
        <w:tc>
          <w:tcPr/>
          <w:p>
            <w:pPr>
              <w:pStyle w:val="Compact"/>
            </w:pPr>
            <w:r>
              <w:t xml:space="preserve">Yes</w:t>
            </w:r>
          </w:p>
        </w:tc>
      </w:tr>
      <w:tr>
        <w:tc>
          <w:tcPr/>
          <w:p>
            <w:pPr>
              <w:pStyle w:val="Compact"/>
            </w:pPr>
            <w:r>
              <w:t xml:space="preserve">Application management policies</w:t>
            </w:r>
          </w:p>
        </w:tc>
        <w:tc>
          <w:tcPr/>
          <w:p>
            <w:pPr>
              <w:pStyle w:val="Compact"/>
            </w:pPr>
            <w:r>
              <w:t xml:space="preserve">Yes</w:t>
            </w:r>
          </w:p>
        </w:tc>
        <w:tc>
          <w:tcPr/>
          <w:p>
            <w:pPr>
              <w:pStyle w:val="Compact"/>
            </w:pPr>
            <w:r>
              <w:t xml:space="preserve">Yes</w:t>
            </w:r>
          </w:p>
        </w:tc>
      </w:tr>
      <w:tr>
        <w:tc>
          <w:tcPr/>
          <w:p>
            <w:pPr>
              <w:pStyle w:val="Compact"/>
            </w:pPr>
            <w:r>
              <w:t xml:space="preserve">Access reviews for service principals in privileged directory roles</w:t>
            </w:r>
          </w:p>
        </w:tc>
        <w:tc>
          <w:tcPr/>
          <w:p>
            <w:pPr>
              <w:pStyle w:val="Compact"/>
            </w:pPr>
          </w:p>
        </w:tc>
        <w:tc>
          <w:tcPr/>
          <w:p>
            <w:pPr>
              <w:pStyle w:val="Compact"/>
            </w:pPr>
            <w:r>
              <w:t xml:space="preserve">Yes</w:t>
            </w:r>
          </w:p>
        </w:tc>
      </w:tr>
      <w:tr>
        <w:tc>
          <w:tcPr/>
          <w:p>
            <w:pPr>
              <w:pStyle w:val="Compact"/>
            </w:pPr>
            <w:r>
              <w:t xml:space="preserve">App health recommendations for unused or inactive workload identities</w:t>
            </w:r>
          </w:p>
        </w:tc>
        <w:tc>
          <w:tcPr/>
          <w:p>
            <w:pPr>
              <w:pStyle w:val="Compact"/>
            </w:pPr>
          </w:p>
        </w:tc>
        <w:tc>
          <w:tcPr/>
          <w:p>
            <w:pPr>
              <w:pStyle w:val="Compact"/>
            </w:pPr>
            <w:r>
              <w:t xml:space="preserve">Yes</w:t>
            </w:r>
          </w:p>
        </w:tc>
      </w:tr>
      <w:tr>
        <w:tc>
          <w:tcPr/>
          <w:p>
            <w:pPr>
              <w:pStyle w:val="Compact"/>
            </w:pPr>
            <w:r>
              <w:t xml:space="preserve">Conditional Access for workload identities</w:t>
            </w:r>
          </w:p>
        </w:tc>
        <w:tc>
          <w:tcPr/>
          <w:p>
            <w:pPr>
              <w:pStyle w:val="Compact"/>
            </w:pPr>
          </w:p>
        </w:tc>
        <w:tc>
          <w:tcPr/>
          <w:p>
            <w:pPr>
              <w:pStyle w:val="Compact"/>
            </w:pPr>
            <w:r>
              <w:t xml:space="preserve">Yes</w:t>
            </w:r>
          </w:p>
        </w:tc>
      </w:tr>
      <w:tr>
        <w:tc>
          <w:tcPr/>
          <w:p>
            <w:pPr>
              <w:pStyle w:val="Compact"/>
            </w:pPr>
            <w:r>
              <w:t xml:space="preserve">ID Protection for workload identities</w:t>
            </w:r>
          </w:p>
        </w:tc>
        <w:tc>
          <w:tcPr/>
          <w:p>
            <w:pPr>
              <w:pStyle w:val="Compact"/>
            </w:pPr>
          </w:p>
        </w:tc>
        <w:tc>
          <w:tcPr/>
          <w:p>
            <w:pPr>
              <w:pStyle w:val="Compact"/>
            </w:pPr>
            <w:r>
              <w:t xml:space="preserve">Yes</w:t>
            </w:r>
          </w:p>
        </w:tc>
      </w:tr>
    </w:tbl>
    <w:p>
      <w:pPr>
        <w:pStyle w:val="BodyText"/>
      </w:pPr>
      <w:r>
        <w:t xml:space="preserve">Source: Microsoft’s Workload ID FAQ.</w:t>
      </w:r>
      <w:r>
        <w:rPr>
          <w:rStyle w:val="FootnoteReference"/>
        </w:rPr>
        <w:footnoteReference w:id="480"/>
      </w:r>
      <w:r>
        <w:t xml:space="preserve"> </w:t>
      </w:r>
      <w:r>
        <w:t xml:space="preserve">Access reviews of service principals in privileged roles also need Entra ID P2 for the reviewers.</w:t>
      </w:r>
      <w:r>
        <w:rPr>
          <w:rStyle w:val="FootnoteReference"/>
        </w:rPr>
        <w:footnoteReference w:id="481"/>
      </w:r>
      <w:r>
        <w:t xml:space="preserve"> </w:t>
      </w:r>
      <w:r>
        <w:t xml:space="preserve">Microsoft says Workload ID Premium is available in Azure Government clouds through the account manager, and that the free trial isn’t.</w:t>
      </w:r>
      <w:r>
        <w:rPr>
          <w:rStyle w:val="FootnoteReference"/>
        </w:rPr>
        <w:footnoteReference w:id="482"/>
      </w:r>
    </w:p>
    <w:p>
      <w:pPr>
        <w:pStyle w:val="BodyText"/>
      </w:pPr>
      <w:r>
        <w:t xml:space="preserve">The program licenses Workload ID Premium for the single-tenant service principals classified Tier 1 in Chapter 06, because those are where a location-restricted block policy and risk detection earn their cost.</w:t>
      </w:r>
    </w:p>
    <w:bookmarkEnd w:id="483"/>
    <w:bookmarkEnd w:id="484"/>
    <w:bookmarkStart w:id="490" w:name="app-instance-property-lock"/>
    <w:p>
      <w:pPr>
        <w:pStyle w:val="Heading2"/>
      </w:pPr>
      <w:bookmarkStart w:id="1204" w:name="_Toc00001204"/>
      <w:r>
        <w:t xml:space="preserve">App instance property lock</w:t>
      </w:r>
      <w:bookmarkEnd w:id="1204"/>
    </w:p>
    <w:p>
      <w:pPr>
        <w:pStyle w:val="FirstParagraph"/>
      </w:pPr>
      <w:r>
        <w:t xml:space="preserve">A service principal can be customized by an administrator in whatever tenant it lives in, and that includes adding credentials to it, even though credentials normally belong to the app’s developer and owner.</w:t>
      </w:r>
      <w:r>
        <w:rPr>
          <w:rStyle w:val="FootnoteReference"/>
        </w:rPr>
        <w:footnoteReference w:id="485"/>
      </w:r>
      <w:r>
        <w:t xml:space="preserve"> </w:t>
      </w:r>
      <w:r>
        <w:t xml:space="preserve">App instance property lock lets the app’s owner lock the sensitive properties of its service principals against change: credentials used for verification (the client credentials flow), credentials used for signing tokens (SAML), and the token encryption key ID.</w:t>
      </w:r>
      <w:r>
        <w:rPr>
          <w:rStyle w:val="FootnoteReference"/>
        </w:rPr>
        <w:footnoteReference w:id="486"/>
      </w:r>
      <w:r>
        <w:t xml:space="preserve"> </w:t>
      </w:r>
      <w:r>
        <w:t xml:space="preserve">It applies to single-tenant and multitenant apps, is configured on the app registration’s</w:t>
      </w:r>
      <w:r>
        <w:t xml:space="preserve"> </w:t>
      </w:r>
      <w:r>
        <w:rPr>
          <w:b/>
          <w:bCs/>
        </w:rPr>
        <w:t xml:space="preserve">Authentication</w:t>
      </w:r>
      <w:r>
        <w:t xml:space="preserve"> </w:t>
      </w:r>
      <w:r>
        <w:t xml:space="preserve">page or through the</w:t>
      </w:r>
      <w:r>
        <w:t xml:space="preserve"> </w:t>
      </w:r>
      <w:r>
        <w:rPr>
          <w:rStyle w:val="VerbatimChar"/>
        </w:rPr>
        <w:t xml:space="preserve">servicePrincipalLockConfiguration</w:t>
      </w:r>
      <w:r>
        <w:t xml:space="preserve"> </w:t>
      </w:r>
      <w:r>
        <w:t xml:space="preserve">property, and since June 2026 is enabled by default for new applications.</w:t>
      </w:r>
      <w:r>
        <w:rPr>
          <w:rStyle w:val="FootnoteReference"/>
        </w:rPr>
        <w:footnoteReference w:id="488"/>
      </w:r>
      <w:r>
        <w:t xml:space="preserve"> </w:t>
      </w:r>
      <w:r>
        <w:t xml:space="preserve">Microsoft’s advice is to lock every sensitive property available, and it calls this especially critical for multitenant apps.</w:t>
      </w:r>
      <w:r>
        <w:rPr>
          <w:rStyle w:val="FootnoteReference"/>
        </w:rPr>
        <w:footnoteReference w:id="489"/>
      </w:r>
    </w:p>
    <w:p>
      <w:pPr>
        <w:pStyle w:val="BodyText"/>
      </w:pPr>
      <w:r>
        <w:t xml:space="preserve">The program locks all sensitive properties on every app registration it owns, and records the lock state in the application registry. A lock blocks the attack in which someone with Application Administrator or ownership of the service principal adds a credential and acts as the app.</w:t>
      </w:r>
    </w:p>
    <w:bookmarkEnd w:id="490"/>
    <w:bookmarkStart w:id="497" w:name="governing-app-registrations"/>
    <w:p>
      <w:pPr>
        <w:pStyle w:val="Heading2"/>
      </w:pPr>
      <w:bookmarkStart w:id="1205" w:name="_Toc00001205"/>
      <w:r>
        <w:t xml:space="preserve">Governing app registrations</w:t>
      </w:r>
      <w:bookmarkEnd w:id="1205"/>
    </w:p>
    <w:p>
      <w:pPr>
        <w:pStyle w:val="FirstParagraph"/>
      </w:pPr>
      <w:r>
        <w:t xml:space="preserve">An app registration is a workload identity: a service principal with credentials and consented permissions. The program governs its whole lifecycle the same way Book 03 governs a person’s joiner, mover and leaver events. Each stage produces a record, and the last stage, retirement, is the one most often skipped.</w:t>
      </w:r>
    </w:p>
    <w:bookmarkStart w:id="494" w:name="fig-ch05-app-lifecycle"/>
    <w:p>
      <w:pPr>
        <w:pStyle w:val="CaptionedFigure"/>
      </w:pPr>
      <w:r>
        <w:drawing>
          <wp:inline>
            <wp:extent cx="5334000" cy="1384570"/>
            <wp:effectExtent b="0" l="0" r="0" t="0"/>
            <wp:docPr descr="The governed lifecycle of an app registration runs from request through consent, credential, rotation and attestation to retirement, with scope changes returning to consent." title="" id="492" name="Picture"/>
            <a:graphic>
              <a:graphicData uri="http://schemas.openxmlformats.org/drawingml/2006/picture">
                <pic:pic>
                  <pic:nvPicPr>
                    <pic:cNvPr descr="/home/runner/work/modernization-workbook/modernization-workbook/docs/images/diagrams/b04-access/png/ch05-app-lifecycle.png" id="493" name="Picture"/>
                    <pic:cNvPicPr>
                      <a:picLocks noChangeArrowheads="1" noChangeAspect="1"/>
                    </pic:cNvPicPr>
                  </pic:nvPicPr>
                  <pic:blipFill>
                    <a:blip r:embed="rId491"/>
                    <a:stretch>
                      <a:fillRect/>
                    </a:stretch>
                  </pic:blipFill>
                  <pic:spPr bwMode="auto">
                    <a:xfrm>
                      <a:off x="0" y="0"/>
                      <a:ext cx="5334000" cy="1384570"/>
                    </a:xfrm>
                    <a:prstGeom prst="rect">
                      <a:avLst/>
                    </a:prstGeom>
                    <a:noFill/>
                    <a:ln w="9525">
                      <a:noFill/>
                      <a:headEnd/>
                      <a:tailEnd/>
                    </a:ln>
                  </pic:spPr>
                </pic:pic>
              </a:graphicData>
            </a:graphic>
          </wp:inline>
        </w:drawing>
      </w:r>
    </w:p>
    <w:p>
      <w:pPr>
        <w:pStyle w:val="ImageCaption"/>
      </w:pPr>
      <w:r>
        <w:t xml:space="preserve">The governed lifecycle of an app registration runs from request through consent, credential, rotation and attestation to retirement, with scope changes returning to consent.</w:t>
      </w:r>
    </w:p>
    <w:bookmarkEnd w:id="494"/>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What happens</w:t>
            </w:r>
          </w:p>
        </w:tc>
        <w:tc>
          <w:tcPr/>
          <w:p>
            <w:pPr>
              <w:pStyle w:val="Compact"/>
            </w:pPr>
            <w:r>
              <w:t xml:space="preserve">Control the program maps it to</w:t>
            </w:r>
          </w:p>
        </w:tc>
      </w:tr>
      <w:tr>
        <w:tc>
          <w:tcPr/>
          <w:p>
            <w:pPr>
              <w:pStyle w:val="Compact"/>
            </w:pPr>
            <w:r>
              <w:t xml:space="preserve">1. Request</w:t>
            </w:r>
          </w:p>
        </w:tc>
        <w:tc>
          <w:tcPr/>
          <w:p>
            <w:pPr>
              <w:pStyle w:val="Compact"/>
            </w:pPr>
            <w:r>
              <w:t xml:space="preserve">A ticket names two human owners, the purpose, and the specific scopes needed, and the registration gets a risk tier before any credential exists</w:t>
            </w:r>
          </w:p>
        </w:tc>
        <w:tc>
          <w:tcPr/>
          <w:p>
            <w:pPr>
              <w:pStyle w:val="Compact"/>
            </w:pPr>
            <w:r>
              <w:t xml:space="preserve">AC-2</w:t>
            </w:r>
          </w:p>
        </w:tc>
      </w:tr>
      <w:tr>
        <w:tc>
          <w:tcPr/>
          <w:p>
            <w:pPr>
              <w:pStyle w:val="Compact"/>
            </w:pPr>
            <w:r>
              <w:t xml:space="preserve">2. Consent</w:t>
            </w:r>
          </w:p>
        </w:tc>
        <w:tc>
          <w:tcPr/>
          <w:p>
            <w:pPr>
              <w:pStyle w:val="Compact"/>
            </w:pPr>
            <w:r>
              <w:t xml:space="preserve">Scoped consent only; delegated permissions before application permissions; privileged or write scopes approved by the tier’s approver after security review</w:t>
            </w:r>
          </w:p>
        </w:tc>
        <w:tc>
          <w:tcPr/>
          <w:p>
            <w:pPr>
              <w:pStyle w:val="Compact"/>
            </w:pPr>
            <w:r>
              <w:t xml:space="preserve">AC-6</w:t>
            </w:r>
          </w:p>
        </w:tc>
      </w:tr>
      <w:tr>
        <w:tc>
          <w:tcPr/>
          <w:p>
            <w:pPr>
              <w:pStyle w:val="Compact"/>
            </w:pPr>
            <w:r>
              <w:t xml:space="preserve">3. Credential</w:t>
            </w:r>
          </w:p>
        </w:tc>
        <w:tc>
          <w:tcPr/>
          <w:p>
            <w:pPr>
              <w:pStyle w:val="Compact"/>
            </w:pPr>
            <w:r>
              <w:t xml:space="preserve">Managed identity or federated credential where possible; otherwise a certificate under the 180-day cap; secrets only by exception</w:t>
            </w:r>
          </w:p>
        </w:tc>
        <w:tc>
          <w:tcPr/>
          <w:p>
            <w:pPr>
              <w:pStyle w:val="Compact"/>
            </w:pPr>
            <w:r>
              <w:t xml:space="preserve">IA-5(2), SC-17</w:t>
            </w:r>
          </w:p>
        </w:tc>
      </w:tr>
      <w:tr>
        <w:tc>
          <w:tcPr/>
          <w:p>
            <w:pPr>
              <w:pStyle w:val="Compact"/>
            </w:pPr>
            <w:r>
              <w:t xml:space="preserve">4. Rotate</w:t>
            </w:r>
          </w:p>
        </w:tc>
        <w:tc>
          <w:tcPr/>
          <w:p>
            <w:pPr>
              <w:pStyle w:val="Compact"/>
            </w:pPr>
            <w:r>
              <w:t xml:space="preserve">Rotation is raised automatically before expiry and approved by the owner, so the app never depends on someone remembering</w:t>
            </w:r>
          </w:p>
        </w:tc>
        <w:tc>
          <w:tcPr/>
          <w:p>
            <w:pPr>
              <w:pStyle w:val="Compact"/>
            </w:pPr>
            <w:r>
              <w:t xml:space="preserve">IA-5(2)</w:t>
            </w:r>
          </w:p>
        </w:tc>
      </w:tr>
      <w:tr>
        <w:tc>
          <w:tcPr/>
          <w:p>
            <w:pPr>
              <w:pStyle w:val="Compact"/>
            </w:pPr>
            <w:r>
              <w:t xml:space="preserve">5. Attest</w:t>
            </w:r>
          </w:p>
        </w:tc>
        <w:tc>
          <w:tcPr/>
          <w:p>
            <w:pPr>
              <w:pStyle w:val="Compact"/>
            </w:pPr>
            <w:r>
              <w:t xml:space="preserve">Owners, permissions and credentials re-attested on the tier’s cadence; ownerless, unused or expired registrations flagged</w:t>
            </w:r>
          </w:p>
        </w:tc>
        <w:tc>
          <w:tcPr/>
          <w:p>
            <w:pPr>
              <w:pStyle w:val="Compact"/>
            </w:pPr>
            <w:r>
              <w:t xml:space="preserve">AC-6, CA-7</w:t>
            </w:r>
          </w:p>
        </w:tc>
      </w:tr>
      <w:tr>
        <w:tc>
          <w:tcPr/>
          <w:p>
            <w:pPr>
              <w:pStyle w:val="Compact"/>
            </w:pPr>
            <w:r>
              <w:t xml:space="preserve">6. Retire</w:t>
            </w:r>
          </w:p>
        </w:tc>
        <w:tc>
          <w:tcPr/>
          <w:p>
            <w:pPr>
              <w:pStyle w:val="Compact"/>
            </w:pPr>
            <w:r>
              <w:t xml:space="preserve">Deactivate first so nothing breaks silently, then revoke grants, remove credentials and delete</w:t>
            </w:r>
          </w:p>
        </w:tc>
        <w:tc>
          <w:tcPr/>
          <w:p>
            <w:pPr>
              <w:pStyle w:val="Compact"/>
            </w:pPr>
            <w:r>
              <w:t xml:space="preserve">AC-2</w:t>
            </w:r>
          </w:p>
        </w:tc>
      </w:tr>
    </w:tbl>
    <w:p>
      <w:pPr>
        <w:pStyle w:val="BodyText"/>
      </w:pPr>
      <w:r>
        <w:t xml:space="preserve">The control mappings are the program’s; the compliance book Vol IX Book 03 holds the authority table and closure argument, and Vol VI Book 02 expresses the same rules as versioned policy. NIST SP 800-53 frames the principle behind stages 2 and 5: least privilege applies to processes acting on behalf of users, not only to users.</w:t>
      </w:r>
      <w:r>
        <w:rPr>
          <w:rStyle w:val="FootnoteReference"/>
        </w:rPr>
        <w:footnoteReference w:id="495"/>
      </w:r>
    </w:p>
    <w:p>
      <w:pPr>
        <w:pStyle w:val="BodyText"/>
      </w:pPr>
      <w:r>
        <w:t xml:space="preserve">Three limits are worth stating plainly.</w:t>
      </w:r>
    </w:p>
    <w:p>
      <w:pPr>
        <w:pStyle w:val="Compact"/>
        <w:numPr>
          <w:ilvl w:val="0"/>
          <w:numId w:val="1033"/>
        </w:numPr>
      </w:pPr>
      <w:r>
        <w:t xml:space="preserve">Not every application supports certificates or federation. Where a secret is unavoidable, its lifetime is short, its rotation is automated, and the exception is on file.</w:t>
      </w:r>
    </w:p>
    <w:p>
      <w:pPr>
        <w:pStyle w:val="Compact"/>
        <w:numPr>
          <w:ilvl w:val="0"/>
          <w:numId w:val="1033"/>
        </w:numPr>
      </w:pPr>
      <w:r>
        <w:t xml:space="preserve">Consent governance covers new grants. Existing over-consented apps need a one-time sweep; the attestation cadence then keeps the estate from drifting back.</w:t>
      </w:r>
    </w:p>
    <w:p>
      <w:pPr>
        <w:pStyle w:val="Compact"/>
        <w:numPr>
          <w:ilvl w:val="0"/>
          <w:numId w:val="1033"/>
        </w:numPr>
      </w:pPr>
      <w:r>
        <w:t xml:space="preserve">Rotation depends on the certificate authority and key store chosen for the program. This chapter governs the workflow, not the authority.</w:t>
      </w:r>
    </w:p>
    <w:bookmarkStart w:id="496" w:name="a-read-only-inventory-to-start-from"/>
    <w:p>
      <w:pPr>
        <w:pStyle w:val="Heading3"/>
      </w:pPr>
      <w:r>
        <w:t xml:space="preserve">A read-only inventory to start from</w:t>
      </w:r>
    </w:p>
    <w:p>
      <w:pPr>
        <w:pStyle w:val="FirstParagraph"/>
      </w:pPr>
      <w:r>
        <w:t xml:space="preserve">The sweep starts with knowing what exists. The script below reads tenant consent settings and, for every app registration, its owner count, credentials, and the delegated and application permissions granted to its service principal. It changes nothing.</w:t>
      </w:r>
    </w:p>
    <w:bookmarkEnd w:id="496"/>
    <w:bookmarkEnd w:id="497"/>
    <w:bookmarkStart w:id="498" w:name="illustrative-code"/>
    <w:p>
      <w:pPr>
        <w:pStyle w:val="Heading2"/>
      </w:pPr>
      <w:bookmarkStart w:id="1206" w:name="_Toc00001206"/>
      <w:r>
        <w:t xml:space="preserve">Illustrative code</w:t>
      </w:r>
      <w:bookmarkEnd w:id="1206"/>
    </w:p>
    <w:p>
      <w:pPr>
        <w:pStyle w:val="FirstParagraph"/>
      </w:pPr>
      <w:r>
        <w:t xml:space="preserve">This script is illustrative and hasn’t been tested against a production tenant. Review it before running, run it with read-only permissions, and treat its output as sensitive: it’s a map of which apps can do what.</w:t>
      </w:r>
    </w:p>
    <w:bookmarkEnd w:id="498"/>
    <w:p>
      <w:pPr>
        <w:pStyle w:val="SourceCode"/>
      </w:pPr>
      <w:r>
        <w:rPr>
          <w:rStyle w:val="CommentTok"/>
        </w:rPr>
        <w:t xml:space="preserve">#Requires -Modules Microsoft.Graph.Applications, Microsoft.Graph.Identity.SignIns</w:t>
      </w:r>
      <w:r>
        <w:br/>
      </w:r>
      <w:r>
        <w:rPr>
          <w:rStyle w:val="CommentTok"/>
        </w:rPr>
        <w:t xml:space="preserve"># Federal Modernization Program: read-only inventory of app registrations,</w:t>
      </w:r>
      <w:r>
        <w:br/>
      </w:r>
      <w:r>
        <w:rPr>
          <w:rStyle w:val="CommentTok"/>
        </w:rPr>
        <w:t xml:space="preserve"># their owners and credentials, and the permissions granted to their service principals.</w:t>
      </w:r>
      <w:r>
        <w:br/>
      </w:r>
      <w:r>
        <w:rPr>
          <w:rStyle w:val="NormalTok"/>
        </w:rPr>
        <w:t xml:space="preserve">Connect-MgGraph </w:t>
      </w:r>
      <w:r>
        <w:rPr>
          <w:rStyle w:val="OperatorTok"/>
        </w:rPr>
        <w:t xml:space="preserve">-</w:t>
      </w:r>
      <w:r>
        <w:rPr>
          <w:rStyle w:val="NormalTok"/>
        </w:rPr>
        <w:t xml:space="preserve">Scopes </w:t>
      </w:r>
      <w:r>
        <w:rPr>
          <w:rStyle w:val="StringTok"/>
        </w:rPr>
        <w:t xml:space="preserve">'Application.Read.All'</w:t>
      </w:r>
      <w:r>
        <w:rPr>
          <w:rStyle w:val="OperatorTok"/>
        </w:rPr>
        <w:t xml:space="preserve">,</w:t>
      </w:r>
      <w:r>
        <w:rPr>
          <w:rStyle w:val="NormalTok"/>
        </w:rPr>
        <w:t xml:space="preserve"> </w:t>
      </w:r>
      <w:r>
        <w:rPr>
          <w:rStyle w:val="StringTok"/>
        </w:rPr>
        <w:t xml:space="preserve">'Directory.Read.All'</w:t>
      </w:r>
      <w:r>
        <w:rPr>
          <w:rStyle w:val="OperatorTok"/>
        </w:rPr>
        <w:t xml:space="preserve">,</w:t>
      </w:r>
      <w:r>
        <w:rPr>
          <w:rStyle w:val="NormalTok"/>
        </w:rPr>
        <w:t xml:space="preserve"> </w:t>
      </w:r>
      <w:r>
        <w:rPr>
          <w:rStyle w:val="StringTok"/>
        </w:rPr>
        <w:t xml:space="preserve">'Policy.Read.All'</w:t>
      </w:r>
      <w:r>
        <w:rPr>
          <w:rStyle w:val="NormalTok"/>
        </w:rPr>
        <w:t xml:space="preserve"> </w:t>
      </w:r>
      <w:r>
        <w:rPr>
          <w:rStyle w:val="OperatorTok"/>
        </w:rPr>
        <w:t xml:space="preserve">-</w:t>
      </w:r>
      <w:r>
        <w:rPr>
          <w:rStyle w:val="NormalTok"/>
        </w:rPr>
        <w:t xml:space="preserve">NoWelcome</w:t>
      </w:r>
      <w:r>
        <w:br/>
      </w:r>
      <w:r>
        <w:br/>
      </w:r>
      <w:r>
        <w:rPr>
          <w:rStyle w:val="CommentTok"/>
        </w:rPr>
        <w:t xml:space="preserve"># Tenant settings: can users register apps, and which policies govern user consent?</w:t>
      </w:r>
      <w:r>
        <w:br/>
      </w:r>
      <w:r>
        <w:rPr>
          <w:rStyle w:val="VariableTok"/>
        </w:rPr>
        <w:t xml:space="preserve">$authz</w:t>
      </w:r>
      <w:r>
        <w:rPr>
          <w:rStyle w:val="NormalTok"/>
        </w:rPr>
        <w:t xml:space="preserve"> </w:t>
      </w:r>
      <w:r>
        <w:rPr>
          <w:rStyle w:val="OperatorTok"/>
        </w:rPr>
        <w:t xml:space="preserve">=</w:t>
      </w:r>
      <w:r>
        <w:rPr>
          <w:rStyle w:val="NormalTok"/>
        </w:rPr>
        <w:t xml:space="preserve"> Get-MgPolicyAuthorizationPolicy</w:t>
      </w:r>
      <w:r>
        <w:br/>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UsersCanRegisterApps </w:t>
      </w:r>
      <w:r>
        <w:rPr>
          <w:rStyle w:val="OperatorTok"/>
        </w:rPr>
        <w:t xml:space="preserve">=</w:t>
      </w:r>
      <w:r>
        <w:rPr>
          <w:rStyle w:val="NormalTok"/>
        </w:rPr>
        <w:t xml:space="preserve"> </w:t>
      </w:r>
      <w:r>
        <w:rPr>
          <w:rStyle w:val="VariableTok"/>
        </w:rPr>
        <w:t xml:space="preserve">$authz</w:t>
      </w:r>
      <w:r>
        <w:rPr>
          <w:rStyle w:val="OperatorTok"/>
        </w:rPr>
        <w:t xml:space="preserve">.</w:t>
      </w:r>
      <w:r>
        <w:rPr>
          <w:rStyle w:val="FunctionTok"/>
        </w:rPr>
        <w:t xml:space="preserve">DefaultUserRolePermissions</w:t>
      </w:r>
      <w:r>
        <w:rPr>
          <w:rStyle w:val="OperatorTok"/>
        </w:rPr>
        <w:t xml:space="preserve">.</w:t>
      </w:r>
      <w:r>
        <w:rPr>
          <w:rStyle w:val="FunctionTok"/>
        </w:rPr>
        <w:t xml:space="preserve">AllowedToCreateApps</w:t>
      </w:r>
      <w:r>
        <w:br/>
      </w:r>
      <w:r>
        <w:rPr>
          <w:rStyle w:val="NormalTok"/>
        </w:rPr>
        <w:t xml:space="preserve">    UserConsentPolicies  </w:t>
      </w:r>
      <w:r>
        <w:rPr>
          <w:rStyle w:val="OperatorTok"/>
        </w:rPr>
        <w:t xml:space="preserve">=</w:t>
      </w:r>
      <w:r>
        <w:rPr>
          <w:rStyle w:val="NormalTok"/>
        </w:rPr>
        <w:t xml:space="preserve"> </w:t>
      </w:r>
      <w:r>
        <w:rPr>
          <w:rStyle w:val="VariableTok"/>
        </w:rPr>
        <w:t xml:space="preserve">$authz</w:t>
      </w:r>
      <w:r>
        <w:rPr>
          <w:rStyle w:val="OperatorTok"/>
        </w:rPr>
        <w:t xml:space="preserve">.</w:t>
      </w:r>
      <w:r>
        <w:rPr>
          <w:rStyle w:val="FunctionTok"/>
        </w:rPr>
        <w:t xml:space="preserve">DefaultUserRolePermissions</w:t>
      </w:r>
      <w:r>
        <w:rPr>
          <w:rStyle w:val="OperatorTok"/>
        </w:rPr>
        <w:t xml:space="preserve">.</w:t>
      </w:r>
      <w:r>
        <w:rPr>
          <w:rStyle w:val="FunctionTok"/>
        </w:rPr>
        <w:t xml:space="preserve">PermissionGrantPoliciesAssigned</w:t>
      </w:r>
      <w:r>
        <w:rPr>
          <w:rStyle w:val="NormalTok"/>
        </w:rPr>
        <w:t xml:space="preserve"> </w:t>
      </w:r>
      <w:r>
        <w:rPr>
          <w:rStyle w:val="OperatorTok"/>
        </w:rPr>
        <w:t xml:space="preserve">-join</w:t>
      </w:r>
      <w:r>
        <w:rPr>
          <w:rStyle w:val="NormalTok"/>
        </w:rPr>
        <w:t xml:space="preserve"> </w:t>
      </w:r>
      <w:r>
        <w:rPr>
          <w:rStyle w:val="StringTok"/>
        </w:rPr>
        <w:t xml:space="preserve">'; '</w:t>
      </w:r>
      <w:r>
        <w:br/>
      </w:r>
      <w:r>
        <w:rPr>
          <w:rStyle w:val="OperatorTok"/>
        </w:rPr>
        <w:t xml:space="preserve">}</w:t>
      </w:r>
      <w:r>
        <w:br/>
      </w:r>
      <w:r>
        <w:br/>
      </w:r>
      <w:r>
        <w:rPr>
          <w:rStyle w:val="VariableTok"/>
        </w:rPr>
        <w:t xml:space="preserve">$apps</w:t>
      </w:r>
      <w:r>
        <w:rPr>
          <w:rStyle w:val="NormalTok"/>
        </w:rPr>
        <w:t xml:space="preserve"> </w:t>
      </w:r>
      <w:r>
        <w:rPr>
          <w:rStyle w:val="OperatorTok"/>
        </w:rPr>
        <w:t xml:space="preserve">=</w:t>
      </w:r>
      <w:r>
        <w:rPr>
          <w:rStyle w:val="NormalTok"/>
        </w:rPr>
        <w:t xml:space="preserve"> Get-MgApplication </w:t>
      </w:r>
      <w:r>
        <w:rPr>
          <w:rStyle w:val="OperatorTok"/>
        </w:rPr>
        <w:t xml:space="preserve">-</w:t>
      </w:r>
      <w:r>
        <w:rPr>
          <w:rStyle w:val="NormalTok"/>
        </w:rPr>
        <w:t xml:space="preserve">All </w:t>
      </w:r>
      <w:r>
        <w:rPr>
          <w:rStyle w:val="OperatorTok"/>
        </w:rPr>
        <w:t xml:space="preserve">-</w:t>
      </w:r>
      <w:r>
        <w:rPr>
          <w:rStyle w:val="NormalTok"/>
        </w:rPr>
        <w:t xml:space="preserve">Property </w:t>
      </w:r>
      <w:r>
        <w:rPr>
          <w:rStyle w:val="StringTok"/>
        </w:rPr>
        <w:t xml:space="preserve">'id,appId,displayName,passwordCredentials,keyCredentials,serviceManagementReference'</w:t>
      </w:r>
      <w:r>
        <w:br/>
      </w:r>
      <w:r>
        <w:br/>
      </w:r>
      <w:r>
        <w:rPr>
          <w:rStyle w:val="VariableTok"/>
        </w:rPr>
        <w:t xml:space="preserve">$report</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$app</w:t>
      </w:r>
      <w:r>
        <w:rPr>
          <w:rStyle w:val="NormalTok"/>
        </w:rPr>
        <w:t xml:space="preserve"> </w:t>
      </w:r>
      <w:r>
        <w:rPr>
          <w:rStyle w:val="KeywordTok"/>
        </w:rPr>
        <w:t xml:space="preserve">in</w:t>
      </w:r>
      <w:r>
        <w:rPr>
          <w:rStyle w:val="NormalTok"/>
        </w:rPr>
        <w:t xml:space="preserve"> </w:t>
      </w:r>
      <w:r>
        <w:rPr>
          <w:rStyle w:val="VariableTok"/>
        </w:rPr>
        <w:t xml:space="preserve">$apps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$owners</w:t>
      </w:r>
      <w:r>
        <w:rPr>
          <w:rStyle w:val="NormalTok"/>
        </w:rPr>
        <w:t xml:space="preserve"> </w:t>
      </w:r>
      <w:r>
        <w:rPr>
          <w:rStyle w:val="OperatorTok"/>
        </w:rPr>
        <w:t xml:space="preserve">=</w:t>
      </w:r>
      <w:r>
        <w:rPr>
          <w:rStyle w:val="NormalTok"/>
        </w:rPr>
        <w:t xml:space="preserve"> Get-MgApplicationOwner </w:t>
      </w:r>
      <w:r>
        <w:rPr>
          <w:rStyle w:val="OperatorTok"/>
        </w:rPr>
        <w:t xml:space="preserve">-</w:t>
      </w:r>
      <w:r>
        <w:rPr>
          <w:rStyle w:val="NormalTok"/>
        </w:rPr>
        <w:t xml:space="preserve">ApplicationId </w:t>
      </w:r>
      <w:r>
        <w:rPr>
          <w:rStyle w:val="VariableTok"/>
        </w:rPr>
        <w:t xml:space="preserve">$app</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VariableTok"/>
        </w:rPr>
        <w:t xml:space="preserve">$sp</w:t>
      </w:r>
      <w:r>
        <w:rPr>
          <w:rStyle w:val="NormalTok"/>
        </w:rPr>
        <w:t xml:space="preserve"> </w:t>
      </w:r>
      <w:r>
        <w:rPr>
          <w:rStyle w:val="OperatorTok"/>
        </w:rPr>
        <w:t xml:space="preserve">=</w:t>
      </w:r>
      <w:r>
        <w:rPr>
          <w:rStyle w:val="NormalTok"/>
        </w:rPr>
        <w:t xml:space="preserve"> Get-MgServicePrincipal </w:t>
      </w:r>
      <w:r>
        <w:rPr>
          <w:rStyle w:val="OperatorTok"/>
        </w:rPr>
        <w:t xml:space="preserve">-</w:t>
      </w:r>
      <w:r>
        <w:rPr>
          <w:rStyle w:val="NormalTok"/>
        </w:rPr>
        <w:t xml:space="preserve">Filter </w:t>
      </w:r>
      <w:r>
        <w:rPr>
          <w:rStyle w:val="StringTok"/>
        </w:rPr>
        <w:t xml:space="preserve">"appId eq '</w:t>
      </w:r>
      <w:r>
        <w:rPr>
          <w:rStyle w:val="OperatorTok"/>
        </w:rPr>
        <w:t xml:space="preserve">$(</w:t>
      </w:r>
      <w:r>
        <w:rPr>
          <w:rStyle w:val="VariableTok"/>
        </w:rPr>
        <w:t xml:space="preserve">$app</w:t>
      </w:r>
      <w:r>
        <w:rPr>
          <w:rStyle w:val="OperatorTok"/>
        </w:rPr>
        <w:t xml:space="preserve">.</w:t>
      </w:r>
      <w:r>
        <w:rPr>
          <w:rStyle w:val="FunctionTok"/>
        </w:rPr>
        <w:t xml:space="preserve">AppId</w:t>
      </w:r>
      <w:r>
        <w:rPr>
          <w:rStyle w:val="OperatorTok"/>
        </w:rPr>
        <w:t xml:space="preserve">)</w:t>
      </w:r>
      <w:r>
        <w:rPr>
          <w:rStyle w:val="StringTok"/>
        </w:rPr>
        <w:t xml:space="preserve">'"</w:t>
      </w:r>
      <w:r>
        <w:br/>
      </w:r>
      <w:r>
        <w:br/>
      </w:r>
      <w:r>
        <w:rPr>
          <w:rStyle w:val="NormalTok"/>
        </w:rPr>
        <w:t xml:space="preserve">    </w:t>
      </w:r>
      <w:r>
        <w:rPr>
          <w:rStyle w:val="VariableTok"/>
        </w:rPr>
        <w:t xml:space="preserve">$delegated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$appRoles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$delegated</w:t>
      </w:r>
      <w:r>
        <w:rPr>
          <w:rStyle w:val="NormalTok"/>
        </w:rPr>
        <w:t xml:space="preserve"> </w:t>
      </w:r>
      <w:r>
        <w:rPr>
          <w:rStyle w:val="OperatorTok"/>
        </w:rPr>
        <w:t xml:space="preserve">=</w:t>
      </w:r>
      <w:r>
        <w:rPr>
          <w:rStyle w:val="NormalTok"/>
        </w:rPr>
        <w:t xml:space="preserve"> Get-MgOauth2PermissionGrant </w:t>
      </w:r>
      <w:r>
        <w:rPr>
          <w:rStyle w:val="OperatorTok"/>
        </w:rPr>
        <w:t xml:space="preserve">-</w:t>
      </w:r>
      <w:r>
        <w:rPr>
          <w:rStyle w:val="NormalTok"/>
        </w:rPr>
        <w:t xml:space="preserve">Filter </w:t>
      </w:r>
      <w:r>
        <w:rPr>
          <w:rStyle w:val="StringTok"/>
        </w:rPr>
        <w:t xml:space="preserve">"clientId eq '</w:t>
      </w:r>
      <w:r>
        <w:rPr>
          <w:rStyle w:val="OperatorTok"/>
        </w:rPr>
        <w:t xml:space="preserve">$(</w:t>
      </w:r>
      <w:r>
        <w:rPr>
          <w:rStyle w:val="VariableTok"/>
        </w:rPr>
        <w:t xml:space="preserve">$sp</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VariableTok"/>
        </w:rPr>
        <w:t xml:space="preserve">$appRoles</w:t>
      </w:r>
      <w:r>
        <w:rPr>
          <w:rStyle w:val="NormalTok"/>
        </w:rPr>
        <w:t xml:space="preserve">  </w:t>
      </w:r>
      <w:r>
        <w:rPr>
          <w:rStyle w:val="OperatorTok"/>
        </w:rPr>
        <w:t xml:space="preserve">=</w:t>
      </w:r>
      <w:r>
        <w:rPr>
          <w:rStyle w:val="NormalTok"/>
        </w:rPr>
        <w:t xml:space="preserve"> Get-MgServicePrincipalAppRoleAssignment </w:t>
      </w:r>
      <w:r>
        <w:rPr>
          <w:rStyle w:val="OperatorTok"/>
        </w:rPr>
        <w:t xml:space="preserve">-</w:t>
      </w:r>
      <w:r>
        <w:rPr>
          <w:rStyle w:val="NormalTok"/>
        </w:rPr>
        <w:t xml:space="preserve">ServicePrincipalId </w:t>
      </w:r>
      <w:r>
        <w:rPr>
          <w:rStyle w:val="VariableTok"/>
        </w:rPr>
        <w:t xml:space="preserve">$sp</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OperatorTok"/>
        </w:rPr>
        <w:t xml:space="preserve">}</w:t>
      </w:r>
      <w:r>
        <w:br/>
      </w:r>
      <w:r>
        <w:br/>
      </w:r>
      <w:r>
        <w:rPr>
          <w:rStyle w:val="NormalTok"/>
        </w:rPr>
        <w:t xml:space="preserve">    </w:t>
      </w:r>
      <w:r>
        <w:rPr>
          <w:rStyle w:val="VariableTok"/>
        </w:rPr>
        <w:t xml:space="preserve">$secretCount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$app</w:t>
      </w:r>
      <w:r>
        <w:rPr>
          <w:rStyle w:val="OperatorTok"/>
        </w:rPr>
        <w:t xml:space="preserve">.</w:t>
      </w:r>
      <w:r>
        <w:rPr>
          <w:rStyle w:val="FunctionTok"/>
        </w:rPr>
        <w:t xml:space="preserve">PasswordCredentials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VariableTok"/>
        </w:rPr>
        <w:t xml:space="preserve">$certCount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$app</w:t>
      </w:r>
      <w:r>
        <w:rPr>
          <w:rStyle w:val="OperatorTok"/>
        </w:rPr>
        <w:t xml:space="preserve">.</w:t>
      </w:r>
      <w:r>
        <w:rPr>
          <w:rStyle w:val="FunctionTok"/>
        </w:rPr>
        <w:t xml:space="preserve">KeyCredentials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$app</w:t>
      </w:r>
      <w:r>
        <w:rPr>
          <w:rStyle w:val="OperatorTok"/>
        </w:rPr>
        <w:t xml:space="preserve">.</w:t>
      </w:r>
      <w:r>
        <w:rPr>
          <w:rStyle w:val="FunctionTok"/>
        </w:rPr>
        <w:t xml:space="preserve">DisplayName</w:t>
      </w:r>
      <w:r>
        <w:br/>
      </w:r>
      <w:r>
        <w:rPr>
          <w:rStyle w:val="NormalTok"/>
        </w:rPr>
        <w:t xml:space="preserve">        AppId                </w:t>
      </w:r>
      <w:r>
        <w:rPr>
          <w:rStyle w:val="OperatorTok"/>
        </w:rPr>
        <w:t xml:space="preserve">=</w:t>
      </w:r>
      <w:r>
        <w:rPr>
          <w:rStyle w:val="NormalTok"/>
        </w:rPr>
        <w:t xml:space="preserve"> </w:t>
      </w:r>
      <w:r>
        <w:rPr>
          <w:rStyle w:val="VariableTok"/>
        </w:rPr>
        <w:t xml:space="preserve">$app</w:t>
      </w:r>
      <w:r>
        <w:rPr>
          <w:rStyle w:val="OperatorTok"/>
        </w:rPr>
        <w:t xml:space="preserve">.</w:t>
      </w:r>
      <w:r>
        <w:rPr>
          <w:rStyle w:val="FunctionTok"/>
        </w:rPr>
        <w:t xml:space="preserve">AppId</w:t>
      </w:r>
      <w:r>
        <w:br/>
      </w:r>
      <w:r>
        <w:rPr>
          <w:rStyle w:val="NormalTok"/>
        </w:rPr>
        <w:t xml:space="preserve">        OwnerCount           </w:t>
      </w:r>
      <w:r>
        <w:rPr>
          <w:rStyle w:val="OperatorTok"/>
        </w:rPr>
        <w:t xml:space="preserve">=</w:t>
      </w:r>
      <w:r>
        <w:rPr>
          <w:rStyle w:val="NormalTok"/>
        </w:rPr>
        <w:t xml:space="preserve"> </w:t>
      </w:r>
      <w:r>
        <w:rPr>
          <w:rStyle w:val="OperatorTok"/>
        </w:rPr>
        <w:t xml:space="preserve">(</w:t>
      </w:r>
      <w:r>
        <w:rPr>
          <w:rStyle w:val="VariableTok"/>
        </w:rPr>
        <w:t xml:space="preserve">$owners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ServiceReference     </w:t>
      </w:r>
      <w:r>
        <w:rPr>
          <w:rStyle w:val="OperatorTok"/>
        </w:rPr>
        <w:t xml:space="preserve">=</w:t>
      </w:r>
      <w:r>
        <w:rPr>
          <w:rStyle w:val="NormalTok"/>
        </w:rPr>
        <w:t xml:space="preserve"> </w:t>
      </w:r>
      <w:r>
        <w:rPr>
          <w:rStyle w:val="VariableTok"/>
        </w:rPr>
        <w:t xml:space="preserve">$app</w:t>
      </w:r>
      <w:r>
        <w:rPr>
          <w:rStyle w:val="OperatorTok"/>
        </w:rPr>
        <w:t xml:space="preserve">.</w:t>
      </w:r>
      <w:r>
        <w:rPr>
          <w:rStyle w:val="FunctionTok"/>
        </w:rPr>
        <w:t xml:space="preserve">ServiceManagementReference</w:t>
      </w:r>
      <w:r>
        <w:br/>
      </w:r>
      <w:r>
        <w:rPr>
          <w:rStyle w:val="NormalTok"/>
        </w:rPr>
        <w:t xml:space="preserve">        Secrets              </w:t>
      </w:r>
      <w:r>
        <w:rPr>
          <w:rStyle w:val="OperatorTok"/>
        </w:rPr>
        <w:t xml:space="preserve">=</w:t>
      </w:r>
      <w:r>
        <w:rPr>
          <w:rStyle w:val="NormalTok"/>
        </w:rPr>
        <w:t xml:space="preserve"> </w:t>
      </w:r>
      <w:r>
        <w:rPr>
          <w:rStyle w:val="VariableTok"/>
        </w:rPr>
        <w:t xml:space="preserve">$secretCount</w:t>
      </w:r>
      <w:r>
        <w:br/>
      </w:r>
      <w:r>
        <w:rPr>
          <w:rStyle w:val="NormalTok"/>
        </w:rPr>
        <w:t xml:space="preserve">        Certificates         </w:t>
      </w:r>
      <w:r>
        <w:rPr>
          <w:rStyle w:val="OperatorTok"/>
        </w:rPr>
        <w:t xml:space="preserve">=</w:t>
      </w:r>
      <w:r>
        <w:rPr>
          <w:rStyle w:val="NormalTok"/>
        </w:rPr>
        <w:t xml:space="preserve"> </w:t>
      </w:r>
      <w:r>
        <w:rPr>
          <w:rStyle w:val="VariableTok"/>
        </w:rPr>
        <w:t xml:space="preserve">$certCount</w:t>
      </w:r>
      <w:r>
        <w:br/>
      </w:r>
      <w:r>
        <w:rPr>
          <w:rStyle w:val="NormalTok"/>
        </w:rPr>
        <w:t xml:space="preserve">        DelegatedScopes      </w:t>
      </w:r>
      <w:r>
        <w:rPr>
          <w:rStyle w:val="OperatorTok"/>
        </w:rPr>
        <w:t xml:space="preserve">=</w:t>
      </w:r>
      <w:r>
        <w:rPr>
          <w:rStyle w:val="NormalTok"/>
        </w:rPr>
        <w:t xml:space="preserve"> </w:t>
      </w:r>
      <w:r>
        <w:rPr>
          <w:rStyle w:val="OperatorTok"/>
        </w:rPr>
        <w:t xml:space="preserve">(</w:t>
      </w:r>
      <w:r>
        <w:rPr>
          <w:rStyle w:val="VariableTok"/>
        </w:rPr>
        <w:t xml:space="preserve">$delegated</w:t>
      </w:r>
      <w:r>
        <w:rPr>
          <w:rStyle w:val="OperatorTok"/>
        </w:rPr>
        <w:t xml:space="preserve">.</w:t>
      </w:r>
      <w:r>
        <w:rPr>
          <w:rStyle w:val="FunctionTok"/>
        </w:rPr>
        <w:t xml:space="preserve">Scope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br/>
      </w:r>
      <w:r>
        <w:rPr>
          <w:rStyle w:val="NormalTok"/>
        </w:rPr>
        <w:t xml:space="preserve">        TenantWideDelegated  </w:t>
      </w:r>
      <w:r>
        <w:rPr>
          <w:rStyle w:val="OperatorTok"/>
        </w:rPr>
        <w:t xml:space="preserve">=</w:t>
      </w:r>
      <w:r>
        <w:rPr>
          <w:rStyle w:val="NormalTok"/>
        </w:rPr>
        <w:t xml:space="preserve"> </w:t>
      </w:r>
      <w:r>
        <w:rPr>
          <w:rStyle w:val="OperatorTok"/>
        </w:rPr>
        <w:t xml:space="preserve">[</w:t>
      </w:r>
      <w:r>
        <w:rPr>
          <w:rStyle w:val="DataTypeTok"/>
        </w:rPr>
        <w:t xml:space="preserve">bool</w:t>
      </w:r>
      <w:r>
        <w:rPr>
          <w:rStyle w:val="OperatorTok"/>
        </w:rPr>
        <w:t xml:space="preserve">](</w:t>
      </w:r>
      <w:r>
        <w:rPr>
          <w:rStyle w:val="VariableTok"/>
        </w:rPr>
        <w:t xml:space="preserve">$delegated</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ConsentType </w:t>
      </w:r>
      <w:r>
        <w:rPr>
          <w:rStyle w:val="OperatorTok"/>
        </w:rPr>
        <w:t xml:space="preserve">-eq</w:t>
      </w:r>
      <w:r>
        <w:rPr>
          <w:rStyle w:val="NormalTok"/>
        </w:rPr>
        <w:t xml:space="preserve"> </w:t>
      </w:r>
      <w:r>
        <w:rPr>
          <w:rStyle w:val="StringTok"/>
        </w:rPr>
        <w:t xml:space="preserve">'AllPrincipals'</w:t>
      </w:r>
      <w:r>
        <w:rPr>
          <w:rStyle w:val="OperatorTok"/>
        </w:rPr>
        <w:t xml:space="preserve">)</w:t>
      </w:r>
      <w:r>
        <w:br/>
      </w:r>
      <w:r>
        <w:rPr>
          <w:rStyle w:val="NormalTok"/>
        </w:rPr>
        <w:t xml:space="preserve">        AppPermissionCount   </w:t>
      </w:r>
      <w:r>
        <w:rPr>
          <w:rStyle w:val="OperatorTok"/>
        </w:rPr>
        <w:t xml:space="preserve">=</w:t>
      </w:r>
      <w:r>
        <w:rPr>
          <w:rStyle w:val="NormalTok"/>
        </w:rPr>
        <w:t xml:space="preserve"> </w:t>
      </w:r>
      <w:r>
        <w:rPr>
          <w:rStyle w:val="OperatorTok"/>
        </w:rPr>
        <w:t xml:space="preserve">(</w:t>
      </w:r>
      <w:r>
        <w:rPr>
          <w:rStyle w:val="VariableTok"/>
        </w:rPr>
        <w:t xml:space="preserve">$appRoles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AppPermissionTargets </w:t>
      </w:r>
      <w:r>
        <w:rPr>
          <w:rStyle w:val="OperatorTok"/>
        </w:rPr>
        <w:t xml:space="preserve">=</w:t>
      </w:r>
      <w:r>
        <w:rPr>
          <w:rStyle w:val="NormalTok"/>
        </w:rPr>
        <w:t xml:space="preserve"> </w:t>
      </w:r>
      <w:r>
        <w:rPr>
          <w:rStyle w:val="OperatorTok"/>
        </w:rPr>
        <w:t xml:space="preserve">(</w:t>
      </w:r>
      <w:r>
        <w:rPr>
          <w:rStyle w:val="VariableTok"/>
        </w:rPr>
        <w:t xml:space="preserve">$appRoles</w:t>
      </w:r>
      <w:r>
        <w:rPr>
          <w:rStyle w:val="OperatorTok"/>
        </w:rPr>
        <w:t xml:space="preserve">.</w:t>
      </w:r>
      <w:r>
        <w:rPr>
          <w:rStyle w:val="FunctionTok"/>
        </w:rPr>
        <w:t xml:space="preserve">ResourceDisplayName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rPr>
          <w:rStyle w:val="NormalTok"/>
        </w:rPr>
        <w:t xml:space="preserve">Unique</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br/>
      </w:r>
      <w:r>
        <w:rPr>
          <w:rStyle w:val="NormalTok"/>
        </w:rPr>
        <w:t xml:space="preserve">        NeedsAttention       </w:t>
      </w:r>
      <w:r>
        <w:rPr>
          <w:rStyle w:val="OperatorTok"/>
        </w:rPr>
        <w:t xml:space="preserve">=</w:t>
      </w:r>
      <w:r>
        <w:rPr>
          <w:rStyle w:val="NormalTok"/>
        </w:rPr>
        <w:t xml:space="preserve"> </w:t>
      </w:r>
      <w:r>
        <w:rPr>
          <w:rStyle w:val="OperatorTok"/>
        </w:rPr>
        <w:t xml:space="preserve">((</w:t>
      </w:r>
      <w:r>
        <w:rPr>
          <w:rStyle w:val="VariableTok"/>
        </w:rPr>
        <w:t xml:space="preserve">$owners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-lt</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$secretCount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$appRoles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NeedsAttention</w:t>
      </w:r>
      <w:r>
        <w:rPr>
          <w:rStyle w:val="OperatorTok"/>
        </w:rPr>
        <w:t xml:space="preserve">,</w:t>
      </w:r>
      <w:r>
        <w:rPr>
          <w:rStyle w:val="NormalTok"/>
        </w:rPr>
        <w:t xml:space="preserve"> AppPermissionCount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".\FMP-AppRegistrationInventory-</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Rows flagged</w:t>
      </w:r>
      <w:r>
        <w:t xml:space="preserve"> </w:t>
      </w:r>
      <w:r>
        <w:rPr>
          <w:rStyle w:val="VerbatimChar"/>
        </w:rPr>
        <w:t xml:space="preserve">NeedsAttention</w:t>
      </w:r>
      <w:r>
        <w:t xml:space="preserve"> </w:t>
      </w:r>
      <w:r>
        <w:t xml:space="preserve">have fewer than two owners, hold a client secret, or hold application permissions. Each is a candidate for Tier 1 handling until classified. Service principals with no app registration in the tenant, such as third-party SaaS apps and managed identities, need a second pass over</w:t>
      </w:r>
      <w:r>
        <w:t xml:space="preserve"> </w:t>
      </w:r>
      <w:r>
        <w:rPr>
          <w:rStyle w:val="VerbatimChar"/>
        </w:rPr>
        <w:t xml:space="preserve">Get-MgServicePrincipal</w:t>
      </w:r>
      <w:r>
        <w:t xml:space="preserve"> </w:t>
      </w:r>
      <w:r>
        <w:t xml:space="preserve">with the same permission queries.</w:t>
      </w:r>
    </w:p>
    <w:bookmarkStart w:id="499" w:name="continue-the-book-4"/>
    <w:p>
      <w:pPr>
        <w:pStyle w:val="Heading2"/>
      </w:pPr>
      <w:bookmarkStart w:id="1207" w:name="_Toc00001207"/>
      <w:r>
        <w:t xml:space="preserve">Continue the book</w:t>
      </w:r>
      <w:bookmarkEnd w:id="1207"/>
    </w:p>
    <w:p>
      <w:pPr>
        <w:pStyle w:val="FirstParagraph"/>
      </w:pPr>
      <w:r>
        <w:t xml:space="preserve">← Previous: Chapter 04 — Privileged Roles and Tiers · Book index · Next: Chapter 06 — Who Decides Access →</w:t>
      </w:r>
    </w:p>
    <w:bookmarkEnd w:id="499"/>
    <w:bookmarkEnd w:id="500"/>
    <w:bookmarkStart w:id="551" w:name="chapter-06-who-decides-access"/>
    <w:p>
      <w:pPr>
        <w:pStyle w:val="Heading1"/>
      </w:pPr>
      <w:bookmarkStart w:id="1208" w:name="_Toc00001208"/>
      <w:r>
        <w:t xml:space="preserve">Chapter 06 — Who Decides Access</w:t>
      </w:r>
      <w:bookmarkEnd w:id="1208"/>
    </w:p>
    <w:p>
      <w:pPr>
        <w:pStyle w:val="FirstParagraph"/>
      </w:pPr>
      <w:r>
        <w:rPr>
          <w:i/>
          <w:iCs/>
        </w:rPr>
        <w:t xml:space="preserve">The person whose role lets them make an access change is almost never the person who should decide it, and the program is built so the two are never the same by accident.</w:t>
      </w:r>
    </w:p>
    <w:bookmarkStart w:id="501" w:name="in-this-chapter-5"/>
    <w:p>
      <w:pPr>
        <w:pStyle w:val="Heading2"/>
      </w:pPr>
      <w:bookmarkStart w:id="1209" w:name="_Toc00001209"/>
      <w:r>
        <w:t xml:space="preserve">In this chapter</w:t>
      </w:r>
      <w:bookmarkEnd w:id="1209"/>
    </w:p>
    <w:p>
      <w:pPr>
        <w:pStyle w:val="FirstParagraph"/>
      </w:pPr>
      <w:r>
        <w:t xml:space="preserve">The roles that decide access and the roles that carry it out, and what each Microsoft Entra role actually lets its holder do. Then the risk tiers that set every approval chain, the enterprise-application approval model from request through approval, assignment and review, the help desk and cloud services authority split that decides which pipeline a request takes, ownership transfers and orphaned apps, exceptions, emergency access, and a responsibility matrix.</w:t>
      </w:r>
    </w:p>
    <w:bookmarkEnd w:id="501"/>
    <w:p>
      <w:pPr>
        <w:pStyle w:val="BodyText"/>
      </w:pPr>
      <w:r>
        <w:t xml:space="preserve">Book 02, Chapter 06 assigns the roles for moving a directory from Active Directory to Entra ID: the sponsor, the CISO, the authorizing official, the ISSO, identity engineering, AD administrators, application owners, the help desk, HR and users. That assignment holds here and isn’t repeated. This chapter covers what happens after the migration, every day, when someone asks for access to an application, an application asks for permission to an API, or an owner leaves. Those are policy decisions in the sense of Chapter 01. Each one has to be made by someone with the authority to make it and carried out by someone with the rights to carry it out, and in a well-run tenant those are different people.</w:t>
      </w:r>
    </w:p>
    <w:bookmarkStart w:id="505" w:name="fig-ch06-authority-split"/>
    <w:p>
      <w:pPr>
        <w:pStyle w:val="CaptionedFigure"/>
      </w:pPr>
      <w:r>
        <w:drawing>
          <wp:inline>
            <wp:extent cx="5334000" cy="4245428"/>
            <wp:effectExtent b="0" l="0" r="0" t="0"/>
            <wp:docPr descr="Every request enters one front door, is triaged by the authority it needs, is approved in the ITSM or IGA pipeline, and is executed by automation or the help desk with the evidence recorded." title="" id="503" name="Picture"/>
            <a:graphic>
              <a:graphicData uri="http://schemas.openxmlformats.org/drawingml/2006/picture">
                <pic:pic>
                  <pic:nvPicPr>
                    <pic:cNvPr descr="/home/runner/work/modernization-workbook/modernization-workbook/docs/images/diagrams/b04-access/png/ch06-authority-split.png" id="504" name="Picture"/>
                    <pic:cNvPicPr>
                      <a:picLocks noChangeArrowheads="1" noChangeAspect="1"/>
                    </pic:cNvPicPr>
                  </pic:nvPicPr>
                  <pic:blipFill>
                    <a:blip r:embed="rId502"/>
                    <a:stretch>
                      <a:fillRect/>
                    </a:stretch>
                  </pic:blipFill>
                  <pic:spPr bwMode="auto">
                    <a:xfrm>
                      <a:off x="0" y="0"/>
                      <a:ext cx="5334000" cy="4245428"/>
                    </a:xfrm>
                    <a:prstGeom prst="rect">
                      <a:avLst/>
                    </a:prstGeom>
                    <a:noFill/>
                    <a:ln w="9525">
                      <a:noFill/>
                      <a:headEnd/>
                      <a:tailEnd/>
                    </a:ln>
                  </pic:spPr>
                </pic:pic>
              </a:graphicData>
            </a:graphic>
          </wp:inline>
        </w:drawing>
      </w:r>
    </w:p>
    <w:p>
      <w:pPr>
        <w:pStyle w:val="ImageCaption"/>
      </w:pPr>
      <w:r>
        <w:t xml:space="preserve">Every request enters one front door, is triaged by the authority it needs, is approved in the ITSM or IGA pipeline, and is executed by automation or the help desk with the evidence recorded.</w:t>
      </w:r>
    </w:p>
    <w:bookmarkEnd w:id="505"/>
    <w:bookmarkStart w:id="507" w:name="deciding-isnt-doing"/>
    <w:p>
      <w:pPr>
        <w:pStyle w:val="Heading2"/>
      </w:pPr>
      <w:bookmarkStart w:id="1210" w:name="_Toc00001210"/>
      <w:r>
        <w:t xml:space="preserve">Deciding isn’t doing</w:t>
      </w:r>
      <w:bookmarkEnd w:id="1210"/>
    </w:p>
    <w:p>
      <w:pPr>
        <w:pStyle w:val="FirstParagraph"/>
      </w:pPr>
      <w:r>
        <w:t xml:space="preserve">NIST SP 800-53 asks organizations to identify the duties that must be separated and to define system access authorizations that support that separation. Its discussion calls out dividing business functions from support functions among different people, and keeping those who administer access control from also administering audit.</w:t>
      </w:r>
      <w:r>
        <w:rPr>
          <w:rStyle w:val="FootnoteReference"/>
        </w:rPr>
        <w:footnoteReference w:id="506"/>
      </w:r>
      <w:r>
        <w:t xml:space="preserve"> </w:t>
      </w:r>
      <w:r>
        <w:t xml:space="preserve">The program applies that control to application access in three rules.</w:t>
      </w:r>
    </w:p>
    <w:p>
      <w:pPr>
        <w:pStyle w:val="Compact"/>
        <w:numPr>
          <w:ilvl w:val="0"/>
          <w:numId w:val="1034"/>
        </w:numPr>
      </w:pPr>
      <w:r>
        <w:rPr>
          <w:b/>
          <w:bCs/>
        </w:rPr>
        <w:t xml:space="preserve">Approvers don’t execute.</w:t>
      </w:r>
      <w:r>
        <w:t xml:space="preserve"> </w:t>
      </w:r>
      <w:r>
        <w:t xml:space="preserve">An application owner or governance officer who approves a change never makes it in the console.</w:t>
      </w:r>
    </w:p>
    <w:p>
      <w:pPr>
        <w:pStyle w:val="Compact"/>
        <w:numPr>
          <w:ilvl w:val="0"/>
          <w:numId w:val="1034"/>
        </w:numPr>
      </w:pPr>
      <w:r>
        <w:rPr>
          <w:b/>
          <w:bCs/>
        </w:rPr>
        <w:t xml:space="preserve">Executors don’t approve.</w:t>
      </w:r>
      <w:r>
        <w:t xml:space="preserve"> </w:t>
      </w:r>
      <w:r>
        <w:t xml:space="preserve">The help desk, cloud services and automation make changes only against an approved, assigned ticket, and have no approval authority of their own.</w:t>
      </w:r>
    </w:p>
    <w:p>
      <w:pPr>
        <w:pStyle w:val="Compact"/>
        <w:numPr>
          <w:ilvl w:val="0"/>
          <w:numId w:val="1034"/>
        </w:numPr>
      </w:pPr>
      <w:r>
        <w:rPr>
          <w:b/>
          <w:bCs/>
        </w:rPr>
        <w:t xml:space="preserve">Nobody approves their own access.</w:t>
      </w:r>
      <w:r>
        <w:t xml:space="preserve"> </w:t>
      </w:r>
      <w:r>
        <w:t xml:space="preserve">A request from an approver for access to their own application goes to the next level up.</w:t>
      </w:r>
    </w:p>
    <w:p>
      <w:pPr>
        <w:pStyle w:val="FirstParagraph"/>
      </w:pPr>
      <w:r>
        <w:t xml:space="preserve">The rules matter because Entra ID doesn’t enforce them. As the next section shows, the roles that execute application changes can also grant consent and act as applications, so separation of duties has to be designed into the role assignments and the ticket flow, not assumed from the role names.</w:t>
      </w:r>
    </w:p>
    <w:bookmarkEnd w:id="507"/>
    <w:bookmarkStart w:id="511" w:name="the-roles"/>
    <w:p>
      <w:pPr>
        <w:pStyle w:val="Heading2"/>
      </w:pPr>
      <w:bookmarkStart w:id="1211" w:name="_Toc00001211"/>
      <w:r>
        <w:t xml:space="preserve">The roles</w:t>
      </w:r>
      <w:bookmarkEnd w:id="1211"/>
    </w:p>
    <w:p>
      <w:pPr>
        <w:pStyle w:val="FirstParagraph"/>
      </w:pPr>
      <w:r>
        <w:t xml:space="preserve">The program’s model has seven human roles and one system actor. The names are the program’s; adapt them to the agency’s organization chart, but keep the split between deciding and doing.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Decides</w:t>
            </w:r>
          </w:p>
        </w:tc>
        <w:tc>
          <w:tcPr/>
          <w:p>
            <w:pPr>
              <w:pStyle w:val="Compact"/>
            </w:pPr>
            <w:r>
              <w:t xml:space="preserve">Does</w:t>
            </w:r>
          </w:p>
        </w:tc>
        <w:tc>
          <w:tcPr/>
          <w:p>
            <w:pPr>
              <w:pStyle w:val="Compact"/>
            </w:pPr>
            <w:r>
              <w:t xml:space="preserve">Entra role or group (program design)</w:t>
            </w:r>
          </w:p>
        </w:tc>
      </w:tr>
      <w:tr>
        <w:tc>
          <w:tcPr/>
          <w:p>
            <w:pPr>
              <w:pStyle w:val="Compact"/>
            </w:pPr>
            <w:r>
              <w:t xml:space="preserve">Identity governance officer (IGO)</w:t>
            </w:r>
          </w:p>
        </w:tc>
        <w:tc>
          <w:tcPr/>
          <w:p>
            <w:pPr>
              <w:pStyle w:val="Compact"/>
            </w:pPr>
            <w:r>
              <w:t xml:space="preserve">Risk tier of every app; Tier 1 access and all admin consent outside Tier 3; exceptions; ownership assignments</w:t>
            </w:r>
          </w:p>
        </w:tc>
        <w:tc>
          <w:tcPr/>
          <w:p>
            <w:pPr>
              <w:pStyle w:val="Compact"/>
            </w:pPr>
            <w:r>
              <w:t xml:space="preserve">Maintains the application registry and consent inventory; runs the annual governance review</w:t>
            </w:r>
          </w:p>
        </w:tc>
        <w:tc>
          <w:tcPr/>
          <w:p>
            <w:pPr>
              <w:pStyle w:val="Compact"/>
            </w:pPr>
            <w:r>
              <w:t xml:space="preserve">Privileged Role Administrator and Global Reader, eligible through PIM; member of the reviewer group for the admin consent workflow</w:t>
            </w:r>
          </w:p>
        </w:tc>
      </w:tr>
      <w:tr>
        <w:tc>
          <w:tcPr/>
          <w:p>
            <w:pPr>
              <w:pStyle w:val="Compact"/>
            </w:pPr>
            <w:r>
              <w:t xml:space="preserve">Application owner</w:t>
            </w:r>
          </w:p>
        </w:tc>
        <w:tc>
          <w:tcPr/>
          <w:p>
            <w:pPr>
              <w:pStyle w:val="Compact"/>
            </w:pPr>
            <w:r>
              <w:t xml:space="preserve">Who gets access to the app, within its tier’s chain; submits and justifies consent requests</w:t>
            </w:r>
          </w:p>
        </w:tc>
        <w:tc>
          <w:tcPr/>
          <w:p>
            <w:pPr>
              <w:pStyle w:val="Compact"/>
            </w:pPr>
            <w:r>
              <w:t xml:space="preserve">Reviews access on the tier’s cadence; keeps registry metadata current</w:t>
            </w:r>
          </w:p>
        </w:tc>
        <w:tc>
          <w:tcPr/>
          <w:p>
            <w:pPr>
              <w:pStyle w:val="Compact"/>
            </w:pPr>
            <w:r>
              <w:t xml:space="preserve">None by default. Named in the registry; added to the app’s Owners list only if they also configure it (Chapter 05)</w:t>
            </w:r>
          </w:p>
        </w:tc>
      </w:tr>
      <w:tr>
        <w:tc>
          <w:tcPr/>
          <w:p>
            <w:pPr>
              <w:pStyle w:val="Compact"/>
            </w:pPr>
            <w:r>
              <w:t xml:space="preserve">Business approver (departmental owner)</w:t>
            </w:r>
          </w:p>
        </w:tc>
        <w:tc>
          <w:tcPr/>
          <w:p>
            <w:pPr>
              <w:pStyle w:val="Compact"/>
            </w:pPr>
            <w:r>
              <w:t xml:space="preserve">Whether the requester has a business need; Tier 3 access</w:t>
            </w:r>
          </w:p>
        </w:tc>
        <w:tc>
          <w:tcPr/>
          <w:p>
            <w:pPr>
              <w:pStyle w:val="Compact"/>
            </w:pPr>
            <w:r>
              <w:t xml:space="preserve">Confirms staffing changes; reviews department-level group membership</w:t>
            </w:r>
          </w:p>
        </w:tc>
        <w:tc>
          <w:tcPr/>
          <w:p>
            <w:pPr>
              <w:pStyle w:val="Compact"/>
            </w:pPr>
            <w:r>
              <w:t xml:space="preserve">None</w:t>
            </w:r>
          </w:p>
        </w:tc>
      </w:tr>
      <w:tr>
        <w:tc>
          <w:tcPr/>
          <w:p>
            <w:pPr>
              <w:pStyle w:val="Compact"/>
            </w:pPr>
            <w:r>
              <w:t xml:space="preserve">Identity engineering</w:t>
            </w:r>
          </w:p>
        </w:tc>
        <w:tc>
          <w:tcPr/>
          <w:p>
            <w:pPr>
              <w:pStyle w:val="Compact"/>
            </w:pPr>
            <w:r>
              <w:t xml:space="preserve">Technical design: app registration configuration, credential type, provisioning, group design</w:t>
            </w:r>
          </w:p>
        </w:tc>
        <w:tc>
          <w:tcPr/>
          <w:p>
            <w:pPr>
              <w:pStyle w:val="Compact"/>
            </w:pPr>
            <w:r>
              <w:t xml:space="preserve">Builds registrations, service principals and directory-role assignments; handles escalations the help desk can’t</w:t>
            </w:r>
          </w:p>
        </w:tc>
        <w:tc>
          <w:tcPr/>
          <w:p>
            <w:pPr>
              <w:pStyle w:val="Compact"/>
            </w:pPr>
            <w:r>
              <w:t xml:space="preserve">Application Administrator or Cloud Application Administrator, eligible through PIM</w:t>
            </w:r>
          </w:p>
        </w:tc>
      </w:tr>
      <w:tr>
        <w:tc>
          <w:tcPr/>
          <w:p>
            <w:pPr>
              <w:pStyle w:val="Compact"/>
            </w:pPr>
            <w:r>
              <w:t xml:space="preserve">Help desk and cloud services</w:t>
            </w:r>
          </w:p>
        </w:tc>
        <w:tc>
          <w:tcPr/>
          <w:p>
            <w:pPr>
              <w:pStyle w:val="Compact"/>
            </w:pPr>
            <w:r>
              <w:t xml:space="preserve">Nothing. Triage classifies a request; it doesn’t approve it</w:t>
            </w:r>
          </w:p>
        </w:tc>
        <w:tc>
          <w:tcPr/>
          <w:p>
            <w:pPr>
              <w:pStyle w:val="Compact"/>
            </w:pPr>
            <w:r>
              <w:t xml:space="preserve">Executes approved assignment and group changes; triages notifications and escalates</w:t>
            </w:r>
          </w:p>
        </w:tc>
        <w:tc>
          <w:tcPr/>
          <w:p>
            <w:pPr>
              <w:pStyle w:val="Compact"/>
            </w:pPr>
            <w:r>
              <w:t xml:space="preserve">A privileged access group activated through PIM, holding the narrowest role that does the job (see below)</w:t>
            </w:r>
          </w:p>
        </w:tc>
      </w:tr>
      <w:tr>
        <w:tc>
          <w:tcPr/>
          <w:p>
            <w:pPr>
              <w:pStyle w:val="Compact"/>
            </w:pPr>
            <w:r>
              <w:t xml:space="preserve">Security operations</w:t>
            </w:r>
          </w:p>
        </w:tc>
        <w:tc>
          <w:tcPr/>
          <w:p>
            <w:pPr>
              <w:pStyle w:val="Compact"/>
            </w:pPr>
            <w:r>
              <w:t xml:space="preserve">Whether an alert is an incident; emergency revocation</w:t>
            </w:r>
          </w:p>
        </w:tc>
        <w:tc>
          <w:tcPr/>
          <w:p>
            <w:pPr>
              <w:pStyle w:val="Compact"/>
            </w:pPr>
            <w:r>
              <w:t xml:space="preserve">Monitors consent, credential and assignment events; leads incident response</w:t>
            </w:r>
          </w:p>
        </w:tc>
        <w:tc>
          <w:tcPr/>
          <w:p>
            <w:pPr>
              <w:pStyle w:val="Compact"/>
            </w:pPr>
            <w:r>
              <w:t xml:space="preserve">Security Reader or Security Operator for investigation</w:t>
            </w:r>
            <w:r>
              <w:rPr>
                <w:rStyle w:val="FootnoteReference"/>
              </w:rPr>
              <w:footnoteReference w:id="508"/>
            </w:r>
          </w:p>
        </w:tc>
      </w:tr>
      <w:tr>
        <w:tc>
          <w:tcPr/>
          <w:p>
            <w:pPr>
              <w:pStyle w:val="Compact"/>
            </w:pPr>
            <w:r>
              <w:t xml:space="preserve">ISSO</w:t>
            </w:r>
          </w:p>
        </w:tc>
        <w:tc>
          <w:tcPr/>
          <w:p>
            <w:pPr>
              <w:pStyle w:val="Compact"/>
            </w:pPr>
            <w:r>
              <w:t xml:space="preserve">Nothing alone; advises on any change that affects a control</w:t>
            </w:r>
          </w:p>
        </w:tc>
        <w:tc>
          <w:tcPr/>
          <w:p>
            <w:pPr>
              <w:pStyle w:val="Compact"/>
            </w:pPr>
            <w:r>
              <w:t xml:space="preserve">Assembles evidence; tracks findings and exceptions to closure</w:t>
            </w:r>
          </w:p>
        </w:tc>
        <w:tc>
          <w:tcPr/>
          <w:p>
            <w:pPr>
              <w:pStyle w:val="Compact"/>
            </w:pPr>
            <w:r>
              <w:t xml:space="preserve">Global Reader</w:t>
            </w:r>
          </w:p>
        </w:tc>
      </w:tr>
      <w:tr>
        <w:tc>
          <w:tcPr/>
          <w:p>
            <w:pPr>
              <w:pStyle w:val="Compact"/>
            </w:pPr>
            <w:r>
              <w:t xml:space="preserve">Authorizing official (AO)</w:t>
            </w:r>
          </w:p>
        </w:tc>
        <w:tc>
          <w:tcPr/>
          <w:p>
            <w:pPr>
              <w:pStyle w:val="Compact"/>
            </w:pPr>
            <w:r>
              <w:t xml:space="preserve">Residual risk: exceptions that leave a control unmet, renewed exceptions, critical-scope consent without a compensating control</w:t>
            </w:r>
          </w:p>
        </w:tc>
        <w:tc>
          <w:tcPr/>
          <w:p>
            <w:pPr>
              <w:pStyle w:val="Compact"/>
            </w:pPr>
            <w:r>
              <w:t xml:space="preserve">Nothing in the console</w:t>
            </w:r>
          </w:p>
        </w:tc>
        <w:tc>
          <w:tcPr/>
          <w:p>
            <w:pPr>
              <w:pStyle w:val="Compact"/>
            </w:pPr>
            <w:r>
              <w:t xml:space="preserve">None</w:t>
            </w:r>
          </w:p>
        </w:tc>
      </w:tr>
      <w:tr>
        <w:tc>
          <w:tcPr/>
          <w:p>
            <w:pPr>
              <w:pStyle w:val="Compact"/>
            </w:pPr>
            <w:r>
              <w:t xml:space="preserve">Workflow automation (system actor)</w:t>
            </w:r>
          </w:p>
        </w:tc>
        <w:tc>
          <w:tcPr/>
          <w:p>
            <w:pPr>
              <w:pStyle w:val="Compact"/>
            </w:pPr>
            <w:r>
              <w:t xml:space="preserve">Nothing</w:t>
            </w:r>
          </w:p>
        </w:tc>
        <w:tc>
          <w:tcPr/>
          <w:p>
            <w:pPr>
              <w:pStyle w:val="Compact"/>
            </w:pPr>
            <w:r>
              <w:t xml:space="preserve">Routes tickets by tier, enforces SLAs, records approvals, executes connector actions</w:t>
            </w:r>
          </w:p>
        </w:tc>
        <w:tc>
          <w:tcPr/>
          <w:p>
            <w:pPr>
              <w:pStyle w:val="Compact"/>
            </w:pPr>
            <w:r>
              <w:t xml:space="preserve">A workload identity with only the permissions its actions need</w:t>
            </w:r>
          </w:p>
        </w:tc>
      </w:tr>
    </w:tbl>
    <w:p>
      <w:pPr>
        <w:pStyle w:val="BodyText"/>
      </w:pPr>
      <w:r>
        <w:t xml:space="preserve">The CISO sits above the IGO, as the authority the IGO acts under, and is the dual reviewer for critical scopes. The AO’s place in the model follows Book 02, Chapter 06: any decision that amounts to accepting risk the controls don’t cover reaches the AO, not just the IGO.</w:t>
      </w:r>
    </w:p>
    <w:p>
      <w:pPr>
        <w:pStyle w:val="BodyText"/>
      </w:pPr>
      <w:r>
        <w:t xml:space="preserve">Global Administrator isn’t on the list. In the program’s design it’s held permanently only by the emergency access accounts described in Book 02, Chapter 09, and used by nobody for routine work.</w:t>
      </w:r>
    </w:p>
    <w:bookmarkStart w:id="509" w:name="Xada67cb6e063ff72baf05b0ee85176ea7e448ba"/>
    <w:p>
      <w:pPr>
        <w:pStyle w:val="Heading3"/>
      </w:pPr>
      <w:r>
        <w:t xml:space="preserve">Application owners and business approvers</w:t>
      </w:r>
    </w:p>
    <w:p>
      <w:pPr>
        <w:pStyle w:val="FirstParagraph"/>
      </w:pPr>
      <w:r>
        <w:t xml:space="preserve">The application owner is the first line of accountability. The program’s list of owner duties is short and concrete:</w:t>
      </w:r>
    </w:p>
    <w:p>
      <w:pPr>
        <w:pStyle w:val="Compact"/>
        <w:numPr>
          <w:ilvl w:val="0"/>
          <w:numId w:val="1035"/>
        </w:numPr>
      </w:pPr>
      <w:r>
        <w:t xml:space="preserve">Keep the app’s registry entry accurate: purpose, data classification, user population, and owners.</w:t>
      </w:r>
    </w:p>
    <w:p>
      <w:pPr>
        <w:pStyle w:val="Compact"/>
        <w:numPr>
          <w:ilvl w:val="0"/>
          <w:numId w:val="1035"/>
        </w:numPr>
      </w:pPr>
      <w:r>
        <w:t xml:space="preserve">Approve or deny access requests for the app within the SLA.</w:t>
      </w:r>
    </w:p>
    <w:p>
      <w:pPr>
        <w:pStyle w:val="Compact"/>
        <w:numPr>
          <w:ilvl w:val="0"/>
          <w:numId w:val="1035"/>
        </w:numPr>
      </w:pPr>
      <w:r>
        <w:t xml:space="preserve">Run the app’s access review on its tier’s cadence and certify or remove each member.</w:t>
      </w:r>
    </w:p>
    <w:p>
      <w:pPr>
        <w:pStyle w:val="Compact"/>
        <w:numPr>
          <w:ilvl w:val="0"/>
          <w:numId w:val="1035"/>
        </w:numPr>
      </w:pPr>
      <w:r>
        <w:t xml:space="preserve">Submit every admin consent request with a business justification and a least-privilege analysis for each scope.</w:t>
      </w:r>
    </w:p>
    <w:p>
      <w:pPr>
        <w:pStyle w:val="Compact"/>
        <w:numPr>
          <w:ilvl w:val="0"/>
          <w:numId w:val="1035"/>
        </w:numPr>
      </w:pPr>
      <w:r>
        <w:t xml:space="preserve">Tell the IGO within five business days of any material change to the app’s data, scopes or operator.</w:t>
      </w:r>
    </w:p>
    <w:p>
      <w:pPr>
        <w:pStyle w:val="Compact"/>
        <w:numPr>
          <w:ilvl w:val="0"/>
          <w:numId w:val="1035"/>
        </w:numPr>
      </w:pPr>
      <w:r>
        <w:t xml:space="preserve">Keep a named backup owner current. Tier 1 apps must have one; Tier 2 apps should.</w:t>
      </w:r>
    </w:p>
    <w:p>
      <w:pPr>
        <w:pStyle w:val="Compact"/>
        <w:numPr>
          <w:ilvl w:val="0"/>
          <w:numId w:val="1035"/>
        </w:numPr>
      </w:pPr>
      <w:r>
        <w:t xml:space="preserve">Complete owner training when the IGO requires it.</w:t>
      </w:r>
    </w:p>
    <w:p>
      <w:pPr>
        <w:pStyle w:val="FirstParagraph"/>
      </w:pPr>
      <w:r>
        <w:t xml:space="preserve">The business approver answers a different question: does this person need this access for their job? The approver is usually the requester’s manager or department head. Keeping the two questions separate is what lets Tier 3 access be approved by the business approver alone, and Tier 1 access require both plus governance notice.</w:t>
      </w:r>
    </w:p>
    <w:bookmarkEnd w:id="509"/>
    <w:bookmarkStart w:id="510" w:name="help-desk-and-cloud-services"/>
    <w:p>
      <w:pPr>
        <w:pStyle w:val="Heading3"/>
      </w:pPr>
      <w:r>
        <w:t xml:space="preserve">Help desk and cloud services</w:t>
      </w:r>
    </w:p>
    <w:p>
      <w:pPr>
        <w:pStyle w:val="FirstParagraph"/>
      </w:pPr>
      <w:r>
        <w:t xml:space="preserve">The help desk executes; it never decides. The program’s authority boundary is explicit in both directions.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The help desk may</w:t>
            </w:r>
          </w:p>
        </w:tc>
        <w:tc>
          <w:tcPr/>
          <w:p>
            <w:pPr>
              <w:pStyle w:val="Compact"/>
            </w:pPr>
            <w:r>
              <w:t xml:space="preserve">The help desk may not</w:t>
            </w:r>
          </w:p>
        </w:tc>
      </w:tr>
      <w:tr>
        <w:tc>
          <w:tcPr/>
          <w:p>
            <w:pPr>
              <w:pStyle w:val="Compact"/>
            </w:pPr>
            <w:r>
              <w:t xml:space="preserve">Assign an approved group to an enterprise application, or remove one, against an assigned ticket</w:t>
            </w:r>
          </w:p>
        </w:tc>
        <w:tc>
          <w:tcPr/>
          <w:p>
            <w:pPr>
              <w:pStyle w:val="Compact"/>
            </w:pPr>
            <w:r>
              <w:t xml:space="preserve">Approve, grant or execute admin consent, under any circumstances or from any source</w:t>
            </w:r>
          </w:p>
        </w:tc>
      </w:tr>
      <w:tr>
        <w:tc>
          <w:tcPr/>
          <w:p>
            <w:pPr>
              <w:pStyle w:val="Compact"/>
            </w:pPr>
            <w:r>
              <w:t xml:space="preserve">Add or remove members of application access groups against an assigned ticket</w:t>
            </w:r>
          </w:p>
        </w:tc>
        <w:tc>
          <w:tcPr/>
          <w:p>
            <w:pPr>
              <w:pStyle w:val="Compact"/>
            </w:pPr>
            <w:r>
              <w:t xml:space="preserve">Create, modify or delete app registrations or service principals</w:t>
            </w:r>
          </w:p>
        </w:tc>
      </w:tr>
      <w:tr>
        <w:tc>
          <w:tcPr/>
          <w:p>
            <w:pPr>
              <w:pStyle w:val="Compact"/>
            </w:pPr>
            <w:r>
              <w:t xml:space="preserve">Reset authentication methods and passwords within its scoped roles</w:t>
            </w:r>
          </w:p>
        </w:tc>
        <w:tc>
          <w:tcPr/>
          <w:p>
            <w:pPr>
              <w:pStyle w:val="Compact"/>
            </w:pPr>
            <w:r>
              <w:t xml:space="preserve">Assign or remove directory roles</w:t>
            </w:r>
          </w:p>
        </w:tc>
      </w:tr>
      <w:tr>
        <w:tc>
          <w:tcPr/>
          <w:p>
            <w:pPr>
              <w:pStyle w:val="Compact"/>
            </w:pPr>
            <w:r>
              <w:t xml:space="preserve">Read sign-in and audit logs for triage</w:t>
            </w:r>
          </w:p>
        </w:tc>
        <w:tc>
          <w:tcPr/>
          <w:p>
            <w:pPr>
              <w:pStyle w:val="Compact"/>
            </w:pPr>
            <w:r>
              <w:t xml:space="preserve">Create or change Conditional Access policies or sync configuration</w:t>
            </w:r>
          </w:p>
        </w:tc>
      </w:tr>
      <w:tr>
        <w:tc>
          <w:tcPr/>
          <w:p>
            <w:pPr>
              <w:pStyle w:val="Compact"/>
            </w:pPr>
            <w:r>
              <w:t xml:space="preserve">Triage consent and security notifications, verify them in the audit log, and escalate</w:t>
            </w:r>
          </w:p>
        </w:tc>
        <w:tc>
          <w:tcPr/>
          <w:p>
            <w:pPr>
              <w:pStyle w:val="Compact"/>
            </w:pPr>
            <w:r>
              <w:t xml:space="preserve">Act on a notification email, or on any request without an assigned ticket</w:t>
            </w:r>
          </w:p>
        </w:tc>
      </w:tr>
      <w:tr>
        <w:tc>
          <w:tcPr/>
          <w:p>
            <w:pPr>
              <w:pStyle w:val="Compact"/>
            </w:pPr>
            <w:r>
              <w:t xml:space="preserve">Activate its roles through PIM with a written justification</w:t>
            </w:r>
          </w:p>
        </w:tc>
        <w:tc>
          <w:tcPr/>
          <w:p>
            <w:pPr>
              <w:pStyle w:val="Compact"/>
            </w:pPr>
            <w:r>
              <w:t xml:space="preserve">Hold any standing active privileged role</w:t>
            </w:r>
          </w:p>
        </w:tc>
      </w:tr>
    </w:tbl>
    <w:p>
      <w:pPr>
        <w:pStyle w:val="BodyText"/>
      </w:pPr>
      <w:r>
        <w:t xml:space="preserve">Cloud services is the escalation tier above the help desk, not a second intake queue. It handles what the help desk and automation can’t, under the same rule: it executes approved work and doesn’t approve its own.</w:t>
      </w:r>
    </w:p>
    <w:bookmarkEnd w:id="510"/>
    <w:bookmarkEnd w:id="511"/>
    <w:bookmarkStart w:id="520" w:name="what-each-entra-role-can-actually-do"/>
    <w:p>
      <w:pPr>
        <w:pStyle w:val="Heading2"/>
      </w:pPr>
      <w:bookmarkStart w:id="1212" w:name="_Toc00001212"/>
      <w:r>
        <w:t xml:space="preserve">What each Entra role can actually do</w:t>
      </w:r>
      <w:bookmarkEnd w:id="1212"/>
    </w:p>
    <w:p>
      <w:pPr>
        <w:pStyle w:val="FirstParagraph"/>
      </w:pPr>
      <w:r>
        <w:t xml:space="preserve">Decision rights live in the ticket; capability lives in the role. The two diverge in ways the source policies for this chapter didn’t account for.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or relationship</w:t>
            </w:r>
          </w:p>
        </w:tc>
        <w:tc>
          <w:tcPr/>
          <w:p>
            <w:pPr>
              <w:pStyle w:val="Compact"/>
            </w:pPr>
            <w:r>
              <w:t xml:space="preserve">What Microsoft documents it can do</w:t>
            </w:r>
          </w:p>
        </w:tc>
        <w:tc>
          <w:tcPr/>
          <w:p>
            <w:pPr>
              <w:pStyle w:val="Compact"/>
            </w:pPr>
            <w:r>
              <w:t xml:space="preserve">Consequence for the model</w:t>
            </w:r>
          </w:p>
        </w:tc>
      </w:tr>
      <w:tr>
        <w:tc>
          <w:tcPr/>
          <w:p>
            <w:pPr>
              <w:pStyle w:val="Compact"/>
            </w:pPr>
            <w:r>
              <w:t xml:space="preserve">Application Administrator</w:t>
            </w:r>
          </w:p>
        </w:tc>
        <w:tc>
          <w:tcPr/>
          <w:p>
            <w:pPr>
              <w:pStyle w:val="Compact"/>
            </w:pPr>
            <w:r>
              <w:t xml:space="preserve">Create and manage all enterprise applications, app registrations and application proxy settings; consent to delegated permissions and to application permissions for every API except Microsoft Graph and Azure AD Graph; add credentials to any app and use them to act as it</w:t>
            </w:r>
            <w:r>
              <w:rPr>
                <w:rStyle w:val="FootnoteReference"/>
              </w:rPr>
              <w:footnoteReference w:id="512"/>
            </w:r>
          </w:p>
        </w:tc>
        <w:tc>
          <w:tcPr/>
          <w:p>
            <w:pPr>
              <w:pStyle w:val="Compact"/>
            </w:pPr>
            <w:r>
              <w:t xml:space="preserve">A help desk PAG that activates this role can technically grant most consents and impersonate any app.</w:t>
            </w:r>
            <w:r>
              <w:t xml:space="preserve"> </w:t>
            </w:r>
            <w:r>
              <w:t xml:space="preserve">“The help desk never approves consent”</w:t>
            </w:r>
            <w:r>
              <w:t xml:space="preserve"> </w:t>
            </w:r>
            <w:r>
              <w:t xml:space="preserve">is a procedural rule unless the role is narrowed</w:t>
            </w:r>
          </w:p>
        </w:tc>
      </w:tr>
      <w:tr>
        <w:tc>
          <w:tcPr/>
          <w:p>
            <w:pPr>
              <w:pStyle w:val="Compact"/>
            </w:pPr>
            <w:r>
              <w:t xml:space="preserve">Cloud Application Administrator</w:t>
            </w:r>
          </w:p>
        </w:tc>
        <w:tc>
          <w:tcPr/>
          <w:p>
            <w:pPr>
              <w:pStyle w:val="Compact"/>
            </w:pPr>
            <w:r>
              <w:t xml:space="preserve">The same, without application proxy</w:t>
            </w:r>
            <w:r>
              <w:rPr>
                <w:rStyle w:val="FootnoteReference"/>
              </w:rPr>
              <w:footnoteReference w:id="513"/>
            </w:r>
          </w:p>
        </w:tc>
        <w:tc>
          <w:tcPr/>
          <w:p>
            <w:pPr>
              <w:pStyle w:val="Compact"/>
            </w:pPr>
            <w:r>
              <w:t xml:space="preserve">Same consequence</w:t>
            </w:r>
          </w:p>
        </w:tc>
      </w:tr>
      <w:tr>
        <w:tc>
          <w:tcPr/>
          <w:p>
            <w:pPr>
              <w:pStyle w:val="Compact"/>
            </w:pPr>
            <w:r>
              <w:t xml:space="preserve">Privileged Role Administrator</w:t>
            </w:r>
          </w:p>
        </w:tc>
        <w:tc>
          <w:tcPr/>
          <w:p>
            <w:pPr>
              <w:pStyle w:val="Compact"/>
            </w:pPr>
            <w:r>
              <w:t xml:space="preserve">Grant consent for any permission to any API, including Microsoft Graph application permissions</w:t>
            </w:r>
            <w:r>
              <w:rPr>
                <w:rStyle w:val="FootnoteReference"/>
              </w:rPr>
              <w:footnoteReference w:id="514"/>
            </w:r>
          </w:p>
        </w:tc>
        <w:tc>
          <w:tcPr/>
          <w:p>
            <w:pPr>
              <w:pStyle w:val="Compact"/>
            </w:pPr>
            <w:r>
              <w:t xml:space="preserve">The role the IGO activates to execute an approved Graph application-permission grant</w:t>
            </w:r>
          </w:p>
        </w:tc>
      </w:tr>
      <w:tr>
        <w:tc>
          <w:tcPr/>
          <w:p>
            <w:pPr>
              <w:pStyle w:val="Compact"/>
            </w:pPr>
            <w:r>
              <w:t xml:space="preserve">Global Administrator</w:t>
            </w:r>
          </w:p>
        </w:tc>
        <w:tc>
          <w:tcPr/>
          <w:p>
            <w:pPr>
              <w:pStyle w:val="Compact"/>
            </w:pPr>
            <w:r>
              <w:t xml:space="preserve">Everything; the only role that can turn on the admin consent workflow in the admin center, and the only one that can approve workflow requests for Microsoft Graph app roles</w:t>
            </w:r>
            <w:r>
              <w:rPr>
                <w:rStyle w:val="FootnoteReference"/>
              </w:rPr>
              <w:footnoteReference w:id="515"/>
            </w:r>
          </w:p>
        </w:tc>
        <w:tc>
          <w:tcPr/>
          <w:p>
            <w:pPr>
              <w:pStyle w:val="Compact"/>
            </w:pPr>
            <w:r>
              <w:t xml:space="preserve">Emergency use only; Graph application-permission grants are executed as Privileged Role Administrator from the Enterprise applications pane instead</w:t>
            </w:r>
          </w:p>
        </w:tc>
      </w:tr>
      <w:tr>
        <w:tc>
          <w:tcPr/>
          <w:p>
            <w:pPr>
              <w:pStyle w:val="Compact"/>
            </w:pPr>
            <w:r>
              <w:t xml:space="preserve">Owner of an app</w:t>
            </w:r>
          </w:p>
        </w:tc>
        <w:tc>
          <w:tcPr/>
          <w:p>
            <w:pPr>
              <w:pStyle w:val="Compact"/>
            </w:pPr>
            <w:r>
              <w:t xml:space="preserve">Manage that app’s configuration, including single sign-on, provisioning and user assignment; add owners; add a credential and act as the app</w:t>
            </w:r>
            <w:r>
              <w:rPr>
                <w:rStyle w:val="FootnoteReference"/>
              </w:rPr>
              <w:footnoteReference w:id="516"/>
            </w:r>
          </w:p>
        </w:tc>
        <w:tc>
          <w:tcPr/>
          <w:p>
            <w:pPr>
              <w:pStyle w:val="Compact"/>
            </w:pPr>
            <w:r>
              <w:t xml:space="preserve">Ownership is a privilege, not a label. Keep Owners to two technical people</w:t>
            </w:r>
          </w:p>
        </w:tc>
      </w:tr>
      <w:tr>
        <w:tc>
          <w:tcPr/>
          <w:p>
            <w:pPr>
              <w:pStyle w:val="Compact"/>
            </w:pPr>
            <w:r>
              <w:t xml:space="preserve">Custom role with</w:t>
            </w:r>
            <w:r>
              <w:t xml:space="preserve"> </w:t>
            </w:r>
            <w:r>
              <w:rPr>
                <w:rStyle w:val="VerbatimChar"/>
              </w:rPr>
              <w:t xml:space="preserve">microsoft.directory/servicePrincipals/appRoleAssignedTo/update</w:t>
            </w:r>
          </w:p>
        </w:tc>
        <w:tc>
          <w:tcPr/>
          <w:p>
            <w:pPr>
              <w:pStyle w:val="Compact"/>
            </w:pPr>
            <w:r>
              <w:t xml:space="preserve">Manage user and group assignments to enterprise apps, scoped to one app or the whole tenant; requires Entra ID P1</w:t>
            </w:r>
            <w:r>
              <w:rPr>
                <w:rStyle w:val="FootnoteReference"/>
              </w:rPr>
              <w:footnoteReference w:id="517"/>
            </w:r>
          </w:p>
        </w:tc>
        <w:tc>
          <w:tcPr/>
          <w:p>
            <w:pPr>
              <w:pStyle w:val="Compact"/>
            </w:pPr>
            <w:r>
              <w:t xml:space="preserve">The narrowest role for the help desk’s assignment work</w:t>
            </w:r>
          </w:p>
        </w:tc>
      </w:tr>
    </w:tbl>
    <w:p>
      <w:pPr>
        <w:pStyle w:val="BodyText"/>
      </w:pPr>
      <w:r>
        <w:t xml:space="preserve">Microsoft’s own warning about Application Administrator is direct: assigning a user to it gives that user the ability to impersonate an application’s identity, which can be an elevation of privilege over what their role assignments allow.</w:t>
      </w:r>
      <w:r>
        <w:rPr>
          <w:rStyle w:val="FootnoteReference"/>
        </w:rPr>
        <w:footnoteReference w:id="519"/>
      </w:r>
      <w:r>
        <w:t xml:space="preserve"> </w:t>
      </w:r>
      <w:r>
        <w:t xml:space="preserve">An app with</w:t>
      </w:r>
      <w:r>
        <w:t xml:space="preserve"> </w:t>
      </w:r>
      <w:r>
        <w:rPr>
          <w:rStyle w:val="VerbatimChar"/>
        </w:rPr>
        <w:t xml:space="preserve">RoleManagement.ReadWrite.Directory</w:t>
      </w:r>
      <w:r>
        <w:t xml:space="preserve"> </w:t>
      </w:r>
      <w:r>
        <w:t xml:space="preserve">makes Application Administrator a path to any role in the tenant.</w:t>
      </w:r>
    </w:p>
    <w:p>
      <w:pPr>
        <w:pStyle w:val="BodyText"/>
      </w:pPr>
      <w:r>
        <w:t xml:space="preserve">The program therefore narrows the help desk PAG. The PAG holds a custom role with the</w:t>
      </w:r>
      <w:r>
        <w:t xml:space="preserve"> </w:t>
      </w:r>
      <w:r>
        <w:rPr>
          <w:rStyle w:val="VerbatimChar"/>
        </w:rPr>
        <w:t xml:space="preserve">appRoleAssignedTo/update</w:t>
      </w:r>
      <w:r>
        <w:t xml:space="preserve"> </w:t>
      </w:r>
      <w:r>
        <w:t xml:space="preserve">permission for group-to-app assignment, plus the least-privileged group and authentication roles its other tasks need, scoped to administrative units as Book 02, Chapter 05 describes. Application Administrator stays with identity engineering, eligible only, behind PIM approval (Chapter 08). Two technical controls back the procedural rule. App instance property lock (Chapter 05) blocks credentials being added to locked service principals, and an alert on every consent and credential event (</w:t>
      </w:r>
      <w:hyperlink w:anchor="evidence-and-monitoring">
        <w:r>
          <w:rPr>
            <w:rStyle w:val="Hyperlink"/>
          </w:rPr>
          <w:t xml:space="preserve">Evidence</w:t>
        </w:r>
      </w:hyperlink>
      <w:r>
        <w:t xml:space="preserve">) catches what the lock doesn’t cover. Chapter 04 places these roles in the privileged tier model.</w:t>
      </w:r>
    </w:p>
    <w:bookmarkEnd w:id="520"/>
    <w:bookmarkStart w:id="521" w:name="risk-tiers-set-the-approval-chain"/>
    <w:p>
      <w:pPr>
        <w:pStyle w:val="Heading2"/>
      </w:pPr>
      <w:bookmarkStart w:id="1213" w:name="_Toc00001213"/>
      <w:r>
        <w:t xml:space="preserve">Risk tiers set the approval chain</w:t>
      </w:r>
      <w:bookmarkEnd w:id="1213"/>
    </w:p>
    <w:p>
      <w:pPr>
        <w:pStyle w:val="FirstParagraph"/>
      </w:pPr>
      <w:r>
        <w:t xml:space="preserve">Every enterprise application gets a risk tier from the IGO before anyone is given access to it. An app discovered without a tier is treated as Tier 1 until the IGO classifies it, with no exceptions. That rule covers the service principals that appear on their own through user consent and Microsoft just-in-time provisioning (Chapter 05).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Criterion</w:t>
            </w:r>
          </w:p>
        </w:tc>
        <w:tc>
          <w:tcPr/>
          <w:p>
            <w:pPr>
              <w:pStyle w:val="Compact"/>
            </w:pPr>
            <w:r>
              <w:t xml:space="preserve">Tier 1, high risk</w:t>
            </w:r>
          </w:p>
        </w:tc>
        <w:tc>
          <w:tcPr/>
          <w:p>
            <w:pPr>
              <w:pStyle w:val="Compact"/>
            </w:pPr>
            <w:r>
              <w:t xml:space="preserve">Tier 2, moderate risk</w:t>
            </w:r>
          </w:p>
        </w:tc>
        <w:tc>
          <w:tcPr/>
          <w:p>
            <w:pPr>
              <w:pStyle w:val="Compact"/>
            </w:pPr>
            <w:r>
              <w:t xml:space="preserve">Tier 3, low risk</w:t>
            </w:r>
          </w:p>
        </w:tc>
      </w:tr>
      <w:tr>
        <w:tc>
          <w:tcPr/>
          <w:p>
            <w:pPr>
              <w:pStyle w:val="Compact"/>
            </w:pPr>
            <w:r>
              <w:t xml:space="preserve">Permission type</w:t>
            </w:r>
          </w:p>
        </w:tc>
        <w:tc>
          <w:tcPr/>
          <w:p>
            <w:pPr>
              <w:pStyle w:val="Compact"/>
            </w:pPr>
            <w:r>
              <w:t xml:space="preserve">Any application permission</w:t>
            </w:r>
          </w:p>
        </w:tc>
        <w:tc>
          <w:tcPr/>
          <w:p>
            <w:pPr>
              <w:pStyle w:val="Compact"/>
            </w:pPr>
            <w:r>
              <w:t xml:space="preserve">Broad delegated permissions</w:t>
            </w:r>
          </w:p>
        </w:tc>
        <w:tc>
          <w:tcPr/>
          <w:p>
            <w:pPr>
              <w:pStyle w:val="Compact"/>
            </w:pPr>
            <w:r>
              <w:t xml:space="preserve">Minimal delegated permissions only</w:t>
            </w:r>
          </w:p>
        </w:tc>
      </w:tr>
      <w:tr>
        <w:tc>
          <w:tcPr/>
          <w:p>
            <w:pPr>
              <w:pStyle w:val="Compact"/>
            </w:pPr>
            <w:r>
              <w:t xml:space="preserve">Data</w:t>
            </w:r>
          </w:p>
        </w:tc>
        <w:tc>
          <w:tcPr/>
          <w:p>
            <w:pPr>
              <w:pStyle w:val="Compact"/>
            </w:pPr>
            <w:r>
              <w:t xml:space="preserve">PII, health, financial, HR or payroll, or tenant-wide data</w:t>
            </w:r>
          </w:p>
        </w:tc>
        <w:tc>
          <w:tcPr/>
          <w:p>
            <w:pPr>
              <w:pStyle w:val="Compact"/>
            </w:pPr>
            <w:r>
              <w:t xml:space="preserve">Business-sensitive, department-level</w:t>
            </w:r>
          </w:p>
        </w:tc>
        <w:tc>
          <w:tcPr/>
          <w:p>
            <w:pPr>
              <w:pStyle w:val="Compact"/>
            </w:pPr>
            <w:r>
              <w:t xml:space="preserve">Non-sensitive; user profile only</w:t>
            </w:r>
          </w:p>
        </w:tc>
      </w:tr>
      <w:tr>
        <w:tc>
          <w:tcPr/>
          <w:p>
            <w:pPr>
              <w:pStyle w:val="Compact"/>
            </w:pPr>
            <w:r>
              <w:t xml:space="preserve">Operator</w:t>
            </w:r>
          </w:p>
        </w:tc>
        <w:tc>
          <w:tcPr/>
          <w:p>
            <w:pPr>
              <w:pStyle w:val="Compact"/>
            </w:pPr>
            <w:r>
              <w:t xml:space="preserve">External party or vendor-managed, or no owner</w:t>
            </w:r>
          </w:p>
        </w:tc>
        <w:tc>
          <w:tcPr/>
          <w:p>
            <w:pPr>
              <w:pStyle w:val="Compact"/>
            </w:pPr>
            <w:r>
              <w:t xml:space="preserve">Internal team with named ownership</w:t>
            </w:r>
          </w:p>
        </w:tc>
        <w:tc>
          <w:tcPr/>
          <w:p>
            <w:pPr>
              <w:pStyle w:val="Compact"/>
            </w:pPr>
            <w:r>
              <w:t xml:space="preserve">Internal team with named ownership</w:t>
            </w:r>
          </w:p>
        </w:tc>
      </w:tr>
      <w:tr>
        <w:tc>
          <w:tcPr/>
          <w:p>
            <w:pPr>
              <w:pStyle w:val="Compact"/>
            </w:pPr>
            <w:r>
              <w:t xml:space="preserve">Population</w:t>
            </w:r>
          </w:p>
        </w:tc>
        <w:tc>
          <w:tcPr/>
          <w:p>
            <w:pPr>
              <w:pStyle w:val="Compact"/>
            </w:pPr>
            <w:r>
              <w:t xml:space="preserve">All users, or not yet determined</w:t>
            </w:r>
          </w:p>
        </w:tc>
        <w:tc>
          <w:tcPr/>
          <w:p>
            <w:pPr>
              <w:pStyle w:val="Compact"/>
            </w:pPr>
            <w:r>
              <w:t xml:space="preserve">A department</w:t>
            </w:r>
          </w:p>
        </w:tc>
        <w:tc>
          <w:tcPr/>
          <w:p>
            <w:pPr>
              <w:pStyle w:val="Compact"/>
            </w:pPr>
            <w:r>
              <w:t xml:space="preserve">A team or small group</w:t>
            </w:r>
          </w:p>
        </w:tc>
      </w:tr>
      <w:tr>
        <w:tc>
          <w:tcPr/>
          <w:p>
            <w:pPr>
              <w:pStyle w:val="Compact"/>
            </w:pPr>
            <w:r>
              <w:t xml:space="preserve">Exposure</w:t>
            </w:r>
          </w:p>
        </w:tc>
        <w:tc>
          <w:tcPr/>
          <w:p>
            <w:pPr>
              <w:pStyle w:val="Compact"/>
            </w:pPr>
            <w:r>
              <w:t xml:space="preserve">Internet-facing</w:t>
            </w:r>
          </w:p>
        </w:tc>
        <w:tc>
          <w:tcPr/>
          <w:p>
            <w:pPr>
              <w:pStyle w:val="Compact"/>
            </w:pPr>
            <w:r>
              <w:t xml:space="preserve">Internal, with some federation</w:t>
            </w:r>
          </w:p>
        </w:tc>
        <w:tc>
          <w:tcPr/>
          <w:p>
            <w:pPr>
              <w:pStyle w:val="Compact"/>
            </w:pPr>
            <w:r>
              <w:t xml:space="preserve">Fully internal</w:t>
            </w:r>
          </w:p>
        </w:tc>
      </w:tr>
      <w:tr>
        <w:tc>
          <w:tcPr/>
          <w:p>
            <w:pPr>
              <w:pStyle w:val="Compact"/>
            </w:pPr>
            <w:r>
              <w:t xml:space="preserve">Example permissions</w:t>
            </w:r>
          </w:p>
        </w:tc>
        <w:tc>
          <w:tcPr/>
          <w:p>
            <w:pPr>
              <w:pStyle w:val="Compact"/>
            </w:pPr>
            <w:r>
              <w:rPr>
                <w:rStyle w:val="VerbatimChar"/>
              </w:rPr>
              <w:t xml:space="preserve">Mail.ReadWrite</w:t>
            </w:r>
            <w:r>
              <w:t xml:space="preserve"> </w:t>
            </w:r>
            <w:r>
              <w:t xml:space="preserve">(application),</w:t>
            </w:r>
            <w:r>
              <w:t xml:space="preserve"> </w:t>
            </w:r>
            <w:r>
              <w:rPr>
                <w:rStyle w:val="VerbatimChar"/>
              </w:rPr>
              <w:t xml:space="preserve">User.ReadWrite.All</w:t>
            </w:r>
            <w:r>
              <w:t xml:space="preserve"> </w:t>
            </w:r>
            <w:r>
              <w:t xml:space="preserve">(application),</w:t>
            </w:r>
            <w:r>
              <w:t xml:space="preserve"> </w:t>
            </w:r>
            <w:r>
              <w:rPr>
                <w:rStyle w:val="VerbatimChar"/>
              </w:rPr>
              <w:t xml:space="preserve">Files.ReadWrite.All</w:t>
            </w:r>
            <w:r>
              <w:t xml:space="preserve"> </w:t>
            </w:r>
            <w:r>
              <w:t xml:space="preserve">(application),</w:t>
            </w:r>
            <w:r>
              <w:t xml:space="preserve"> </w:t>
            </w:r>
            <w:r>
              <w:rPr>
                <w:rStyle w:val="VerbatimChar"/>
              </w:rPr>
              <w:t xml:space="preserve">Directory.ReadWrite.All</w:t>
            </w:r>
            <w:r>
              <w:t xml:space="preserve"> </w:t>
            </w:r>
            <w:r>
              <w:t xml:space="preserve">(application)</w:t>
            </w:r>
          </w:p>
        </w:tc>
        <w:tc>
          <w:tcPr/>
          <w:p>
            <w:pPr>
              <w:pStyle w:val="Compact"/>
            </w:pPr>
            <w:r>
              <w:rPr>
                <w:rStyle w:val="VerbatimChar"/>
              </w:rPr>
              <w:t xml:space="preserve">Files.ReadWrite</w:t>
            </w:r>
            <w:r>
              <w:t xml:space="preserve">,</w:t>
            </w:r>
            <w:r>
              <w:t xml:space="preserve"> </w:t>
            </w:r>
            <w:r>
              <w:rPr>
                <w:rStyle w:val="VerbatimChar"/>
              </w:rPr>
              <w:t xml:space="preserve">Calendars.ReadWrite</w:t>
            </w:r>
            <w:r>
              <w:t xml:space="preserve">,</w:t>
            </w:r>
            <w:r>
              <w:t xml:space="preserve"> </w:t>
            </w:r>
            <w:r>
              <w:rPr>
                <w:rStyle w:val="VerbatimChar"/>
              </w:rPr>
              <w:t xml:space="preserve">Mail.Read</w:t>
            </w:r>
            <w:r>
              <w:t xml:space="preserve"> </w:t>
            </w:r>
            <w:r>
              <w:t xml:space="preserve">(delegated)</w:t>
            </w:r>
          </w:p>
        </w:tc>
        <w:tc>
          <w:tcPr/>
          <w:p>
            <w:pPr>
              <w:pStyle w:val="Compact"/>
            </w:pPr>
            <w:r>
              <w:rPr>
                <w:rStyle w:val="VerbatimChar"/>
              </w:rPr>
              <w:t xml:space="preserve">User.Read</w:t>
            </w:r>
            <w:r>
              <w:t xml:space="preserve">,</w:t>
            </w:r>
            <w:r>
              <w:t xml:space="preserve"> </w:t>
            </w:r>
            <w:r>
              <w:rPr>
                <w:rStyle w:val="VerbatimChar"/>
              </w:rPr>
              <w:t xml:space="preserve">openid</w:t>
            </w:r>
            <w:r>
              <w:t xml:space="preserve">,</w:t>
            </w:r>
            <w:r>
              <w:t xml:space="preserve"> </w:t>
            </w:r>
            <w:r>
              <w:rPr>
                <w:rStyle w:val="VerbatimChar"/>
              </w:rPr>
              <w:t xml:space="preserve">profile</w:t>
            </w:r>
            <w:r>
              <w:t xml:space="preserve">,</w:t>
            </w:r>
            <w:r>
              <w:t xml:space="preserve"> </w:t>
            </w:r>
            <w:r>
              <w:rPr>
                <w:rStyle w:val="VerbatimChar"/>
              </w:rPr>
              <w:t xml:space="preserve">email</w:t>
            </w:r>
            <w:r>
              <w:t xml:space="preserve">,</w:t>
            </w:r>
            <w:r>
              <w:t xml:space="preserve"> </w:t>
            </w:r>
            <w:r>
              <w:rPr>
                <w:rStyle w:val="VerbatimChar"/>
              </w:rPr>
              <w:t xml:space="preserve">offline_access</w:t>
            </w:r>
          </w:p>
        </w:tc>
      </w:tr>
      <w:tr>
        <w:tc>
          <w:tcPr/>
          <w:p>
            <w:pPr>
              <w:pStyle w:val="Compact"/>
            </w:pPr>
            <w:r>
              <w:t xml:space="preserve">Example apps</w:t>
            </w:r>
          </w:p>
        </w:tc>
        <w:tc>
          <w:tcPr/>
          <w:p>
            <w:pPr>
              <w:pStyle w:val="Compact"/>
            </w:pPr>
            <w:r>
              <w:t xml:space="preserve">Payroll and HR systems, SIEM connectors, partner portals</w:t>
            </w:r>
          </w:p>
        </w:tc>
        <w:tc>
          <w:tcPr/>
          <w:p>
            <w:pPr>
              <w:pStyle w:val="Compact"/>
            </w:pPr>
            <w:r>
              <w:t xml:space="preserve">Project tools, department reporting, SharePoint integrations</w:t>
            </w:r>
          </w:p>
        </w:tc>
        <w:tc>
          <w:tcPr/>
          <w:p>
            <w:pPr>
              <w:pStyle w:val="Compact"/>
            </w:pPr>
            <w:r>
              <w:t xml:space="preserve">Productivity tools, sign-in-only apps, read-only dashboards</w:t>
            </w:r>
          </w:p>
        </w:tc>
      </w:tr>
      <w:tr>
        <w:tc>
          <w:tcPr/>
          <w:p>
            <w:pPr>
              <w:pStyle w:val="Compact"/>
            </w:pPr>
            <w:r>
              <w:t xml:space="preserve">Access request approver</w:t>
            </w:r>
          </w:p>
        </w:tc>
        <w:tc>
          <w:tcPr/>
          <w:p>
            <w:pPr>
              <w:pStyle w:val="Compact"/>
            </w:pPr>
            <w:r>
              <w:t xml:space="preserve">Application owner, with IGO notice and a hold window</w:t>
            </w:r>
          </w:p>
        </w:tc>
        <w:tc>
          <w:tcPr/>
          <w:p>
            <w:pPr>
              <w:pStyle w:val="Compact"/>
            </w:pPr>
            <w:r>
              <w:t xml:space="preserve">Application owner</w:t>
            </w:r>
          </w:p>
        </w:tc>
        <w:tc>
          <w:tcPr/>
          <w:p>
            <w:pPr>
              <w:pStyle w:val="Compact"/>
            </w:pPr>
            <w:r>
              <w:t xml:space="preserve">Business approver</w:t>
            </w:r>
          </w:p>
        </w:tc>
      </w:tr>
      <w:tr>
        <w:tc>
          <w:tcPr/>
          <w:p>
            <w:pPr>
              <w:pStyle w:val="Compact"/>
            </w:pPr>
            <w:r>
              <w:t xml:space="preserve">Admin consent approver</w:t>
            </w:r>
          </w:p>
        </w:tc>
        <w:tc>
          <w:tcPr/>
          <w:p>
            <w:pPr>
              <w:pStyle w:val="Compact"/>
            </w:pPr>
            <w:r>
              <w:t xml:space="preserve">IGO; CISO notified</w:t>
            </w:r>
          </w:p>
        </w:tc>
        <w:tc>
          <w:tcPr/>
          <w:p>
            <w:pPr>
              <w:pStyle w:val="Compact"/>
            </w:pPr>
            <w:r>
              <w:t xml:space="preserve">Application owner confirms, IGO approves</w:t>
            </w:r>
          </w:p>
        </w:tc>
        <w:tc>
          <w:tcPr/>
          <w:p>
            <w:pPr>
              <w:pStyle w:val="Compact"/>
            </w:pPr>
            <w:r>
              <w:t xml:space="preserve">Application owner; IGO informed</w:t>
            </w:r>
          </w:p>
        </w:tc>
      </w:tr>
      <w:tr>
        <w:tc>
          <w:tcPr/>
          <w:p>
            <w:pPr>
              <w:pStyle w:val="Compact"/>
            </w:pPr>
            <w:r>
              <w:t xml:space="preserve">Access review cadence</w:t>
            </w:r>
          </w:p>
        </w:tc>
        <w:tc>
          <w:tcPr/>
          <w:p>
            <w:pPr>
              <w:pStyle w:val="Compact"/>
            </w:pPr>
            <w:r>
              <w:t xml:space="preserve">Quarterly</w:t>
            </w:r>
          </w:p>
        </w:tc>
        <w:tc>
          <w:tcPr/>
          <w:p>
            <w:pPr>
              <w:pStyle w:val="Compact"/>
            </w:pPr>
            <w:r>
              <w:t xml:space="preserve">Semi-annual</w:t>
            </w:r>
          </w:p>
        </w:tc>
        <w:tc>
          <w:tcPr/>
          <w:p>
            <w:pPr>
              <w:pStyle w:val="Compact"/>
            </w:pPr>
            <w:r>
              <w:t xml:space="preserve">Annual</w:t>
            </w:r>
          </w:p>
        </w:tc>
      </w:tr>
      <w:tr>
        <w:tc>
          <w:tcPr/>
          <w:p>
            <w:pPr>
              <w:pStyle w:val="Compact"/>
            </w:pPr>
            <w:r>
              <w:t xml:space="preserve">Owners</w:t>
            </w:r>
          </w:p>
        </w:tc>
        <w:tc>
          <w:tcPr/>
          <w:p>
            <w:pPr>
              <w:pStyle w:val="Compact"/>
            </w:pPr>
            <w:r>
              <w:t xml:space="preserve">Named owner and named backup, both mandatory</w:t>
            </w:r>
          </w:p>
        </w:tc>
        <w:tc>
          <w:tcPr/>
          <w:p>
            <w:pPr>
              <w:pStyle w:val="Compact"/>
            </w:pPr>
            <w:r>
              <w:t xml:space="preserve">Named owner mandatory; backup recommended</w:t>
            </w:r>
          </w:p>
        </w:tc>
        <w:tc>
          <w:tcPr/>
          <w:p>
            <w:pPr>
              <w:pStyle w:val="Compact"/>
            </w:pPr>
            <w:r>
              <w:t xml:space="preserve">Named owner</w:t>
            </w:r>
          </w:p>
        </w:tc>
      </w:tr>
      <w:tr>
        <w:tc>
          <w:tcPr/>
          <w:p>
            <w:pPr>
              <w:pStyle w:val="Compact"/>
            </w:pPr>
            <w:r>
              <w:t xml:space="preserve">Initial provisioning sign-off</w:t>
            </w:r>
          </w:p>
        </w:tc>
        <w:tc>
          <w:tcPr/>
          <w:p>
            <w:pPr>
              <w:pStyle w:val="Compact"/>
            </w:pPr>
            <w:r>
              <w:t xml:space="preserve">CISO or deputy CISO</w:t>
            </w:r>
          </w:p>
        </w:tc>
        <w:tc>
          <w:tcPr/>
          <w:p>
            <w:pPr>
              <w:pStyle w:val="Compact"/>
            </w:pPr>
            <w:r>
              <w:t xml:space="preserve">None beyond the chain</w:t>
            </w:r>
          </w:p>
        </w:tc>
        <w:tc>
          <w:tcPr/>
          <w:p>
            <w:pPr>
              <w:pStyle w:val="Compact"/>
            </w:pPr>
            <w:r>
              <w:t xml:space="preserve">None beyond the chain</w:t>
            </w:r>
          </w:p>
        </w:tc>
      </w:tr>
      <w:tr>
        <w:tc>
          <w:tcPr/>
          <w:p>
            <w:pPr>
              <w:pStyle w:val="Compact"/>
            </w:pPr>
            <w:r>
              <w:t xml:space="preserve">Alerting</w:t>
            </w:r>
          </w:p>
        </w:tc>
        <w:tc>
          <w:tcPr/>
          <w:p>
            <w:pPr>
              <w:pStyle w:val="Compact"/>
            </w:pPr>
            <w:r>
              <w:t xml:space="preserve">Every permission change</w:t>
            </w:r>
          </w:p>
        </w:tc>
        <w:tc>
          <w:tcPr/>
          <w:p>
            <w:pPr>
              <w:pStyle w:val="Compact"/>
            </w:pPr>
            <w:r>
              <w:t xml:space="preserve">Consent grants</w:t>
            </w:r>
          </w:p>
        </w:tc>
        <w:tc>
          <w:tcPr/>
          <w:p>
            <w:pPr>
              <w:pStyle w:val="Compact"/>
            </w:pPr>
            <w:r>
              <w:t xml:space="preserve">Standard audit log</w:t>
            </w:r>
          </w:p>
        </w:tc>
      </w:tr>
    </w:tbl>
    <w:p>
      <w:pPr>
        <w:pStyle w:val="BodyText"/>
      </w:pPr>
      <w:r>
        <w:t xml:space="preserve">An app qualifies for Tier 1 if it meets any one Tier 1 criterion, and for Tier 3 only if it meets all the Tier 3 criteria. Reclassification happens whenever the app’s scopes, data, operator or owner change, or after a security incident involving it. Moving an app down a tier needs the IGO’s documented approval. The tiers and every value in the table are the program’s design, carried from the source governance model; the permission names are Microsoft Graph’s.</w:t>
      </w:r>
    </w:p>
    <w:bookmarkEnd w:id="521"/>
    <w:bookmarkStart w:id="540" w:name="Xcbca3ecaf83cbbcf4ceb9e721d558fc0668bcc4"/>
    <w:p>
      <w:pPr>
        <w:pStyle w:val="Heading2"/>
      </w:pPr>
      <w:bookmarkStart w:id="1214" w:name="_Toc00001214"/>
      <w:r>
        <w:t xml:space="preserve">The enterprise-application approval model</w:t>
      </w:r>
      <w:bookmarkEnd w:id="1214"/>
    </w:p>
    <w:p>
      <w:pPr>
        <w:pStyle w:val="FirstParagraph"/>
      </w:pPr>
      <w:r>
        <w:t xml:space="preserve">The model has four stages: request, approval, assignment and review. Every stage runs through a ticket, and no change in Entra ID counts as governed without an open, approved ticket behind it and a closed one after it.</w:t>
      </w:r>
    </w:p>
    <w:bookmarkStart w:id="522" w:name="request"/>
    <w:p>
      <w:pPr>
        <w:pStyle w:val="Heading3"/>
      </w:pPr>
      <w:r>
        <w:t xml:space="preserve">Request</w:t>
      </w:r>
    </w:p>
    <w:p>
      <w:pPr>
        <w:pStyle w:val="FirstParagraph"/>
      </w:pPr>
      <w:r>
        <w:t xml:space="preserve">Requests enter through the ITSM catalog, never through email to a person. Every request carries the same core fields, and an incomplete request goes back to the requester before it reaches an approver: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Required for</w:t>
            </w:r>
          </w:p>
        </w:tc>
      </w:tr>
      <w:tr>
        <w:tc>
          <w:tcPr/>
          <w:p>
            <w:pPr>
              <w:pStyle w:val="Compact"/>
            </w:pPr>
            <w:r>
              <w:t xml:space="preserve">Requester name, user principal name, and manager</w:t>
            </w:r>
          </w:p>
        </w:tc>
        <w:tc>
          <w:tcPr/>
          <w:p>
            <w:pPr>
              <w:pStyle w:val="Compact"/>
            </w:pPr>
            <w:r>
              <w:t xml:space="preserve">Every request</w:t>
            </w:r>
          </w:p>
        </w:tc>
      </w:tr>
      <w:tr>
        <w:tc>
          <w:tcPr/>
          <w:p>
            <w:pPr>
              <w:pStyle w:val="Compact"/>
            </w:pPr>
            <w:r>
              <w:t xml:space="preserve">Application display name and application (client) ID</w:t>
            </w:r>
          </w:p>
        </w:tc>
        <w:tc>
          <w:tcPr/>
          <w:p>
            <w:pPr>
              <w:pStyle w:val="Compact"/>
            </w:pPr>
            <w:r>
              <w:t xml:space="preserve">Every request; client ID for consent and registration requests</w:t>
            </w:r>
          </w:p>
        </w:tc>
      </w:tr>
      <w:tr>
        <w:tc>
          <w:tcPr/>
          <w:p>
            <w:pPr>
              <w:pStyle w:val="Compact"/>
            </w:pPr>
            <w:r>
              <w:t xml:space="preserve">Current risk tier, from the registry</w:t>
            </w:r>
          </w:p>
        </w:tc>
        <w:tc>
          <w:tcPr/>
          <w:p>
            <w:pPr>
              <w:pStyle w:val="Compact"/>
            </w:pPr>
            <w:r>
              <w:t xml:space="preserve">Every request</w:t>
            </w:r>
          </w:p>
        </w:tc>
      </w:tr>
      <w:tr>
        <w:tc>
          <w:tcPr/>
          <w:p>
            <w:pPr>
              <w:pStyle w:val="Compact"/>
            </w:pPr>
            <w:r>
              <w:t xml:space="preserve">Business justification</w:t>
            </w:r>
          </w:p>
        </w:tc>
        <w:tc>
          <w:tcPr/>
          <w:p>
            <w:pPr>
              <w:pStyle w:val="Compact"/>
            </w:pPr>
            <w:r>
              <w:t xml:space="preserve">Every request</w:t>
            </w:r>
          </w:p>
        </w:tc>
      </w:tr>
      <w:tr>
        <w:tc>
          <w:tcPr/>
          <w:p>
            <w:pPr>
              <w:pStyle w:val="Compact"/>
            </w:pPr>
            <w:r>
              <w:t xml:space="preserve">Requested access group, named to the convention below</w:t>
            </w:r>
          </w:p>
        </w:tc>
        <w:tc>
          <w:tcPr/>
          <w:p>
            <w:pPr>
              <w:pStyle w:val="Compact"/>
            </w:pPr>
            <w:r>
              <w:t xml:space="preserve">Access requests</w:t>
            </w:r>
          </w:p>
        </w:tc>
      </w:tr>
      <w:tr>
        <w:tc>
          <w:tcPr/>
          <w:p>
            <w:pPr>
              <w:pStyle w:val="Compact"/>
            </w:pPr>
            <w:r>
              <w:t xml:space="preserve">Exact permission names, and a least-privilege analysis for each</w:t>
            </w:r>
          </w:p>
        </w:tc>
        <w:tc>
          <w:tcPr/>
          <w:p>
            <w:pPr>
              <w:pStyle w:val="Compact"/>
            </w:pPr>
            <w:r>
              <w:t xml:space="preserve">Consent requests</w:t>
            </w:r>
          </w:p>
        </w:tc>
      </w:tr>
      <w:tr>
        <w:tc>
          <w:tcPr/>
          <w:p>
            <w:pPr>
              <w:pStyle w:val="Compact"/>
            </w:pPr>
            <w:r>
              <w:t xml:space="preserve">Approval chain with approver names, decisions and timestamps</w:t>
            </w:r>
          </w:p>
        </w:tc>
        <w:tc>
          <w:tcPr/>
          <w:p>
            <w:pPr>
              <w:pStyle w:val="Compact"/>
            </w:pPr>
            <w:r>
              <w:t xml:space="preserve">Auto-populated</w:t>
            </w:r>
          </w:p>
        </w:tc>
      </w:tr>
      <w:tr>
        <w:tc>
          <w:tcPr/>
          <w:p>
            <w:pPr>
              <w:pStyle w:val="Compact"/>
            </w:pPr>
            <w:r>
              <w:t xml:space="preserve">Execution log: executor, action, object IDs, timestamp, audit log reference</w:t>
            </w:r>
          </w:p>
        </w:tc>
        <w:tc>
          <w:tcPr/>
          <w:p>
            <w:pPr>
              <w:pStyle w:val="Compact"/>
            </w:pPr>
            <w:r>
              <w:t xml:space="preserve">Completed by the executor</w:t>
            </w:r>
          </w:p>
        </w:tc>
      </w:tr>
    </w:tbl>
    <w:p>
      <w:pPr>
        <w:pStyle w:val="BodyText"/>
      </w:pPr>
      <w:r>
        <w:t xml:space="preserve">The catalog carries one item per request type, each with its own chain and SLA: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Request type</w:t>
            </w:r>
          </w:p>
        </w:tc>
        <w:tc>
          <w:tcPr/>
          <w:p>
            <w:pPr>
              <w:pStyle w:val="Compact"/>
            </w:pPr>
            <w:r>
              <w:t xml:space="preserve">Approval chain</w:t>
            </w:r>
          </w:p>
        </w:tc>
        <w:tc>
          <w:tcPr/>
          <w:p>
            <w:pPr>
              <w:pStyle w:val="Compact"/>
            </w:pPr>
            <w:r>
              <w:t xml:space="preserve">SLA (program design)</w:t>
            </w:r>
          </w:p>
        </w:tc>
      </w:tr>
      <w:tr>
        <w:tc>
          <w:tcPr/>
          <w:p>
            <w:pPr>
              <w:pStyle w:val="Compact"/>
            </w:pPr>
            <w:r>
              <w:t xml:space="preserve">Application access</w:t>
            </w:r>
          </w:p>
        </w:tc>
        <w:tc>
          <w:tcPr/>
          <w:p>
            <w:pPr>
              <w:pStyle w:val="Compact"/>
            </w:pPr>
            <w:r>
              <w:t xml:space="preserve">Business approver, then application owner, then execution; Tier 1 adds IGO notice</w:t>
            </w:r>
          </w:p>
        </w:tc>
        <w:tc>
          <w:tcPr/>
          <w:p>
            <w:pPr>
              <w:pStyle w:val="Compact"/>
            </w:pPr>
            <w:r>
              <w:t xml:space="preserve">3 business days</w:t>
            </w:r>
          </w:p>
        </w:tc>
      </w:tr>
      <w:tr>
        <w:tc>
          <w:tcPr/>
          <w:p>
            <w:pPr>
              <w:pStyle w:val="Compact"/>
            </w:pPr>
            <w:r>
              <w:t xml:space="preserve">Admin consent</w:t>
            </w:r>
          </w:p>
        </w:tc>
        <w:tc>
          <w:tcPr/>
          <w:p>
            <w:pPr>
              <w:pStyle w:val="Compact"/>
            </w:pPr>
            <w:r>
              <w:t xml:space="preserve">Owner submits, security review, tier approver, then execution (</w:t>
            </w:r>
            <w:hyperlink w:anchor="who-approves-admin-consent">
              <w:r>
                <w:rPr>
                  <w:rStyle w:val="Hyperlink"/>
                </w:rPr>
                <w:t xml:space="preserve">below</w:t>
              </w:r>
            </w:hyperlink>
            <w:r>
              <w:t xml:space="preserve">)</w:t>
            </w:r>
          </w:p>
        </w:tc>
        <w:tc>
          <w:tcPr/>
          <w:p>
            <w:pPr>
              <w:pStyle w:val="Compact"/>
            </w:pPr>
            <w:r>
              <w:t xml:space="preserve">5 business days (3 for Tier 3)</w:t>
            </w:r>
          </w:p>
        </w:tc>
      </w:tr>
      <w:tr>
        <w:tc>
          <w:tcPr/>
          <w:p>
            <w:pPr>
              <w:pStyle w:val="Compact"/>
            </w:pPr>
            <w:r>
              <w:t xml:space="preserve">Consent revocation</w:t>
            </w:r>
          </w:p>
        </w:tc>
        <w:tc>
          <w:tcPr/>
          <w:p>
            <w:pPr>
              <w:pStyle w:val="Compact"/>
            </w:pPr>
            <w:r>
              <w:t xml:space="preserve">Owner notified, IGO authorizes, then execution</w:t>
            </w:r>
          </w:p>
        </w:tc>
        <w:tc>
          <w:tcPr/>
          <w:p>
            <w:pPr>
              <w:pStyle w:val="Compact"/>
            </w:pPr>
            <w:r>
              <w:t xml:space="preserve">1 business day; 2 hours when incident-driven</w:t>
            </w:r>
          </w:p>
        </w:tc>
      </w:tr>
      <w:tr>
        <w:tc>
          <w:tcPr/>
          <w:p>
            <w:pPr>
              <w:pStyle w:val="Compact"/>
            </w:pPr>
            <w:r>
              <w:t xml:space="preserve">New application registration</w:t>
            </w:r>
          </w:p>
        </w:tc>
        <w:tc>
          <w:tcPr/>
          <w:p>
            <w:pPr>
              <w:pStyle w:val="Compact"/>
            </w:pPr>
            <w:r>
              <w:t xml:space="preserve">Owner, IGO classification, CISO sign-off for Tier 1, then identity engineering</w:t>
            </w:r>
          </w:p>
        </w:tc>
        <w:tc>
          <w:tcPr/>
          <w:p>
            <w:pPr>
              <w:pStyle w:val="Compact"/>
            </w:pPr>
            <w:r>
              <w:t xml:space="preserve">5 business days for Tier 1, 3 otherwise</w:t>
            </w:r>
          </w:p>
        </w:tc>
      </w:tr>
      <w:tr>
        <w:tc>
          <w:tcPr/>
          <w:p>
            <w:pPr>
              <w:pStyle w:val="Compact"/>
            </w:pPr>
            <w:r>
              <w:t xml:space="preserve">Owner assignment or transfer</w:t>
            </w:r>
          </w:p>
        </w:tc>
        <w:tc>
          <w:tcPr/>
          <w:p>
            <w:pPr>
              <w:pStyle w:val="Compact"/>
            </w:pPr>
            <w:r>
              <w:t xml:space="preserve">Business approver nominates, IGO approves, then execution</w:t>
            </w:r>
          </w:p>
        </w:tc>
        <w:tc>
          <w:tcPr/>
          <w:p>
            <w:pPr>
              <w:pStyle w:val="Compact"/>
            </w:pPr>
            <w:r>
              <w:t xml:space="preserve">3 business days</w:t>
            </w:r>
          </w:p>
        </w:tc>
      </w:tr>
      <w:tr>
        <w:tc>
          <w:tcPr/>
          <w:p>
            <w:pPr>
              <w:pStyle w:val="Compact"/>
            </w:pPr>
            <w:r>
              <w:t xml:space="preserve">Risk tier reclassification</w:t>
            </w:r>
          </w:p>
        </w:tc>
        <w:tc>
          <w:tcPr/>
          <w:p>
            <w:pPr>
              <w:pStyle w:val="Compact"/>
            </w:pPr>
            <w:r>
              <w:t xml:space="preserve">Owner requests, IGO decides</w:t>
            </w:r>
          </w:p>
        </w:tc>
        <w:tc>
          <w:tcPr/>
          <w:p>
            <w:pPr>
              <w:pStyle w:val="Compact"/>
            </w:pPr>
            <w:r>
              <w:t xml:space="preserve">5 business days</w:t>
            </w:r>
          </w:p>
        </w:tc>
      </w:tr>
      <w:tr>
        <w:tc>
          <w:tcPr/>
          <w:p>
            <w:pPr>
              <w:pStyle w:val="Compact"/>
            </w:pPr>
            <w:r>
              <w:t xml:space="preserve">Access group creation</w:t>
            </w:r>
          </w:p>
        </w:tc>
        <w:tc>
          <w:tcPr/>
          <w:p>
            <w:pPr>
              <w:pStyle w:val="Compact"/>
            </w:pPr>
            <w:r>
              <w:t xml:space="preserve">Owner requests, IGO notified, then execution</w:t>
            </w:r>
          </w:p>
        </w:tc>
        <w:tc>
          <w:tcPr/>
          <w:p>
            <w:pPr>
              <w:pStyle w:val="Compact"/>
            </w:pPr>
            <w:r>
              <w:t xml:space="preserve">2 business days</w:t>
            </w:r>
          </w:p>
        </w:tc>
      </w:tr>
      <w:tr>
        <w:tc>
          <w:tcPr/>
          <w:p>
            <w:pPr>
              <w:pStyle w:val="Compact"/>
            </w:pPr>
            <w:r>
              <w:t xml:space="preserve">Decommissioning</w:t>
            </w:r>
          </w:p>
        </w:tc>
        <w:tc>
          <w:tcPr/>
          <w:p>
            <w:pPr>
              <w:pStyle w:val="Compact"/>
            </w:pPr>
            <w:r>
              <w:t xml:space="preserve">Owner, business approver, IGO, then execution</w:t>
            </w:r>
          </w:p>
        </w:tc>
        <w:tc>
          <w:tcPr/>
          <w:p>
            <w:pPr>
              <w:pStyle w:val="Compact"/>
            </w:pPr>
            <w:r>
              <w:t xml:space="preserve">5 business days</w:t>
            </w:r>
          </w:p>
        </w:tc>
      </w:tr>
      <w:tr>
        <w:tc>
          <w:tcPr/>
          <w:p>
            <w:pPr>
              <w:pStyle w:val="Compact"/>
            </w:pPr>
            <w:r>
              <w:t xml:space="preserve">Policy exception</w:t>
            </w:r>
          </w:p>
        </w:tc>
        <w:tc>
          <w:tcPr/>
          <w:p>
            <w:pPr>
              <w:pStyle w:val="Compact"/>
            </w:pPr>
            <w:r>
              <w:t xml:space="preserve">Owner or business approver, then IGO (and AO where</w:t>
            </w:r>
            <w:r>
              <w:t xml:space="preserve"> </w:t>
            </w:r>
            <w:hyperlink w:anchor="exceptions">
              <w:r>
                <w:rPr>
                  <w:rStyle w:val="Hyperlink"/>
                </w:rPr>
                <w:t xml:space="preserve">Exceptions</w:t>
              </w:r>
            </w:hyperlink>
            <w:r>
              <w:t xml:space="preserve"> </w:t>
            </w:r>
            <w:r>
              <w:t xml:space="preserve">says so)</w:t>
            </w:r>
          </w:p>
        </w:tc>
        <w:tc>
          <w:tcPr/>
          <w:p>
            <w:pPr>
              <w:pStyle w:val="Compact"/>
            </w:pPr>
            <w:r>
              <w:t xml:space="preserve">5 business days</w:t>
            </w:r>
          </w:p>
        </w:tc>
      </w:tr>
    </w:tbl>
    <w:p>
      <w:pPr>
        <w:pStyle w:val="BodyText"/>
      </w:pPr>
      <w:r>
        <w:t xml:space="preserve">A breached SLA escalates automatically to the next level, and breaches are reported to the IGO monthly.</w:t>
      </w:r>
    </w:p>
    <w:bookmarkEnd w:id="522"/>
    <w:bookmarkStart w:id="531" w:name="approval"/>
    <w:p>
      <w:pPr>
        <w:pStyle w:val="Heading3"/>
      </w:pPr>
      <w:r>
        <w:t xml:space="preserve">Approval</w:t>
      </w:r>
    </w:p>
    <w:p>
      <w:pPr>
        <w:pStyle w:val="FirstParagraph"/>
      </w:pPr>
      <w:r>
        <w:t xml:space="preserve">For application access, the chain runs from the business approver (one business day) to the application owner (two business days) and then to execution. For Tier 1 apps, the IGO is notified before execution and has a four-business-hour window to place a hold. End to end, the standard access request has a three-business-day SLA for every tier.</w:t>
      </w:r>
    </w:p>
    <w:bookmarkStart w:id="530" w:name="who-approves-admin-consent"/>
    <w:p>
      <w:pPr>
        <w:pStyle w:val="Heading4"/>
      </w:pPr>
      <w:r>
        <w:t xml:space="preserve">Who approves admin consent</w:t>
      </w:r>
    </w:p>
    <w:p>
      <w:pPr>
        <w:pStyle w:val="FirstParagraph"/>
      </w:pPr>
      <w:r>
        <w:t xml:space="preserve">Admin consent is the highest-risk request in the catalog, because a grant applies to the whole tenant immediately and stays until revoked (Chapter 05). Every request gets a security review by the IGO office before the tier’s approver sees it. The review checks that only necessary permissions are requested, that delegated permissions are used where application permissions aren’t required, and that every critical permission has documented necessity.</w:t>
      </w:r>
    </w:p>
    <w:bookmarkStart w:id="526" w:name="fig-ch06-approval-chain-by-tier"/>
    <w:p>
      <w:pPr>
        <w:pStyle w:val="CaptionedFigure"/>
      </w:pPr>
      <w:r>
        <w:drawing>
          <wp:inline>
            <wp:extent cx="5334000" cy="3946178"/>
            <wp:effectExtent b="0" l="0" r="0" t="0"/>
            <wp:docPr descr="Admin consent requests pass a security review, then go to the approver their tier requires; application permissions and critical scopes escalate to Tier 1 handling regardless of tier." title="" id="524" name="Picture"/>
            <a:graphic>
              <a:graphicData uri="http://schemas.openxmlformats.org/drawingml/2006/picture">
                <pic:pic>
                  <pic:nvPicPr>
                    <pic:cNvPr descr="/home/runner/work/modernization-workbook/modernization-workbook/docs/images/diagrams/b04-access/png/ch06-approval-chain-by-tier.png" id="525" name="Picture"/>
                    <pic:cNvPicPr>
                      <a:picLocks noChangeArrowheads="1" noChangeAspect="1"/>
                    </pic:cNvPicPr>
                  </pic:nvPicPr>
                  <pic:blipFill>
                    <a:blip r:embed="rId523"/>
                    <a:stretch>
                      <a:fillRect/>
                    </a:stretch>
                  </pic:blipFill>
                  <pic:spPr bwMode="auto">
                    <a:xfrm>
                      <a:off x="0" y="0"/>
                      <a:ext cx="5334000" cy="3946178"/>
                    </a:xfrm>
                    <a:prstGeom prst="rect">
                      <a:avLst/>
                    </a:prstGeom>
                    <a:noFill/>
                    <a:ln w="9525">
                      <a:noFill/>
                      <a:headEnd/>
                      <a:tailEnd/>
                    </a:ln>
                  </pic:spPr>
                </pic:pic>
              </a:graphicData>
            </a:graphic>
          </wp:inline>
        </w:drawing>
      </w:r>
    </w:p>
    <w:p>
      <w:pPr>
        <w:pStyle w:val="ImageCaption"/>
      </w:pPr>
      <w:r>
        <w:t xml:space="preserve">Admin consent requests pass a security review, then go to the approver their tier requires; application permissions and critical scopes escalate to Tier 1 handling regardless of tier.</w:t>
      </w:r>
    </w:p>
    <w:bookmarkEnd w:id="526"/>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Situation</w:t>
            </w:r>
          </w:p>
        </w:tc>
        <w:tc>
          <w:tcPr/>
          <w:p>
            <w:pPr>
              <w:pStyle w:val="Compact"/>
            </w:pPr>
            <w:r>
              <w:t xml:space="preserve">Chain</w:t>
            </w:r>
          </w:p>
        </w:tc>
        <w:tc>
          <w:tcPr/>
          <w:p>
            <w:pPr>
              <w:pStyle w:val="Compact"/>
            </w:pPr>
            <w:r>
              <w:t xml:space="preserve">Minimum approvers</w:t>
            </w:r>
          </w:p>
        </w:tc>
      </w:tr>
      <w:tr>
        <w:tc>
          <w:tcPr/>
          <w:p>
            <w:pPr>
              <w:pStyle w:val="Compact"/>
            </w:pPr>
            <w:r>
              <w:t xml:space="preserve">Tier 1 app</w:t>
            </w:r>
          </w:p>
        </w:tc>
        <w:tc>
          <w:tcPr/>
          <w:p>
            <w:pPr>
              <w:pStyle w:val="Compact"/>
            </w:pPr>
            <w:r>
              <w:t xml:space="preserve">Owner submits, security review, IGO approves, CISO notified</w:t>
            </w:r>
          </w:p>
        </w:tc>
        <w:tc>
          <w:tcPr/>
          <w:p>
            <w:pPr>
              <w:pStyle w:val="Compact"/>
            </w:pPr>
            <w:r>
              <w:t xml:space="preserve">IGO</w:t>
            </w:r>
          </w:p>
        </w:tc>
      </w:tr>
      <w:tr>
        <w:tc>
          <w:tcPr/>
          <w:p>
            <w:pPr>
              <w:pStyle w:val="Compact"/>
            </w:pPr>
            <w:r>
              <w:t xml:space="preserve">Tier 2 app</w:t>
            </w:r>
          </w:p>
        </w:tc>
        <w:tc>
          <w:tcPr/>
          <w:p>
            <w:pPr>
              <w:pStyle w:val="Compact"/>
            </w:pPr>
            <w:r>
              <w:t xml:space="preserve">Owner submits, security review, owner confirms, IGO approves</w:t>
            </w:r>
          </w:p>
        </w:tc>
        <w:tc>
          <w:tcPr/>
          <w:p>
            <w:pPr>
              <w:pStyle w:val="Compact"/>
            </w:pPr>
            <w:r>
              <w:t xml:space="preserve">Owner and IGO</w:t>
            </w:r>
          </w:p>
        </w:tc>
      </w:tr>
      <w:tr>
        <w:tc>
          <w:tcPr/>
          <w:p>
            <w:pPr>
              <w:pStyle w:val="Compact"/>
            </w:pPr>
            <w:r>
              <w:t xml:space="preserve">Tier 3 app</w:t>
            </w:r>
          </w:p>
        </w:tc>
        <w:tc>
          <w:tcPr/>
          <w:p>
            <w:pPr>
              <w:pStyle w:val="Compact"/>
            </w:pPr>
            <w:r>
              <w:t xml:space="preserve">Owner submits, security review, owner approves, IGO informed</w:t>
            </w:r>
          </w:p>
        </w:tc>
        <w:tc>
          <w:tcPr/>
          <w:p>
            <w:pPr>
              <w:pStyle w:val="Compact"/>
            </w:pPr>
            <w:r>
              <w:t xml:space="preserve">Owner</w:t>
            </w:r>
          </w:p>
        </w:tc>
      </w:tr>
      <w:tr>
        <w:tc>
          <w:tcPr/>
          <w:p>
            <w:pPr>
              <w:pStyle w:val="Compact"/>
            </w:pPr>
            <w:r>
              <w:t xml:space="preserve">Any application permission, any tier</w:t>
            </w:r>
          </w:p>
        </w:tc>
        <w:tc>
          <w:tcPr/>
          <w:p>
            <w:pPr>
              <w:pStyle w:val="Compact"/>
            </w:pPr>
            <w:r>
              <w:t xml:space="preserve">Handled as Tier 1</w:t>
            </w:r>
          </w:p>
        </w:tc>
        <w:tc>
          <w:tcPr/>
          <w:p>
            <w:pPr>
              <w:pStyle w:val="Compact"/>
            </w:pPr>
            <w:r>
              <w:t xml:space="preserve">IGO; CISO notified</w:t>
            </w:r>
          </w:p>
        </w:tc>
      </w:tr>
      <w:tr>
        <w:tc>
          <w:tcPr/>
          <w:p>
            <w:pPr>
              <w:pStyle w:val="Compact"/>
            </w:pPr>
            <w:r>
              <w:t xml:space="preserve">Any permission the program rates Critical (Chapter 05), any tier</w:t>
            </w:r>
          </w:p>
        </w:tc>
        <w:tc>
          <w:tcPr/>
          <w:p>
            <w:pPr>
              <w:pStyle w:val="Compact"/>
            </w:pPr>
            <w:r>
              <w:t xml:space="preserve">Dual review</w:t>
            </w:r>
          </w:p>
        </w:tc>
        <w:tc>
          <w:tcPr/>
          <w:p>
            <w:pPr>
              <w:pStyle w:val="Compact"/>
            </w:pPr>
            <w:r>
              <w:t xml:space="preserve">IGO and CISO</w:t>
            </w:r>
          </w:p>
        </w:tc>
      </w:tr>
    </w:tbl>
    <w:p>
      <w:pPr>
        <w:pStyle w:val="BodyText"/>
      </w:pPr>
      <w:r>
        <w:t xml:space="preserve">The source policy defined the critical-scope trigger as any permission ending in</w:t>
      </w:r>
      <w:r>
        <w:t xml:space="preserve"> </w:t>
      </w:r>
      <w:r>
        <w:rPr>
          <w:rStyle w:val="VerbatimChar"/>
        </w:rPr>
        <w:t xml:space="preserve">.All</w:t>
      </w:r>
      <w:r>
        <w:t xml:space="preserve"> </w:t>
      </w:r>
      <w:r>
        <w:t xml:space="preserve">at application level. That rule misses the most dangerous mail permissions: the Microsoft Graph application permissions to read and write every mailbox and to send as any user are</w:t>
      </w:r>
      <w:r>
        <w:t xml:space="preserve"> </w:t>
      </w:r>
      <w:r>
        <w:rPr>
          <w:rStyle w:val="VerbatimChar"/>
        </w:rPr>
        <w:t xml:space="preserve">Mail.ReadWrite</w:t>
      </w:r>
      <w:r>
        <w:t xml:space="preserve"> </w:t>
      </w:r>
      <w:r>
        <w:t xml:space="preserve">and</w:t>
      </w:r>
      <w:r>
        <w:t xml:space="preserve"> </w:t>
      </w:r>
      <w:r>
        <w:rPr>
          <w:rStyle w:val="VerbatimChar"/>
        </w:rPr>
        <w:t xml:space="preserve">Mail.Send</w:t>
      </w:r>
      <w:r>
        <w:t xml:space="preserve">, with no</w:t>
      </w:r>
      <w:r>
        <w:t xml:space="preserve"> </w:t>
      </w:r>
      <w:r>
        <w:rPr>
          <w:rStyle w:val="VerbatimChar"/>
        </w:rPr>
        <w:t xml:space="preserve">.All</w:t>
      </w:r>
      <w:r>
        <w:t xml:space="preserve"> </w:t>
      </w:r>
      <w:r>
        <w:t xml:space="preserve">suffix.</w:t>
      </w:r>
      <w:r>
        <w:rPr>
          <w:rStyle w:val="FootnoteReference"/>
        </w:rPr>
        <w:footnoteReference w:id="527"/>
      </w:r>
      <w:r>
        <w:t xml:space="preserve"> </w:t>
      </w:r>
      <w:r>
        <w:t xml:space="preserve">The program’s trigger is the risk level in the permission table, not the name.</w:t>
      </w:r>
    </w:p>
    <w:p>
      <w:pPr>
        <w:pStyle w:val="BodyText"/>
      </w:pPr>
      <w:r>
        <w:t xml:space="preserve">Approval and execution stay separate even here. After approval, the grant is executed by whoever holds the role that can grant it: Privileged Role Administrator for Microsoft Graph application permissions, Cloud Application Administrator for delegated permissions and other APIs.</w:t>
      </w:r>
      <w:r>
        <w:rPr>
          <w:rStyle w:val="FootnoteReference"/>
        </w:rPr>
        <w:footnoteReference w:id="528"/>
      </w:r>
      <w:r>
        <w:t xml:space="preserve"> </w:t>
      </w:r>
      <w:r>
        <w:t xml:space="preserve">In the program’s design that person is in the IGO office, activates the role through PIM against the ticket, and isn’t the person who approved the request. The help desk records the outcome but never performs the grant. Requests that arrive through the admin consent workflow are intake for this chain, not a shortcut around it.</w:t>
      </w:r>
    </w:p>
    <w:p>
      <w:pPr>
        <w:pStyle w:val="BodyText"/>
      </w:pPr>
      <w:r>
        <w:t xml:space="preserve">Revocation runs the other way. The owner, the IGO, the CISO or a security alert can start it. The owner gets 24 hours’ notice unless the revocation is incident-driven. Execution removes the grant from the enterprise application’s</w:t>
      </w:r>
      <w:r>
        <w:t xml:space="preserve"> </w:t>
      </w:r>
      <w:r>
        <w:rPr>
          <w:b/>
          <w:bCs/>
        </w:rPr>
        <w:t xml:space="preserve">Permissions</w:t>
      </w:r>
      <w:r>
        <w:t xml:space="preserve"> </w:t>
      </w:r>
      <w:r>
        <w:t xml:space="preserve">page, the registry is updated, and the owner and IGO are told. Two facts belong in every revocation ticket: tokens already issued stay valid until they expire, and users can consent again unless the app stops requesting the permission or user consent is blocked.</w:t>
      </w:r>
      <w:r>
        <w:rPr>
          <w:rStyle w:val="FootnoteReference"/>
        </w:rPr>
        <w:footnoteReference w:id="529"/>
      </w:r>
    </w:p>
    <w:bookmarkEnd w:id="530"/>
    <w:bookmarkEnd w:id="531"/>
    <w:bookmarkStart w:id="538" w:name="assignment"/>
    <w:p>
      <w:pPr>
        <w:pStyle w:val="Heading3"/>
      </w:pPr>
      <w:r>
        <w:t xml:space="preserve">Assignment</w:t>
      </w:r>
    </w:p>
    <w:p>
      <w:pPr>
        <w:pStyle w:val="FirstParagraph"/>
      </w:pPr>
      <w:r>
        <w:t xml:space="preserve">Access to an enterprise application is granted through security groups, never by assigning an individual. Three Entra facts shape the design:</w:t>
      </w:r>
    </w:p>
    <w:p>
      <w:pPr>
        <w:pStyle w:val="Compact"/>
        <w:numPr>
          <w:ilvl w:val="0"/>
          <w:numId w:val="1036"/>
        </w:numPr>
      </w:pPr>
      <w:r>
        <w:t xml:space="preserve">Group-based assignment requires Entra ID P1 or P2, and only security groups can be assigned.</w:t>
      </w:r>
      <w:r>
        <w:rPr>
          <w:rStyle w:val="FootnoteReference"/>
        </w:rPr>
        <w:footnoteReference w:id="532"/>
      </w:r>
      <w:r>
        <w:rPr>
          <w:rStyle w:val="FootnoteReference"/>
        </w:rPr>
        <w:footnoteReference w:id="534"/>
      </w:r>
    </w:p>
    <w:p>
      <w:pPr>
        <w:pStyle w:val="Compact"/>
        <w:numPr>
          <w:ilvl w:val="0"/>
          <w:numId w:val="1036"/>
        </w:numPr>
      </w:pPr>
      <w:r>
        <w:t xml:space="preserve">Assignment doesn’t cascade to nested groups. Only direct members of an assigned group get access.</w:t>
      </w:r>
      <w:r>
        <w:rPr>
          <w:rStyle w:val="FootnoteReference"/>
        </w:rPr>
        <w:footnoteReference w:id="536"/>
      </w:r>
    </w:p>
    <w:p>
      <w:pPr>
        <w:pStyle w:val="Compact"/>
        <w:numPr>
          <w:ilvl w:val="0"/>
          <w:numId w:val="1036"/>
        </w:numPr>
      </w:pPr>
      <w:r>
        <w:t xml:space="preserve">An app can be set to require assignment, so only assigned users and groups can sign in, and an app that requires assignment always needs admin consent for its permissions.</w:t>
      </w:r>
      <w:r>
        <w:rPr>
          <w:rStyle w:val="FootnoteReference"/>
        </w:rPr>
        <w:footnoteReference w:id="537"/>
      </w:r>
    </w:p>
    <w:p>
      <w:pPr>
        <w:pStyle w:val="FirstParagraph"/>
      </w:pPr>
      <w:r>
        <w:t xml:space="preserve">The program sets</w:t>
      </w:r>
      <w:r>
        <w:t xml:space="preserve"> </w:t>
      </w:r>
      <w:r>
        <w:rPr>
          <w:b/>
          <w:bCs/>
        </w:rPr>
        <w:t xml:space="preserve">Assignment required</w:t>
      </w:r>
      <w:r>
        <w:t xml:space="preserve"> </w:t>
      </w:r>
      <w:r>
        <w:t xml:space="preserve">on every enterprise application, assigns only groups with direct members, and treats any nested group found in review as a finding to fix immediately.</w:t>
      </w:r>
    </w:p>
    <w:p>
      <w:pPr>
        <w:pStyle w:val="BodyText"/>
      </w:pPr>
      <w:r>
        <w:t xml:space="preserve">Access groups follow one naming convention so that reviews, alerts and the registry line up:</w:t>
      </w:r>
      <w:r>
        <w:t xml:space="preserve"> </w:t>
      </w:r>
      <w:r>
        <w:rPr>
          <w:rStyle w:val="VerbatimChar"/>
        </w:rPr>
        <w:t xml:space="preserve">APP-&lt;AppShortName&gt;-&lt;AccessRole&gt;-&lt;RiskTier&gt;</w:t>
      </w:r>
      <w:r>
        <w:t xml:space="preserve">, for example</w:t>
      </w:r>
      <w:r>
        <w:t xml:space="preserve"> </w:t>
      </w:r>
      <w:r>
        <w:rPr>
          <w:rStyle w:val="VerbatimChar"/>
        </w:rPr>
        <w:t xml:space="preserve">APP-PAYROLL-USERS-T1</w:t>
      </w:r>
      <w:r>
        <w:t xml:space="preserve">,</w:t>
      </w:r>
      <w:r>
        <w:t xml:space="preserve"> </w:t>
      </w:r>
      <w:r>
        <w:rPr>
          <w:rStyle w:val="VerbatimChar"/>
        </w:rPr>
        <w:t xml:space="preserve">APP-PAYROLL-ADMINS-T1</w:t>
      </w:r>
      <w:r>
        <w:t xml:space="preserve">,</w:t>
      </w:r>
      <w:r>
        <w:t xml:space="preserve"> </w:t>
      </w:r>
      <w:r>
        <w:rPr>
          <w:rStyle w:val="VerbatimChar"/>
        </w:rPr>
        <w:t xml:space="preserve">APP-HRPORTAL-READONLY-T2</w:t>
      </w:r>
      <w:r>
        <w:t xml:space="preserve"> </w:t>
      </w:r>
      <w:r>
        <w:t xml:space="preserve">and</w:t>
      </w:r>
      <w:r>
        <w:t xml:space="preserve"> </w:t>
      </w:r>
      <w:r>
        <w:rPr>
          <w:rStyle w:val="VerbatimChar"/>
        </w:rPr>
        <w:t xml:space="preserve">APP-PROJMGR-USERS-T3</w:t>
      </w:r>
      <w:r>
        <w:t xml:space="preserve">. The short name matches the registry entry. Non-compliant names are flagged in review and renamed.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 type</w:t>
            </w:r>
          </w:p>
        </w:tc>
        <w:tc>
          <w:tcPr/>
          <w:p>
            <w:pPr>
              <w:pStyle w:val="Compact"/>
            </w:pPr>
            <w:r>
              <w:t xml:space="preserve">Allowed for</w:t>
            </w:r>
          </w:p>
        </w:tc>
        <w:tc>
          <w:tcPr/>
          <w:p>
            <w:pPr>
              <w:pStyle w:val="Compact"/>
            </w:pPr>
            <w:r>
              <w:t xml:space="preserve">Owner</w:t>
            </w:r>
          </w:p>
        </w:tc>
        <w:tc>
          <w:tcPr/>
          <w:p>
            <w:pPr>
              <w:pStyle w:val="Compact"/>
            </w:pPr>
            <w:r>
              <w:t xml:space="preserve">Review cadence</w:t>
            </w:r>
          </w:p>
        </w:tc>
        <w:tc>
          <w:tcPr/>
          <w:p>
            <w:pPr>
              <w:pStyle w:val="Compact"/>
            </w:pPr>
            <w:r>
              <w:t xml:space="preserve">Changes need</w:t>
            </w:r>
          </w:p>
        </w:tc>
      </w:tr>
      <w:tr>
        <w:tc>
          <w:tcPr/>
          <w:p>
            <w:pPr>
              <w:pStyle w:val="Compact"/>
            </w:pPr>
            <w:r>
              <w:t xml:space="preserve">Assigned membership</w:t>
            </w:r>
          </w:p>
        </w:tc>
        <w:tc>
          <w:tcPr/>
          <w:p>
            <w:pPr>
              <w:pStyle w:val="Compact"/>
            </w:pPr>
            <w:r>
              <w:t xml:space="preserve">Mandatory for Tier 1; required for Tier 2; acceptable for Tier 3</w:t>
            </w:r>
          </w:p>
        </w:tc>
        <w:tc>
          <w:tcPr/>
          <w:p>
            <w:pPr>
              <w:pStyle w:val="Compact"/>
            </w:pPr>
            <w:r>
              <w:t xml:space="preserve">Application owner</w:t>
            </w:r>
          </w:p>
        </w:tc>
        <w:tc>
          <w:tcPr/>
          <w:p>
            <w:pPr>
              <w:pStyle w:val="Compact"/>
            </w:pPr>
            <w:r>
              <w:t xml:space="preserve">The app’s tier cadence</w:t>
            </w:r>
          </w:p>
        </w:tc>
        <w:tc>
          <w:tcPr/>
          <w:p>
            <w:pPr>
              <w:pStyle w:val="Compact"/>
            </w:pPr>
            <w:r>
              <w:t xml:space="preserve">An approved ticket and PIM activation</w:t>
            </w:r>
          </w:p>
        </w:tc>
      </w:tr>
      <w:tr>
        <w:tc>
          <w:tcPr/>
          <w:p>
            <w:pPr>
              <w:pStyle w:val="Compact"/>
            </w:pPr>
            <w:r>
              <w:t xml:space="preserve">Dynamic membership</w:t>
            </w:r>
          </w:p>
        </w:tc>
        <w:tc>
          <w:tcPr/>
          <w:p>
            <w:pPr>
              <w:pStyle w:val="Compact"/>
            </w:pPr>
            <w:r>
              <w:t xml:space="preserve">Tier 3 by default; Tier 2 only with IGO approval; never Tier 1</w:t>
            </w:r>
          </w:p>
        </w:tc>
        <w:tc>
          <w:tcPr/>
          <w:p>
            <w:pPr>
              <w:pStyle w:val="Compact"/>
            </w:pPr>
            <w:r>
              <w:t xml:space="preserve">Application owner, who validates the rule each review</w:t>
            </w:r>
          </w:p>
        </w:tc>
        <w:tc>
          <w:tcPr/>
          <w:p>
            <w:pPr>
              <w:pStyle w:val="Compact"/>
            </w:pPr>
            <w:r>
              <w:t xml:space="preserve">Annual rule validation</w:t>
            </w:r>
          </w:p>
        </w:tc>
        <w:tc>
          <w:tcPr/>
          <w:p>
            <w:pPr>
              <w:pStyle w:val="Compact"/>
            </w:pPr>
            <w:r>
              <w:t xml:space="preserve">An approved ticket for any rule change</w:t>
            </w:r>
          </w:p>
        </w:tc>
      </w:tr>
      <w:tr>
        <w:tc>
          <w:tcPr/>
          <w:p>
            <w:pPr>
              <w:pStyle w:val="Compact"/>
            </w:pPr>
            <w:r>
              <w:t xml:space="preserve">Privileged access group (for example the help desk PAG)</w:t>
            </w:r>
          </w:p>
        </w:tc>
        <w:tc>
          <w:tcPr/>
          <w:p>
            <w:pPr>
              <w:pStyle w:val="Compact"/>
            </w:pPr>
            <w:r>
              <w:t xml:space="preserve">Elevated role access through PIM</w:t>
            </w:r>
          </w:p>
        </w:tc>
        <w:tc>
          <w:tcPr/>
          <w:p>
            <w:pPr>
              <w:pStyle w:val="Compact"/>
            </w:pPr>
            <w:r>
              <w:t xml:space="preserve">IGO and Privileged Role Administrator</w:t>
            </w:r>
          </w:p>
        </w:tc>
        <w:tc>
          <w:tcPr/>
          <w:p>
            <w:pPr>
              <w:pStyle w:val="Compact"/>
            </w:pPr>
            <w:r>
              <w:t xml:space="preserve">Quarterly</w:t>
            </w:r>
          </w:p>
        </w:tc>
        <w:tc>
          <w:tcPr/>
          <w:p>
            <w:pPr>
              <w:pStyle w:val="Compact"/>
            </w:pPr>
            <w:r>
              <w:t xml:space="preserve">PIM activation</w:t>
            </w:r>
          </w:p>
        </w:tc>
      </w:tr>
    </w:tbl>
    <w:p>
      <w:pPr>
        <w:pStyle w:val="BodyText"/>
      </w:pPr>
      <w:r>
        <w:t xml:space="preserve">Dynamic groups only work when the attributes behind them are reliable, which is the subject of Book 03. The program keeps them away from high-risk apps because a wrong attribute grants access nobody approved.</w:t>
      </w:r>
    </w:p>
    <w:p>
      <w:pPr>
        <w:pStyle w:val="BodyText"/>
      </w:pPr>
      <w:r>
        <w:t xml:space="preserve">Groups also get a three-party separation of duties: the person who creates an access group in Entra ID can’t own it, and the help desk operator executing a change can’t be the owner of the application it affects.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May also be</w:t>
            </w:r>
          </w:p>
        </w:tc>
        <w:tc>
          <w:tcPr/>
          <w:p>
            <w:pPr>
              <w:pStyle w:val="Compact"/>
            </w:pPr>
            <w:r>
              <w:t xml:space="preserve">May not be</w:t>
            </w:r>
          </w:p>
        </w:tc>
      </w:tr>
      <w:tr>
        <w:tc>
          <w:tcPr/>
          <w:p>
            <w:pPr>
              <w:pStyle w:val="Compact"/>
            </w:pPr>
            <w:r>
              <w:t xml:space="preserve">Group owner</w:t>
            </w:r>
          </w:p>
        </w:tc>
        <w:tc>
          <w:tcPr/>
          <w:p>
            <w:pPr>
              <w:pStyle w:val="Compact"/>
            </w:pPr>
            <w:r>
              <w:t xml:space="preserve">The application owner</w:t>
            </w:r>
          </w:p>
        </w:tc>
        <w:tc>
          <w:tcPr/>
          <w:p>
            <w:pPr>
              <w:pStyle w:val="Compact"/>
            </w:pPr>
            <w:r>
              <w:t xml:space="preserve">The group’s creator, or the operator executing changes to it</w:t>
            </w:r>
          </w:p>
        </w:tc>
      </w:tr>
      <w:tr>
        <w:tc>
          <w:tcPr/>
          <w:p>
            <w:pPr>
              <w:pStyle w:val="Compact"/>
            </w:pPr>
            <w:r>
              <w:t xml:space="preserve">Group creator</w:t>
            </w:r>
          </w:p>
        </w:tc>
        <w:tc>
          <w:tcPr/>
          <w:p>
            <w:pPr>
              <w:pStyle w:val="Compact"/>
            </w:pPr>
            <w:r>
              <w:t xml:space="preserve">A help desk operator, for other apps’ groups</w:t>
            </w:r>
          </w:p>
        </w:tc>
        <w:tc>
          <w:tcPr/>
          <w:p>
            <w:pPr>
              <w:pStyle w:val="Compact"/>
            </w:pPr>
            <w:r>
              <w:t xml:space="preserve">Owner of the groups they create, or owner of the associated application</w:t>
            </w:r>
          </w:p>
        </w:tc>
      </w:tr>
      <w:tr>
        <w:tc>
          <w:tcPr/>
          <w:p>
            <w:pPr>
              <w:pStyle w:val="Compact"/>
            </w:pPr>
            <w:r>
              <w:t xml:space="preserve">Application owner</w:t>
            </w:r>
          </w:p>
        </w:tc>
        <w:tc>
          <w:tcPr/>
          <w:p>
            <w:pPr>
              <w:pStyle w:val="Compact"/>
            </w:pPr>
            <w:r>
              <w:t xml:space="preserve">Owner of the app’s access groups</w:t>
            </w:r>
          </w:p>
        </w:tc>
        <w:tc>
          <w:tcPr/>
          <w:p>
            <w:pPr>
              <w:pStyle w:val="Compact"/>
            </w:pPr>
            <w:r>
              <w:t xml:space="preserve">The operator executing changes to the app’s groups</w:t>
            </w:r>
          </w:p>
        </w:tc>
      </w:tr>
    </w:tbl>
    <w:p>
      <w:pPr>
        <w:pStyle w:val="BodyText"/>
      </w:pPr>
      <w:r>
        <w:t xml:space="preserve">Groups are created, populated and removed only through tickets: creation by the help desk after owner approval, members added only through approved access requests, and every member removed before a group is deleted when its app or role is retired.</w:t>
      </w:r>
    </w:p>
    <w:bookmarkEnd w:id="538"/>
    <w:bookmarkStart w:id="539" w:name="review"/>
    <w:p>
      <w:pPr>
        <w:pStyle w:val="Heading3"/>
      </w:pPr>
      <w:r>
        <w:t xml:space="preserve">Review</w:t>
      </w:r>
    </w:p>
    <w:p>
      <w:pPr>
        <w:pStyle w:val="FirstParagraph"/>
      </w:pPr>
      <w:r>
        <w:t xml:space="preserve">Access to each application is reviewed on its tier’s cadence: quarterly for Tier 1, twice a year (January and July) for Tier 2, and annually (January) for Tier 3. The owner certifies each member as approved, removed or escalated to the business approver; certifications are due ten business days after the review opens, and removals are executed within five business days of certification. Separately, the IGO reviews every active admin consent grant once a year and revokes any no longer needed within 30 days. Chapter 09 covers how those reviews run in Entra ID Governance.</w:t>
      </w:r>
    </w:p>
    <w:bookmarkEnd w:id="539"/>
    <w:bookmarkEnd w:id="540"/>
    <w:bookmarkStart w:id="541" w:name="X2db2b5f5f85a36768a2db858ec756f38534d161"/>
    <w:p>
      <w:pPr>
        <w:pStyle w:val="Heading2"/>
      </w:pPr>
      <w:bookmarkStart w:id="1215" w:name="_Toc00001215"/>
      <w:r>
        <w:t xml:space="preserve">The help desk and cloud services authority split</w:t>
      </w:r>
      <w:bookmarkEnd w:id="1215"/>
    </w:p>
    <w:p>
      <w:pPr>
        <w:pStyle w:val="FirstParagraph"/>
      </w:pPr>
      <w:r>
        <w:t xml:space="preserve">Everything above describes who approves. The authority split decides which pipeline a request takes, so the right approver sees it. The program’s operating rule is simple: nothing is handled as an email to the cloud services team. Every request is triaged in the ITSM tool first and then routed by the authority the task requires.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Authority</w:t>
            </w:r>
          </w:p>
        </w:tc>
        <w:tc>
          <w:tcPr/>
          <w:p>
            <w:pPr>
              <w:pStyle w:val="Compact"/>
            </w:pPr>
            <w:r>
              <w:t xml:space="preserve">Meaning in the program’s model</w:t>
            </w:r>
          </w:p>
        </w:tc>
        <w:tc>
          <w:tcPr/>
          <w:p>
            <w:pPr>
              <w:pStyle w:val="Compact"/>
            </w:pPr>
            <w:r>
              <w:t xml:space="preserve">Pipeline and approver</w:t>
            </w:r>
          </w:p>
        </w:tc>
      </w:tr>
      <w:tr>
        <w:tc>
          <w:tcPr/>
          <w:p>
            <w:pPr>
              <w:pStyle w:val="Compact"/>
            </w:pPr>
            <w:r>
              <w:t xml:space="preserve">A0</w:t>
            </w:r>
          </w:p>
        </w:tc>
        <w:tc>
          <w:tcPr/>
          <w:p>
            <w:pPr>
              <w:pStyle w:val="Compact"/>
            </w:pPr>
            <w:r>
              <w:t xml:space="preserve">Low-impact support with no access change, such as a cloud-only password reset or retrieving a sign-in log</w:t>
            </w:r>
          </w:p>
        </w:tc>
        <w:tc>
          <w:tcPr/>
          <w:p>
            <w:pPr>
              <w:pStyle w:val="Compact"/>
            </w:pPr>
            <w:r>
              <w:t xml:space="preserve">ITSM pipeline</w:t>
            </w:r>
          </w:p>
        </w:tc>
      </w:tr>
      <w:tr>
        <w:tc>
          <w:tcPr/>
          <w:p>
            <w:pPr>
              <w:pStyle w:val="Compact"/>
            </w:pPr>
            <w:r>
              <w:t xml:space="preserve">A1</w:t>
            </w:r>
          </w:p>
        </w:tc>
        <w:tc>
          <w:tcPr/>
          <w:p>
            <w:pPr>
              <w:pStyle w:val="Compact"/>
            </w:pPr>
            <w:r>
              <w:t xml:space="preserve">Changes to the requester’s own account and entitlements, such as an MFA method reset, license change or profile update</w:t>
            </w:r>
          </w:p>
        </w:tc>
        <w:tc>
          <w:tcPr/>
          <w:p>
            <w:pPr>
              <w:pStyle w:val="Compact"/>
            </w:pPr>
            <w:r>
              <w:t xml:space="preserve">ITSM pipeline; the requester’s manager approves</w:t>
            </w:r>
          </w:p>
        </w:tc>
      </w:tr>
      <w:tr>
        <w:tc>
          <w:tcPr/>
          <w:p>
            <w:pPr>
              <w:pStyle w:val="Compact"/>
            </w:pPr>
            <w:r>
              <w:t xml:space="preserve">A2</w:t>
            </w:r>
          </w:p>
        </w:tc>
        <w:tc>
          <w:tcPr/>
          <w:p>
            <w:pPr>
              <w:pStyle w:val="Compact"/>
            </w:pPr>
            <w:r>
              <w:t xml:space="preserve">Access changes governed by an owner, such as application access, group creation and owner management, or a certification revocation</w:t>
            </w:r>
          </w:p>
        </w:tc>
        <w:tc>
          <w:tcPr/>
          <w:p>
            <w:pPr>
              <w:pStyle w:val="Compact"/>
            </w:pPr>
            <w:r>
              <w:t xml:space="preserve">IGA pipeline; the application owner approves</w:t>
            </w:r>
          </w:p>
        </w:tc>
      </w:tr>
      <w:tr>
        <w:tc>
          <w:tcPr/>
          <w:p>
            <w:pPr>
              <w:pStyle w:val="Compact"/>
            </w:pPr>
            <w:r>
              <w:t xml:space="preserve">A3</w:t>
            </w:r>
          </w:p>
        </w:tc>
        <w:tc>
          <w:tcPr/>
          <w:p>
            <w:pPr>
              <w:pStyle w:val="Compact"/>
            </w:pPr>
            <w:r>
              <w:t xml:space="preserve">Governance actions, such as admin consent or an ImmutableID hard-match repair</w:t>
            </w:r>
          </w:p>
        </w:tc>
        <w:tc>
          <w:tcPr/>
          <w:p>
            <w:pPr>
              <w:pStyle w:val="Compact"/>
            </w:pPr>
            <w:r>
              <w:t xml:space="preserve">IGA pipeline; the application owner and IGO approve; never automated</w:t>
            </w:r>
          </w:p>
        </w:tc>
      </w:tr>
      <w:tr>
        <w:tc>
          <w:tcPr/>
          <w:p>
            <w:pPr>
              <w:pStyle w:val="Compact"/>
            </w:pPr>
            <w:r>
              <w:t xml:space="preserve">Out of scope</w:t>
            </w:r>
          </w:p>
        </w:tc>
        <w:tc>
          <w:tcPr/>
          <w:p>
            <w:pPr>
              <w:pStyle w:val="Compact"/>
            </w:pPr>
            <w:r>
              <w:t xml:space="preserve">Conditional Access, directory roles, service principals</w:t>
            </w:r>
          </w:p>
        </w:tc>
        <w:tc>
          <w:tcPr/>
          <w:p>
            <w:pPr>
              <w:pStyle w:val="Compact"/>
            </w:pPr>
            <w:r>
              <w:t xml:space="preserve">Escalated to security or identity engineering</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Task</w:t>
            </w:r>
          </w:p>
        </w:tc>
        <w:tc>
          <w:tcPr/>
          <w:p>
            <w:pPr>
              <w:pStyle w:val="Compact"/>
            </w:pPr>
            <w:r>
              <w:t xml:space="preserve">Authority</w:t>
            </w:r>
          </w:p>
        </w:tc>
        <w:tc>
          <w:tcPr/>
          <w:p>
            <w:pPr>
              <w:pStyle w:val="Compact"/>
            </w:pPr>
            <w:r>
              <w:t xml:space="preserve">Who approves</w:t>
            </w:r>
          </w:p>
        </w:tc>
        <w:tc>
          <w:tcPr/>
          <w:p>
            <w:pPr>
              <w:pStyle w:val="Compact"/>
            </w:pPr>
            <w:r>
              <w:t xml:space="preserve">Who executes</w:t>
            </w:r>
          </w:p>
        </w:tc>
      </w:tr>
      <w:tr>
        <w:tc>
          <w:tcPr/>
          <w:p>
            <w:pPr>
              <w:pStyle w:val="Compact"/>
            </w:pPr>
            <w:r>
              <w:t xml:space="preserve">Password reset, cloud-only user</w:t>
            </w:r>
          </w:p>
        </w:tc>
        <w:tc>
          <w:tcPr/>
          <w:p>
            <w:pPr>
              <w:pStyle w:val="Compact"/>
            </w:pPr>
            <w:r>
              <w:t xml:space="preserve">A0</w:t>
            </w:r>
          </w:p>
        </w:tc>
        <w:tc>
          <w:tcPr/>
          <w:p>
            <w:pPr>
              <w:pStyle w:val="Compact"/>
            </w:pPr>
            <w:r>
              <w:t xml:space="preserve">Identity verification procedure</w:t>
            </w:r>
          </w:p>
        </w:tc>
        <w:tc>
          <w:tcPr/>
          <w:p>
            <w:pPr>
              <w:pStyle w:val="Compact"/>
            </w:pPr>
            <w:r>
              <w:t xml:space="preserve">Automation</w:t>
            </w:r>
          </w:p>
        </w:tc>
      </w:tr>
      <w:tr>
        <w:tc>
          <w:tcPr/>
          <w:p>
            <w:pPr>
              <w:pStyle w:val="Compact"/>
            </w:pPr>
            <w:r>
              <w:t xml:space="preserve">Password reset, synced or federated user</w:t>
            </w:r>
          </w:p>
        </w:tc>
        <w:tc>
          <w:tcPr/>
          <w:p>
            <w:pPr>
              <w:pStyle w:val="Compact"/>
            </w:pPr>
            <w:r>
              <w:t xml:space="preserve">A0</w:t>
            </w:r>
          </w:p>
        </w:tc>
        <w:tc>
          <w:tcPr/>
          <w:p>
            <w:pPr>
              <w:pStyle w:val="Compact"/>
            </w:pPr>
            <w:r>
              <w:t xml:space="preserve">Identity verification procedure</w:t>
            </w:r>
          </w:p>
        </w:tc>
        <w:tc>
          <w:tcPr/>
          <w:p>
            <w:pPr>
              <w:pStyle w:val="Compact"/>
            </w:pPr>
            <w:r>
              <w:t xml:space="preserve">Help desk, on premises or through self-service password reset with writeback</w:t>
            </w:r>
          </w:p>
        </w:tc>
      </w:tr>
      <w:tr>
        <w:tc>
          <w:tcPr/>
          <w:p>
            <w:pPr>
              <w:pStyle w:val="Compact"/>
            </w:pPr>
            <w:r>
              <w:t xml:space="preserve">Sign-in or audit log retrieval</w:t>
            </w:r>
          </w:p>
        </w:tc>
        <w:tc>
          <w:tcPr/>
          <w:p>
            <w:pPr>
              <w:pStyle w:val="Compact"/>
            </w:pPr>
            <w:r>
              <w:t xml:space="preserve">A0</w:t>
            </w:r>
          </w:p>
        </w:tc>
        <w:tc>
          <w:tcPr/>
          <w:p>
            <w:pPr>
              <w:pStyle w:val="Compact"/>
            </w:pPr>
            <w:r>
              <w:t xml:space="preserve">None</w:t>
            </w:r>
          </w:p>
        </w:tc>
        <w:tc>
          <w:tcPr/>
          <w:p>
            <w:pPr>
              <w:pStyle w:val="Compact"/>
            </w:pPr>
            <w:r>
              <w:t xml:space="preserve">Automation, read-only</w:t>
            </w:r>
          </w:p>
        </w:tc>
      </w:tr>
      <w:tr>
        <w:tc>
          <w:tcPr/>
          <w:p>
            <w:pPr>
              <w:pStyle w:val="Compact"/>
            </w:pPr>
            <w:r>
              <w:t xml:space="preserve">MFA or authentication method reset</w:t>
            </w:r>
          </w:p>
        </w:tc>
        <w:tc>
          <w:tcPr/>
          <w:p>
            <w:pPr>
              <w:pStyle w:val="Compact"/>
            </w:pPr>
            <w:r>
              <w:t xml:space="preserve">A1</w:t>
            </w:r>
          </w:p>
        </w:tc>
        <w:tc>
          <w:tcPr/>
          <w:p>
            <w:pPr>
              <w:pStyle w:val="Compact"/>
            </w:pPr>
            <w:r>
              <w:t xml:space="preserve">Manager, after identity verification</w:t>
            </w:r>
          </w:p>
        </w:tc>
        <w:tc>
          <w:tcPr/>
          <w:p>
            <w:pPr>
              <w:pStyle w:val="Compact"/>
            </w:pPr>
            <w:r>
              <w:t xml:space="preserve">Automation or help desk</w:t>
            </w:r>
          </w:p>
        </w:tc>
      </w:tr>
      <w:tr>
        <w:tc>
          <w:tcPr/>
          <w:p>
            <w:pPr>
              <w:pStyle w:val="Compact"/>
            </w:pPr>
            <w:r>
              <w:t xml:space="preserve">License assignment or removal</w:t>
            </w:r>
          </w:p>
        </w:tc>
        <w:tc>
          <w:tcPr/>
          <w:p>
            <w:pPr>
              <w:pStyle w:val="Compact"/>
            </w:pPr>
            <w:r>
              <w:t xml:space="preserve">A1</w:t>
            </w:r>
          </w:p>
        </w:tc>
        <w:tc>
          <w:tcPr/>
          <w:p>
            <w:pPr>
              <w:pStyle w:val="Compact"/>
            </w:pPr>
            <w:r>
              <w:t xml:space="preserve">Manager</w:t>
            </w:r>
          </w:p>
        </w:tc>
        <w:tc>
          <w:tcPr/>
          <w:p>
            <w:pPr>
              <w:pStyle w:val="Compact"/>
            </w:pPr>
            <w:r>
              <w:t xml:space="preserve">Automation</w:t>
            </w:r>
          </w:p>
        </w:tc>
      </w:tr>
      <w:tr>
        <w:tc>
          <w:tcPr/>
          <w:p>
            <w:pPr>
              <w:pStyle w:val="Compact"/>
            </w:pPr>
            <w:r>
              <w:t xml:space="preserve">Add a user to a security group</w:t>
            </w:r>
          </w:p>
        </w:tc>
        <w:tc>
          <w:tcPr/>
          <w:p>
            <w:pPr>
              <w:pStyle w:val="Compact"/>
            </w:pPr>
            <w:r>
              <w:t xml:space="preserve">A1 or A2, by the group’s tier</w:t>
            </w:r>
          </w:p>
        </w:tc>
        <w:tc>
          <w:tcPr/>
          <w:p>
            <w:pPr>
              <w:pStyle w:val="Compact"/>
            </w:pPr>
            <w:r>
              <w:t xml:space="preserve">Manager or application owner</w:t>
            </w:r>
          </w:p>
        </w:tc>
        <w:tc>
          <w:tcPr/>
          <w:p>
            <w:pPr>
              <w:pStyle w:val="Compact"/>
            </w:pPr>
            <w:r>
              <w:t xml:space="preserve">Automation</w:t>
            </w:r>
          </w:p>
        </w:tc>
      </w:tr>
      <w:tr>
        <w:tc>
          <w:tcPr/>
          <w:p>
            <w:pPr>
              <w:pStyle w:val="Compact"/>
            </w:pPr>
            <w:r>
              <w:t xml:space="preserve">Create a group, manage group owners</w:t>
            </w:r>
          </w:p>
        </w:tc>
        <w:tc>
          <w:tcPr/>
          <w:p>
            <w:pPr>
              <w:pStyle w:val="Compact"/>
            </w:pPr>
            <w:r>
              <w:t xml:space="preserve">A2</w:t>
            </w:r>
          </w:p>
        </w:tc>
        <w:tc>
          <w:tcPr/>
          <w:p>
            <w:pPr>
              <w:pStyle w:val="Compact"/>
            </w:pPr>
            <w:r>
              <w:t xml:space="preserve">Application owner</w:t>
            </w:r>
          </w:p>
        </w:tc>
        <w:tc>
          <w:tcPr/>
          <w:p>
            <w:pPr>
              <w:pStyle w:val="Compact"/>
            </w:pPr>
            <w:r>
              <w:t xml:space="preserve">Automation</w:t>
            </w:r>
          </w:p>
        </w:tc>
      </w:tr>
      <w:tr>
        <w:tc>
          <w:tcPr/>
          <w:p>
            <w:pPr>
              <w:pStyle w:val="Compact"/>
            </w:pPr>
            <w:r>
              <w:t xml:space="preserve">Enterprise application access (group to app role)</w:t>
            </w:r>
          </w:p>
        </w:tc>
        <w:tc>
          <w:tcPr/>
          <w:p>
            <w:pPr>
              <w:pStyle w:val="Compact"/>
            </w:pPr>
            <w:r>
              <w:t xml:space="preserve">A2</w:t>
            </w:r>
          </w:p>
        </w:tc>
        <w:tc>
          <w:tcPr/>
          <w:p>
            <w:pPr>
              <w:pStyle w:val="Compact"/>
            </w:pPr>
            <w:r>
              <w:t xml:space="preserve">Business approver and application owner</w:t>
            </w:r>
          </w:p>
        </w:tc>
        <w:tc>
          <w:tcPr/>
          <w:p>
            <w:pPr>
              <w:pStyle w:val="Compact"/>
            </w:pPr>
            <w:r>
              <w:t xml:space="preserve">Automation for membership; help desk for the one-time group-to-app binding</w:t>
            </w:r>
          </w:p>
        </w:tc>
      </w:tr>
      <w:tr>
        <w:tc>
          <w:tcPr/>
          <w:p>
            <w:pPr>
              <w:pStyle w:val="Compact"/>
            </w:pPr>
            <w:r>
              <w:t xml:space="preserve">Certification revocation</w:t>
            </w:r>
          </w:p>
        </w:tc>
        <w:tc>
          <w:tcPr/>
          <w:p>
            <w:pPr>
              <w:pStyle w:val="Compact"/>
            </w:pPr>
            <w:r>
              <w:t xml:space="preserve">A2</w:t>
            </w:r>
          </w:p>
        </w:tc>
        <w:tc>
          <w:tcPr/>
          <w:p>
            <w:pPr>
              <w:pStyle w:val="Compact"/>
            </w:pPr>
            <w:r>
              <w:t xml:space="preserve">Application owner (through the review)</w:t>
            </w:r>
          </w:p>
        </w:tc>
        <w:tc>
          <w:tcPr/>
          <w:p>
            <w:pPr>
              <w:pStyle w:val="Compact"/>
            </w:pPr>
            <w:r>
              <w:t xml:space="preserve">Automation</w:t>
            </w:r>
          </w:p>
        </w:tc>
      </w:tr>
      <w:tr>
        <w:tc>
          <w:tcPr/>
          <w:p>
            <w:pPr>
              <w:pStyle w:val="Compact"/>
            </w:pPr>
            <w:r>
              <w:t xml:space="preserve">User create or disable (joiner or leaver)</w:t>
            </w:r>
          </w:p>
        </w:tc>
        <w:tc>
          <w:tcPr/>
          <w:p>
            <w:pPr>
              <w:pStyle w:val="Compact"/>
            </w:pPr>
            <w:r>
              <w:t xml:space="preserve">A2</w:t>
            </w:r>
          </w:p>
        </w:tc>
        <w:tc>
          <w:tcPr/>
          <w:p>
            <w:pPr>
              <w:pStyle w:val="Compact"/>
            </w:pPr>
            <w:r>
              <w:t xml:space="preserve">The lifecycle workflow (Book 03)</w:t>
            </w:r>
          </w:p>
        </w:tc>
        <w:tc>
          <w:tcPr/>
          <w:p>
            <w:pPr>
              <w:pStyle w:val="Compact"/>
            </w:pPr>
            <w:r>
              <w:t xml:space="preserve">Automation</w:t>
            </w:r>
          </w:p>
        </w:tc>
      </w:tr>
      <w:tr>
        <w:tc>
          <w:tcPr/>
          <w:p>
            <w:pPr>
              <w:pStyle w:val="Compact"/>
            </w:pPr>
            <w:r>
              <w:t xml:space="preserve">ImmutableID hard-match repair</w:t>
            </w:r>
          </w:p>
        </w:tc>
        <w:tc>
          <w:tcPr/>
          <w:p>
            <w:pPr>
              <w:pStyle w:val="Compact"/>
            </w:pPr>
            <w:r>
              <w:t xml:space="preserve">A3</w:t>
            </w:r>
          </w:p>
        </w:tc>
        <w:tc>
          <w:tcPr/>
          <w:p>
            <w:pPr>
              <w:pStyle w:val="Compact"/>
            </w:pPr>
            <w:r>
              <w:t xml:space="preserve">Identity engineering lead and IGO</w:t>
            </w:r>
          </w:p>
        </w:tc>
        <w:tc>
          <w:tcPr/>
          <w:p>
            <w:pPr>
              <w:pStyle w:val="Compact"/>
            </w:pPr>
            <w:r>
              <w:t xml:space="preserve">Help desk or identity engineering, manually through Microsoft Graph</w:t>
            </w:r>
          </w:p>
        </w:tc>
      </w:tr>
      <w:tr>
        <w:tc>
          <w:tcPr/>
          <w:p>
            <w:pPr>
              <w:pStyle w:val="Compact"/>
            </w:pPr>
            <w:r>
              <w:t xml:space="preserve">Admin consent</w:t>
            </w:r>
          </w:p>
        </w:tc>
        <w:tc>
          <w:tcPr/>
          <w:p>
            <w:pPr>
              <w:pStyle w:val="Compact"/>
            </w:pPr>
            <w:r>
              <w:t xml:space="preserve">A3</w:t>
            </w:r>
          </w:p>
        </w:tc>
        <w:tc>
          <w:tcPr/>
          <w:p>
            <w:pPr>
              <w:pStyle w:val="Compact"/>
            </w:pPr>
            <w:r>
              <w:t xml:space="preserve">Per</w:t>
            </w:r>
            <w:r>
              <w:t xml:space="preserve"> </w:t>
            </w:r>
            <w:hyperlink w:anchor="who-approves-admin-consent">
              <w:r>
                <w:rPr>
                  <w:rStyle w:val="Hyperlink"/>
                </w:rPr>
                <w:t xml:space="preserve">the consent chain</w:t>
              </w:r>
            </w:hyperlink>
          </w:p>
        </w:tc>
        <w:tc>
          <w:tcPr/>
          <w:p>
            <w:pPr>
              <w:pStyle w:val="Compact"/>
            </w:pPr>
            <w:r>
              <w:t xml:space="preserve">IGO office role holder; never the help desk</w:t>
            </w:r>
          </w:p>
        </w:tc>
      </w:tr>
      <w:tr>
        <w:tc>
          <w:tcPr/>
          <w:p>
            <w:pPr>
              <w:pStyle w:val="Compact"/>
            </w:pPr>
            <w:r>
              <w:t xml:space="preserve">Conditional Access change</w:t>
            </w:r>
          </w:p>
        </w:tc>
        <w:tc>
          <w:tcPr/>
          <w:p>
            <w:pPr>
              <w:pStyle w:val="Compact"/>
            </w:pPr>
            <w:r>
              <w:t xml:space="preserve">Out of scope</w:t>
            </w:r>
          </w:p>
        </w:tc>
        <w:tc>
          <w:tcPr/>
          <w:p>
            <w:pPr>
              <w:pStyle w:val="Compact"/>
            </w:pPr>
            <w:r>
              <w:t xml:space="preserve">Security, through change control</w:t>
            </w:r>
          </w:p>
        </w:tc>
        <w:tc>
          <w:tcPr/>
          <w:p>
            <w:pPr>
              <w:pStyle w:val="Compact"/>
            </w:pPr>
            <w:r>
              <w:t xml:space="preserve">Security administrator</w:t>
            </w:r>
          </w:p>
        </w:tc>
      </w:tr>
      <w:tr>
        <w:tc>
          <w:tcPr/>
          <w:p>
            <w:pPr>
              <w:pStyle w:val="Compact"/>
            </w:pPr>
            <w:r>
              <w:t xml:space="preserve">Directory role or service principal change</w:t>
            </w:r>
          </w:p>
        </w:tc>
        <w:tc>
          <w:tcPr/>
          <w:p>
            <w:pPr>
              <w:pStyle w:val="Compact"/>
            </w:pPr>
            <w:r>
              <w:t xml:space="preserve">Out of scope</w:t>
            </w:r>
          </w:p>
        </w:tc>
        <w:tc>
          <w:tcPr/>
          <w:p>
            <w:pPr>
              <w:pStyle w:val="Compact"/>
            </w:pPr>
            <w:r>
              <w:t xml:space="preserve">Identity engineering and IGO</w:t>
            </w:r>
          </w:p>
        </w:tc>
        <w:tc>
          <w:tcPr/>
          <w:p>
            <w:pPr>
              <w:pStyle w:val="Compact"/>
            </w:pPr>
            <w:r>
              <w:t xml:space="preserve">Identity engineering</w:t>
            </w:r>
          </w:p>
        </w:tc>
      </w:tr>
    </w:tbl>
    <w:p>
      <w:pPr>
        <w:pStyle w:val="BodyText"/>
      </w:pPr>
      <w:r>
        <w:t xml:space="preserve">Two routing rules sit above the table. Any message that appears to come from Microsoft, including security notifications about consent or new service principals, is forced to A3 and escalate-only: the help desk verifies the event in the audit log within four business hours, checks it against an approved ticket, and escalates to the IGO within an hour if it can’t match it. Nobody approves or denies anything on the strength of an email. And a request that lands directly on cloud services goes back to triage, because cloud services is the escalation tier, not the front door.</w:t>
      </w:r>
    </w:p>
    <w:p>
      <w:pPr>
        <w:pStyle w:val="BodyText"/>
      </w:pPr>
      <w:r>
        <w:t xml:space="preserve">Execution prefers automation. Most A0 to A2 tasks can run as connector actions in the ITSM tool’s identity integration, so the help desk does only the residual manual work. Help Desk Flow holds the intake mechanisms and the task-by-task automation crosswalk, and the Enterprise Application Access Governance guide holds the full runbook, catalog definitions and notification templates.</w:t>
      </w:r>
    </w:p>
    <w:p>
      <w:pPr>
        <w:pStyle w:val="BodyText"/>
      </w:pPr>
      <w:r>
        <w:t xml:space="preserve">Before acting, an executor checks three things and puts the ticket on hold if any is missing: every stage of the approval chain shows approved; the task is in the executor’s queue in an assigned state; and the ticket carries the approvers, requester, application, tier and the specific action. The executor then activates the needed role through PIM, makes the change, records the object IDs and audit log reference, and closes the ticket within an hour of the change.</w:t>
      </w:r>
    </w:p>
    <w:bookmarkEnd w:id="541"/>
    <w:bookmarkStart w:id="543" w:name="ownership-changes-and-orphaned-apps"/>
    <w:p>
      <w:pPr>
        <w:pStyle w:val="Heading2"/>
      </w:pPr>
      <w:bookmarkStart w:id="1216" w:name="_Toc00001216"/>
      <w:r>
        <w:t xml:space="preserve">Ownership changes and orphaned apps</w:t>
      </w:r>
      <w:bookmarkEnd w:id="1216"/>
    </w:p>
    <w:p>
      <w:pPr>
        <w:pStyle w:val="FirstParagraph"/>
      </w:pPr>
      <w:r>
        <w:t xml:space="preserve">An owner who leaves or changes roles starts a transfer at least ten business days before the change. The business approver nominates a successor, the IGO approves, the help desk updates the registry and, if the successor is a technical owner, the Owners list, and pending reviews and consent requests move to the successor, who completes an owner briefing within five business days.</w:t>
      </w:r>
    </w:p>
    <w:p>
      <w:pPr>
        <w:pStyle w:val="BodyText"/>
      </w:pPr>
      <w:r>
        <w:t xml:space="preserve">An application is orphaned when it has no named owner in the registry or the Owners list. Microsoft recommends monitoring so that every app has at least two owners, and using the app’s</w:t>
      </w:r>
      <w:r>
        <w:t xml:space="preserve"> </w:t>
      </w:r>
      <w:r>
        <w:rPr>
          <w:rStyle w:val="VerbatimChar"/>
        </w:rPr>
        <w:t xml:space="preserve">serviceManagementReference</w:t>
      </w:r>
      <w:r>
        <w:t xml:space="preserve"> </w:t>
      </w:r>
      <w:r>
        <w:t xml:space="preserve">to point at a team so ownership survives one person leaving.</w:t>
      </w:r>
      <w:r>
        <w:rPr>
          <w:rStyle w:val="FootnoteReference"/>
        </w:rPr>
        <w:footnoteReference w:id="542"/>
      </w:r>
      <w:r>
        <w:t xml:space="preserve"> </w:t>
      </w:r>
      <w:r>
        <w:t xml:space="preserve">The program’s orphan policy is:</w:t>
      </w:r>
    </w:p>
    <w:p>
      <w:pPr>
        <w:pStyle w:val="Compact"/>
        <w:numPr>
          <w:ilvl w:val="0"/>
          <w:numId w:val="1037"/>
        </w:numPr>
      </w:pPr>
      <w:r>
        <w:t xml:space="preserve">The app is reclassified as Tier 1 until it has an owner.</w:t>
      </w:r>
    </w:p>
    <w:p>
      <w:pPr>
        <w:pStyle w:val="Compact"/>
        <w:numPr>
          <w:ilvl w:val="0"/>
          <w:numId w:val="1037"/>
        </w:numPr>
      </w:pPr>
      <w:r>
        <w:t xml:space="preserve">The IGO takes interim ownership, and a ticket opens automatically.</w:t>
      </w:r>
    </w:p>
    <w:p>
      <w:pPr>
        <w:pStyle w:val="Compact"/>
        <w:numPr>
          <w:ilvl w:val="0"/>
          <w:numId w:val="1037"/>
        </w:numPr>
      </w:pPr>
      <w:r>
        <w:t xml:space="preserve">The IGO has 30 calendar days to assign an owner or start decommissioning.</w:t>
      </w:r>
    </w:p>
    <w:p>
      <w:pPr>
        <w:pStyle w:val="Compact"/>
        <w:numPr>
          <w:ilvl w:val="0"/>
          <w:numId w:val="1037"/>
        </w:numPr>
      </w:pPr>
      <w:r>
        <w:t xml:space="preserve">At day 31, access to the app is suspended, preferably by deactivating it so that it stops getting tokens but keeps its configuration (Chapter 05), and the business approver and CISO are told.</w:t>
      </w:r>
    </w:p>
    <w:p>
      <w:pPr>
        <w:pStyle w:val="FirstParagraph"/>
      </w:pPr>
      <w:r>
        <w:t xml:space="preserve">A weekly automated check for apps with fewer than two owners feeds this policy; the inventory script at the end of Chapter 05 is one way to start it.</w:t>
      </w:r>
    </w:p>
    <w:bookmarkEnd w:id="543"/>
    <w:bookmarkStart w:id="544" w:name="exceptions"/>
    <w:p>
      <w:pPr>
        <w:pStyle w:val="Heading2"/>
      </w:pPr>
      <w:bookmarkStart w:id="1217" w:name="_Toc00001217"/>
      <w:r>
        <w:t xml:space="preserve">Exceptions</w:t>
      </w:r>
      <w:bookmarkEnd w:id="1217"/>
    </w:p>
    <w:p>
      <w:pPr>
        <w:pStyle w:val="FirstParagraph"/>
      </w:pPr>
      <w:r>
        <w:t xml:space="preserve">The model is mandatory for every application in scope. An exception authorizes one specific deviation, with compensating controls, for a fixed time; it doesn’t relax anything else.</w:t>
      </w:r>
    </w:p>
    <w:p>
      <w:pPr>
        <w:pStyle w:val="BodyText"/>
      </w:pPr>
      <w:r>
        <w:t xml:space="preserve">A request names the requirement being waived, why it can’t be met, the compensating controls, the duration, and a risk acceptance signed by the business approver. The IGO decides within five business days: approved as submitted, approved with conditions, denied, or returned for more information. Approved exceptions go into an exception register reviewed quarterly, and into the app’s registry entry.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Exception</w:t>
            </w:r>
          </w:p>
        </w:tc>
        <w:tc>
          <w:tcPr/>
          <w:p>
            <w:pPr>
              <w:pStyle w:val="Compact"/>
            </w:pPr>
            <w:r>
              <w:t xml:space="preserve">Minimum approval</w:t>
            </w:r>
          </w:p>
        </w:tc>
        <w:tc>
          <w:tcPr/>
          <w:p>
            <w:pPr>
              <w:pStyle w:val="Compact"/>
            </w:pPr>
            <w:r>
              <w:t xml:space="preserve">Also notified</w:t>
            </w:r>
          </w:p>
        </w:tc>
      </w:tr>
      <w:tr>
        <w:tc>
          <w:tcPr/>
          <w:p>
            <w:pPr>
              <w:pStyle w:val="Compact"/>
            </w:pPr>
            <w:r>
              <w:t xml:space="preserve">Access review schedule, Tier 3</w:t>
            </w:r>
          </w:p>
        </w:tc>
        <w:tc>
          <w:tcPr/>
          <w:p>
            <w:pPr>
              <w:pStyle w:val="Compact"/>
            </w:pPr>
            <w:r>
              <w:t xml:space="preserve">IGO</w:t>
            </w:r>
          </w:p>
        </w:tc>
        <w:tc>
          <w:tcPr/>
          <w:p>
            <w:pPr>
              <w:pStyle w:val="Compact"/>
            </w:pPr>
            <w:r>
              <w:t xml:space="preserve">—</w:t>
            </w:r>
          </w:p>
        </w:tc>
      </w:tr>
      <w:tr>
        <w:tc>
          <w:tcPr/>
          <w:p>
            <w:pPr>
              <w:pStyle w:val="Compact"/>
            </w:pPr>
            <w:r>
              <w:t xml:space="preserve">Group naming convention</w:t>
            </w:r>
          </w:p>
        </w:tc>
        <w:tc>
          <w:tcPr/>
          <w:p>
            <w:pPr>
              <w:pStyle w:val="Compact"/>
            </w:pPr>
            <w:r>
              <w:t xml:space="preserve">IGO</w:t>
            </w:r>
          </w:p>
        </w:tc>
        <w:tc>
          <w:tcPr/>
          <w:p>
            <w:pPr>
              <w:pStyle w:val="Compact"/>
            </w:pPr>
            <w:r>
              <w:t xml:space="preserve">—</w:t>
            </w:r>
          </w:p>
        </w:tc>
      </w:tr>
      <w:tr>
        <w:tc>
          <w:tcPr/>
          <w:p>
            <w:pPr>
              <w:pStyle w:val="Compact"/>
            </w:pPr>
            <w:r>
              <w:t xml:space="preserve">SLA change</w:t>
            </w:r>
          </w:p>
        </w:tc>
        <w:tc>
          <w:tcPr/>
          <w:p>
            <w:pPr>
              <w:pStyle w:val="Compact"/>
            </w:pPr>
            <w:r>
              <w:t xml:space="preserve">IGO</w:t>
            </w:r>
          </w:p>
        </w:tc>
        <w:tc>
          <w:tcPr/>
          <w:p>
            <w:pPr>
              <w:pStyle w:val="Compact"/>
            </w:pPr>
            <w:r>
              <w:t xml:space="preserve">Help desk management</w:t>
            </w:r>
          </w:p>
        </w:tc>
      </w:tr>
      <w:tr>
        <w:tc>
          <w:tcPr/>
          <w:p>
            <w:pPr>
              <w:pStyle w:val="Compact"/>
            </w:pPr>
            <w:r>
              <w:t xml:space="preserve">Access review schedule, Tier 1 or 2</w:t>
            </w:r>
          </w:p>
        </w:tc>
        <w:tc>
          <w:tcPr/>
          <w:p>
            <w:pPr>
              <w:pStyle w:val="Compact"/>
            </w:pPr>
            <w:r>
              <w:t xml:space="preserve">IGO with CISO concurrence</w:t>
            </w:r>
          </w:p>
        </w:tc>
        <w:tc>
          <w:tcPr/>
          <w:p>
            <w:pPr>
              <w:pStyle w:val="Compact"/>
            </w:pPr>
            <w:r>
              <w:t xml:space="preserve">CISO</w:t>
            </w:r>
          </w:p>
        </w:tc>
      </w:tr>
      <w:tr>
        <w:tc>
          <w:tcPr/>
          <w:p>
            <w:pPr>
              <w:pStyle w:val="Compact"/>
            </w:pPr>
            <w:r>
              <w:t xml:space="preserve">Group-based assignment mandate</w:t>
            </w:r>
          </w:p>
        </w:tc>
        <w:tc>
          <w:tcPr/>
          <w:p>
            <w:pPr>
              <w:pStyle w:val="Compact"/>
            </w:pPr>
            <w:r>
              <w:t xml:space="preserve">IGO and CISO</w:t>
            </w:r>
          </w:p>
        </w:tc>
        <w:tc>
          <w:tcPr/>
          <w:p>
            <w:pPr>
              <w:pStyle w:val="Compact"/>
            </w:pPr>
            <w:r>
              <w:t xml:space="preserve">CISO</w:t>
            </w:r>
          </w:p>
        </w:tc>
      </w:tr>
      <w:tr>
        <w:tc>
          <w:tcPr/>
          <w:p>
            <w:pPr>
              <w:pStyle w:val="Compact"/>
            </w:pPr>
            <w:r>
              <w:t xml:space="preserve">Admin consent chain change</w:t>
            </w:r>
          </w:p>
        </w:tc>
        <w:tc>
          <w:tcPr/>
          <w:p>
            <w:pPr>
              <w:pStyle w:val="Compact"/>
            </w:pPr>
            <w:r>
              <w:t xml:space="preserve">IGO and CISO</w:t>
            </w:r>
          </w:p>
        </w:tc>
        <w:tc>
          <w:tcPr/>
          <w:p>
            <w:pPr>
              <w:pStyle w:val="Compact"/>
            </w:pPr>
            <w:r>
              <w:t xml:space="preserve">CISO; counsel where relevant</w:t>
            </w:r>
          </w:p>
        </w:tc>
      </w:tr>
      <w:tr>
        <w:tc>
          <w:tcPr/>
          <w:p>
            <w:pPr>
              <w:pStyle w:val="Compact"/>
            </w:pPr>
            <w:r>
              <w:t xml:space="preserve">Client secret instead of certificate (Chapter 05)</w:t>
            </w:r>
          </w:p>
        </w:tc>
        <w:tc>
          <w:tcPr/>
          <w:p>
            <w:pPr>
              <w:pStyle w:val="Compact"/>
            </w:pPr>
            <w:r>
              <w:t xml:space="preserve">IGO and CISO</w:t>
            </w:r>
          </w:p>
        </w:tc>
        <w:tc>
          <w:tcPr/>
          <w:p>
            <w:pPr>
              <w:pStyle w:val="Compact"/>
            </w:pPr>
            <w:r>
              <w:t xml:space="preserve">ISSO</w:t>
            </w:r>
          </w:p>
        </w:tc>
      </w:tr>
      <w:tr>
        <w:tc>
          <w:tcPr/>
          <w:p>
            <w:pPr>
              <w:pStyle w:val="Compact"/>
            </w:pPr>
            <w:r>
              <w:t xml:space="preserve">Audit log retention below the minimum</w:t>
            </w:r>
          </w:p>
        </w:tc>
        <w:tc>
          <w:tcPr/>
          <w:p>
            <w:pPr>
              <w:pStyle w:val="Compact"/>
            </w:pPr>
            <w:r>
              <w:t xml:space="preserve">IGO, CISO and CIO, with AO risk acceptance</w:t>
            </w:r>
          </w:p>
        </w:tc>
        <w:tc>
          <w:tcPr/>
          <w:p>
            <w:pPr>
              <w:pStyle w:val="Compact"/>
            </w:pPr>
            <w:r>
              <w:t xml:space="preserve">ISSO; the inspector general where policy requires</w:t>
            </w:r>
          </w:p>
        </w:tc>
      </w:tr>
      <w:tr>
        <w:tc>
          <w:tcPr/>
          <w:p>
            <w:pPr>
              <w:pStyle w:val="Compact"/>
            </w:pPr>
            <w:r>
              <w:t xml:space="preserve">Any exception that leaves a control unmet with no compensating control</w:t>
            </w:r>
          </w:p>
        </w:tc>
        <w:tc>
          <w:tcPr/>
          <w:p>
            <w:pPr>
              <w:pStyle w:val="Compact"/>
            </w:pPr>
            <w:r>
              <w:t xml:space="preserve">AO risk acceptance after IGO and CISO</w:t>
            </w:r>
          </w:p>
        </w:tc>
        <w:tc>
          <w:tcPr/>
          <w:p>
            <w:pPr>
              <w:pStyle w:val="Compact"/>
            </w:pPr>
            <w:r>
              <w:t xml:space="preserve">ISSO</w:t>
            </w:r>
          </w:p>
        </w:tc>
      </w:tr>
    </w:tbl>
    <w:p>
      <w:pPr>
        <w:pStyle w:val="BodyText"/>
      </w:pPr>
      <w:r>
        <w:t xml:space="preserve">No exception lasts more than six months. At the end, the owner either complies or applies again with fresh justification, and renewals are never automatic. An expired, unrenewed exception moves the app up one risk tier until it complies. A requirement excepted and renewed more than twice goes to the CISO, and to the AO, as a sign that the requirement or the system needs to change. The AO rows are the program’s addition to the source model: an exception that accepts risk is a risk acceptance, and Book 02, Chapter 06 puts those with the AO.</w:t>
      </w:r>
    </w:p>
    <w:bookmarkEnd w:id="544"/>
    <w:bookmarkStart w:id="545" w:name="emergency-access"/>
    <w:p>
      <w:pPr>
        <w:pStyle w:val="Heading2"/>
      </w:pPr>
      <w:bookmarkStart w:id="1218" w:name="_Toc00001218"/>
      <w:r>
        <w:t xml:space="preserve">Emergency access</w:t>
      </w:r>
      <w:bookmarkEnd w:id="1218"/>
    </w:p>
    <w:p>
      <w:pPr>
        <w:pStyle w:val="FirstParagraph"/>
      </w:pPr>
      <w:r>
        <w:t xml:space="preserve">Break-glass access is the one place where the normal chain is suspended, so the conditions for invoking it are strict. All three must hold: normal privileged access through PIM isn’t available; there is an active incident, critical outage or regulatory obligation that can’t wait; and at least two senior administrators at IGO level or above know about the invocation.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Who</w:t>
            </w:r>
          </w:p>
        </w:tc>
      </w:tr>
      <w:tr>
        <w:tc>
          <w:tcPr/>
          <w:p>
            <w:pPr>
              <w:pStyle w:val="Compact"/>
            </w:pPr>
            <w:r>
              <w:t xml:space="preserve">1</w:t>
            </w:r>
          </w:p>
        </w:tc>
        <w:tc>
          <w:tcPr/>
          <w:p>
            <w:pPr>
              <w:pStyle w:val="Compact"/>
            </w:pPr>
            <w:r>
              <w:t xml:space="preserve">Confirm the conditions and open a priority 1 incident ticket recording the trigger</w:t>
            </w:r>
          </w:p>
        </w:tc>
        <w:tc>
          <w:tcPr/>
          <w:p>
            <w:pPr>
              <w:pStyle w:val="Compact"/>
            </w:pPr>
            <w:r>
              <w:t xml:space="preserve">Two senior administrators</w:t>
            </w:r>
          </w:p>
        </w:tc>
      </w:tr>
      <w:tr>
        <w:tc>
          <w:tcPr/>
          <w:p>
            <w:pPr>
              <w:pStyle w:val="Compact"/>
            </w:pPr>
            <w:r>
              <w:t xml:space="preserve">2</w:t>
            </w:r>
          </w:p>
        </w:tc>
        <w:tc>
          <w:tcPr/>
          <w:p>
            <w:pPr>
              <w:pStyle w:val="Compact"/>
            </w:pPr>
            <w:r>
              <w:t xml:space="preserve">Retrieve the emergency credential under dual custody</w:t>
            </w:r>
          </w:p>
        </w:tc>
        <w:tc>
          <w:tcPr/>
          <w:p>
            <w:pPr>
              <w:pStyle w:val="Compact"/>
            </w:pPr>
            <w:r>
              <w:t xml:space="preserve">Both administrators together</w:t>
            </w:r>
          </w:p>
        </w:tc>
      </w:tr>
      <w:tr>
        <w:tc>
          <w:tcPr/>
          <w:p>
            <w:pPr>
              <w:pStyle w:val="Compact"/>
            </w:pPr>
            <w:r>
              <w:t xml:space="preserve">3</w:t>
            </w:r>
          </w:p>
        </w:tc>
        <w:tc>
          <w:tcPr/>
          <w:p>
            <w:pPr>
              <w:pStyle w:val="Compact"/>
            </w:pPr>
            <w:r>
              <w:t xml:space="preserve">Perform only the action the emergency requires</w:t>
            </w:r>
          </w:p>
        </w:tc>
        <w:tc>
          <w:tcPr/>
          <w:p>
            <w:pPr>
              <w:pStyle w:val="Compact"/>
            </w:pPr>
            <w:r>
              <w:t xml:space="preserve">The acting administrator</w:t>
            </w:r>
          </w:p>
        </w:tc>
      </w:tr>
      <w:tr>
        <w:tc>
          <w:tcPr/>
          <w:p>
            <w:pPr>
              <w:pStyle w:val="Compact"/>
            </w:pPr>
            <w:r>
              <w:t xml:space="preserve">4</w:t>
            </w:r>
          </w:p>
        </w:tc>
        <w:tc>
          <w:tcPr/>
          <w:p>
            <w:pPr>
              <w:pStyle w:val="Compact"/>
            </w:pPr>
            <w:r>
              <w:t xml:space="preserve">End the session as soon as the emergency is resolved, within four hours; longer only with CISO approval</w:t>
            </w:r>
          </w:p>
        </w:tc>
        <w:tc>
          <w:tcPr/>
          <w:p>
            <w:pPr>
              <w:pStyle w:val="Compact"/>
            </w:pPr>
            <w:r>
              <w:t xml:space="preserve">The acting administrator</w:t>
            </w:r>
          </w:p>
        </w:tc>
      </w:tr>
      <w:tr>
        <w:tc>
          <w:tcPr/>
          <w:p>
            <w:pPr>
              <w:pStyle w:val="Compact"/>
            </w:pPr>
            <w:r>
              <w:t xml:space="preserve">5</w:t>
            </w:r>
          </w:p>
        </w:tc>
        <w:tc>
          <w:tcPr/>
          <w:p>
            <w:pPr>
              <w:pStyle w:val="Compact"/>
            </w:pPr>
            <w:r>
              <w:t xml:space="preserve">Alert the IGO, CISO and security operations automatically on sign-in</w:t>
            </w:r>
          </w:p>
        </w:tc>
        <w:tc>
          <w:tcPr/>
          <w:p>
            <w:pPr>
              <w:pStyle w:val="Compact"/>
            </w:pPr>
            <w:r>
              <w:t xml:space="preserve">Monitoring</w:t>
            </w:r>
          </w:p>
        </w:tc>
      </w:tr>
      <w:tr>
        <w:tc>
          <w:tcPr/>
          <w:p>
            <w:pPr>
              <w:pStyle w:val="Compact"/>
            </w:pPr>
            <w:r>
              <w:t xml:space="preserve">6</w:t>
            </w:r>
          </w:p>
        </w:tc>
        <w:tc>
          <w:tcPr/>
          <w:p>
            <w:pPr>
              <w:pStyle w:val="Compact"/>
            </w:pPr>
            <w:r>
              <w:t xml:space="preserve">Review every action within 24 hours</w:t>
            </w:r>
          </w:p>
        </w:tc>
        <w:tc>
          <w:tcPr/>
          <w:p>
            <w:pPr>
              <w:pStyle w:val="Compact"/>
            </w:pPr>
            <w:r>
              <w:t xml:space="preserve">IGO</w:t>
            </w:r>
          </w:p>
        </w:tc>
      </w:tr>
      <w:tr>
        <w:tc>
          <w:tcPr/>
          <w:p>
            <w:pPr>
              <w:pStyle w:val="Compact"/>
            </w:pPr>
            <w:r>
              <w:t xml:space="preserve">7</w:t>
            </w:r>
          </w:p>
        </w:tc>
        <w:tc>
          <w:tcPr/>
          <w:p>
            <w:pPr>
              <w:pStyle w:val="Compact"/>
            </w:pPr>
            <w:r>
              <w:t xml:space="preserve">Replace or re-secure the credential after every use</w:t>
            </w:r>
          </w:p>
        </w:tc>
        <w:tc>
          <w:tcPr/>
          <w:p>
            <w:pPr>
              <w:pStyle w:val="Compact"/>
            </w:pPr>
            <w:r>
              <w:t xml:space="preserve">Privileged Role Administrator</w:t>
            </w:r>
          </w:p>
        </w:tc>
      </w:tr>
    </w:tbl>
    <w:p>
      <w:pPr>
        <w:pStyle w:val="BodyText"/>
      </w:pPr>
      <w:r>
        <w:t xml:space="preserve">Using break-glass for convenience or to beat an SLA is a policy violation. How the emergency accounts themselves are built, authenticated, excluded from Conditional Access and tested is in Book 02, Chapter 09.</w:t>
      </w:r>
    </w:p>
    <w:bookmarkEnd w:id="545"/>
    <w:bookmarkStart w:id="546" w:name="the-responsibility-matrix"/>
    <w:p>
      <w:pPr>
        <w:pStyle w:val="Heading2"/>
      </w:pPr>
      <w:bookmarkStart w:id="1219" w:name="_Toc00001219"/>
      <w:r>
        <w:t xml:space="preserve">The responsibility matrix</w:t>
      </w:r>
      <w:bookmarkEnd w:id="1219"/>
    </w:p>
    <w:p>
      <w:pPr>
        <w:pStyle w:val="FirstParagraph"/>
      </w:pPr>
      <w:r>
        <w:t xml:space="preserve">The matrix is the program’s recommended model. Adapt it to the agency’s structure, but keep one decider per row.</w:t>
      </w:r>
    </w:p>
    <w:p>
      <w:pPr>
        <w:pStyle w:val="BodyText"/>
      </w:pPr>
      <w:r>
        <w:t xml:space="preserve">D = decides (accountable) · R = does the work · C = consulted · I = informed · blank = not involved.</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Decision or work item</w:t>
            </w:r>
          </w:p>
        </w:tc>
        <w:tc>
          <w:tcPr/>
          <w:p>
            <w:pPr>
              <w:pStyle w:val="Compact"/>
            </w:pPr>
            <w:r>
              <w:t xml:space="preserve">IGO</w:t>
            </w:r>
          </w:p>
        </w:tc>
        <w:tc>
          <w:tcPr/>
          <w:p>
            <w:pPr>
              <w:pStyle w:val="Compact"/>
            </w:pPr>
            <w:r>
              <w:t xml:space="preserve">App owner</w:t>
            </w:r>
          </w:p>
        </w:tc>
        <w:tc>
          <w:tcPr/>
          <w:p>
            <w:pPr>
              <w:pStyle w:val="Compact"/>
            </w:pPr>
            <w:r>
              <w:t xml:space="preserve">Business approver</w:t>
            </w:r>
          </w:p>
        </w:tc>
        <w:tc>
          <w:tcPr/>
          <w:p>
            <w:pPr>
              <w:pStyle w:val="Compact"/>
            </w:pPr>
            <w:r>
              <w:t xml:space="preserve">Identity eng.</w:t>
            </w:r>
          </w:p>
        </w:tc>
        <w:tc>
          <w:tcPr/>
          <w:p>
            <w:pPr>
              <w:pStyle w:val="Compact"/>
            </w:pPr>
            <w:r>
              <w:t xml:space="preserve">Help desk</w:t>
            </w:r>
          </w:p>
        </w:tc>
        <w:tc>
          <w:tcPr/>
          <w:p>
            <w:pPr>
              <w:pStyle w:val="Compact"/>
            </w:pPr>
            <w:r>
              <w:t xml:space="preserve">Security ops</w:t>
            </w:r>
          </w:p>
        </w:tc>
        <w:tc>
          <w:tcPr/>
          <w:p>
            <w:pPr>
              <w:pStyle w:val="Compact"/>
            </w:pPr>
            <w:r>
              <w:t xml:space="preserve">ISSO</w:t>
            </w:r>
          </w:p>
        </w:tc>
        <w:tc>
          <w:tcPr/>
          <w:p>
            <w:pPr>
              <w:pStyle w:val="Compact"/>
            </w:pPr>
            <w:r>
              <w:t xml:space="preserve">AO</w:t>
            </w:r>
          </w:p>
        </w:tc>
        <w:tc>
          <w:tcPr/>
          <w:p>
            <w:pPr>
              <w:pStyle w:val="Compact"/>
            </w:pPr>
            <w:r>
              <w:t xml:space="preserve">Requester</w:t>
            </w:r>
          </w:p>
        </w:tc>
      </w:tr>
      <w:tr>
        <w:tc>
          <w:tcPr/>
          <w:p>
            <w:pPr>
              <w:pStyle w:val="Compact"/>
            </w:pPr>
            <w:r>
              <w:t xml:space="preserve">Register a new application</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I</w:t>
            </w:r>
          </w:p>
        </w:tc>
        <w:tc>
          <w:tcPr/>
          <w:p>
            <w:pPr>
              <w:pStyle w:val="Compact"/>
            </w:pPr>
            <w:r>
              <w:t xml:space="preserve">C</w:t>
            </w:r>
          </w:p>
        </w:tc>
        <w:tc>
          <w:tcPr/>
          <w:p>
            <w:pPr>
              <w:pStyle w:val="Compact"/>
            </w:pPr>
          </w:p>
        </w:tc>
        <w:tc>
          <w:tcPr/>
          <w:p>
            <w:pPr>
              <w:pStyle w:val="Compact"/>
            </w:pPr>
          </w:p>
        </w:tc>
      </w:tr>
      <w:tr>
        <w:tc>
          <w:tcPr/>
          <w:p>
            <w:pPr>
              <w:pStyle w:val="Compact"/>
            </w:pPr>
            <w:r>
              <w:t xml:space="preserve">Assign or change an app’s risk tier</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User consent setting and permission classifications</w:t>
            </w:r>
          </w:p>
        </w:tc>
        <w:tc>
          <w:tcPr/>
          <w:p>
            <w:pPr>
              <w:pStyle w:val="Compact"/>
            </w:pPr>
            <w:r>
              <w:t xml:space="preserve">C</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Admin consent, Tier 1 or any application permission</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p>
        </w:tc>
        <w:tc>
          <w:tcPr/>
          <w:p>
            <w:pPr>
              <w:pStyle w:val="Compact"/>
            </w:pPr>
          </w:p>
        </w:tc>
      </w:tr>
      <w:tr>
        <w:tc>
          <w:tcPr/>
          <w:p>
            <w:pPr>
              <w:pStyle w:val="Compact"/>
            </w:pPr>
            <w:r>
              <w:t xml:space="preserve">Admin consent, Tier 2</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Admin consent, Tier 3</w:t>
            </w:r>
          </w:p>
        </w:tc>
        <w:tc>
          <w:tcPr/>
          <w:p>
            <w:pPr>
              <w:pStyle w:val="Compact"/>
            </w:pPr>
            <w:r>
              <w:t xml:space="preserve">I</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Admin consent, Critical-rated permission</w:t>
            </w:r>
          </w:p>
        </w:tc>
        <w:tc>
          <w:tcPr/>
          <w:p>
            <w:pPr>
              <w:pStyle w:val="Compact"/>
            </w:pPr>
            <w:r>
              <w:t xml:space="preserve">D (CISO concurs)</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p>
        </w:tc>
      </w:tr>
      <w:tr>
        <w:tc>
          <w:tcPr/>
          <w:p>
            <w:pPr>
              <w:pStyle w:val="Compact"/>
            </w:pPr>
            <w:r>
              <w:t xml:space="preserve">Execute an approved consent grant</w:t>
            </w:r>
          </w:p>
        </w:tc>
        <w:tc>
          <w:tcPr/>
          <w:p>
            <w:pPr>
              <w:pStyle w:val="Compact"/>
            </w:pPr>
            <w:r>
              <w:t xml:space="preserve">R</w:t>
            </w:r>
          </w:p>
        </w:tc>
        <w:tc>
          <w:tcPr/>
          <w:p>
            <w:pPr>
              <w:pStyle w:val="Compact"/>
            </w:pPr>
            <w:r>
              <w:t xml:space="preserve">I</w:t>
            </w:r>
          </w:p>
        </w:tc>
        <w:tc>
          <w:tcPr/>
          <w:p>
            <w:pPr>
              <w:pStyle w:val="Compact"/>
            </w:pPr>
          </w:p>
        </w:tc>
        <w:tc>
          <w:tcPr/>
          <w:p>
            <w:pPr>
              <w:pStyle w:val="Compact"/>
            </w:pPr>
          </w:p>
        </w:tc>
        <w:tc>
          <w:tcPr/>
          <w:p>
            <w:pPr>
              <w:pStyle w:val="Compact"/>
            </w:pPr>
            <w:r>
              <w:t xml:space="preserve">I</w:t>
            </w:r>
          </w:p>
        </w:tc>
        <w:tc>
          <w:tcPr/>
          <w:p>
            <w:pPr>
              <w:pStyle w:val="Compact"/>
            </w:pPr>
            <w:r>
              <w:t xml:space="preserve">I</w:t>
            </w:r>
          </w:p>
        </w:tc>
        <w:tc>
          <w:tcPr/>
          <w:p>
            <w:pPr>
              <w:pStyle w:val="Compact"/>
            </w:pPr>
          </w:p>
        </w:tc>
        <w:tc>
          <w:tcPr/>
          <w:p>
            <w:pPr>
              <w:pStyle w:val="Compact"/>
            </w:pPr>
          </w:p>
        </w:tc>
        <w:tc>
          <w:tcPr/>
          <w:p>
            <w:pPr>
              <w:pStyle w:val="Compact"/>
            </w:pPr>
          </w:p>
        </w:tc>
      </w:tr>
      <w:tr>
        <w:tc>
          <w:tcPr/>
          <w:p>
            <w:pPr>
              <w:pStyle w:val="Compact"/>
            </w:pPr>
            <w:r>
              <w:t xml:space="preserve">Consent revocation, incident-driven</w:t>
            </w:r>
          </w:p>
        </w:tc>
        <w:tc>
          <w:tcPr/>
          <w:p>
            <w:pPr>
              <w:pStyle w:val="Compact"/>
            </w:pPr>
            <w:r>
              <w:t xml:space="preserve">C</w:t>
            </w:r>
          </w:p>
        </w:tc>
        <w:tc>
          <w:tcPr/>
          <w:p>
            <w:pPr>
              <w:pStyle w:val="Compact"/>
            </w:pPr>
            <w:r>
              <w:t xml:space="preserve">I</w:t>
            </w:r>
          </w:p>
        </w:tc>
        <w:tc>
          <w:tcPr/>
          <w:p>
            <w:pPr>
              <w:pStyle w:val="Compact"/>
            </w:pPr>
          </w:p>
        </w:tc>
        <w:tc>
          <w:tcPr/>
          <w:p>
            <w:pPr>
              <w:pStyle w:val="Compact"/>
            </w:pPr>
            <w:r>
              <w:t xml:space="preserve">R</w:t>
            </w:r>
          </w:p>
        </w:tc>
        <w:tc>
          <w:tcPr/>
          <w:p>
            <w:pPr>
              <w:pStyle w:val="Compact"/>
            </w:pPr>
          </w:p>
        </w:tc>
        <w:tc>
          <w:tcPr/>
          <w:p>
            <w:pPr>
              <w:pStyle w:val="Compact"/>
            </w:pPr>
            <w:r>
              <w:t xml:space="preserve">D</w:t>
            </w:r>
          </w:p>
        </w:tc>
        <w:tc>
          <w:tcPr/>
          <w:p>
            <w:pPr>
              <w:pStyle w:val="Compact"/>
            </w:pPr>
            <w:r>
              <w:t xml:space="preserve">I</w:t>
            </w:r>
          </w:p>
        </w:tc>
        <w:tc>
          <w:tcPr/>
          <w:p>
            <w:pPr>
              <w:pStyle w:val="Compact"/>
            </w:pPr>
          </w:p>
        </w:tc>
        <w:tc>
          <w:tcPr/>
          <w:p>
            <w:pPr>
              <w:pStyle w:val="Compact"/>
            </w:pPr>
          </w:p>
        </w:tc>
      </w:tr>
      <w:tr>
        <w:tc>
          <w:tcPr/>
          <w:p>
            <w:pPr>
              <w:pStyle w:val="Compact"/>
            </w:pPr>
            <w:r>
              <w:t xml:space="preserve">Application access request, Tier 1</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r>
      <w:tr>
        <w:tc>
          <w:tcPr/>
          <w:p>
            <w:pPr>
              <w:pStyle w:val="Compact"/>
            </w:pPr>
            <w:r>
              <w:t xml:space="preserve">Application access request, Tier 2</w:t>
            </w:r>
          </w:p>
        </w:tc>
        <w:tc>
          <w:tcPr/>
          <w:p>
            <w:pPr>
              <w:pStyle w:val="Compact"/>
            </w:pPr>
            <w:r>
              <w:t xml:space="preserve">I</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r>
      <w:tr>
        <w:tc>
          <w:tcPr/>
          <w:p>
            <w:pPr>
              <w:pStyle w:val="Compact"/>
            </w:pPr>
            <w:r>
              <w:t xml:space="preserve">Application access request, Tier 3</w:t>
            </w:r>
          </w:p>
        </w:tc>
        <w:tc>
          <w:tcPr/>
          <w:p>
            <w:pPr>
              <w:pStyle w:val="Compact"/>
            </w:pP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r>
      <w:tr>
        <w:tc>
          <w:tcPr/>
          <w:p>
            <w:pPr>
              <w:pStyle w:val="Compact"/>
            </w:pPr>
            <w:r>
              <w:t xml:space="preserve">Group-to-app assignment and access group creation</w:t>
            </w:r>
          </w:p>
        </w:tc>
        <w:tc>
          <w:tcPr/>
          <w:p>
            <w:pPr>
              <w:pStyle w:val="Compact"/>
            </w:pPr>
            <w:r>
              <w:t xml:space="preserve">I</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Credential type and rotation for an app</w:t>
            </w: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Federated credential added to an app</w:t>
            </w:r>
          </w:p>
        </w:tc>
        <w:tc>
          <w:tcPr/>
          <w:p>
            <w:pPr>
              <w:pStyle w:val="Compact"/>
            </w:pPr>
            <w:r>
              <w:t xml:space="preserve">D</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Access review of an app</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r>
              <w:t xml:space="preserve">I</w:t>
            </w:r>
          </w:p>
        </w:tc>
        <w:tc>
          <w:tcPr/>
          <w:p>
            <w:pPr>
              <w:pStyle w:val="Compact"/>
            </w:pPr>
          </w:p>
        </w:tc>
        <w:tc>
          <w:tcPr/>
          <w:p>
            <w:pPr>
              <w:pStyle w:val="Compact"/>
            </w:pPr>
          </w:p>
        </w:tc>
      </w:tr>
      <w:tr>
        <w:tc>
          <w:tcPr/>
          <w:p>
            <w:pPr>
              <w:pStyle w:val="Compact"/>
            </w:pPr>
            <w:r>
              <w:t xml:space="preserve">Annual admin consent review</w:t>
            </w:r>
          </w:p>
        </w:tc>
        <w:tc>
          <w:tcPr/>
          <w:p>
            <w:pPr>
              <w:pStyle w:val="Compact"/>
            </w:pPr>
            <w:r>
              <w:t xml:space="preserve">D</w:t>
            </w: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Owner transfer</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Orphaned application remediation</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I</w:t>
            </w:r>
          </w:p>
        </w:tc>
        <w:tc>
          <w:tcPr/>
          <w:p>
            <w:pPr>
              <w:pStyle w:val="Compact"/>
            </w:pPr>
            <w:r>
              <w:t xml:space="preserve">I</w:t>
            </w:r>
          </w:p>
        </w:tc>
        <w:tc>
          <w:tcPr/>
          <w:p>
            <w:pPr>
              <w:pStyle w:val="Compact"/>
            </w:pPr>
          </w:p>
        </w:tc>
        <w:tc>
          <w:tcPr/>
          <w:p>
            <w:pPr>
              <w:pStyle w:val="Compact"/>
            </w:pPr>
          </w:p>
        </w:tc>
      </w:tr>
      <w:tr>
        <w:tc>
          <w:tcPr/>
          <w:p>
            <w:pPr>
              <w:pStyle w:val="Compact"/>
            </w:pPr>
            <w:r>
              <w:t xml:space="preserve">Help desk PAG membership and role scope</w:t>
            </w:r>
          </w:p>
        </w:tc>
        <w:tc>
          <w:tcPr/>
          <w:p>
            <w:pPr>
              <w:pStyle w:val="Compact"/>
            </w:pPr>
            <w:r>
              <w:t xml:space="preserve">D</w:t>
            </w:r>
          </w:p>
        </w:tc>
        <w:tc>
          <w:tcPr/>
          <w:p>
            <w:pPr>
              <w:pStyle w:val="Compact"/>
            </w:pPr>
          </w:p>
        </w:tc>
        <w:tc>
          <w:tcPr/>
          <w:p>
            <w:pPr>
              <w:pStyle w:val="Compact"/>
            </w:pPr>
          </w:p>
        </w:tc>
        <w:tc>
          <w:tcPr/>
          <w:p>
            <w:pPr>
              <w:pStyle w:val="Compact"/>
            </w:pPr>
            <w:r>
              <w:t xml:space="preserve">R</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Policy exception within IGO authority</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Exception that accepts uncompensated risk</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p>
        </w:tc>
      </w:tr>
      <w:tr>
        <w:tc>
          <w:tcPr/>
          <w:p>
            <w:pPr>
              <w:pStyle w:val="Compact"/>
            </w:pPr>
            <w:r>
              <w:t xml:space="preserve">Break-glass invocation</w:t>
            </w:r>
          </w:p>
        </w:tc>
        <w:tc>
          <w:tcPr/>
          <w:p>
            <w:pPr>
              <w:pStyle w:val="Compact"/>
            </w:pPr>
            <w:r>
              <w:t xml:space="preserve">I</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I</w:t>
            </w:r>
          </w:p>
        </w:tc>
        <w:tc>
          <w:tcPr/>
          <w:p>
            <w:pPr>
              <w:pStyle w:val="Compact"/>
            </w:pPr>
          </w:p>
        </w:tc>
        <w:tc>
          <w:tcPr/>
          <w:p>
            <w:pPr>
              <w:pStyle w:val="Compact"/>
            </w:pPr>
          </w:p>
        </w:tc>
      </w:tr>
      <w:tr>
        <w:tc>
          <w:tcPr/>
          <w:p>
            <w:pPr>
              <w:pStyle w:val="Compact"/>
            </w:pPr>
            <w:r>
              <w:t xml:space="preserve">Post-break-glass review</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I</w:t>
            </w:r>
          </w:p>
        </w:tc>
        <w:tc>
          <w:tcPr/>
          <w:p>
            <w:pPr>
              <w:pStyle w:val="Compact"/>
            </w:pPr>
            <w:r>
              <w:t xml:space="preserve">I</w:t>
            </w:r>
          </w:p>
        </w:tc>
        <w:tc>
          <w:tcPr/>
          <w:p>
            <w:pPr>
              <w:pStyle w:val="Compact"/>
            </w:pPr>
          </w:p>
        </w:tc>
      </w:tr>
      <w:tr>
        <w:tc>
          <w:tcPr/>
          <w:p>
            <w:pPr>
              <w:pStyle w:val="Compact"/>
            </w:pPr>
            <w:r>
              <w:t xml:space="preserve">Audit log review and alert triage</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D</w:t>
            </w:r>
          </w:p>
        </w:tc>
        <w:tc>
          <w:tcPr/>
          <w:p>
            <w:pPr>
              <w:pStyle w:val="Compact"/>
            </w:pPr>
            <w:r>
              <w:t xml:space="preserve">I</w:t>
            </w:r>
          </w:p>
        </w:tc>
        <w:tc>
          <w:tcPr/>
          <w:p>
            <w:pPr>
              <w:pStyle w:val="Compact"/>
            </w:pPr>
          </w:p>
        </w:tc>
        <w:tc>
          <w:tcPr/>
          <w:p>
            <w:pPr>
              <w:pStyle w:val="Compact"/>
            </w:pPr>
          </w:p>
        </w:tc>
      </w:tr>
    </w:tbl>
    <w:p>
      <w:pPr>
        <w:pStyle w:val="BodyText"/>
      </w:pPr>
      <w:r>
        <w:t xml:space="preserve">Four rows need comment. A Critical-rated permission still has one decider, the IGO, but the IGO can’t approve it without the CISO’s concurrence. Execution of an approved consent grant sits with the IGO office because only Privileged Role Administrator can grant Microsoft Graph application permissions without a Global Administrator, and the IGO office holds that role eligibly; the person executing is never the person who approved. Incident-driven revocation sits with security operations because speed matters more than the chain, and the IGO is consulted after the fact. Break-glass invocation has no single decider in the matrix because the procedure requires two senior administrators acting together; the IGO decides afterward whether it was justified.</w:t>
      </w:r>
    </w:p>
    <w:bookmarkEnd w:id="546"/>
    <w:bookmarkStart w:id="549" w:name="evidence-and-monitoring"/>
    <w:p>
      <w:pPr>
        <w:pStyle w:val="Heading2"/>
      </w:pPr>
      <w:bookmarkStart w:id="1220" w:name="_Toc00001220"/>
      <w:r>
        <w:t xml:space="preserve">Evidence and monitoring</w:t>
      </w:r>
      <w:bookmarkEnd w:id="1220"/>
    </w:p>
    <w:p>
      <w:pPr>
        <w:pStyle w:val="FirstParagraph"/>
      </w:pPr>
      <w:r>
        <w:t xml:space="preserve">Each decision in this chapter has to leave evidence an assessor can read without asking anyone. The closed ticket is the record of the decision; the Entra audit log is the record of the change; the application registry and consent inventory are the record of current state. Microsoft Entra keeps audit and sign-in logs for seven days on the Free tier and 30 days on P1 or P2.</w:t>
      </w:r>
      <w:r>
        <w:rPr>
          <w:rStyle w:val="FootnoteReference"/>
        </w:rPr>
        <w:footnoteReference w:id="547"/>
      </w:r>
      <w:r>
        <w:t xml:space="preserve"> </w:t>
      </w:r>
      <w:r>
        <w:t xml:space="preserve">The source governance model assumed 30 and 90 days; the real figures are shorter, which makes forwarding to the SIEM mandatory, not optional. The program keeps audit, sign-in and PIM logs for at least a year, consent and break-glass events for at least three, and tickets for at least three years active and seven archived. A gap in log forwarding is an incident reported to the CISO within 24 hours.</w:t>
      </w:r>
    </w:p>
    <w:p>
      <w:pPr>
        <w:pStyle w:val="BodyText"/>
      </w:pPr>
      <w:r>
        <w:t xml:space="preserve">The alerts that make the authority split enforceable: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Alert</w:t>
            </w:r>
          </w:p>
        </w:tc>
        <w:tc>
          <w:tcPr/>
          <w:p>
            <w:pPr>
              <w:pStyle w:val="Compact"/>
            </w:pPr>
            <w:r>
              <w:t xml:space="preserve">Trigger</w:t>
            </w:r>
          </w:p>
        </w:tc>
        <w:tc>
          <w:tcPr/>
          <w:p>
            <w:pPr>
              <w:pStyle w:val="Compact"/>
            </w:pPr>
            <w:r>
              <w:t xml:space="preserve">Priority</w:t>
            </w:r>
          </w:p>
        </w:tc>
      </w:tr>
      <w:tr>
        <w:tc>
          <w:tcPr/>
          <w:p>
            <w:pPr>
              <w:pStyle w:val="Compact"/>
            </w:pPr>
            <w:r>
              <w:t xml:space="preserve">Admin consent granted</w:t>
            </w:r>
          </w:p>
        </w:tc>
        <w:tc>
          <w:tcPr/>
          <w:p>
            <w:pPr>
              <w:pStyle w:val="Compact"/>
            </w:pPr>
            <w:r>
              <w:t xml:space="preserve">Any consent to an application</w:t>
            </w:r>
          </w:p>
        </w:tc>
        <w:tc>
          <w:tcPr/>
          <w:p>
            <w:pPr>
              <w:pStyle w:val="Compact"/>
            </w:pPr>
            <w:r>
              <w:t xml:space="preserve">P1</w:t>
            </w:r>
          </w:p>
        </w:tc>
      </w:tr>
      <w:tr>
        <w:tc>
          <w:tcPr/>
          <w:p>
            <w:pPr>
              <w:pStyle w:val="Compact"/>
            </w:pPr>
            <w:r>
              <w:t xml:space="preserve">Application permission added or removed</w:t>
            </w:r>
          </w:p>
        </w:tc>
        <w:tc>
          <w:tcPr/>
          <w:p>
            <w:pPr>
              <w:pStyle w:val="Compact"/>
            </w:pPr>
            <w:r>
              <w:t xml:space="preserve">App role assignment added to or removed from a service principal</w:t>
            </w:r>
          </w:p>
        </w:tc>
        <w:tc>
          <w:tcPr/>
          <w:p>
            <w:pPr>
              <w:pStyle w:val="Compact"/>
            </w:pPr>
            <w:r>
              <w:t xml:space="preserve">P1</w:t>
            </w:r>
          </w:p>
        </w:tc>
      </w:tr>
      <w:tr>
        <w:tc>
          <w:tcPr/>
          <w:p>
            <w:pPr>
              <w:pStyle w:val="Compact"/>
            </w:pPr>
            <w:r>
              <w:t xml:space="preserve">New service principal</w:t>
            </w:r>
          </w:p>
        </w:tc>
        <w:tc>
          <w:tcPr/>
          <w:p>
            <w:pPr>
              <w:pStyle w:val="Compact"/>
            </w:pPr>
            <w:r>
              <w:t xml:space="preserve">Service principal created</w:t>
            </w:r>
          </w:p>
        </w:tc>
        <w:tc>
          <w:tcPr/>
          <w:p>
            <w:pPr>
              <w:pStyle w:val="Compact"/>
            </w:pPr>
            <w:r>
              <w:t xml:space="preserve">P1</w:t>
            </w:r>
          </w:p>
        </w:tc>
      </w:tr>
      <w:tr>
        <w:tc>
          <w:tcPr/>
          <w:p>
            <w:pPr>
              <w:pStyle w:val="Compact"/>
            </w:pPr>
            <w:r>
              <w:t xml:space="preserve">Credential added to an app or service principal</w:t>
            </w:r>
          </w:p>
        </w:tc>
        <w:tc>
          <w:tcPr/>
          <w:p>
            <w:pPr>
              <w:pStyle w:val="Compact"/>
            </w:pPr>
            <w:r>
              <w:t xml:space="preserve">Certificate or secret added</w:t>
            </w:r>
          </w:p>
        </w:tc>
        <w:tc>
          <w:tcPr/>
          <w:p>
            <w:pPr>
              <w:pStyle w:val="Compact"/>
            </w:pPr>
            <w:r>
              <w:t xml:space="preserve">P1</w:t>
            </w:r>
          </w:p>
        </w:tc>
      </w:tr>
      <w:tr>
        <w:tc>
          <w:tcPr/>
          <w:p>
            <w:pPr>
              <w:pStyle w:val="Compact"/>
            </w:pPr>
            <w:r>
              <w:t xml:space="preserve">Global Administrator assigned, or break-glass sign-in</w:t>
            </w:r>
          </w:p>
        </w:tc>
        <w:tc>
          <w:tcPr/>
          <w:p>
            <w:pPr>
              <w:pStyle w:val="Compact"/>
            </w:pPr>
            <w:r>
              <w:t xml:space="preserve">Role assignment, or sign-in by an emergency account</w:t>
            </w:r>
          </w:p>
        </w:tc>
        <w:tc>
          <w:tcPr/>
          <w:p>
            <w:pPr>
              <w:pStyle w:val="Compact"/>
            </w:pPr>
            <w:r>
              <w:t xml:space="preserve">P1, immediate page</w:t>
            </w:r>
          </w:p>
        </w:tc>
      </w:tr>
      <w:tr>
        <w:tc>
          <w:tcPr/>
          <w:p>
            <w:pPr>
              <w:pStyle w:val="Compact"/>
            </w:pPr>
            <w:r>
              <w:t xml:space="preserve">User consent setting changed</w:t>
            </w:r>
          </w:p>
        </w:tc>
        <w:tc>
          <w:tcPr/>
          <w:p>
            <w:pPr>
              <w:pStyle w:val="Compact"/>
            </w:pPr>
            <w:r>
              <w:t xml:space="preserve">Change to the tenant’s user consent policy</w:t>
            </w:r>
          </w:p>
        </w:tc>
        <w:tc>
          <w:tcPr/>
          <w:p>
            <w:pPr>
              <w:pStyle w:val="Compact"/>
            </w:pPr>
            <w:r>
              <w:t xml:space="preserve">P1</w:t>
            </w:r>
          </w:p>
        </w:tc>
      </w:tr>
      <w:tr>
        <w:tc>
          <w:tcPr/>
          <w:p>
            <w:pPr>
              <w:pStyle w:val="Compact"/>
            </w:pPr>
            <w:r>
              <w:t xml:space="preserve">Delegated permission grant by an admin</w:t>
            </w:r>
          </w:p>
        </w:tc>
        <w:tc>
          <w:tcPr/>
          <w:p>
            <w:pPr>
              <w:pStyle w:val="Compact"/>
            </w:pPr>
            <w:r>
              <w:t xml:space="preserve">Tenant-wide delegated grant created</w:t>
            </w:r>
          </w:p>
        </w:tc>
        <w:tc>
          <w:tcPr/>
          <w:p>
            <w:pPr>
              <w:pStyle w:val="Compact"/>
            </w:pPr>
            <w:r>
              <w:t xml:space="preserve">P2</w:t>
            </w:r>
          </w:p>
        </w:tc>
      </w:tr>
      <w:tr>
        <w:tc>
          <w:tcPr/>
          <w:p>
            <w:pPr>
              <w:pStyle w:val="Compact"/>
            </w:pPr>
            <w:r>
              <w:t xml:space="preserve">Conditional Access policy changed</w:t>
            </w:r>
          </w:p>
        </w:tc>
        <w:tc>
          <w:tcPr/>
          <w:p>
            <w:pPr>
              <w:pStyle w:val="Compact"/>
            </w:pPr>
            <w:r>
              <w:t xml:space="preserve">Any create, update or delete</w:t>
            </w:r>
          </w:p>
        </w:tc>
        <w:tc>
          <w:tcPr/>
          <w:p>
            <w:pPr>
              <w:pStyle w:val="Compact"/>
            </w:pPr>
            <w:r>
              <w:t xml:space="preserve">P2</w:t>
            </w:r>
          </w:p>
        </w:tc>
      </w:tr>
      <w:tr>
        <w:tc>
          <w:tcPr/>
          <w:p>
            <w:pPr>
              <w:pStyle w:val="Compact"/>
            </w:pPr>
            <w:r>
              <w:t xml:space="preserve">PIM activation outside business hours</w:t>
            </w:r>
          </w:p>
        </w:tc>
        <w:tc>
          <w:tcPr/>
          <w:p>
            <w:pPr>
              <w:pStyle w:val="Compact"/>
            </w:pPr>
            <w:r>
              <w:t xml:space="preserve">Activation outside the agency’s defined hours or on holidays</w:t>
            </w:r>
          </w:p>
        </w:tc>
        <w:tc>
          <w:tcPr/>
          <w:p>
            <w:pPr>
              <w:pStyle w:val="Compact"/>
            </w:pPr>
            <w:r>
              <w:t xml:space="preserve">P2</w:t>
            </w:r>
          </w:p>
        </w:tc>
      </w:tr>
      <w:tr>
        <w:tc>
          <w:tcPr/>
          <w:p>
            <w:pPr>
              <w:pStyle w:val="Compact"/>
            </w:pPr>
            <w:r>
              <w:t xml:space="preserve">Orphaned application</w:t>
            </w:r>
          </w:p>
        </w:tc>
        <w:tc>
          <w:tcPr/>
          <w:p>
            <w:pPr>
              <w:pStyle w:val="Compact"/>
            </w:pPr>
            <w:r>
              <w:t xml:space="preserve">Weekly check finds fewer than two owners</w:t>
            </w:r>
          </w:p>
        </w:tc>
        <w:tc>
          <w:tcPr/>
          <w:p>
            <w:pPr>
              <w:pStyle w:val="Compact"/>
            </w:pPr>
            <w:r>
              <w:t xml:space="preserve">P2</w:t>
            </w:r>
          </w:p>
        </w:tc>
      </w:tr>
    </w:tbl>
    <w:p>
      <w:pPr>
        <w:pStyle w:val="BodyText"/>
      </w:pPr>
      <w:r>
        <w:t xml:space="preserve">The credential alert is the program’s addition to the source list, because adding a credential is how an Application Administrator or owner becomes the app. Chapter 10 turns these records into the evidence package, and Vol IX Book 06 maps them to controls.</w:t>
      </w:r>
    </w:p>
    <w:bookmarkEnd w:id="549"/>
    <w:bookmarkStart w:id="550" w:name="continue-the-book-5"/>
    <w:p>
      <w:pPr>
        <w:pStyle w:val="Heading2"/>
      </w:pPr>
      <w:bookmarkStart w:id="1221" w:name="_Toc00001221"/>
      <w:r>
        <w:t xml:space="preserve">Continue the book</w:t>
      </w:r>
      <w:bookmarkEnd w:id="1221"/>
    </w:p>
    <w:p>
      <w:pPr>
        <w:pStyle w:val="FirstParagraph"/>
      </w:pPr>
      <w:r>
        <w:t xml:space="preserve">← Previous: Chapter 05 — Applications and Workload Identities · Book index · Next: Chapter 07 — The Conditional Access Policy Library →</w:t>
      </w:r>
    </w:p>
    <w:bookmarkEnd w:id="550"/>
    <w:bookmarkEnd w:id="551"/>
    <w:bookmarkStart w:id="656" w:name="X2f1b938dc3ff434b3a06aa47467d78d3520fdf7"/>
    <w:p>
      <w:pPr>
        <w:pStyle w:val="Heading1"/>
      </w:pPr>
      <w:bookmarkStart w:id="1222" w:name="_Toc00001222"/>
      <w:r>
        <w:t xml:space="preserve">Chapter 07 — The Conditional Access Policy Library</w:t>
      </w:r>
      <w:bookmarkEnd w:id="1222"/>
    </w:p>
    <w:p>
      <w:pPr>
        <w:pStyle w:val="FirstParagraph"/>
      </w:pPr>
      <w:r>
        <w:rPr>
          <w:i/>
          <w:iCs/>
        </w:rPr>
        <w:t xml:space="preserve">A policy library is finished when every sign-in in the tenant meets a policy that someone owns, and nothing in it depends on a policy running first.</w:t>
      </w:r>
    </w:p>
    <w:bookmarkStart w:id="552" w:name="in-this-chapter-6"/>
    <w:p>
      <w:pPr>
        <w:pStyle w:val="Heading2"/>
      </w:pPr>
      <w:bookmarkStart w:id="1223" w:name="_Toc00001223"/>
      <w:r>
        <w:t xml:space="preserve">In this chapter</w:t>
      </w:r>
      <w:bookmarkEnd w:id="1223"/>
    </w:p>
    <w:p>
      <w:pPr>
        <w:pStyle w:val="FirstParagraph"/>
      </w:pPr>
      <w:r>
        <w:t xml:space="preserve">The program’s complete Conditional Access policy set: the sixteen baseline policies defined in Book 02, Chapter 09, refined where current guidance requires it, and twenty-two more, including a report-only probe, for risk, privileged workstations, segmented applications and workload identities. For each policy: intent, targeting, controls, exclusions, licensing and the enforcement wave it belongs to. Then the rollout method, the monitoring queries, and the mapping to CISA’s BOD 25-01 required configurations. The model behind the policies is in Chapter 03; deployable JSON is in Appendix A.</w:t>
      </w:r>
    </w:p>
    <w:bookmarkEnd w:id="552"/>
    <w:p>
      <w:pPr>
        <w:pStyle w:val="BodyText"/>
      </w:pPr>
      <w:r>
        <w:t xml:space="preserve">The library is one policy set, numbered once. Policies CA001 to CA017 are the baseline that Book 02 builds during the migration, and they keep their identifiers here; CA002 stays retired. Book 04 adds CA018 to CA038 and the report-only instrument CA090. Earlier versions of this library used a different scheme (</w:t>
      </w:r>
      <w:r>
        <w:rPr>
          <w:rStyle w:val="VerbatimChar"/>
        </w:rPr>
        <w:t xml:space="preserve">CA-001</w:t>
      </w:r>
      <w:r>
        <w:t xml:space="preserve"> </w:t>
      </w:r>
      <w:r>
        <w:t xml:space="preserve">to</w:t>
      </w:r>
      <w:r>
        <w:t xml:space="preserve"> </w:t>
      </w:r>
      <w:r>
        <w:rPr>
          <w:rStyle w:val="VerbatimChar"/>
        </w:rPr>
        <w:t xml:space="preserve">CA-064</w:t>
      </w:r>
      <w:r>
        <w:t xml:space="preserve">, grouped by baseline, device tier, environment, region, application and governance); the</w:t>
      </w:r>
      <w:r>
        <w:t xml:space="preserve"> </w:t>
      </w:r>
      <w:hyperlink w:anchor="where-the-earlier-policies-went">
        <w:r>
          <w:rPr>
            <w:rStyle w:val="Hyperlink"/>
          </w:rPr>
          <w:t xml:space="preserve">mapping table</w:t>
        </w:r>
      </w:hyperlink>
      <w:r>
        <w:t xml:space="preserve"> </w:t>
      </w:r>
      <w:r>
        <w:t xml:space="preserve">shows where each of those went.</w:t>
      </w:r>
    </w:p>
    <w:bookmarkStart w:id="556" w:name="fig-ch07-persona-policy-map"/>
    <w:p>
      <w:pPr>
        <w:pStyle w:val="CaptionedFigure"/>
      </w:pPr>
      <w:r>
        <w:drawing>
          <wp:inline>
            <wp:extent cx="5334000" cy="2468174"/>
            <wp:effectExtent b="0" l="0" r="0" t="0"/>
            <wp:docPr descr="Which policies reach which persona: tenant-wide policies reach every persona except where they exclude guests and external users, persona-specific policies add to them, and workload identities are reached only by policies that target service principals." title="" id="554" name="Picture"/>
            <a:graphic>
              <a:graphicData uri="http://schemas.openxmlformats.org/drawingml/2006/picture">
                <pic:pic>
                  <pic:nvPicPr>
                    <pic:cNvPr descr="/home/runner/work/modernization-workbook/modernization-workbook/docs/images/diagrams/b04-access/png/ch07-persona-policy-map.png" id="555" name="Picture"/>
                    <pic:cNvPicPr>
                      <a:picLocks noChangeArrowheads="1" noChangeAspect="1"/>
                    </pic:cNvPicPr>
                  </pic:nvPicPr>
                  <pic:blipFill>
                    <a:blip r:embed="rId553"/>
                    <a:stretch>
                      <a:fillRect/>
                    </a:stretch>
                  </pic:blipFill>
                  <pic:spPr bwMode="auto">
                    <a:xfrm>
                      <a:off x="0" y="0"/>
                      <a:ext cx="5334000" cy="2468174"/>
                    </a:xfrm>
                    <a:prstGeom prst="rect">
                      <a:avLst/>
                    </a:prstGeom>
                    <a:noFill/>
                    <a:ln w="9525">
                      <a:noFill/>
                      <a:headEnd/>
                      <a:tailEnd/>
                    </a:ln>
                  </pic:spPr>
                </pic:pic>
              </a:graphicData>
            </a:graphic>
          </wp:inline>
        </w:drawing>
      </w:r>
    </w:p>
    <w:p>
      <w:pPr>
        <w:pStyle w:val="ImageCaption"/>
      </w:pPr>
      <w:r>
        <w:t xml:space="preserve">Which policies reach which persona: tenant-wide policies reach every persona except where they exclude guests and external users, persona-specific policies add to them, and workload identities are reached only by policies that target service principals.</w:t>
      </w:r>
    </w:p>
    <w:bookmarkEnd w:id="556"/>
    <w:bookmarkStart w:id="560" w:name="conventions-used-in-every-policy"/>
    <w:p>
      <w:pPr>
        <w:pStyle w:val="Heading2"/>
      </w:pPr>
      <w:bookmarkStart w:id="1224" w:name="_Toc00001224"/>
      <w:r>
        <w:t xml:space="preserve">Conventions used in every policy</w:t>
      </w:r>
      <w:bookmarkEnd w:id="1224"/>
    </w:p>
    <w:p>
      <w:pPr>
        <w:pStyle w:val="Compact"/>
        <w:numPr>
          <w:ilvl w:val="0"/>
          <w:numId w:val="1038"/>
        </w:numPr>
      </w:pPr>
      <w:r>
        <w:rPr>
          <w:b/>
          <w:bCs/>
        </w:rPr>
        <w:t xml:space="preserve">The emergency access exclusion is implicit.</w:t>
      </w:r>
      <w:r>
        <w:t xml:space="preserve"> </w:t>
      </w:r>
      <w:r>
        <w:t xml:space="preserve">Every enforced policy excludes</w:t>
      </w:r>
      <w:r>
        <w:t xml:space="preserve"> </w:t>
      </w:r>
      <w:r>
        <w:rPr>
          <w:rStyle w:val="VerbatimChar"/>
        </w:rPr>
        <w:t xml:space="preserve">CA-Exclude-EmergencyAccess</w:t>
      </w:r>
      <w:r>
        <w:t xml:space="preserve">. The tables list only exclusions beyond it. CA090 is report-only and excludes nobody.</w:t>
      </w:r>
    </w:p>
    <w:p>
      <w:pPr>
        <w:pStyle w:val="Compact"/>
        <w:numPr>
          <w:ilvl w:val="0"/>
          <w:numId w:val="1038"/>
        </w:numPr>
      </w:pPr>
      <w:r>
        <w:rPr>
          <w:b/>
          <w:bCs/>
        </w:rPr>
        <w:t xml:space="preserve">“All users”</w:t>
      </w:r>
      <w:r>
        <w:rPr>
          <w:b/>
          <w:bCs/>
        </w:rPr>
        <w:t xml:space="preserve"> </w:t>
      </w:r>
      <w:r>
        <w:rPr>
          <w:b/>
          <w:bCs/>
        </w:rPr>
        <w:t xml:space="preserve">means all users minus that group;</w:t>
      </w:r>
      <w:r>
        <w:t xml:space="preserve"> </w:t>
      </w:r>
      <w:r>
        <w:t xml:space="preserve">“Members”</w:t>
      </w:r>
      <w:r>
        <w:t xml:space="preserve"> </w:t>
      </w:r>
      <w:r>
        <w:t xml:space="preserve">means all users minus every guest and external user type. Persona and access groups are defined in Chapter 03.</w:t>
      </w:r>
    </w:p>
    <w:p>
      <w:pPr>
        <w:pStyle w:val="Compact"/>
        <w:numPr>
          <w:ilvl w:val="0"/>
          <w:numId w:val="1038"/>
        </w:numPr>
      </w:pPr>
      <w:r>
        <w:rPr>
          <w:b/>
          <w:bCs/>
        </w:rPr>
        <w:t xml:space="preserve">Licensing.</w:t>
      </w:r>
      <w:r>
        <w:t xml:space="preserve"> </w:t>
      </w:r>
      <w:r>
        <w:t xml:space="preserve">Every policy needs Microsoft Entra ID P1. Policies marked P2 use ID Protection risk or insider risk; WID marks Workload ID Premium.</w:t>
      </w:r>
      <w:r>
        <w:rPr>
          <w:rStyle w:val="FootnoteReference"/>
        </w:rPr>
        <w:footnoteReference w:id="557"/>
      </w:r>
      <w:r>
        <w:rPr>
          <w:rStyle w:val="FootnoteReference"/>
        </w:rPr>
        <w:footnoteReference w:id="558"/>
      </w:r>
    </w:p>
    <w:p>
      <w:pPr>
        <w:pStyle w:val="Compact"/>
        <w:numPr>
          <w:ilvl w:val="0"/>
          <w:numId w:val="1038"/>
        </w:numPr>
      </w:pPr>
      <w:r>
        <w:rPr>
          <w:b/>
          <w:bCs/>
        </w:rPr>
        <w:t xml:space="preserve">Every policy is created in report-only state.</w:t>
      </w:r>
      <w:r>
        <w:t xml:space="preserve"> </w:t>
      </w:r>
      <w:r>
        <w:t xml:space="preserve">The column</w:t>
      </w:r>
      <w:r>
        <w:t xml:space="preserve"> </w:t>
      </w:r>
      <w:r>
        <w:t xml:space="preserve">“Wave”</w:t>
      </w:r>
      <w:r>
        <w:t xml:space="preserve"> </w:t>
      </w:r>
      <w:r>
        <w:t xml:space="preserve">says when it’s enforced (see</w:t>
      </w:r>
      <w:r>
        <w:t xml:space="preserve"> </w:t>
      </w:r>
      <w:hyperlink w:anchor="rollout-from-report-only-to-enforcement">
        <w:r>
          <w:rPr>
            <w:rStyle w:val="Hyperlink"/>
          </w:rPr>
          <w:t xml:space="preserve">Rollout</w:t>
        </w:r>
      </w:hyperlink>
      <w:r>
        <w:t xml:space="preserve">).</w:t>
      </w:r>
    </w:p>
    <w:p>
      <w:pPr>
        <w:pStyle w:val="Compact"/>
        <w:numPr>
          <w:ilvl w:val="0"/>
          <w:numId w:val="1038"/>
        </w:numPr>
      </w:pPr>
      <w:r>
        <w:rPr>
          <w:b/>
          <w:bCs/>
        </w:rPr>
        <w:t xml:space="preserve">Approved client app isn’t used.</w:t>
      </w:r>
      <w:r>
        <w:t xml:space="preserve"> </w:t>
      </w:r>
      <w:r>
        <w:t xml:space="preserve">Microsoft moved the</w:t>
      </w:r>
      <w:r>
        <w:t xml:space="preserve"> </w:t>
      </w:r>
      <w:r>
        <w:t xml:space="preserve">“require approved client app”</w:t>
      </w:r>
      <w:r>
        <w:t xml:space="preserve"> </w:t>
      </w:r>
      <w:r>
        <w:t xml:space="preserve">grant, and every policy using it, to read-only on June 30, 2026. New policies require an app protection policy instead.</w:t>
      </w:r>
      <w:r>
        <w:rPr>
          <w:rStyle w:val="FootnoteReference"/>
        </w:rPr>
        <w:footnoteReference w:id="559"/>
      </w:r>
    </w:p>
    <w:bookmarkEnd w:id="560"/>
    <w:bookmarkStart w:id="563" w:name="prerequisites"/>
    <w:p>
      <w:pPr>
        <w:pStyle w:val="Heading2"/>
      </w:pPr>
      <w:bookmarkStart w:id="1225" w:name="_Toc00001225"/>
      <w:r>
        <w:t xml:space="preserve">Prerequisites</w:t>
      </w:r>
      <w:bookmarkEnd w:id="1225"/>
    </w:p>
    <w:p>
      <w:pPr>
        <w:pStyle w:val="FirstParagraph"/>
      </w:pPr>
      <w:r>
        <w:t xml:space="preserve">The library assumes these objects exist before the first policy is created. Missing prerequisites are the most common reason a report-only policy shows failures that aren’t real.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Object</w:t>
            </w:r>
          </w:p>
        </w:tc>
        <w:tc>
          <w:tcPr/>
          <w:p>
            <w:pPr>
              <w:pStyle w:val="Compact"/>
            </w:pPr>
            <w:r>
              <w:t xml:space="preserve">What the program creates</w:t>
            </w:r>
          </w:p>
        </w:tc>
        <w:tc>
          <w:tcPr/>
          <w:p>
            <w:pPr>
              <w:pStyle w:val="Compact"/>
            </w:pPr>
            <w:r>
              <w:t xml:space="preserve">Used by</w:t>
            </w:r>
          </w:p>
        </w:tc>
      </w:tr>
      <w:tr>
        <w:tc>
          <w:tcPr/>
          <w:p>
            <w:pPr>
              <w:pStyle w:val="Compact"/>
            </w:pPr>
            <w:r>
              <w:t xml:space="preserve">Emergency access group</w:t>
            </w:r>
          </w:p>
        </w:tc>
        <w:tc>
          <w:tcPr/>
          <w:p>
            <w:pPr>
              <w:pStyle w:val="Compact"/>
            </w:pPr>
            <w:r>
              <w:rPr>
                <w:rStyle w:val="VerbatimChar"/>
              </w:rPr>
              <w:t xml:space="preserve">CA-Exclude-EmergencyAccess</w:t>
            </w:r>
            <w:r>
              <w:t xml:space="preserve">, assigned, holding the two emergency accounts (Book 02, Chapter 09)</w:t>
            </w:r>
          </w:p>
        </w:tc>
        <w:tc>
          <w:tcPr/>
          <w:p>
            <w:pPr>
              <w:pStyle w:val="Compact"/>
            </w:pPr>
            <w:r>
              <w:t xml:space="preserve">Every enforced policy</w:t>
            </w:r>
          </w:p>
        </w:tc>
      </w:tr>
      <w:tr>
        <w:tc>
          <w:tcPr/>
          <w:p>
            <w:pPr>
              <w:pStyle w:val="Compact"/>
            </w:pPr>
            <w:r>
              <w:t xml:space="preserve">Persona groups</w:t>
            </w:r>
          </w:p>
        </w:tc>
        <w:tc>
          <w:tcPr/>
          <w:p>
            <w:pPr>
              <w:pStyle w:val="Compact"/>
            </w:pPr>
            <w:r>
              <w:rPr>
                <w:rStyle w:val="VerbatimChar"/>
              </w:rPr>
              <w:t xml:space="preserve">CA-Persona-Internals</w:t>
            </w:r>
            <w:r>
              <w:t xml:space="preserve"> </w:t>
            </w:r>
            <w:r>
              <w:t xml:space="preserve">and</w:t>
            </w:r>
            <w:r>
              <w:t xml:space="preserve"> </w:t>
            </w:r>
            <w:r>
              <w:rPr>
                <w:rStyle w:val="VerbatimChar"/>
              </w:rPr>
              <w:t xml:space="preserve">CA-Persona-Admins</w:t>
            </w:r>
            <w:r>
              <w:t xml:space="preserve"> </w:t>
            </w:r>
            <w:r>
              <w:t xml:space="preserve">(dynamic, from</w:t>
            </w:r>
            <w:r>
              <w:t xml:space="preserve"> </w:t>
            </w:r>
            <w:r>
              <w:rPr>
                <w:rStyle w:val="VerbatimChar"/>
              </w:rPr>
              <w:t xml:space="preserve">extensionAttribute6</w:t>
            </w:r>
            <w:r>
              <w:t xml:space="preserve"> </w:t>
            </w:r>
            <w:r>
              <w:t xml:space="preserve">and</w:t>
            </w:r>
            <w:r>
              <w:t xml:space="preserve"> </w:t>
            </w:r>
            <w:r>
              <w:rPr>
                <w:rStyle w:val="VerbatimChar"/>
              </w:rPr>
              <w:t xml:space="preserve">extensionAttribute10</w:t>
            </w:r>
            <w:r>
              <w:t xml:space="preserve">);</w:t>
            </w:r>
            <w:r>
              <w:t xml:space="preserve"> </w:t>
            </w:r>
            <w:r>
              <w:rPr>
                <w:rStyle w:val="VerbatimChar"/>
              </w:rPr>
              <w:t xml:space="preserve">CA-Persona-WebOnly</w:t>
            </w:r>
            <w:r>
              <w:t xml:space="preserve"> </w:t>
            </w:r>
            <w:r>
              <w:t xml:space="preserve">and</w:t>
            </w:r>
            <w:r>
              <w:t xml:space="preserve"> </w:t>
            </w:r>
            <w:r>
              <w:rPr>
                <w:rStyle w:val="VerbatimChar"/>
              </w:rPr>
              <w:t xml:space="preserve">CA-Persona-SharedDevice</w:t>
            </w:r>
            <w:r>
              <w:t xml:space="preserve"> </w:t>
            </w:r>
            <w:r>
              <w:t xml:space="preserve">(assigned, governed)</w:t>
            </w:r>
          </w:p>
        </w:tc>
        <w:tc>
          <w:tcPr/>
          <w:p>
            <w:pPr>
              <w:pStyle w:val="Compact"/>
            </w:pPr>
            <w:r>
              <w:t xml:space="preserve">Persona policies</w:t>
            </w:r>
          </w:p>
        </w:tc>
      </w:tr>
      <w:tr>
        <w:tc>
          <w:tcPr/>
          <w:p>
            <w:pPr>
              <w:pStyle w:val="Compact"/>
            </w:pPr>
            <w:r>
              <w:t xml:space="preserve">Access groups</w:t>
            </w:r>
          </w:p>
        </w:tc>
        <w:tc>
          <w:tcPr/>
          <w:p>
            <w:pPr>
              <w:pStyle w:val="Compact"/>
            </w:pPr>
            <w:r>
              <w:rPr>
                <w:rStyle w:val="VerbatimChar"/>
              </w:rPr>
              <w:t xml:space="preserve">CA-Access-ServerAdmins</w:t>
            </w:r>
            <w:r>
              <w:t xml:space="preserve">,</w:t>
            </w:r>
            <w:r>
              <w:t xml:space="preserve"> </w:t>
            </w:r>
            <w:r>
              <w:rPr>
                <w:rStyle w:val="VerbatimChar"/>
              </w:rPr>
              <w:t xml:space="preserve">CA-Access-AzureOperators</w:t>
            </w:r>
            <w:r>
              <w:t xml:space="preserve">,</w:t>
            </w:r>
            <w:r>
              <w:t xml:space="preserve"> </w:t>
            </w:r>
            <w:r>
              <w:rPr>
                <w:rStyle w:val="VerbatimChar"/>
              </w:rPr>
              <w:t xml:space="preserve">CA-Access-ProdOperators</w:t>
            </w:r>
            <w:r>
              <w:t xml:space="preserve">,</w:t>
            </w:r>
            <w:r>
              <w:t xml:space="preserve"> </w:t>
            </w:r>
            <w:r>
              <w:rPr>
                <w:rStyle w:val="VerbatimChar"/>
              </w:rPr>
              <w:t xml:space="preserve">CA-Access-PowerPlatformMakers</w:t>
            </w:r>
            <w:r>
              <w:t xml:space="preserve">, and one per restricted application</w:t>
            </w:r>
          </w:p>
        </w:tc>
        <w:tc>
          <w:tcPr/>
          <w:p>
            <w:pPr>
              <w:pStyle w:val="Compact"/>
            </w:pPr>
            <w:r>
              <w:t xml:space="preserve">CA026, CA027, CA030, CA031, CA033 to CA035</w:t>
            </w:r>
          </w:p>
        </w:tc>
      </w:tr>
      <w:tr>
        <w:tc>
          <w:tcPr/>
          <w:p>
            <w:pPr>
              <w:pStyle w:val="Compact"/>
            </w:pPr>
            <w:r>
              <w:t xml:space="preserve">Governed exclusion groups</w:t>
            </w:r>
          </w:p>
        </w:tc>
        <w:tc>
          <w:tcPr/>
          <w:p>
            <w:pPr>
              <w:pStyle w:val="Compact"/>
            </w:pPr>
            <w:r>
              <w:rPr>
                <w:rStyle w:val="VerbatimChar"/>
              </w:rPr>
              <w:t xml:space="preserve">CA-Exclude-ApprovedTravel</w:t>
            </w:r>
            <w:r>
              <w:t xml:space="preserve"> </w:t>
            </w:r>
            <w:r>
              <w:t xml:space="preserve">(PIM for Groups, maximum 14 days),</w:t>
            </w:r>
            <w:r>
              <w:t xml:space="preserve"> </w:t>
            </w:r>
            <w:r>
              <w:rPr>
                <w:rStyle w:val="VerbatimChar"/>
              </w:rPr>
              <w:t xml:space="preserve">CA-Exclude-DeviceCodeFlow</w:t>
            </w:r>
            <w:r>
              <w:t xml:space="preserve"> </w:t>
            </w:r>
            <w:r>
              <w:t xml:space="preserve">(Teams Rooms and similar accounts),</w:t>
            </w:r>
            <w:r>
              <w:t xml:space="preserve"> </w:t>
            </w:r>
            <w:r>
              <w:rPr>
                <w:rStyle w:val="VerbatimChar"/>
              </w:rPr>
              <w:t xml:space="preserve">CA-Exclude-RegistrationOnboarding</w:t>
            </w:r>
            <w:r>
              <w:t xml:space="preserve"> </w:t>
            </w:r>
            <w:r>
              <w:t xml:space="preserve">and</w:t>
            </w:r>
            <w:r>
              <w:t xml:space="preserve"> </w:t>
            </w:r>
            <w:r>
              <w:rPr>
                <w:rStyle w:val="VerbatimChar"/>
              </w:rPr>
              <w:t xml:space="preserve">CA-Exclude-PhishResistantNotReady</w:t>
            </w:r>
            <w:r>
              <w:t xml:space="preserve"> </w:t>
            </w:r>
            <w:r>
              <w:t xml:space="preserve">(both time-bound, every member with an expiry)</w:t>
            </w:r>
          </w:p>
        </w:tc>
        <w:tc>
          <w:tcPr/>
          <w:p>
            <w:pPr>
              <w:pStyle w:val="Compact"/>
            </w:pPr>
            <w:r>
              <w:t xml:space="preserve">CA008, CA021, CA020, CA022</w:t>
            </w:r>
          </w:p>
        </w:tc>
      </w:tr>
      <w:tr>
        <w:tc>
          <w:tcPr/>
          <w:p>
            <w:pPr>
              <w:pStyle w:val="Compact"/>
            </w:pPr>
            <w:r>
              <w:t xml:space="preserve">Named locations</w:t>
            </w:r>
          </w:p>
        </w:tc>
        <w:tc>
          <w:tcPr/>
          <w:p>
            <w:pPr>
              <w:pStyle w:val="Compact"/>
            </w:pPr>
            <w:r>
              <w:rPr>
                <w:rStyle w:val="VerbatimChar"/>
              </w:rPr>
              <w:t xml:space="preserve">NL-TrustedNetworks</w:t>
            </w:r>
            <w:r>
              <w:t xml:space="preserve"> </w:t>
            </w:r>
            <w:r>
              <w:t xml:space="preserve">(agency egress and VPN ranges, marked trusted),</w:t>
            </w:r>
            <w:r>
              <w:t xml:space="preserve"> </w:t>
            </w:r>
            <w:r>
              <w:rPr>
                <w:rStyle w:val="VerbatimChar"/>
              </w:rPr>
              <w:t xml:space="preserve">NL-TrustedCountries</w:t>
            </w:r>
            <w:r>
              <w:t xml:space="preserve"> </w:t>
            </w:r>
            <w:r>
              <w:t xml:space="preserve">(United States),</w:t>
            </w:r>
            <w:r>
              <w:t xml:space="preserve"> </w:t>
            </w:r>
            <w:r>
              <w:rPr>
                <w:rStyle w:val="VerbatimChar"/>
              </w:rPr>
              <w:t xml:space="preserve">NL-WorkloadEgress</w:t>
            </w:r>
            <w:r>
              <w:t xml:space="preserve"> </w:t>
            </w:r>
            <w:r>
              <w:t xml:space="preserve">(ranges workloads call from)</w:t>
            </w:r>
          </w:p>
        </w:tc>
        <w:tc>
          <w:tcPr/>
          <w:p>
            <w:pPr>
              <w:pStyle w:val="Compact"/>
            </w:pPr>
            <w:r>
              <w:t xml:space="preserve">CA005, CA008, CA015, CA029, CA032</w:t>
            </w:r>
          </w:p>
        </w:tc>
      </w:tr>
      <w:tr>
        <w:tc>
          <w:tcPr/>
          <w:p>
            <w:pPr>
              <w:pStyle w:val="Compact"/>
            </w:pPr>
            <w:r>
              <w:t xml:space="preserve">Authentication strengths</w:t>
            </w:r>
          </w:p>
        </w:tc>
        <w:tc>
          <w:tcPr/>
          <w:p>
            <w:pPr>
              <w:pStyle w:val="Compact"/>
            </w:pPr>
            <w:r>
              <w:t xml:space="preserve">Built-in MFA and phishing-resistant MFA; custom</w:t>
            </w:r>
            <w:r>
              <w:t xml:space="preserve"> </w:t>
            </w:r>
            <w:r>
              <w:rPr>
                <w:rStyle w:val="VerbatimChar"/>
              </w:rPr>
              <w:t xml:space="preserve">FMP-Privileged-SeparateDevice</w:t>
            </w:r>
            <w:r>
              <w:t xml:space="preserve"> </w:t>
            </w:r>
            <w:r>
              <w:t xml:space="preserve">(FIDO2 keys from an approved AAGUID list, or certificate-based authentication as multifactor)</w:t>
            </w:r>
          </w:p>
        </w:tc>
        <w:tc>
          <w:tcPr/>
          <w:p>
            <w:pPr>
              <w:pStyle w:val="Compact"/>
            </w:pPr>
            <w:r>
              <w:t xml:space="preserve">CA003, CA006, CA009, CA022, CA026, CA031</w:t>
            </w:r>
          </w:p>
        </w:tc>
      </w:tr>
      <w:tr>
        <w:tc>
          <w:tcPr/>
          <w:p>
            <w:pPr>
              <w:pStyle w:val="Compact"/>
            </w:pPr>
            <w:r>
              <w:t xml:space="preserve">Device labels</w:t>
            </w:r>
          </w:p>
        </w:tc>
        <w:tc>
          <w:tcPr/>
          <w:p>
            <w:pPr>
              <w:pStyle w:val="Compact"/>
            </w:pPr>
            <w:r>
              <w:t xml:space="preserve">Device</w:t>
            </w:r>
            <w:r>
              <w:t xml:space="preserve"> </w:t>
            </w:r>
            <w:r>
              <w:rPr>
                <w:rStyle w:val="VerbatimChar"/>
              </w:rPr>
              <w:t xml:space="preserve">extensionAttribute1</w:t>
            </w:r>
            <w:r>
              <w:t xml:space="preserve"> </w:t>
            </w:r>
            <w:r>
              <w:t xml:space="preserve">=</w:t>
            </w:r>
            <w:r>
              <w:t xml:space="preserve"> </w:t>
            </w:r>
            <w:r>
              <w:rPr>
                <w:rStyle w:val="VerbatimChar"/>
              </w:rPr>
              <w:t xml:space="preserve">PAW</w:t>
            </w:r>
            <w:r>
              <w:t xml:space="preserve"> </w:t>
            </w:r>
            <w:r>
              <w:t xml:space="preserve">or</w:t>
            </w:r>
            <w:r>
              <w:t xml:space="preserve"> </w:t>
            </w:r>
            <w:r>
              <w:rPr>
                <w:rStyle w:val="VerbatimChar"/>
              </w:rPr>
              <w:t xml:space="preserve">Shared</w:t>
            </w:r>
            <w:r>
              <w:t xml:space="preserve">, set through Microsoft Graph at provisioning</w:t>
            </w:r>
          </w:p>
        </w:tc>
        <w:tc>
          <w:tcPr/>
          <w:p>
            <w:pPr>
              <w:pStyle w:val="Compact"/>
            </w:pPr>
            <w:r>
              <w:t xml:space="preserve">CA025, CA028</w:t>
            </w:r>
          </w:p>
        </w:tc>
      </w:tr>
      <w:tr>
        <w:tc>
          <w:tcPr/>
          <w:p>
            <w:pPr>
              <w:pStyle w:val="Compact"/>
            </w:pPr>
            <w:r>
              <w:t xml:space="preserve">Application attributes</w:t>
            </w:r>
          </w:p>
        </w:tc>
        <w:tc>
          <w:tcPr/>
          <w:p>
            <w:pPr>
              <w:pStyle w:val="Compact"/>
            </w:pPr>
            <w:r>
              <w:t xml:space="preserve">Custom security attribute set</w:t>
            </w:r>
            <w:r>
              <w:t xml:space="preserve"> </w:t>
            </w:r>
            <w:r>
              <w:rPr>
                <w:rStyle w:val="VerbatimChar"/>
              </w:rPr>
              <w:t xml:space="preserve">FMPAccess</w:t>
            </w:r>
            <w:r>
              <w:t xml:space="preserve"> </w:t>
            </w:r>
            <w:r>
              <w:t xml:space="preserve">with string attribute</w:t>
            </w:r>
            <w:r>
              <w:t xml:space="preserve"> </w:t>
            </w:r>
            <w:r>
              <w:rPr>
                <w:rStyle w:val="VerbatimChar"/>
              </w:rPr>
              <w:t xml:space="preserve">Environment</w:t>
            </w:r>
            <w:r>
              <w:t xml:space="preserve"> </w:t>
            </w:r>
            <w:r>
              <w:t xml:space="preserve">(</w:t>
            </w:r>
            <w:r>
              <w:rPr>
                <w:rStyle w:val="VerbatimChar"/>
              </w:rPr>
              <w:t xml:space="preserve">Production</w:t>
            </w:r>
            <w:r>
              <w:t xml:space="preserve">,</w:t>
            </w:r>
            <w:r>
              <w:t xml:space="preserve"> </w:t>
            </w:r>
            <w:r>
              <w:rPr>
                <w:rStyle w:val="VerbatimChar"/>
              </w:rPr>
              <w:t xml:space="preserve">Staging</w:t>
            </w:r>
            <w:r>
              <w:t xml:space="preserve">,</w:t>
            </w:r>
            <w:r>
              <w:t xml:space="preserve"> </w:t>
            </w:r>
            <w:r>
              <w:rPr>
                <w:rStyle w:val="VerbatimChar"/>
              </w:rPr>
              <w:t xml:space="preserve">Development</w:t>
            </w:r>
            <w:r>
              <w:t xml:space="preserve">) on service principals</w:t>
            </w:r>
          </w:p>
        </w:tc>
        <w:tc>
          <w:tcPr/>
          <w:p>
            <w:pPr>
              <w:pStyle w:val="Compact"/>
            </w:pPr>
            <w:r>
              <w:t xml:space="preserve">CA030 to CA032</w:t>
            </w:r>
          </w:p>
        </w:tc>
      </w:tr>
      <w:tr>
        <w:tc>
          <w:tcPr/>
          <w:p>
            <w:pPr>
              <w:pStyle w:val="Compact"/>
            </w:pPr>
            <w:r>
              <w:t xml:space="preserve">Terms of use</w:t>
            </w:r>
          </w:p>
        </w:tc>
        <w:tc>
          <w:tcPr/>
          <w:p>
            <w:pPr>
              <w:pStyle w:val="Compact"/>
            </w:pPr>
            <w:r>
              <w:t xml:space="preserve">Employee, guest and privileged documents (Book 02, Chapter 10)</w:t>
            </w:r>
          </w:p>
        </w:tc>
        <w:tc>
          <w:tcPr/>
          <w:p>
            <w:pPr>
              <w:pStyle w:val="Compact"/>
            </w:pPr>
            <w:r>
              <w:t xml:space="preserve">CA010, CA011</w:t>
            </w:r>
          </w:p>
        </w:tc>
      </w:tr>
      <w:tr>
        <w:tc>
          <w:tcPr/>
          <w:p>
            <w:pPr>
              <w:pStyle w:val="Compact"/>
            </w:pPr>
            <w:r>
              <w:t xml:space="preserve">Intune</w:t>
            </w:r>
          </w:p>
        </w:tc>
        <w:tc>
          <w:tcPr/>
          <w:p>
            <w:pPr>
              <w:pStyle w:val="Compact"/>
            </w:pPr>
            <w:r>
              <w:t xml:space="preserve">Compliance policies for every platform, and app protection policies for iOS and Android</w:t>
            </w:r>
          </w:p>
        </w:tc>
        <w:tc>
          <w:tcPr/>
          <w:p>
            <w:pPr>
              <w:pStyle w:val="Compact"/>
            </w:pPr>
            <w:r>
              <w:t xml:space="preserve">CA004, CA007, CA016, CA017, CA028</w:t>
            </w:r>
          </w:p>
        </w:tc>
      </w:tr>
    </w:tbl>
    <w:p>
      <w:pPr>
        <w:pStyle w:val="BodyText"/>
      </w:pPr>
      <w:r>
        <w:t xml:space="preserve">The custom strength excludes Windows Hello for Business on purpose. The program doesn’t count a credential held in the device gaining access as a separate device for privileged accounts (Book 02, Chapter 10). A custom strength can restrict FIDO2 to specific key models by AAGUID through a combination configuration.</w:t>
      </w:r>
      <w:r>
        <w:rPr>
          <w:rStyle w:val="FootnoteReference"/>
        </w:rPr>
        <w:footnoteReference w:id="561"/>
      </w:r>
    </w:p>
    <w:p>
      <w:pPr>
        <w:pStyle w:val="BodyText"/>
      </w:pPr>
      <w:r>
        <w:t xml:space="preserve">Two readiness gates, carried from the source library, apply before enforcement.</w:t>
      </w:r>
      <w:r>
        <w:t xml:space="preserve"> </w:t>
      </w:r>
      <w:r>
        <w:rPr>
          <w:b/>
          <w:bCs/>
        </w:rPr>
        <w:t xml:space="preserve">Authentication</w:t>
      </w:r>
      <w:r>
        <w:t xml:space="preserve">: at least 95 percent of in-scope users have a method registered that satisfies the policy’s strength.</w:t>
      </w:r>
      <w:r>
        <w:t xml:space="preserve"> </w:t>
      </w:r>
      <w:r>
        <w:rPr>
          <w:b/>
          <w:bCs/>
        </w:rPr>
        <w:t xml:space="preserve">Devices</w:t>
      </w:r>
      <w:r>
        <w:t xml:space="preserve">: at least 90 percent of in-scope devices are enrolled and compliant, and the attributes the policy depends on are populated for every in-scope object. These thresholds are the program’s; the point is that each wave starts with a measured number, not an estimate.</w:t>
      </w:r>
    </w:p>
    <w:bookmarkEnd w:id="563"/>
    <w:bookmarkStart w:id="572" w:name="wave-1-foundation"/>
    <w:p>
      <w:pPr>
        <w:pStyle w:val="Heading2"/>
      </w:pPr>
      <w:bookmarkStart w:id="1226" w:name="_Toc00001226"/>
      <w:r>
        <w:t xml:space="preserve">Wave 1: foundation</w:t>
      </w:r>
      <w:bookmarkEnd w:id="1226"/>
    </w:p>
    <w:p>
      <w:pPr>
        <w:pStyle w:val="FirstParagraph"/>
      </w:pPr>
      <w:r>
        <w:t xml:space="preserve">These policies have no user-visible effect for anyone already on modern clients, and they close the paths attackers use first.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CA001-AllUsers-BlockLegacyAuth</w:t>
            </w:r>
          </w:p>
        </w:tc>
        <w:tc>
          <w:tcPr/>
          <w:p>
            <w:pPr>
              <w:pStyle w:val="Compact"/>
            </w:pPr>
            <w:r>
              <w:t xml:space="preserve">Remove protocols that can’t do MFA</w:t>
            </w:r>
          </w:p>
        </w:tc>
        <w:tc>
          <w:tcPr/>
          <w:p>
            <w:pPr>
              <w:pStyle w:val="Compact"/>
            </w:pPr>
            <w:r>
              <w:t xml:space="preserve">All users; all resources; client apps Exchange ActiveSync and other clients</w:t>
            </w:r>
          </w:p>
        </w:tc>
        <w:tc>
          <w:tcPr/>
          <w:p>
            <w:pPr>
              <w:pStyle w:val="Compact"/>
            </w:pPr>
            <w:r>
              <w:t xml:space="preserve">Block</w:t>
            </w:r>
          </w:p>
        </w:tc>
        <w:tc>
          <w:tcPr/>
          <w:p>
            <w:pPr>
              <w:pStyle w:val="Compact"/>
            </w:pPr>
            <w:r>
              <w:t xml:space="preserve">P1</w:t>
            </w:r>
          </w:p>
        </w:tc>
      </w:tr>
      <w:tr>
        <w:tc>
          <w:tcPr/>
          <w:p>
            <w:pPr>
              <w:pStyle w:val="Compact"/>
            </w:pPr>
            <w:r>
              <w:t xml:space="preserve">CA020-Members-SecurityInfoRegistration-RequireManagedDevice</w:t>
            </w:r>
          </w:p>
        </w:tc>
        <w:tc>
          <w:tcPr/>
          <w:p>
            <w:pPr>
              <w:pStyle w:val="Compact"/>
            </w:pPr>
            <w:r>
              <w:t xml:space="preserve">Stop an attacker with a password from registering their own MFA method</w:t>
            </w:r>
          </w:p>
        </w:tc>
        <w:tc>
          <w:tcPr/>
          <w:p>
            <w:pPr>
              <w:pStyle w:val="Compact"/>
            </w:pPr>
            <w:r>
              <w:t xml:space="preserve">Members; user action</w:t>
            </w:r>
            <w:r>
              <w:t xml:space="preserve"> </w:t>
            </w:r>
            <w:r>
              <w:rPr>
                <w:i/>
                <w:iCs/>
              </w:rPr>
              <w:t xml:space="preserve">Register security information</w:t>
            </w:r>
            <w:r>
              <w:t xml:space="preserve">. Exclude</w:t>
            </w:r>
            <w:r>
              <w:t xml:space="preserve"> </w:t>
            </w:r>
            <w:r>
              <w:rPr>
                <w:rStyle w:val="VerbatimChar"/>
              </w:rPr>
              <w:t xml:space="preserve">CA-Exclude-RegistrationOnboarding</w:t>
            </w:r>
          </w:p>
        </w:tc>
        <w:tc>
          <w:tcPr/>
          <w:p>
            <w:pPr>
              <w:pStyle w:val="Compact"/>
            </w:pPr>
            <w:r>
              <w:t xml:space="preserve">Compliant device or hybrid joined device</w:t>
            </w:r>
          </w:p>
        </w:tc>
        <w:tc>
          <w:tcPr/>
          <w:p>
            <w:pPr>
              <w:pStyle w:val="Compact"/>
            </w:pPr>
            <w:r>
              <w:t xml:space="preserve">P1</w:t>
            </w:r>
          </w:p>
        </w:tc>
      </w:tr>
      <w:tr>
        <w:tc>
          <w:tcPr/>
          <w:p>
            <w:pPr>
              <w:pStyle w:val="Compact"/>
            </w:pPr>
            <w:r>
              <w:t xml:space="preserve">CA021-AllUsers-BlockDeviceCodeFlowAndAuthTransfer</w:t>
            </w:r>
          </w:p>
        </w:tc>
        <w:tc>
          <w:tcPr/>
          <w:p>
            <w:pPr>
              <w:pStyle w:val="Compact"/>
            </w:pPr>
            <w:r>
              <w:t xml:space="preserve">Remove the flows used in device-code phishing</w:t>
            </w:r>
          </w:p>
        </w:tc>
        <w:tc>
          <w:tcPr/>
          <w:p>
            <w:pPr>
              <w:pStyle w:val="Compact"/>
            </w:pPr>
            <w:r>
              <w:t xml:space="preserve">All users; all resources; authentication flows device code and authentication transfer. Exclude</w:t>
            </w:r>
            <w:r>
              <w:t xml:space="preserve"> </w:t>
            </w:r>
            <w:r>
              <w:rPr>
                <w:rStyle w:val="VerbatimChar"/>
              </w:rPr>
              <w:t xml:space="preserve">CA-Exclude-DeviceCodeFlow</w:t>
            </w:r>
            <w:r>
              <w:t xml:space="preserve"> </w:t>
            </w:r>
            <w:r>
              <w:t xml:space="preserve">and the Device Registration Service if devices register by device code</w:t>
            </w:r>
          </w:p>
        </w:tc>
        <w:tc>
          <w:tcPr/>
          <w:p>
            <w:pPr>
              <w:pStyle w:val="Compact"/>
            </w:pPr>
            <w:r>
              <w:t xml:space="preserve">Block</w:t>
            </w:r>
          </w:p>
        </w:tc>
        <w:tc>
          <w:tcPr/>
          <w:p>
            <w:pPr>
              <w:pStyle w:val="Compact"/>
            </w:pPr>
            <w:r>
              <w:t xml:space="preserve">P1</w:t>
            </w:r>
          </w:p>
        </w:tc>
      </w:tr>
      <w:tr>
        <w:tc>
          <w:tcPr/>
          <w:p>
            <w:pPr>
              <w:pStyle w:val="Compact"/>
            </w:pPr>
            <w:r>
              <w:t xml:space="preserve">CA090-AllUsers-ReportOnly-CoverageProbe</w:t>
            </w:r>
          </w:p>
        </w:tc>
        <w:tc>
          <w:tcPr/>
          <w:p>
            <w:pPr>
              <w:pStyle w:val="Compact"/>
            </w:pPr>
            <w:r>
              <w:t xml:space="preserve">Permanent measuring instrument</w:t>
            </w:r>
          </w:p>
        </w:tc>
        <w:tc>
          <w:tcPr/>
          <w:p>
            <w:pPr>
              <w:pStyle w:val="Compact"/>
            </w:pPr>
            <w:r>
              <w:t xml:space="preserve">All users, no exclusions; all resources</w:t>
            </w:r>
          </w:p>
        </w:tc>
        <w:tc>
          <w:tcPr/>
          <w:p>
            <w:pPr>
              <w:pStyle w:val="Compact"/>
            </w:pPr>
            <w:r>
              <w:t xml:space="preserve">Require phishing-resistant MFA,</w:t>
            </w:r>
            <w:r>
              <w:t xml:space="preserve"> </w:t>
            </w:r>
            <w:r>
              <w:rPr>
                <w:b/>
                <w:bCs/>
              </w:rPr>
              <w:t xml:space="preserve">never enforced</w:t>
            </w:r>
          </w:p>
        </w:tc>
        <w:tc>
          <w:tcPr/>
          <w:p>
            <w:pPr>
              <w:pStyle w:val="Compact"/>
            </w:pPr>
            <w:r>
              <w:t xml:space="preserve">P1</w:t>
            </w:r>
          </w:p>
        </w:tc>
      </w:tr>
    </w:tbl>
    <w:p>
      <w:pPr>
        <w:pStyle w:val="BodyText"/>
      </w:pPr>
      <w:r>
        <w:rPr>
          <w:b/>
          <w:bCs/>
        </w:rPr>
        <w:t xml:space="preserve">CA001.</w:t>
      </w:r>
      <w:r>
        <w:t xml:space="preserve"> </w:t>
      </w:r>
      <w:r>
        <w:t xml:space="preserve">Legacy clients can’t satisfy MFA or present device state, so any other policy would block them anyway; CA001 makes the block explicit and visible.</w:t>
      </w:r>
      <w:r>
        <w:rPr>
          <w:rStyle w:val="FootnoteReference"/>
        </w:rPr>
        <w:footnoteReference w:id="564"/>
      </w:r>
      <w:r>
        <w:t xml:space="preserve"> </w:t>
      </w:r>
      <w:r>
        <w:t xml:space="preserve">Before enforcement, run the legacy-authentication query below for at least two weeks and move every remaining client, including service accounts and multifunction devices that send mail, to modern authentication. Microsoft’s own guidance excludes at least one account that must keep legacy access during transition; the program’s equivalent is a time-bound exclusion group, not a permanent one.</w:t>
      </w:r>
      <w:r>
        <w:rPr>
          <w:rStyle w:val="FootnoteReference"/>
        </w:rPr>
        <w:footnoteReference w:id="565"/>
      </w:r>
      <w:r>
        <w:t xml:space="preserve"> </w:t>
      </w:r>
      <w:r>
        <w:t xml:space="preserve">This policy meets MS.AAD.1.1, which CISA lists as mandatory under BOD 25-01.</w:t>
      </w:r>
      <w:r>
        <w:rPr>
          <w:rStyle w:val="FootnoteReference"/>
        </w:rPr>
        <w:footnoteReference w:id="567"/>
      </w:r>
    </w:p>
    <w:p>
      <w:pPr>
        <w:pStyle w:val="BodyText"/>
      </w:pPr>
      <w:r>
        <w:rPr>
          <w:b/>
          <w:bCs/>
        </w:rPr>
        <w:t xml:space="preserve">CA020.</w:t>
      </w:r>
      <w:r>
        <w:t xml:space="preserve"> </w:t>
      </w:r>
      <w:r>
        <w:t xml:space="preserve">CISA’s Entra ID baseline recommends that managed devices be required to register MFA (MS.AAD.3.8, a SHOULD).</w:t>
      </w:r>
      <w:r>
        <w:rPr>
          <w:rStyle w:val="FootnoteReference"/>
        </w:rPr>
        <w:footnoteReference w:id="568"/>
      </w:r>
      <w:r>
        <w:t xml:space="preserve"> </w:t>
      </w:r>
      <w:r>
        <w:t xml:space="preserve">Remote new hires who have no managed device yet are put in the onboarding exclusion group for a few days, with a Temporary Access Pass issued through the pre-hire workflow (Book 02, Chapter 10). Guests are left out because the user action behaves differently for them: guests from a Microsoft account are made to register with the tenant, and guests from other providers are blocked.</w:t>
      </w:r>
      <w:r>
        <w:rPr>
          <w:rStyle w:val="FootnoteReference"/>
        </w:rPr>
        <w:footnoteReference w:id="570"/>
      </w:r>
    </w:p>
    <w:p>
      <w:pPr>
        <w:pStyle w:val="BodyText"/>
      </w:pPr>
      <w:r>
        <w:rPr>
          <w:b/>
          <w:bCs/>
        </w:rPr>
        <w:t xml:space="preserve">CA021.</w:t>
      </w:r>
      <w:r>
        <w:t xml:space="preserve"> </w:t>
      </w:r>
      <w:r>
        <w:t xml:space="preserve">Microsoft recommends blocking device code flow wherever possible. Protocol tracking means a session that used device code flow stays marked, so later requests in that session can be blocked too.</w:t>
      </w:r>
      <w:r>
        <w:rPr>
          <w:rStyle w:val="FootnoteReference"/>
        </w:rPr>
        <w:footnoteReference w:id="571"/>
      </w:r>
      <w:r>
        <w:t xml:space="preserve"> </w:t>
      </w:r>
      <w:r>
        <w:t xml:space="preserve">Teams Rooms and other devices that genuinely need device code flow go in the exclusion group, ideally narrowed by a device filter or location in a companion policy.</w:t>
      </w:r>
    </w:p>
    <w:p>
      <w:pPr>
        <w:pStyle w:val="BodyText"/>
      </w:pPr>
      <w:r>
        <w:rPr>
          <w:b/>
          <w:bCs/>
        </w:rPr>
        <w:t xml:space="preserve">CA090.</w:t>
      </w:r>
      <w:r>
        <w:t xml:space="preserve"> </w:t>
      </w:r>
      <w:r>
        <w:t xml:space="preserve">The source library’s audit policy, kept as a permanent report-only instrument. It shows, for every sign-in, whether the user could have met the end-state requirement, and it is the only policy that sees the emergency accounts, because report-only policies don’t need their exclusion. It never moves to On.</w:t>
      </w:r>
    </w:p>
    <w:bookmarkEnd w:id="572"/>
    <w:bookmarkStart w:id="580" w:name="wave-2-administrators"/>
    <w:p>
      <w:pPr>
        <w:pStyle w:val="Heading2"/>
      </w:pPr>
      <w:bookmarkStart w:id="1227" w:name="_Toc00001227"/>
      <w:r>
        <w:t xml:space="preserve">Wave 2: administrators</w:t>
      </w:r>
      <w:bookmarkEnd w:id="1227"/>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CA003-Admins-RequirePhishResistantMFA</w:t>
            </w:r>
          </w:p>
        </w:tc>
        <w:tc>
          <w:tcPr/>
          <w:p>
            <w:pPr>
              <w:pStyle w:val="Compact"/>
            </w:pPr>
            <w:r>
              <w:t xml:space="preserve">Phishing-resistant, separate-device MFA for every privileged sign-in</w:t>
            </w:r>
          </w:p>
        </w:tc>
        <w:tc>
          <w:tcPr/>
          <w:p>
            <w:pPr>
              <w:pStyle w:val="Compact"/>
            </w:pPr>
            <w:r>
              <w:rPr>
                <w:rStyle w:val="VerbatimChar"/>
              </w:rPr>
              <w:t xml:space="preserve">CA-Persona-Admins</w:t>
            </w:r>
            <w:r>
              <w:t xml:space="preserve"> </w:t>
            </w:r>
            <w:r>
              <w:rPr>
                <w:b/>
                <w:bCs/>
              </w:rPr>
              <w:t xml:space="preserve">and</w:t>
            </w:r>
            <w:r>
              <w:t xml:space="preserve"> </w:t>
            </w:r>
            <w:r>
              <w:t xml:space="preserve">the highly privileged built-in roles; all resources</w:t>
            </w:r>
          </w:p>
        </w:tc>
        <w:tc>
          <w:tcPr/>
          <w:p>
            <w:pPr>
              <w:pStyle w:val="Compact"/>
            </w:pPr>
            <w:r>
              <w:t xml:space="preserve">Authentication strength</w:t>
            </w:r>
            <w:r>
              <w:t xml:space="preserve"> </w:t>
            </w:r>
            <w:r>
              <w:rPr>
                <w:rStyle w:val="VerbatimChar"/>
              </w:rPr>
              <w:t xml:space="preserve">FMP-Privileged-SeparateDevice</w:t>
            </w:r>
            <w:r>
              <w:t xml:space="preserve">; sign-in frequency 4 hours</w:t>
            </w:r>
          </w:p>
        </w:tc>
        <w:tc>
          <w:tcPr/>
          <w:p>
            <w:pPr>
              <w:pStyle w:val="Compact"/>
            </w:pPr>
            <w:r>
              <w:t xml:space="preserve">P1</w:t>
            </w:r>
          </w:p>
        </w:tc>
      </w:tr>
      <w:tr>
        <w:tc>
          <w:tcPr/>
          <w:p>
            <w:pPr>
              <w:pStyle w:val="Compact"/>
            </w:pPr>
            <w:r>
              <w:t xml:space="preserve">CA004-Admins-RequireCompliantDevice</w:t>
            </w:r>
          </w:p>
        </w:tc>
        <w:tc>
          <w:tcPr/>
          <w:p>
            <w:pPr>
              <w:pStyle w:val="Compact"/>
            </w:pPr>
            <w:r>
              <w:t xml:space="preserve">Administration only from managed devices</w:t>
            </w:r>
          </w:p>
        </w:tc>
        <w:tc>
          <w:tcPr/>
          <w:p>
            <w:pPr>
              <w:pStyle w:val="Compact"/>
            </w:pPr>
            <w:r>
              <w:rPr>
                <w:rStyle w:val="VerbatimChar"/>
              </w:rPr>
              <w:t xml:space="preserve">CA-Persona-Admins</w:t>
            </w:r>
            <w:r>
              <w:t xml:space="preserve">; all resources</w:t>
            </w:r>
          </w:p>
        </w:tc>
        <w:tc>
          <w:tcPr/>
          <w:p>
            <w:pPr>
              <w:pStyle w:val="Compact"/>
            </w:pPr>
            <w:r>
              <w:t xml:space="preserve">Compliant device; persistent browser never</w:t>
            </w:r>
          </w:p>
        </w:tc>
        <w:tc>
          <w:tcPr/>
          <w:p>
            <w:pPr>
              <w:pStyle w:val="Compact"/>
            </w:pPr>
            <w:r>
              <w:t xml:space="preserve">P1</w:t>
            </w:r>
          </w:p>
        </w:tc>
      </w:tr>
      <w:tr>
        <w:tc>
          <w:tcPr/>
          <w:p>
            <w:pPr>
              <w:pStyle w:val="Compact"/>
            </w:pPr>
            <w:r>
              <w:t xml:space="preserve">CA005-Admins-BlockUntrustedLocations</w:t>
            </w:r>
          </w:p>
        </w:tc>
        <w:tc>
          <w:tcPr/>
          <w:p>
            <w:pPr>
              <w:pStyle w:val="Compact"/>
            </w:pPr>
            <w:r>
              <w:t xml:space="preserve">Administrators sign in only from agency networks</w:t>
            </w:r>
          </w:p>
        </w:tc>
        <w:tc>
          <w:tcPr/>
          <w:p>
            <w:pPr>
              <w:pStyle w:val="Compact"/>
            </w:pPr>
            <w:r>
              <w:rPr>
                <w:rStyle w:val="VerbatimChar"/>
              </w:rPr>
              <w:t xml:space="preserve">CA-Persona-Admins</w:t>
            </w:r>
            <w:r>
              <w:t xml:space="preserve">; all resources; any location except</w:t>
            </w:r>
            <w:r>
              <w:t xml:space="preserve"> </w:t>
            </w:r>
            <w:r>
              <w:rPr>
                <w:rStyle w:val="VerbatimChar"/>
              </w:rPr>
              <w:t xml:space="preserve">NL-TrustedNetworks</w:t>
            </w:r>
          </w:p>
        </w:tc>
        <w:tc>
          <w:tcPr/>
          <w:p>
            <w:pPr>
              <w:pStyle w:val="Compact"/>
            </w:pPr>
            <w:r>
              <w:t xml:space="preserve">Block</w:t>
            </w:r>
          </w:p>
        </w:tc>
        <w:tc>
          <w:tcPr/>
          <w:p>
            <w:pPr>
              <w:pStyle w:val="Compact"/>
            </w:pPr>
            <w:r>
              <w:t xml:space="preserve">P1</w:t>
            </w:r>
          </w:p>
        </w:tc>
      </w:tr>
      <w:tr>
        <w:tc>
          <w:tcPr/>
          <w:p>
            <w:pPr>
              <w:pStyle w:val="Compact"/>
            </w:pPr>
            <w:r>
              <w:t xml:space="preserve">CA025-Admins-BlockNonPAW</w:t>
            </w:r>
          </w:p>
        </w:tc>
        <w:tc>
          <w:tcPr/>
          <w:p>
            <w:pPr>
              <w:pStyle w:val="Compact"/>
            </w:pPr>
            <w:r>
              <w:t xml:space="preserve">Privileged administration only from a privileged access workstation</w:t>
            </w:r>
          </w:p>
        </w:tc>
        <w:tc>
          <w:tcPr/>
          <w:p>
            <w:pPr>
              <w:pStyle w:val="Compact"/>
            </w:pPr>
            <w:r>
              <w:rPr>
                <w:rStyle w:val="VerbatimChar"/>
              </w:rPr>
              <w:t xml:space="preserve">CA-Persona-Admins</w:t>
            </w:r>
            <w:r>
              <w:t xml:space="preserve">; Microsoft Admin Portals and Windows Azure Service Management API; device filter</w:t>
            </w:r>
            <w:r>
              <w:t xml:space="preserve"> </w:t>
            </w:r>
            <w:r>
              <w:rPr>
                <w:b/>
                <w:bCs/>
              </w:rPr>
              <w:t xml:space="preserve">exclude</w:t>
            </w:r>
            <w:r>
              <w:t xml:space="preserve"> </w:t>
            </w:r>
            <w:r>
              <w:rPr>
                <w:rStyle w:val="VerbatimChar"/>
              </w:rPr>
              <w:t xml:space="preserve">device.extensionAttribute1 -eq "PAW"</w:t>
            </w:r>
          </w:p>
        </w:tc>
        <w:tc>
          <w:tcPr/>
          <w:p>
            <w:pPr>
              <w:pStyle w:val="Compact"/>
            </w:pPr>
            <w:r>
              <w:t xml:space="preserve">Block</w:t>
            </w:r>
          </w:p>
        </w:tc>
        <w:tc>
          <w:tcPr/>
          <w:p>
            <w:pPr>
              <w:pStyle w:val="Compact"/>
            </w:pPr>
            <w:r>
              <w:t xml:space="preserve">P1</w:t>
            </w:r>
          </w:p>
        </w:tc>
      </w:tr>
      <w:tr>
        <w:tc>
          <w:tcPr/>
          <w:p>
            <w:pPr>
              <w:pStyle w:val="Compact"/>
            </w:pPr>
            <w:r>
              <w:t xml:space="preserve">CA026-ServerAdmins-AzureManagement-RequirePhishResistantCompliant</w:t>
            </w:r>
          </w:p>
        </w:tc>
        <w:tc>
          <w:tcPr/>
          <w:p>
            <w:pPr>
              <w:pStyle w:val="Compact"/>
            </w:pPr>
            <w:r>
              <w:t xml:space="preserve">Server and Arc administration with the same assurance as tenant administration</w:t>
            </w:r>
          </w:p>
        </w:tc>
        <w:tc>
          <w:tcPr/>
          <w:p>
            <w:pPr>
              <w:pStyle w:val="Compact"/>
            </w:pPr>
            <w:r>
              <w:rPr>
                <w:rStyle w:val="VerbatimChar"/>
              </w:rPr>
              <w:t xml:space="preserve">CA-Access-ServerAdmins</w:t>
            </w:r>
            <w:r>
              <w:t xml:space="preserve">; Windows Azure Service Management API and Azure Virtual Desktop</w:t>
            </w:r>
          </w:p>
        </w:tc>
        <w:tc>
          <w:tcPr/>
          <w:p>
            <w:pPr>
              <w:pStyle w:val="Compact"/>
            </w:pPr>
            <w:r>
              <w:t xml:space="preserve">Compliant device</w:t>
            </w:r>
            <w:r>
              <w:t xml:space="preserve"> </w:t>
            </w:r>
            <w:r>
              <w:rPr>
                <w:b/>
                <w:bCs/>
              </w:rPr>
              <w:t xml:space="preserve">and</w:t>
            </w:r>
            <w:r>
              <w:t xml:space="preserve"> </w:t>
            </w:r>
            <w:r>
              <w:rPr>
                <w:rStyle w:val="VerbatimChar"/>
              </w:rPr>
              <w:t xml:space="preserve">FMP-Privileged-SeparateDevice</w:t>
            </w:r>
            <w:r>
              <w:t xml:space="preserve">; sign-in frequency 4 hours</w:t>
            </w:r>
          </w:p>
        </w:tc>
        <w:tc>
          <w:tcPr/>
          <w:p>
            <w:pPr>
              <w:pStyle w:val="Compact"/>
            </w:pPr>
            <w:r>
              <w:t xml:space="preserve">P1</w:t>
            </w:r>
          </w:p>
        </w:tc>
      </w:tr>
      <w:tr>
        <w:tc>
          <w:tcPr/>
          <w:p>
            <w:pPr>
              <w:pStyle w:val="Compact"/>
            </w:pPr>
            <w:r>
              <w:t xml:space="preserve">CA027-AllUsers-AzureManagement-BlockNonOperators</w:t>
            </w:r>
          </w:p>
        </w:tc>
        <w:tc>
          <w:tcPr/>
          <w:p>
            <w:pPr>
              <w:pStyle w:val="Compact"/>
            </w:pPr>
            <w:r>
              <w:t xml:space="preserve">No Azure management plane for people who don’t manage Azure</w:t>
            </w:r>
          </w:p>
        </w:tc>
        <w:tc>
          <w:tcPr/>
          <w:p>
            <w:pPr>
              <w:pStyle w:val="Compact"/>
            </w:pPr>
            <w:r>
              <w:t xml:space="preserve">All users; Windows Azure Service Management API. Exclude</w:t>
            </w:r>
            <w:r>
              <w:t xml:space="preserve"> </w:t>
            </w:r>
            <w:r>
              <w:rPr>
                <w:rStyle w:val="VerbatimChar"/>
              </w:rPr>
              <w:t xml:space="preserve">CA-Persona-Admins</w:t>
            </w:r>
            <w:r>
              <w:t xml:space="preserve"> </w:t>
            </w:r>
            <w:r>
              <w:t xml:space="preserve">and</w:t>
            </w:r>
            <w:r>
              <w:t xml:space="preserve"> </w:t>
            </w:r>
            <w:r>
              <w:rPr>
                <w:rStyle w:val="VerbatimChar"/>
              </w:rPr>
              <w:t xml:space="preserve">CA-Access-AzureOperators</w:t>
            </w:r>
          </w:p>
        </w:tc>
        <w:tc>
          <w:tcPr/>
          <w:p>
            <w:pPr>
              <w:pStyle w:val="Compact"/>
            </w:pPr>
            <w:r>
              <w:t xml:space="preserve">Block</w:t>
            </w:r>
          </w:p>
        </w:tc>
        <w:tc>
          <w:tcPr/>
          <w:p>
            <w:pPr>
              <w:pStyle w:val="Compact"/>
            </w:pPr>
            <w:r>
              <w:t xml:space="preserve">P1</w:t>
            </w:r>
          </w:p>
        </w:tc>
      </w:tr>
    </w:tbl>
    <w:p>
      <w:pPr>
        <w:pStyle w:val="BodyText"/>
      </w:pPr>
      <w:r>
        <w:rPr>
          <w:b/>
          <w:bCs/>
        </w:rPr>
        <w:t xml:space="preserve">CA003</w:t>
      </w:r>
      <w:r>
        <w:t xml:space="preserve"> </w:t>
      </w:r>
      <w:r>
        <w:t xml:space="preserve">keeps Book 02’s identifier and purpose, with two refinements. It adds the highly privileged directory roles to the group assignment, because CISA’s MS.AAD.3.6 requires phishing-resistant MFA for those roles and its implementation targets the roles themselves; role targeting also catches an active assignment made outside the persona process.</w:t>
      </w:r>
      <w:r>
        <w:rPr>
          <w:rStyle w:val="FootnoteReference"/>
        </w:rPr>
        <w:footnoteReference w:id="573"/>
      </w:r>
      <w:r>
        <w:rPr>
          <w:rStyle w:val="FootnoteReference"/>
        </w:rPr>
        <w:footnoteReference w:id="574"/>
      </w:r>
      <w:r>
        <w:t xml:space="preserve"> </w:t>
      </w:r>
      <w:r>
        <w:t xml:space="preserve">And it uses the program’s custom strength rather than the built-in phishing-resistant strength. Every method in the custom strength is also in the built-in one, so the policy still meets MS.AAD.3.6. Role targeting supports built-in roles only, which is why the group stays.</w:t>
      </w:r>
      <w:r>
        <w:rPr>
          <w:rStyle w:val="FootnoteReference"/>
        </w:rPr>
        <w:footnoteReference w:id="575"/>
      </w:r>
      <w:r>
        <w:t xml:space="preserve"> </w:t>
      </w:r>
      <w:r>
        <w:t xml:space="preserve">Microsoft’s managed policy</w:t>
      </w:r>
      <w:r>
        <w:t xml:space="preserve"> </w:t>
      </w:r>
      <w:r>
        <w:t xml:space="preserve">“Multifactor authentication for admins accessing Microsoft Admin portals”</w:t>
      </w:r>
      <w:r>
        <w:t xml:space="preserve"> </w:t>
      </w:r>
      <w:r>
        <w:t xml:space="preserve">is superseded by CA003 and set to Off, with the decision recorded (Chapter 03).</w:t>
      </w:r>
      <w:r>
        <w:rPr>
          <w:rStyle w:val="FootnoteReference"/>
        </w:rPr>
        <w:footnoteReference w:id="576"/>
      </w:r>
    </w:p>
    <w:p>
      <w:pPr>
        <w:pStyle w:val="BodyText"/>
      </w:pPr>
      <w:r>
        <w:rPr>
          <w:b/>
          <w:bCs/>
        </w:rPr>
        <w:t xml:space="preserve">CA004 and CA025</w:t>
      </w:r>
      <w:r>
        <w:t xml:space="preserve"> </w:t>
      </w:r>
      <w:r>
        <w:t xml:space="preserve">together implement Book 02’s rule that administrators work only from PAWs (Book 02, Chapter 10). CA004 requires a compliant device; CA025 blocks the admin portals and Azure management from any device that isn’t labeled as a PAW. The block is written as an exclusion of PAWs with a positive operator because a positive-operator filter never matches an unregistered device, so an unregistered device isn’t excluded and is blocked, and the extension attribute is readable only on managed, compliant or hybrid-joined devices.</w:t>
      </w:r>
      <w:r>
        <w:rPr>
          <w:rStyle w:val="FootnoteReference"/>
        </w:rPr>
        <w:footnoteReference w:id="577"/>
      </w:r>
      <w:r>
        <w:t xml:space="preserve"> </w:t>
      </w:r>
      <w:r>
        <w:t xml:space="preserve">This is the pattern Microsoft documents for secure admin workstations.</w:t>
      </w:r>
      <w:r>
        <w:rPr>
          <w:rStyle w:val="FootnoteReference"/>
        </w:rPr>
        <w:footnoteReference w:id="578"/>
      </w:r>
      <w:r>
        <w:t xml:space="preserve"> </w:t>
      </w:r>
      <w:r>
        <w:t xml:space="preserve">Book 02 describes the device filter as part of CA004; it lives in a separate block policy here, because a grant policy scoped by a filter would simply not apply on other devices.</w:t>
      </w:r>
    </w:p>
    <w:p>
      <w:pPr>
        <w:pStyle w:val="BodyText"/>
      </w:pPr>
      <w:r>
        <w:rPr>
          <w:b/>
          <w:bCs/>
        </w:rPr>
        <w:t xml:space="preserve">CA026</w:t>
      </w:r>
      <w:r>
        <w:t xml:space="preserve"> </w:t>
      </w:r>
      <w:r>
        <w:t xml:space="preserve">carries the source library’s Tier 1 server policy. The source targeted users through a group built from a</w:t>
      </w:r>
      <w:r>
        <w:t xml:space="preserve"> </w:t>
      </w:r>
      <w:r>
        <w:rPr>
          <w:i/>
          <w:iCs/>
        </w:rPr>
        <w:t xml:space="preserve">device</w:t>
      </w:r>
      <w:r>
        <w:t xml:space="preserve"> </w:t>
      </w:r>
      <w:r>
        <w:t xml:space="preserve">attribute, which Conditional Access can’t do (policies target users, and device filters scope devices), and listed Azure Arc-enabled servers as a cloud app, which it isn’t. The program targets the server administrators’ access group and the Azure management plane they use. Server tiers themselves are Chapter 04’s subject.</w:t>
      </w:r>
    </w:p>
    <w:p>
      <w:pPr>
        <w:pStyle w:val="BodyText"/>
      </w:pPr>
      <w:r>
        <w:rPr>
          <w:b/>
          <w:bCs/>
        </w:rPr>
        <w:t xml:space="preserve">CA027</w:t>
      </w:r>
      <w:r>
        <w:t xml:space="preserve"> </w:t>
      </w:r>
      <w:r>
        <w:t xml:space="preserve">is the source’s</w:t>
      </w:r>
      <w:r>
        <w:t xml:space="preserve"> </w:t>
      </w:r>
      <w:r>
        <w:t xml:space="preserve">“Azure portal: privileged access only.”</w:t>
      </w:r>
      <w:r>
        <w:t xml:space="preserve"> </w:t>
      </w:r>
      <w:r>
        <w:t xml:space="preserve">The Windows Azure Service Management API covers the Azure portal and the Microsoft Entra admin center, and indirectly the Azure CLI, Azure PowerShell and the Microsoft 365 admin center, so the exclusion must include every administrator, not only Azure operators.</w:t>
      </w:r>
      <w:r>
        <w:rPr>
          <w:rStyle w:val="FootnoteReference"/>
        </w:rPr>
        <w:footnoteReference w:id="579"/>
      </w:r>
      <w:r>
        <w:t xml:space="preserve"> </w:t>
      </w:r>
      <w:r>
        <w:t xml:space="preserve">Test it against developers who use the Azure CLI before enforcement.</w:t>
      </w:r>
    </w:p>
    <w:p>
      <w:pPr>
        <w:pStyle w:val="BodyText"/>
      </w:pPr>
      <w:r>
        <w:rPr>
          <w:b/>
          <w:bCs/>
        </w:rPr>
        <w:t xml:space="preserve">Rollout and monitoring.</w:t>
      </w:r>
      <w:r>
        <w:t xml:space="preserve"> </w:t>
      </w:r>
      <w:r>
        <w:t xml:space="preserve">Admin policies are piloted on the identity team first, with an emergency account sign-in tested before and after each policy is enforced. The policy-hit query below, filtered to these policy names, should show no</w:t>
      </w:r>
      <w:r>
        <w:t xml:space="preserve"> </w:t>
      </w:r>
      <w:r>
        <w:rPr>
          <w:i/>
          <w:iCs/>
        </w:rPr>
        <w:t xml:space="preserve">not applied</w:t>
      </w:r>
      <w:r>
        <w:t xml:space="preserve"> </w:t>
      </w:r>
      <w:r>
        <w:t xml:space="preserve">results for members of the Admins group.</w:t>
      </w:r>
    </w:p>
    <w:bookmarkEnd w:id="580"/>
    <w:bookmarkStart w:id="588" w:name="wave-3-everyone"/>
    <w:p>
      <w:pPr>
        <w:pStyle w:val="Heading2"/>
      </w:pPr>
      <w:bookmarkStart w:id="1228" w:name="_Toc00001228"/>
      <w:r>
        <w:t xml:space="preserve">Wave 3: everyone</w:t>
      </w:r>
      <w:bookmarkEnd w:id="1228"/>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CA006-Internals-RequireMFA</w:t>
            </w:r>
          </w:p>
        </w:tc>
        <w:tc>
          <w:tcPr/>
          <w:p>
            <w:pPr>
              <w:pStyle w:val="Compact"/>
            </w:pPr>
            <w:r>
              <w:t xml:space="preserve">MFA for the workforce during the transition</w:t>
            </w:r>
          </w:p>
        </w:tc>
        <w:tc>
          <w:tcPr/>
          <w:p>
            <w:pPr>
              <w:pStyle w:val="Compact"/>
            </w:pPr>
            <w:r>
              <w:rPr>
                <w:rStyle w:val="VerbatimChar"/>
              </w:rPr>
              <w:t xml:space="preserve">CA-Persona-Internals</w:t>
            </w:r>
            <w:r>
              <w:t xml:space="preserve">; all resources</w:t>
            </w:r>
          </w:p>
        </w:tc>
        <w:tc>
          <w:tcPr/>
          <w:p>
            <w:pPr>
              <w:pStyle w:val="Compact"/>
            </w:pPr>
            <w:r>
              <w:t xml:space="preserve">Authentication strength MFA; sign-in frequency 12 hours</w:t>
            </w:r>
          </w:p>
        </w:tc>
        <w:tc>
          <w:tcPr/>
          <w:p>
            <w:pPr>
              <w:pStyle w:val="Compact"/>
            </w:pPr>
            <w:r>
              <w:t xml:space="preserve">P1</w:t>
            </w:r>
          </w:p>
        </w:tc>
      </w:tr>
      <w:tr>
        <w:tc>
          <w:tcPr/>
          <w:p>
            <w:pPr>
              <w:pStyle w:val="Compact"/>
            </w:pPr>
            <w:r>
              <w:t xml:space="preserve">CA007-Internals-RequireCompliantOrHybridDevice</w:t>
            </w:r>
          </w:p>
        </w:tc>
        <w:tc>
          <w:tcPr/>
          <w:p>
            <w:pPr>
              <w:pStyle w:val="Compact"/>
            </w:pPr>
            <w:r>
              <w:t xml:space="preserve">Workforce access only from managed devices</w:t>
            </w:r>
          </w:p>
        </w:tc>
        <w:tc>
          <w:tcPr/>
          <w:p>
            <w:pPr>
              <w:pStyle w:val="Compact"/>
            </w:pPr>
            <w:r>
              <w:rPr>
                <w:rStyle w:val="VerbatimChar"/>
              </w:rPr>
              <w:t xml:space="preserve">CA-Persona-Internals</w:t>
            </w:r>
            <w:r>
              <w:t xml:space="preserve">; all resources. Exclude</w:t>
            </w:r>
            <w:r>
              <w:t xml:space="preserve"> </w:t>
            </w:r>
            <w:r>
              <w:rPr>
                <w:rStyle w:val="VerbatimChar"/>
              </w:rPr>
              <w:t xml:space="preserve">CA-Persona-WebOnly</w:t>
            </w:r>
          </w:p>
        </w:tc>
        <w:tc>
          <w:tcPr/>
          <w:p>
            <w:pPr>
              <w:pStyle w:val="Compact"/>
            </w:pPr>
            <w:r>
              <w:t xml:space="preserve">Compliant</w:t>
            </w:r>
            <w:r>
              <w:t xml:space="preserve"> </w:t>
            </w:r>
            <w:r>
              <w:rPr>
                <w:b/>
                <w:bCs/>
              </w:rPr>
              <w:t xml:space="preserve">or</w:t>
            </w:r>
            <w:r>
              <w:t xml:space="preserve"> </w:t>
            </w:r>
            <w:r>
              <w:t xml:space="preserve">hybrid joined device</w:t>
            </w:r>
          </w:p>
        </w:tc>
        <w:tc>
          <w:tcPr/>
          <w:p>
            <w:pPr>
              <w:pStyle w:val="Compact"/>
            </w:pPr>
            <w:r>
              <w:t xml:space="preserve">P1</w:t>
            </w:r>
          </w:p>
        </w:tc>
      </w:tr>
      <w:tr>
        <w:tc>
          <w:tcPr/>
          <w:p>
            <w:pPr>
              <w:pStyle w:val="Compact"/>
            </w:pPr>
            <w:r>
              <w:t xml:space="preserve">CA008-Internals-BlockNonUSLocations</w:t>
            </w:r>
          </w:p>
        </w:tc>
        <w:tc>
          <w:tcPr/>
          <w:p>
            <w:pPr>
              <w:pStyle w:val="Compact"/>
            </w:pPr>
            <w:r>
              <w:t xml:space="preserve">No access from countries the agency doesn’t operate in</w:t>
            </w:r>
          </w:p>
        </w:tc>
        <w:tc>
          <w:tcPr/>
          <w:p>
            <w:pPr>
              <w:pStyle w:val="Compact"/>
            </w:pPr>
            <w:r>
              <w:rPr>
                <w:rStyle w:val="VerbatimChar"/>
              </w:rPr>
              <w:t xml:space="preserve">CA-Persona-Internals</w:t>
            </w:r>
            <w:r>
              <w:t xml:space="preserve">; any location except</w:t>
            </w:r>
            <w:r>
              <w:t xml:space="preserve"> </w:t>
            </w:r>
            <w:r>
              <w:rPr>
                <w:rStyle w:val="VerbatimChar"/>
              </w:rPr>
              <w:t xml:space="preserve">NL-TrustedCountries</w:t>
            </w:r>
            <w:r>
              <w:t xml:space="preserve">. Exclude</w:t>
            </w:r>
            <w:r>
              <w:t xml:space="preserve"> </w:t>
            </w:r>
            <w:r>
              <w:rPr>
                <w:rStyle w:val="VerbatimChar"/>
              </w:rPr>
              <w:t xml:space="preserve">CA-Exclude-ApprovedTravel</w:t>
            </w:r>
          </w:p>
        </w:tc>
        <w:tc>
          <w:tcPr/>
          <w:p>
            <w:pPr>
              <w:pStyle w:val="Compact"/>
            </w:pPr>
            <w:r>
              <w:t xml:space="preserve">Block</w:t>
            </w:r>
          </w:p>
        </w:tc>
        <w:tc>
          <w:tcPr/>
          <w:p>
            <w:pPr>
              <w:pStyle w:val="Compact"/>
            </w:pPr>
            <w:r>
              <w:t xml:space="preserve">P1</w:t>
            </w:r>
          </w:p>
        </w:tc>
      </w:tr>
      <w:tr>
        <w:tc>
          <w:tcPr/>
          <w:p>
            <w:pPr>
              <w:pStyle w:val="Compact"/>
            </w:pPr>
            <w:r>
              <w:t xml:space="preserve">CA009-Externals-RequireMFA</w:t>
            </w:r>
          </w:p>
        </w:tc>
        <w:tc>
          <w:tcPr/>
          <w:p>
            <w:pPr>
              <w:pStyle w:val="Compact"/>
            </w:pPr>
            <w:r>
              <w:t xml:space="preserve">MFA for partner users</w:t>
            </w:r>
          </w:p>
        </w:tc>
        <w:tc>
          <w:tcPr/>
          <w:p>
            <w:pPr>
              <w:pStyle w:val="Compact"/>
            </w:pPr>
            <w:r>
              <w:t xml:space="preserve">Guest or external user types from partner tenants; all resources</w:t>
            </w:r>
          </w:p>
        </w:tc>
        <w:tc>
          <w:tcPr/>
          <w:p>
            <w:pPr>
              <w:pStyle w:val="Compact"/>
            </w:pPr>
            <w:r>
              <w:t xml:space="preserve">Authentication strength MFA; sign-in frequency 8 hours</w:t>
            </w:r>
          </w:p>
        </w:tc>
        <w:tc>
          <w:tcPr/>
          <w:p>
            <w:pPr>
              <w:pStyle w:val="Compact"/>
            </w:pPr>
            <w:r>
              <w:t xml:space="preserve">P1</w:t>
            </w:r>
          </w:p>
        </w:tc>
      </w:tr>
      <w:tr>
        <w:tc>
          <w:tcPr/>
          <w:p>
            <w:pPr>
              <w:pStyle w:val="Compact"/>
            </w:pPr>
            <w:r>
              <w:t xml:space="preserve">CA010-Externals-RequireTermsOfUse</w:t>
            </w:r>
          </w:p>
        </w:tc>
        <w:tc>
          <w:tcPr/>
          <w:p>
            <w:pPr>
              <w:pStyle w:val="Compact"/>
            </w:pPr>
            <w:r>
              <w:t xml:space="preserve">Partner acceptance of data-handling terms</w:t>
            </w:r>
          </w:p>
        </w:tc>
        <w:tc>
          <w:tcPr/>
          <w:p>
            <w:pPr>
              <w:pStyle w:val="Compact"/>
            </w:pPr>
            <w:r>
              <w:t xml:space="preserve">As CA009</w:t>
            </w:r>
          </w:p>
        </w:tc>
        <w:tc>
          <w:tcPr/>
          <w:p>
            <w:pPr>
              <w:pStyle w:val="Compact"/>
            </w:pPr>
            <w:r>
              <w:t xml:space="preserve">Terms of use</w:t>
            </w:r>
          </w:p>
        </w:tc>
        <w:tc>
          <w:tcPr/>
          <w:p>
            <w:pPr>
              <w:pStyle w:val="Compact"/>
            </w:pPr>
            <w:r>
              <w:t xml:space="preserve">P1</w:t>
            </w:r>
          </w:p>
        </w:tc>
      </w:tr>
      <w:tr>
        <w:tc>
          <w:tcPr/>
          <w:p>
            <w:pPr>
              <w:pStyle w:val="Compact"/>
            </w:pPr>
            <w:r>
              <w:t xml:space="preserve">CA011-Guests-LimitedAppAccess</w:t>
            </w:r>
          </w:p>
        </w:tc>
        <w:tc>
          <w:tcPr/>
          <w:p>
            <w:pPr>
              <w:pStyle w:val="Compact"/>
            </w:pPr>
            <w:r>
              <w:t xml:space="preserve">Ad hoc guests see collaboration content only</w:t>
            </w:r>
          </w:p>
        </w:tc>
        <w:tc>
          <w:tcPr/>
          <w:p>
            <w:pPr>
              <w:pStyle w:val="Compact"/>
            </w:pPr>
            <w:r>
              <w:t xml:space="preserve">Guest types from other tenants and providers; SharePoint and Teams</w:t>
            </w:r>
          </w:p>
        </w:tc>
        <w:tc>
          <w:tcPr/>
          <w:p>
            <w:pPr>
              <w:pStyle w:val="Compact"/>
            </w:pPr>
            <w:r>
              <w:t xml:space="preserve">Require MFA</w:t>
            </w:r>
            <w:r>
              <w:t xml:space="preserve"> </w:t>
            </w:r>
            <w:r>
              <w:rPr>
                <w:b/>
                <w:bCs/>
              </w:rPr>
              <w:t xml:space="preserve">and</w:t>
            </w:r>
            <w:r>
              <w:t xml:space="preserve"> </w:t>
            </w:r>
            <w:r>
              <w:t xml:space="preserve">terms of use; app-enforced restrictions; sign-in frequency 1 hour</w:t>
            </w:r>
          </w:p>
        </w:tc>
        <w:tc>
          <w:tcPr/>
          <w:p>
            <w:pPr>
              <w:pStyle w:val="Compact"/>
            </w:pPr>
            <w:r>
              <w:t xml:space="preserve">P1</w:t>
            </w:r>
          </w:p>
        </w:tc>
      </w:tr>
      <w:tr>
        <w:tc>
          <w:tcPr/>
          <w:p>
            <w:pPr>
              <w:pStyle w:val="Compact"/>
            </w:pPr>
            <w:r>
              <w:t xml:space="preserve">CA016-AllUsers-RequireCompliantDevice-OfficeApps</w:t>
            </w:r>
          </w:p>
        </w:tc>
        <w:tc>
          <w:tcPr/>
          <w:p>
            <w:pPr>
              <w:pStyle w:val="Compact"/>
            </w:pPr>
            <w:r>
              <w:t xml:space="preserve">Desktop Office access only from compliant devices</w:t>
            </w:r>
          </w:p>
        </w:tc>
        <w:tc>
          <w:tcPr/>
          <w:p>
            <w:pPr>
              <w:pStyle w:val="Compact"/>
            </w:pPr>
            <w:r>
              <w:t xml:space="preserve">Members; Office 365; platforms Windows and macOS</w:t>
            </w:r>
          </w:p>
        </w:tc>
        <w:tc>
          <w:tcPr/>
          <w:p>
            <w:pPr>
              <w:pStyle w:val="Compact"/>
            </w:pPr>
            <w:r>
              <w:t xml:space="preserve">Compliant device</w:t>
            </w:r>
          </w:p>
        </w:tc>
        <w:tc>
          <w:tcPr/>
          <w:p>
            <w:pPr>
              <w:pStyle w:val="Compact"/>
            </w:pPr>
            <w:r>
              <w:t xml:space="preserve">P1</w:t>
            </w:r>
          </w:p>
        </w:tc>
      </w:tr>
      <w:tr>
        <w:tc>
          <w:tcPr/>
          <w:p>
            <w:pPr>
              <w:pStyle w:val="Compact"/>
            </w:pPr>
            <w:r>
              <w:t xml:space="preserve">CA017-Internals-AppProtection-Mobile</w:t>
            </w:r>
          </w:p>
        </w:tc>
        <w:tc>
          <w:tcPr/>
          <w:p>
            <w:pPr>
              <w:pStyle w:val="Compact"/>
            </w:pPr>
            <w:r>
              <w:t xml:space="preserve">Mobile access only through protected apps</w:t>
            </w:r>
          </w:p>
        </w:tc>
        <w:tc>
          <w:tcPr/>
          <w:p>
            <w:pPr>
              <w:pStyle w:val="Compact"/>
            </w:pPr>
            <w:r>
              <w:rPr>
                <w:rStyle w:val="VerbatimChar"/>
              </w:rPr>
              <w:t xml:space="preserve">CA-Persona-Internals</w:t>
            </w:r>
            <w:r>
              <w:t xml:space="preserve">; Office 365; platforms iOS and Android</w:t>
            </w:r>
          </w:p>
        </w:tc>
        <w:tc>
          <w:tcPr/>
          <w:p>
            <w:pPr>
              <w:pStyle w:val="Compact"/>
            </w:pPr>
            <w:r>
              <w:t xml:space="preserve">App protection policy</w:t>
            </w:r>
          </w:p>
        </w:tc>
        <w:tc>
          <w:tcPr/>
          <w:p>
            <w:pPr>
              <w:pStyle w:val="Compact"/>
            </w:pPr>
            <w:r>
              <w:t xml:space="preserve">P1</w:t>
            </w:r>
          </w:p>
        </w:tc>
      </w:tr>
      <w:tr>
        <w:tc>
          <w:tcPr/>
          <w:p>
            <w:pPr>
              <w:pStyle w:val="Compact"/>
            </w:pPr>
            <w:r>
              <w:t xml:space="preserve">CA018-AllUsers-RequireMFA</w:t>
            </w:r>
          </w:p>
        </w:tc>
        <w:tc>
          <w:tcPr/>
          <w:p>
            <w:pPr>
              <w:pStyle w:val="Compact"/>
            </w:pPr>
            <w:r>
              <w:t xml:space="preserve">Catch-all MFA for anyone no persona policy reaches</w:t>
            </w:r>
          </w:p>
        </w:tc>
        <w:tc>
          <w:tcPr/>
          <w:p>
            <w:pPr>
              <w:pStyle w:val="Compact"/>
            </w:pPr>
            <w:r>
              <w:t xml:space="preserve">All users; all resources, no resource exclusions</w:t>
            </w:r>
          </w:p>
        </w:tc>
        <w:tc>
          <w:tcPr/>
          <w:p>
            <w:pPr>
              <w:pStyle w:val="Compact"/>
            </w:pPr>
            <w:r>
              <w:t xml:space="preserve">Require MFA</w:t>
            </w:r>
          </w:p>
        </w:tc>
        <w:tc>
          <w:tcPr/>
          <w:p>
            <w:pPr>
              <w:pStyle w:val="Compact"/>
            </w:pPr>
            <w:r>
              <w:t xml:space="preserve">P1</w:t>
            </w:r>
          </w:p>
        </w:tc>
      </w:tr>
      <w:tr>
        <w:tc>
          <w:tcPr/>
          <w:p>
            <w:pPr>
              <w:pStyle w:val="Compact"/>
            </w:pPr>
            <w:r>
              <w:t xml:space="preserve">CA038-Guests-BlockNonApprovedApps</w:t>
            </w:r>
          </w:p>
        </w:tc>
        <w:tc>
          <w:tcPr/>
          <w:p>
            <w:pPr>
              <w:pStyle w:val="Compact"/>
            </w:pPr>
            <w:r>
              <w:t xml:space="preserve">Make CA011’s</w:t>
            </w:r>
            <w:r>
              <w:t xml:space="preserve"> </w:t>
            </w:r>
            <w:r>
              <w:t xml:space="preserve">“limited”</w:t>
            </w:r>
            <w:r>
              <w:t xml:space="preserve"> </w:t>
            </w:r>
            <w:r>
              <w:t xml:space="preserve">true</w:t>
            </w:r>
          </w:p>
        </w:tc>
        <w:tc>
          <w:tcPr/>
          <w:p>
            <w:pPr>
              <w:pStyle w:val="Compact"/>
            </w:pPr>
            <w:r>
              <w:t xml:space="preserve">Guest types from other tenants and providers; all resources except Office 365 and apps approved for guests</w:t>
            </w:r>
          </w:p>
        </w:tc>
        <w:tc>
          <w:tcPr/>
          <w:p>
            <w:pPr>
              <w:pStyle w:val="Compact"/>
            </w:pPr>
            <w:r>
              <w:t xml:space="preserve">Block</w:t>
            </w:r>
          </w:p>
        </w:tc>
        <w:tc>
          <w:tcPr/>
          <w:p>
            <w:pPr>
              <w:pStyle w:val="Compact"/>
            </w:pPr>
            <w:r>
              <w:t xml:space="preserve">P1</w:t>
            </w:r>
          </w:p>
        </w:tc>
      </w:tr>
    </w:tbl>
    <w:p>
      <w:pPr>
        <w:pStyle w:val="BodyText"/>
      </w:pPr>
      <w:r>
        <w:t xml:space="preserve">Most of these are Book 02’s policies unchanged. The refinements:</w:t>
      </w:r>
    </w:p>
    <w:p>
      <w:pPr>
        <w:pStyle w:val="Compact"/>
        <w:numPr>
          <w:ilvl w:val="0"/>
          <w:numId w:val="1039"/>
        </w:numPr>
      </w:pPr>
      <w:r>
        <w:rPr>
          <w:b/>
          <w:bCs/>
        </w:rPr>
        <w:t xml:space="preserve">CA018 is new and deliberately redundant.</w:t>
      </w:r>
      <w:r>
        <w:t xml:space="preserve"> </w:t>
      </w:r>
      <w:r>
        <w:t xml:space="preserve">CA006, CA009 and CA011 reach users through persona membership. A user whose attributes are empty falls outside every persona group, so the library adds Microsoft’s recommended baseline: MFA for all users and all resources with no resource exclusions.</w:t>
      </w:r>
      <w:r>
        <w:rPr>
          <w:rStyle w:val="FootnoteReference"/>
        </w:rPr>
        <w:footnoteReference w:id="581"/>
      </w:r>
      <w:r>
        <w:t xml:space="preserve"> </w:t>
      </w:r>
      <w:r>
        <w:t xml:space="preserve">It uses the</w:t>
      </w:r>
      <w:r>
        <w:t xml:space="preserve"> </w:t>
      </w:r>
      <w:r>
        <w:t xml:space="preserve">“require MFA”</w:t>
      </w:r>
      <w:r>
        <w:t xml:space="preserve"> </w:t>
      </w:r>
      <w:r>
        <w:t xml:space="preserve">control rather than a strength so that guests who sign in with email one-time passcodes can satisfy it; those guests can’t satisfy any authentication strength.</w:t>
      </w:r>
      <w:r>
        <w:rPr>
          <w:rStyle w:val="FootnoteReference"/>
        </w:rPr>
        <w:footnoteReference w:id="582"/>
      </w:r>
      <w:r>
        <w:t xml:space="preserve"> </w:t>
      </w:r>
      <w:r>
        <w:t xml:space="preserve">It also supersedes the Microsoft-managed</w:t>
      </w:r>
      <w:r>
        <w:t xml:space="preserve"> </w:t>
      </w:r>
      <w:r>
        <w:t xml:space="preserve">“Multifactor authentication for all users”</w:t>
      </w:r>
      <w:r>
        <w:t xml:space="preserve"> </w:t>
      </w:r>
      <w:r>
        <w:t xml:space="preserve">policy.</w:t>
      </w:r>
      <w:r>
        <w:rPr>
          <w:rStyle w:val="FootnoteReference"/>
        </w:rPr>
        <w:footnoteReference w:id="583"/>
      </w:r>
      <w:r>
        <w:t xml:space="preserve"> </w:t>
      </w:r>
      <w:r>
        <w:t xml:space="preserve">This is the source library’s CA-001, restored.</w:t>
      </w:r>
    </w:p>
    <w:p>
      <w:pPr>
        <w:pStyle w:val="Compact"/>
        <w:numPr>
          <w:ilvl w:val="0"/>
          <w:numId w:val="1039"/>
        </w:numPr>
      </w:pPr>
      <w:r>
        <w:rPr>
          <w:b/>
          <w:bCs/>
        </w:rPr>
        <w:t xml:space="preserve">CA016 targets Members, not all users.</w:t>
      </w:r>
      <w:r>
        <w:t xml:space="preserve"> </w:t>
      </w:r>
      <w:r>
        <w:t xml:space="preserve">A guest’s device is managed by another tenant, if at all; requiring compliance in this tenant would block partner collaboration unless cross-tenant settings trust the partner’s device claims (Book 02, Chapter 10). The name keeps Book 02’s</w:t>
      </w:r>
      <w:r>
        <w:t xml:space="preserve"> </w:t>
      </w:r>
      <w:r>
        <w:rPr>
          <w:rStyle w:val="VerbatimChar"/>
        </w:rPr>
        <w:t xml:space="preserve">AllUsers</w:t>
      </w:r>
      <w:r>
        <w:t xml:space="preserve"> </w:t>
      </w:r>
      <w:r>
        <w:t xml:space="preserve">for continuity; the scope is Members.</w:t>
      </w:r>
    </w:p>
    <w:p>
      <w:pPr>
        <w:pStyle w:val="Compact"/>
        <w:numPr>
          <w:ilvl w:val="0"/>
          <w:numId w:val="1039"/>
        </w:numPr>
      </w:pPr>
      <w:r>
        <w:rPr>
          <w:b/>
          <w:bCs/>
        </w:rPr>
        <w:t xml:space="preserve">CA017 requires an app protection policy only.</w:t>
      </w:r>
      <w:r>
        <w:t xml:space="preserve"> </w:t>
      </w:r>
      <w:r>
        <w:t xml:space="preserve">Book 02 lists</w:t>
      </w:r>
      <w:r>
        <w:t xml:space="preserve"> </w:t>
      </w:r>
      <w:r>
        <w:t xml:space="preserve">“approved client app or app protection policy.”</w:t>
      </w:r>
      <w:r>
        <w:t xml:space="preserve"> </w:t>
      </w:r>
      <w:r>
        <w:t xml:space="preserve">After June 30, 2026, a policy can’t be created or edited with the approved-app grant, so the program’s CA017 uses app protection alone.</w:t>
      </w:r>
      <w:r>
        <w:rPr>
          <w:rStyle w:val="FootnoteReference"/>
        </w:rPr>
        <w:footnoteReference w:id="584"/>
      </w:r>
      <w:r>
        <w:t xml:space="preserve"> </w:t>
      </w:r>
      <w:r>
        <w:t xml:space="preserve">Apps that don’t support app protection are blocked by it.</w:t>
      </w:r>
      <w:r>
        <w:rPr>
          <w:rStyle w:val="FootnoteReference"/>
        </w:rPr>
        <w:footnoteReference w:id="585"/>
      </w:r>
    </w:p>
    <w:p>
      <w:pPr>
        <w:pStyle w:val="Compact"/>
        <w:numPr>
          <w:ilvl w:val="0"/>
          <w:numId w:val="1039"/>
        </w:numPr>
      </w:pPr>
      <w:r>
        <w:rPr>
          <w:b/>
          <w:bCs/>
        </w:rPr>
        <w:t xml:space="preserve">CA007 has one governed exception.</w:t>
      </w:r>
      <w:r>
        <w:t xml:space="preserve"> </w:t>
      </w:r>
      <w:r>
        <w:t xml:space="preserve">Web-only users (CA023 and CA024 in wave 5) are excluded and get a browser-only, no-download experience instead. This replaces the source library’s unmanaged-device and SharePoint download policies.</w:t>
      </w:r>
    </w:p>
    <w:p>
      <w:pPr>
        <w:pStyle w:val="Compact"/>
        <w:numPr>
          <w:ilvl w:val="0"/>
          <w:numId w:val="1039"/>
        </w:numPr>
      </w:pPr>
      <w:r>
        <w:rPr>
          <w:b/>
          <w:bCs/>
        </w:rPr>
        <w:t xml:space="preserve">CA008 has a governed travel exception.</w:t>
      </w:r>
      <w:r>
        <w:t xml:space="preserve"> </w:t>
      </w:r>
      <w:r>
        <w:t xml:space="preserve">A traveler is added to</w:t>
      </w:r>
      <w:r>
        <w:t xml:space="preserve"> </w:t>
      </w:r>
      <w:r>
        <w:rPr>
          <w:rStyle w:val="VerbatimChar"/>
        </w:rPr>
        <w:t xml:space="preserve">CA-Exclude-ApprovedTravel</w:t>
      </w:r>
      <w:r>
        <w:t xml:space="preserve"> </w:t>
      </w:r>
      <w:r>
        <w:t xml:space="preserve">through PIM for Groups after an approved request, for at most 14 days, and must still meet CA006 and CA018. Book 02 limits the country block to Internals; the program keeps that scope, because partner users legitimately sign in from other countries.</w:t>
      </w:r>
    </w:p>
    <w:p>
      <w:pPr>
        <w:pStyle w:val="Compact"/>
        <w:numPr>
          <w:ilvl w:val="0"/>
          <w:numId w:val="1039"/>
        </w:numPr>
      </w:pPr>
      <w:r>
        <w:rPr>
          <w:b/>
          <w:bCs/>
        </w:rPr>
        <w:t xml:space="preserve">CA011 needs CA038.</w:t>
      </w:r>
      <w:r>
        <w:t xml:space="preserve"> </w:t>
      </w:r>
      <w:r>
        <w:t xml:space="preserve">A grant policy scoped to SharePoint and Teams doesn’t stop a guest from reaching other apps; without a block, they’d get tokens with no controls (Chapter 03).</w:t>
      </w:r>
      <w:r>
        <w:rPr>
          <w:rStyle w:val="FootnoteReference"/>
        </w:rPr>
        <w:footnoteReference w:id="586"/>
      </w:r>
      <w:r>
        <w:t xml:space="preserve"> </w:t>
      </w:r>
      <w:r>
        <w:t xml:space="preserve">CA038 excludes the whole Office 365 suite rather than the two apps, because Teams and SharePoint depend on other Microsoft 365 services.</w:t>
      </w:r>
      <w:r>
        <w:rPr>
          <w:rStyle w:val="FootnoteReference"/>
        </w:rPr>
        <w:footnoteReference w:id="587"/>
      </w:r>
    </w:p>
    <w:p>
      <w:pPr>
        <w:pStyle w:val="FirstParagraph"/>
      </w:pPr>
      <w:r>
        <w:rPr>
          <w:b/>
          <w:bCs/>
        </w:rPr>
        <w:t xml:space="preserve">Rollout and monitoring.</w:t>
      </w:r>
      <w:r>
        <w:t xml:space="preserve"> </w:t>
      </w:r>
      <w:r>
        <w:t xml:space="preserve">Wave 3 is the one users notice. Enforce in rings (IT and security, then headquarters staff, then field and remote staff, then everyone) behind the monitoring gate in the</w:t>
      </w:r>
      <w:r>
        <w:t xml:space="preserve"> </w:t>
      </w:r>
      <w:hyperlink w:anchor="rollout-from-report-only-to-enforcement">
        <w:r>
          <w:rPr>
            <w:rStyle w:val="Hyperlink"/>
          </w:rPr>
          <w:t xml:space="preserve">rollout section</w:t>
        </w:r>
      </w:hyperlink>
      <w:r>
        <w:t xml:space="preserve">. Watch the help desk queue and the CA-block query by application; a spike on a single application usually means a client that can’t do modern authentication or app protection.</w:t>
      </w:r>
    </w:p>
    <w:bookmarkEnd w:id="588"/>
    <w:bookmarkStart w:id="599" w:name="wave-4-risk-and-workload-identities"/>
    <w:p>
      <w:pPr>
        <w:pStyle w:val="Heading2"/>
      </w:pPr>
      <w:bookmarkStart w:id="1229" w:name="_Toc00001229"/>
      <w:r>
        <w:t xml:space="preserve">Wave 4: risk and workload identities</w:t>
      </w:r>
      <w:bookmarkEnd w:id="1229"/>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CA012-Guests-BlockHighRisk</w:t>
            </w:r>
          </w:p>
        </w:tc>
        <w:tc>
          <w:tcPr/>
          <w:p>
            <w:pPr>
              <w:pStyle w:val="Compact"/>
            </w:pPr>
            <w:r>
              <w:t xml:space="preserve">Stop high-risk guest sign-ins</w:t>
            </w:r>
          </w:p>
        </w:tc>
        <w:tc>
          <w:tcPr/>
          <w:p>
            <w:pPr>
              <w:pStyle w:val="Compact"/>
            </w:pPr>
            <w:r>
              <w:t xml:space="preserve">Guest types; sign-in risk high</w:t>
            </w:r>
          </w:p>
        </w:tc>
        <w:tc>
          <w:tcPr/>
          <w:p>
            <w:pPr>
              <w:pStyle w:val="Compact"/>
            </w:pPr>
            <w:r>
              <w:t xml:space="preserve">Block</w:t>
            </w:r>
          </w:p>
        </w:tc>
        <w:tc>
          <w:tcPr/>
          <w:p>
            <w:pPr>
              <w:pStyle w:val="Compact"/>
            </w:pPr>
            <w:r>
              <w:t xml:space="preserve">P2</w:t>
            </w:r>
          </w:p>
        </w:tc>
      </w:tr>
      <w:tr>
        <w:tc>
          <w:tcPr/>
          <w:p>
            <w:pPr>
              <w:pStyle w:val="Compact"/>
            </w:pPr>
            <w:r>
              <w:t xml:space="preserve">CA013-AllUsers-HighUserRisk-RequireRemediation</w:t>
            </w:r>
          </w:p>
        </w:tc>
        <w:tc>
          <w:tcPr/>
          <w:p>
            <w:pPr>
              <w:pStyle w:val="Compact"/>
            </w:pPr>
            <w:r>
              <w:t xml:space="preserve">Respond to likely account compromise</w:t>
            </w:r>
          </w:p>
        </w:tc>
        <w:tc>
          <w:tcPr/>
          <w:p>
            <w:pPr>
              <w:pStyle w:val="Compact"/>
            </w:pPr>
            <w:r>
              <w:t xml:space="preserve">All users; all resources; user risk high</w:t>
            </w:r>
          </w:p>
        </w:tc>
        <w:tc>
          <w:tcPr/>
          <w:p>
            <w:pPr>
              <w:pStyle w:val="Compact"/>
            </w:pPr>
            <w:r>
              <w:rPr>
                <w:b/>
                <w:bCs/>
              </w:rPr>
              <w:t xml:space="preserve">Block</w:t>
            </w:r>
            <w:r>
              <w:t xml:space="preserve"> </w:t>
            </w:r>
            <w:r>
              <w:t xml:space="preserve">where BOD 25-01 applies; otherwise require risk remediation (Members only)</w:t>
            </w:r>
          </w:p>
        </w:tc>
        <w:tc>
          <w:tcPr/>
          <w:p>
            <w:pPr>
              <w:pStyle w:val="Compact"/>
            </w:pPr>
            <w:r>
              <w:t xml:space="preserve">P2</w:t>
            </w:r>
          </w:p>
        </w:tc>
      </w:tr>
      <w:tr>
        <w:tc>
          <w:tcPr/>
          <w:p>
            <w:pPr>
              <w:pStyle w:val="Compact"/>
            </w:pPr>
            <w:r>
              <w:t xml:space="preserve">CA014-AllUsers-MediumSigninRisk-RequireMFA</w:t>
            </w:r>
          </w:p>
        </w:tc>
        <w:tc>
          <w:tcPr/>
          <w:p>
            <w:pPr>
              <w:pStyle w:val="Compact"/>
            </w:pPr>
            <w:r>
              <w:t xml:space="preserve">Step up a suspicious sign-in</w:t>
            </w:r>
          </w:p>
        </w:tc>
        <w:tc>
          <w:tcPr/>
          <w:p>
            <w:pPr>
              <w:pStyle w:val="Compact"/>
            </w:pPr>
            <w:r>
              <w:t xml:space="preserve">All users; all resources; sign-in risk medium or high</w:t>
            </w:r>
          </w:p>
        </w:tc>
        <w:tc>
          <w:tcPr/>
          <w:p>
            <w:pPr>
              <w:pStyle w:val="Compact"/>
            </w:pPr>
            <w:r>
              <w:t xml:space="preserve">Authentication strength MFA; sign-in frequency every time</w:t>
            </w:r>
          </w:p>
        </w:tc>
        <w:tc>
          <w:tcPr/>
          <w:p>
            <w:pPr>
              <w:pStyle w:val="Compact"/>
            </w:pPr>
            <w:r>
              <w:t xml:space="preserve">P2</w:t>
            </w:r>
          </w:p>
        </w:tc>
      </w:tr>
      <w:tr>
        <w:tc>
          <w:tcPr/>
          <w:p>
            <w:pPr>
              <w:pStyle w:val="Compact"/>
            </w:pPr>
            <w:r>
              <w:t xml:space="preserve">CA015-ServiceAccounts-LocationRestriction</w:t>
            </w:r>
          </w:p>
        </w:tc>
        <w:tc>
          <w:tcPr/>
          <w:p>
            <w:pPr>
              <w:pStyle w:val="Compact"/>
            </w:pPr>
            <w:r>
              <w:t xml:space="preserve">Workloads call only from where they run</w:t>
            </w:r>
          </w:p>
        </w:tc>
        <w:tc>
          <w:tcPr/>
          <w:p>
            <w:pPr>
              <w:pStyle w:val="Compact"/>
            </w:pPr>
            <w:r>
              <w:t xml:space="preserve">Workload identities, assigned directly; all resources; any location except</w:t>
            </w:r>
            <w:r>
              <w:t xml:space="preserve"> </w:t>
            </w:r>
            <w:r>
              <w:rPr>
                <w:rStyle w:val="VerbatimChar"/>
              </w:rPr>
              <w:t xml:space="preserve">NL-WorkloadEgress</w:t>
            </w:r>
          </w:p>
        </w:tc>
        <w:tc>
          <w:tcPr/>
          <w:p>
            <w:pPr>
              <w:pStyle w:val="Compact"/>
            </w:pPr>
            <w:r>
              <w:t xml:space="preserve">Block</w:t>
            </w:r>
          </w:p>
        </w:tc>
        <w:tc>
          <w:tcPr/>
          <w:p>
            <w:pPr>
              <w:pStyle w:val="Compact"/>
            </w:pPr>
            <w:r>
              <w:t xml:space="preserve">WID</w:t>
            </w:r>
          </w:p>
        </w:tc>
      </w:tr>
      <w:tr>
        <w:tc>
          <w:tcPr/>
          <w:p>
            <w:pPr>
              <w:pStyle w:val="Compact"/>
            </w:pPr>
            <w:r>
              <w:t xml:space="preserve">CA019-AllUsers-HighSigninRisk-Block</w:t>
            </w:r>
          </w:p>
        </w:tc>
        <w:tc>
          <w:tcPr/>
          <w:p>
            <w:pPr>
              <w:pStyle w:val="Compact"/>
            </w:pPr>
            <w:r>
              <w:t xml:space="preserve">Stop high-risk sign-ins for everyone</w:t>
            </w:r>
          </w:p>
        </w:tc>
        <w:tc>
          <w:tcPr/>
          <w:p>
            <w:pPr>
              <w:pStyle w:val="Compact"/>
            </w:pPr>
            <w:r>
              <w:t xml:space="preserve">All users; all resources; sign-in risk high</w:t>
            </w:r>
          </w:p>
        </w:tc>
        <w:tc>
          <w:tcPr/>
          <w:p>
            <w:pPr>
              <w:pStyle w:val="Compact"/>
            </w:pPr>
            <w:r>
              <w:t xml:space="preserve">Block</w:t>
            </w:r>
          </w:p>
        </w:tc>
        <w:tc>
          <w:tcPr/>
          <w:p>
            <w:pPr>
              <w:pStyle w:val="Compact"/>
            </w:pPr>
            <w:r>
              <w:t xml:space="preserve">P2</w:t>
            </w:r>
          </w:p>
        </w:tc>
      </w:tr>
      <w:tr>
        <w:tc>
          <w:tcPr/>
          <w:p>
            <w:pPr>
              <w:pStyle w:val="Compact"/>
            </w:pPr>
            <w:r>
              <w:t xml:space="preserve">CA036-Members-ElevatedInsiderRisk-Block</w:t>
            </w:r>
          </w:p>
        </w:tc>
        <w:tc>
          <w:tcPr/>
          <w:p>
            <w:pPr>
              <w:pStyle w:val="Compact"/>
            </w:pPr>
            <w:r>
              <w:t xml:space="preserve">Contain users with elevated insider risk</w:t>
            </w:r>
          </w:p>
        </w:tc>
        <w:tc>
          <w:tcPr/>
          <w:p>
            <w:pPr>
              <w:pStyle w:val="Compact"/>
            </w:pPr>
            <w:r>
              <w:t xml:space="preserve">Members; Office 365; insider risk elevated</w:t>
            </w:r>
          </w:p>
        </w:tc>
        <w:tc>
          <w:tcPr/>
          <w:p>
            <w:pPr>
              <w:pStyle w:val="Compact"/>
            </w:pPr>
            <w:r>
              <w:t xml:space="preserve">Block</w:t>
            </w:r>
          </w:p>
        </w:tc>
        <w:tc>
          <w:tcPr/>
          <w:p>
            <w:pPr>
              <w:pStyle w:val="Compact"/>
            </w:pPr>
            <w:r>
              <w:t xml:space="preserve">P2 + Purview</w:t>
            </w:r>
          </w:p>
        </w:tc>
      </w:tr>
      <w:tr>
        <w:tc>
          <w:tcPr/>
          <w:p>
            <w:pPr>
              <w:pStyle w:val="Compact"/>
            </w:pPr>
            <w:r>
              <w:t xml:space="preserve">CA037-WorkloadIdentities-HighRisk-Block</w:t>
            </w:r>
          </w:p>
        </w:tc>
        <w:tc>
          <w:tcPr/>
          <w:p>
            <w:pPr>
              <w:pStyle w:val="Compact"/>
            </w:pPr>
            <w:r>
              <w:t xml:space="preserve">Contain a compromised workload</w:t>
            </w:r>
          </w:p>
        </w:tc>
        <w:tc>
          <w:tcPr/>
          <w:p>
            <w:pPr>
              <w:pStyle w:val="Compact"/>
            </w:pPr>
            <w:r>
              <w:t xml:space="preserve">Workload identities, assigned directly; all resources; service principal risk high</w:t>
            </w:r>
          </w:p>
        </w:tc>
        <w:tc>
          <w:tcPr/>
          <w:p>
            <w:pPr>
              <w:pStyle w:val="Compact"/>
            </w:pPr>
            <w:r>
              <w:t xml:space="preserve">Block</w:t>
            </w:r>
          </w:p>
        </w:tc>
        <w:tc>
          <w:tcPr/>
          <w:p>
            <w:pPr>
              <w:pStyle w:val="Compact"/>
            </w:pPr>
            <w:r>
              <w:t xml:space="preserve">WID</w:t>
            </w:r>
          </w:p>
        </w:tc>
      </w:tr>
    </w:tbl>
    <w:p>
      <w:pPr>
        <w:pStyle w:val="BodyText"/>
      </w:pPr>
      <w:r>
        <w:rPr>
          <w:b/>
          <w:bCs/>
        </w:rPr>
        <w:t xml:space="preserve">CA013 has two forms, and federal civilian tenants use the block.</w:t>
      </w:r>
      <w:r>
        <w:t xml:space="preserve"> </w:t>
      </w:r>
      <w:r>
        <w:t xml:space="preserve">Book 02 adopted Microsoft’s current recommendation,</w:t>
      </w:r>
      <w:r>
        <w:t xml:space="preserve"> </w:t>
      </w:r>
      <w:r>
        <w:t xml:space="preserve">“require risk remediation,”</w:t>
      </w:r>
      <w:r>
        <w:t xml:space="preserve"> </w:t>
      </w:r>
      <w:r>
        <w:t xml:space="preserve">which handles password and passwordless users and adds an authentication strength and</w:t>
      </w:r>
      <w:r>
        <w:t xml:space="preserve"> </w:t>
      </w:r>
      <w:r>
        <w:t xml:space="preserve">“every time”</w:t>
      </w:r>
      <w:r>
        <w:t xml:space="preserve"> </w:t>
      </w:r>
      <w:r>
        <w:t xml:space="preserve">sign-in frequency automatically.</w:t>
      </w:r>
      <w:r>
        <w:rPr>
          <w:rStyle w:val="FootnoteReference"/>
        </w:rPr>
        <w:footnoteReference w:id="589"/>
      </w:r>
      <w:r>
        <w:t xml:space="preserve"> </w:t>
      </w:r>
      <w:r>
        <w:t xml:space="preserve">CISA’s BOD 25-01 lists MS.AAD.2.1,</w:t>
      </w:r>
      <w:r>
        <w:t xml:space="preserve"> </w:t>
      </w:r>
      <w:r>
        <w:t xml:space="preserve">“Users detected as high risk SHALL be blocked,”</w:t>
      </w:r>
      <w:r>
        <w:t xml:space="preserve"> </w:t>
      </w:r>
      <w:r>
        <w:t xml:space="preserve">as a mandatory configuration.</w:t>
      </w:r>
      <w:r>
        <w:rPr>
          <w:rStyle w:val="FootnoteReference"/>
        </w:rPr>
        <w:footnoteReference w:id="590"/>
      </w:r>
      <w:r>
        <w:t xml:space="preserve"> </w:t>
      </w:r>
      <w:r>
        <w:t xml:space="preserve">The two can’t both win: when several risk policies apply, block overrides remediation.</w:t>
      </w:r>
      <w:r>
        <w:rPr>
          <w:rStyle w:val="FootnoteReference"/>
        </w:rPr>
        <w:footnoteReference w:id="591"/>
      </w:r>
      <w:r>
        <w:t xml:space="preserve"> </w:t>
      </w:r>
      <w:r>
        <w:t xml:space="preserve">The program therefore sets CA013’s grant to</w:t>
      </w:r>
      <w:r>
        <w:t xml:space="preserve"> </w:t>
      </w:r>
      <w:r>
        <w:rPr>
          <w:b/>
          <w:bCs/>
        </w:rPr>
        <w:t xml:space="preserve">Block</w:t>
      </w:r>
      <w:r>
        <w:t xml:space="preserve"> </w:t>
      </w:r>
      <w:r>
        <w:t xml:space="preserve">in any tenant within BOD 25-01’s scope, includes all users (unlike remediation, the block isn’t limited to members), and handles recovery through the help desk: an administrator confirms the account, resets credentials and dismisses the risk. Where BOD 25-01 doesn’t apply, CA013 uses remediation for Members, as Book 02 describes. Microsoft’s managed policies</w:t>
      </w:r>
      <w:r>
        <w:t xml:space="preserve"> </w:t>
      </w:r>
      <w:r>
        <w:t xml:space="preserve">“Block access for high-risk users”</w:t>
      </w:r>
      <w:r>
        <w:t xml:space="preserve"> </w:t>
      </w:r>
      <w:r>
        <w:t xml:space="preserve">and</w:t>
      </w:r>
      <w:r>
        <w:t xml:space="preserve"> </w:t>
      </w:r>
      <w:r>
        <w:t xml:space="preserve">“Require remediation for high-risk users”</w:t>
      </w:r>
      <w:r>
        <w:t xml:space="preserve"> </w:t>
      </w:r>
      <w:r>
        <w:t xml:space="preserve">are both superseded by CA013.</w:t>
      </w:r>
      <w:r>
        <w:rPr>
          <w:rStyle w:val="FootnoteReference"/>
        </w:rPr>
        <w:footnoteReference w:id="592"/>
      </w:r>
    </w:p>
    <w:p>
      <w:pPr>
        <w:pStyle w:val="BodyText"/>
      </w:pPr>
      <w:r>
        <w:rPr>
          <w:b/>
          <w:bCs/>
        </w:rPr>
        <w:t xml:space="preserve">CA019 is new.</w:t>
      </w:r>
      <w:r>
        <w:t xml:space="preserve"> </w:t>
      </w:r>
      <w:r>
        <w:t xml:space="preserve">MS.AAD.2.3 requires high-risk</w:t>
      </w:r>
      <w:r>
        <w:t xml:space="preserve"> </w:t>
      </w:r>
      <w:r>
        <w:rPr>
          <w:i/>
          <w:iCs/>
        </w:rPr>
        <w:t xml:space="preserve">sign-ins</w:t>
      </w:r>
      <w:r>
        <w:t xml:space="preserve"> </w:t>
      </w:r>
      <w:r>
        <w:t xml:space="preserve">to be blocked.</w:t>
      </w:r>
      <w:r>
        <w:rPr>
          <w:rStyle w:val="FootnoteReference"/>
        </w:rPr>
        <w:footnoteReference w:id="593"/>
      </w:r>
      <w:r>
        <w:t xml:space="preserve"> </w:t>
      </w:r>
      <w:r>
        <w:t xml:space="preserve">Book 02’s CA014 steps those sign-ins up to MFA, and CA012 blocks them only for guests. CA019 blocks high sign-in risk for everyone; because block wins, CA014 then effectively acts on medium risk. Once CA019 is enforced, CA012 is redundant and is retired (the number isn’t reused). Microsoft’s managed policy for risky sign-ins is superseded by CA014 and CA019.</w:t>
      </w:r>
      <w:r>
        <w:rPr>
          <w:rStyle w:val="FootnoteReference"/>
        </w:rPr>
        <w:footnoteReference w:id="594"/>
      </w:r>
    </w:p>
    <w:p>
      <w:pPr>
        <w:pStyle w:val="BodyText"/>
      </w:pPr>
      <w:r>
        <w:rPr>
          <w:b/>
          <w:bCs/>
        </w:rPr>
        <w:t xml:space="preserve">CA036</w:t>
      </w:r>
      <w:r>
        <w:t xml:space="preserve"> </w:t>
      </w:r>
      <w:r>
        <w:t xml:space="preserve">replaces the source’s insider-risk session policy. The Insider risk condition takes levels from Purview Insider Risk Management through Adaptive Protection and requires Entra ID P2.</w:t>
      </w:r>
      <w:r>
        <w:rPr>
          <w:rStyle w:val="FootnoteReference"/>
        </w:rPr>
        <w:footnoteReference w:id="595"/>
      </w:r>
      <w:r>
        <w:t xml:space="preserve"> </w:t>
      </w:r>
      <w:r>
        <w:t xml:space="preserve">Microsoft’s own quick setup creates a report-only policy that blocks Office 365 for users at the elevated level, excluding some external user types, and the program follows that shape.</w:t>
      </w:r>
      <w:r>
        <w:rPr>
          <w:rStyle w:val="FootnoteReference"/>
        </w:rPr>
        <w:footnoteReference w:id="596"/>
      </w:r>
      <w:r>
        <w:t xml:space="preserve"> </w:t>
      </w:r>
      <w:r>
        <w:t xml:space="preserve">Microsoft labels the Conditional Access integration with Adaptive Protection as preview, so the program enforces CA036 only after its privacy and legal review, and treats a block as a referral to the insider-risk process, not a verdict. The source’s alternative (Defender for Cloud Apps monitoring with a one-hour sign-in frequency) remains an option for the moderate level where a block is too strong.</w:t>
      </w:r>
    </w:p>
    <w:p>
      <w:pPr>
        <w:pStyle w:val="BodyText"/>
      </w:pPr>
      <w:r>
        <w:rPr>
          <w:b/>
          <w:bCs/>
        </w:rPr>
        <w:t xml:space="preserve">CA015 and CA037</w:t>
      </w:r>
      <w:r>
        <w:t xml:space="preserve"> </w:t>
      </w:r>
      <w:r>
        <w:t xml:space="preserve">are the only policies that reach service principals. They need Workload ID Premium, apply to single-tenant service principals assigned directly (not through groups), and can only block.</w:t>
      </w:r>
      <w:r>
        <w:rPr>
          <w:rStyle w:val="FootnoteReference"/>
        </w:rPr>
        <w:footnoteReference w:id="598"/>
      </w:r>
      <w:r>
        <w:t xml:space="preserve"> </w:t>
      </w:r>
      <w:r>
        <w:t xml:space="preserve">Chapter 05 covers which workloads go in scope.</w:t>
      </w:r>
    </w:p>
    <w:p>
      <w:pPr>
        <w:pStyle w:val="BodyText"/>
      </w:pPr>
      <w:r>
        <w:rPr>
          <w:b/>
          <w:bCs/>
        </w:rPr>
        <w:t xml:space="preserve">Rollout and monitoring.</w:t>
      </w:r>
      <w:r>
        <w:t xml:space="preserve"> </w:t>
      </w:r>
      <w:r>
        <w:t xml:space="preserve">Risk policies need calibrated risk data. Run them in report-only for at least two weeks with ID Protection reports reviewed, and confirm that leaked-credential detection is working, which needs password hash sync (Book 02, Chapter 09). After enforcement, every CA013 or CA019 block is a security event: the risk event analysis view and the help desk procedure must be ready the day the policy goes on.</w:t>
      </w:r>
    </w:p>
    <w:bookmarkEnd w:id="599"/>
    <w:bookmarkStart w:id="610" w:name="wave-5-segments-and-the-end-state"/>
    <w:p>
      <w:pPr>
        <w:pStyle w:val="Heading2"/>
      </w:pPr>
      <w:bookmarkStart w:id="1230" w:name="_Toc00001230"/>
      <w:r>
        <w:t xml:space="preserve">Wave 5: segments and the end state</w:t>
      </w:r>
      <w:bookmarkEnd w:id="1230"/>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CA022-Members-RequirePhishResistantMFA</w:t>
            </w:r>
          </w:p>
        </w:tc>
        <w:tc>
          <w:tcPr/>
          <w:p>
            <w:pPr>
              <w:pStyle w:val="Compact"/>
            </w:pPr>
            <w:r>
              <w:t xml:space="preserve">The end state: phishing-resistant MFA for every member</w:t>
            </w:r>
          </w:p>
        </w:tc>
        <w:tc>
          <w:tcPr/>
          <w:p>
            <w:pPr>
              <w:pStyle w:val="Compact"/>
            </w:pPr>
            <w:r>
              <w:t xml:space="preserve">Members; all resources. Exclude</w:t>
            </w:r>
            <w:r>
              <w:t xml:space="preserve"> </w:t>
            </w:r>
            <w:r>
              <w:rPr>
                <w:rStyle w:val="VerbatimChar"/>
              </w:rPr>
              <w:t xml:space="preserve">CA-Exclude-PhishResistantNotReady</w:t>
            </w:r>
            <w:r>
              <w:t xml:space="preserve"> </w:t>
            </w:r>
            <w:r>
              <w:t xml:space="preserve">(shrinking, time-bound)</w:t>
            </w:r>
          </w:p>
        </w:tc>
        <w:tc>
          <w:tcPr/>
          <w:p>
            <w:pPr>
              <w:pStyle w:val="Compact"/>
            </w:pPr>
            <w:r>
              <w:t xml:space="preserve">Authentication strength phishing-resistant MFA</w:t>
            </w:r>
          </w:p>
        </w:tc>
        <w:tc>
          <w:tcPr/>
          <w:p>
            <w:pPr>
              <w:pStyle w:val="Compact"/>
            </w:pPr>
            <w:r>
              <w:t xml:space="preserve">P1</w:t>
            </w:r>
          </w:p>
        </w:tc>
      </w:tr>
      <w:tr>
        <w:tc>
          <w:tcPr/>
          <w:p>
            <w:pPr>
              <w:pStyle w:val="Compact"/>
            </w:pPr>
            <w:r>
              <w:t xml:space="preserve">CA023-WebOnly-BlockDesktopAndMobileClients</w:t>
            </w:r>
          </w:p>
        </w:tc>
        <w:tc>
          <w:tcPr/>
          <w:p>
            <w:pPr>
              <w:pStyle w:val="Compact"/>
            </w:pPr>
            <w:r>
              <w:t xml:space="preserve">Web-only users get no synced or cached data</w:t>
            </w:r>
          </w:p>
        </w:tc>
        <w:tc>
          <w:tcPr/>
          <w:p>
            <w:pPr>
              <w:pStyle w:val="Compact"/>
            </w:pPr>
            <w:r>
              <w:rPr>
                <w:rStyle w:val="VerbatimChar"/>
              </w:rPr>
              <w:t xml:space="preserve">CA-Persona-WebOnly</w:t>
            </w:r>
            <w:r>
              <w:t xml:space="preserve">; all resources; client apps mobile and desktop</w:t>
            </w:r>
          </w:p>
        </w:tc>
        <w:tc>
          <w:tcPr/>
          <w:p>
            <w:pPr>
              <w:pStyle w:val="Compact"/>
            </w:pPr>
            <w:r>
              <w:t xml:space="preserve">Block</w:t>
            </w:r>
          </w:p>
        </w:tc>
        <w:tc>
          <w:tcPr/>
          <w:p>
            <w:pPr>
              <w:pStyle w:val="Compact"/>
            </w:pPr>
            <w:r>
              <w:t xml:space="preserve">P1</w:t>
            </w:r>
          </w:p>
        </w:tc>
      </w:tr>
      <w:tr>
        <w:tc>
          <w:tcPr/>
          <w:p>
            <w:pPr>
              <w:pStyle w:val="Compact"/>
            </w:pPr>
            <w:r>
              <w:t xml:space="preserve">CA024-WebOnly-LimitedWebSession</w:t>
            </w:r>
          </w:p>
        </w:tc>
        <w:tc>
          <w:tcPr/>
          <w:p>
            <w:pPr>
              <w:pStyle w:val="Compact"/>
            </w:pPr>
            <w:r>
              <w:t xml:space="preserve">Browser access without download or persistence</w:t>
            </w:r>
          </w:p>
        </w:tc>
        <w:tc>
          <w:tcPr/>
          <w:p>
            <w:pPr>
              <w:pStyle w:val="Compact"/>
            </w:pPr>
            <w:r>
              <w:rPr>
                <w:rStyle w:val="VerbatimChar"/>
              </w:rPr>
              <w:t xml:space="preserve">CA-Persona-WebOnly</w:t>
            </w:r>
            <w:r>
              <w:t xml:space="preserve">; all resources; client apps browser</w:t>
            </w:r>
          </w:p>
        </w:tc>
        <w:tc>
          <w:tcPr/>
          <w:p>
            <w:pPr>
              <w:pStyle w:val="Compact"/>
            </w:pPr>
            <w:r>
              <w:t xml:space="preserve">Authentication strength MFA; app-enforced restrictions; persistent browser never</w:t>
            </w:r>
          </w:p>
        </w:tc>
        <w:tc>
          <w:tcPr/>
          <w:p>
            <w:pPr>
              <w:pStyle w:val="Compact"/>
            </w:pPr>
            <w:r>
              <w:t xml:space="preserve">P1</w:t>
            </w:r>
          </w:p>
        </w:tc>
      </w:tr>
      <w:tr>
        <w:tc>
          <w:tcPr/>
          <w:p>
            <w:pPr>
              <w:pStyle w:val="Compact"/>
            </w:pPr>
            <w:r>
              <w:t xml:space="preserve">CA028-SharedDevice-KioskApps-RequireCompliant</w:t>
            </w:r>
          </w:p>
        </w:tc>
        <w:tc>
          <w:tcPr/>
          <w:p>
            <w:pPr>
              <w:pStyle w:val="Compact"/>
            </w:pPr>
            <w:r>
              <w:t xml:space="preserve">Shared devices reach only their app set</w:t>
            </w:r>
          </w:p>
        </w:tc>
        <w:tc>
          <w:tcPr/>
          <w:p>
            <w:pPr>
              <w:pStyle w:val="Compact"/>
            </w:pPr>
            <w:r>
              <w:rPr>
                <w:rStyle w:val="VerbatimChar"/>
              </w:rPr>
              <w:t xml:space="preserve">CA-Persona-SharedDevice</w:t>
            </w:r>
            <w:r>
              <w:t xml:space="preserve">; the kiosk app set; device filter include</w:t>
            </w:r>
            <w:r>
              <w:t xml:space="preserve"> </w:t>
            </w:r>
            <w:r>
              <w:rPr>
                <w:rStyle w:val="VerbatimChar"/>
              </w:rPr>
              <w:t xml:space="preserve">device.extensionAttribute1 -eq "Shared"</w:t>
            </w:r>
          </w:p>
        </w:tc>
        <w:tc>
          <w:tcPr/>
          <w:p>
            <w:pPr>
              <w:pStyle w:val="Compact"/>
            </w:pPr>
            <w:r>
              <w:t xml:space="preserve">Compliant device; sign-in frequency 8 hours</w:t>
            </w:r>
          </w:p>
        </w:tc>
        <w:tc>
          <w:tcPr/>
          <w:p>
            <w:pPr>
              <w:pStyle w:val="Compact"/>
            </w:pPr>
            <w:r>
              <w:t xml:space="preserve">P1</w:t>
            </w:r>
          </w:p>
        </w:tc>
      </w:tr>
      <w:tr>
        <w:tc>
          <w:tcPr/>
          <w:p>
            <w:pPr>
              <w:pStyle w:val="Compact"/>
            </w:pPr>
            <w:r>
              <w:t xml:space="preserve">CA029-Internals-OffNetwork-SessionLimits</w:t>
            </w:r>
          </w:p>
        </w:tc>
        <w:tc>
          <w:tcPr/>
          <w:p>
            <w:pPr>
              <w:pStyle w:val="Compact"/>
            </w:pPr>
            <w:r>
              <w:t xml:space="preserve">Shorter, non-persistent sessions away from agency networks</w:t>
            </w:r>
          </w:p>
        </w:tc>
        <w:tc>
          <w:tcPr/>
          <w:p>
            <w:pPr>
              <w:pStyle w:val="Compact"/>
            </w:pPr>
            <w:r>
              <w:rPr>
                <w:rStyle w:val="VerbatimChar"/>
              </w:rPr>
              <w:t xml:space="preserve">CA-Persona-Internals</w:t>
            </w:r>
            <w:r>
              <w:t xml:space="preserve">; all resources; any location except</w:t>
            </w:r>
            <w:r>
              <w:t xml:space="preserve"> </w:t>
            </w:r>
            <w:r>
              <w:rPr>
                <w:rStyle w:val="VerbatimChar"/>
              </w:rPr>
              <w:t xml:space="preserve">NL-TrustedNetworks</w:t>
            </w:r>
          </w:p>
        </w:tc>
        <w:tc>
          <w:tcPr/>
          <w:p>
            <w:pPr>
              <w:pStyle w:val="Compact"/>
            </w:pPr>
            <w:r>
              <w:t xml:space="preserve">Authentication strength MFA; sign-in frequency 4 hours; persistent browser never</w:t>
            </w:r>
          </w:p>
        </w:tc>
        <w:tc>
          <w:tcPr/>
          <w:p>
            <w:pPr>
              <w:pStyle w:val="Compact"/>
            </w:pPr>
            <w:r>
              <w:t xml:space="preserve">P1</w:t>
            </w:r>
          </w:p>
        </w:tc>
      </w:tr>
      <w:tr>
        <w:tc>
          <w:tcPr/>
          <w:p>
            <w:pPr>
              <w:pStyle w:val="Compact"/>
            </w:pPr>
            <w:r>
              <w:t xml:space="preserve">CA030-AllUsers-ProductionApps-BlockUnassigned</w:t>
            </w:r>
          </w:p>
        </w:tc>
        <w:tc>
          <w:tcPr/>
          <w:p>
            <w:pPr>
              <w:pStyle w:val="Compact"/>
            </w:pPr>
            <w:r>
              <w:t xml:space="preserve">Only production operators reach production applications</w:t>
            </w:r>
          </w:p>
        </w:tc>
        <w:tc>
          <w:tcPr/>
          <w:p>
            <w:pPr>
              <w:pStyle w:val="Compact"/>
            </w:pPr>
            <w:r>
              <w:t xml:space="preserve">All users; applications with</w:t>
            </w:r>
            <w:r>
              <w:t xml:space="preserve"> </w:t>
            </w:r>
            <w:r>
              <w:rPr>
                <w:rStyle w:val="VerbatimChar"/>
              </w:rPr>
              <w:t xml:space="preserve">FMPAccess.Environment</w:t>
            </w:r>
            <w:r>
              <w:t xml:space="preserve"> </w:t>
            </w:r>
            <w:r>
              <w:t xml:space="preserve">=</w:t>
            </w:r>
            <w:r>
              <w:t xml:space="preserve"> </w:t>
            </w:r>
            <w:r>
              <w:rPr>
                <w:rStyle w:val="VerbatimChar"/>
              </w:rPr>
              <w:t xml:space="preserve">Production</w:t>
            </w:r>
            <w:r>
              <w:t xml:space="preserve">. Exclude</w:t>
            </w:r>
            <w:r>
              <w:t xml:space="preserve"> </w:t>
            </w:r>
            <w:r>
              <w:rPr>
                <w:rStyle w:val="VerbatimChar"/>
              </w:rPr>
              <w:t xml:space="preserve">CA-Access-ProdOperators</w:t>
            </w:r>
          </w:p>
        </w:tc>
        <w:tc>
          <w:tcPr/>
          <w:p>
            <w:pPr>
              <w:pStyle w:val="Compact"/>
            </w:pPr>
            <w:r>
              <w:t xml:space="preserve">Block</w:t>
            </w:r>
          </w:p>
        </w:tc>
        <w:tc>
          <w:tcPr/>
          <w:p>
            <w:pPr>
              <w:pStyle w:val="Compact"/>
            </w:pPr>
            <w:r>
              <w:t xml:space="preserve">P1</w:t>
            </w:r>
          </w:p>
        </w:tc>
      </w:tr>
      <w:tr>
        <w:tc>
          <w:tcPr/>
          <w:p>
            <w:pPr>
              <w:pStyle w:val="Compact"/>
            </w:pPr>
            <w:r>
              <w:t xml:space="preserve">CA031-ProdOperators-ProductionApps-RequirePhishResistantCompliant</w:t>
            </w:r>
          </w:p>
        </w:tc>
        <w:tc>
          <w:tcPr/>
          <w:p>
            <w:pPr>
              <w:pStyle w:val="Compact"/>
            </w:pPr>
            <w:r>
              <w:t xml:space="preserve">Production access with full assurance</w:t>
            </w:r>
          </w:p>
        </w:tc>
        <w:tc>
          <w:tcPr/>
          <w:p>
            <w:pPr>
              <w:pStyle w:val="Compact"/>
            </w:pPr>
            <w:r>
              <w:rPr>
                <w:rStyle w:val="VerbatimChar"/>
              </w:rPr>
              <w:t xml:space="preserve">CA-Access-ProdOperators</w:t>
            </w:r>
            <w:r>
              <w:t xml:space="preserve">; the same application filter</w:t>
            </w:r>
          </w:p>
        </w:tc>
        <w:tc>
          <w:tcPr/>
          <w:p>
            <w:pPr>
              <w:pStyle w:val="Compact"/>
            </w:pPr>
            <w:r>
              <w:t xml:space="preserve">Compliant device</w:t>
            </w:r>
            <w:r>
              <w:t xml:space="preserve"> </w:t>
            </w:r>
            <w:r>
              <w:rPr>
                <w:b/>
                <w:bCs/>
              </w:rPr>
              <w:t xml:space="preserve">and</w:t>
            </w:r>
            <w:r>
              <w:t xml:space="preserve"> </w:t>
            </w:r>
            <w:r>
              <w:t xml:space="preserve">phishing-resistant MFA; sign-in frequency 4 hours</w:t>
            </w:r>
          </w:p>
        </w:tc>
        <w:tc>
          <w:tcPr/>
          <w:p>
            <w:pPr>
              <w:pStyle w:val="Compact"/>
            </w:pPr>
            <w:r>
              <w:t xml:space="preserve">P1</w:t>
            </w:r>
          </w:p>
        </w:tc>
      </w:tr>
      <w:tr>
        <w:tc>
          <w:tcPr/>
          <w:p>
            <w:pPr>
              <w:pStyle w:val="Compact"/>
            </w:pPr>
            <w:r>
              <w:t xml:space="preserve">CA032-AllUsers-StagingApps-BlockOffNetwork</w:t>
            </w:r>
          </w:p>
        </w:tc>
        <w:tc>
          <w:tcPr/>
          <w:p>
            <w:pPr>
              <w:pStyle w:val="Compact"/>
            </w:pPr>
            <w:r>
              <w:t xml:space="preserve">Staging reachable only from agency networks</w:t>
            </w:r>
          </w:p>
        </w:tc>
        <w:tc>
          <w:tcPr/>
          <w:p>
            <w:pPr>
              <w:pStyle w:val="Compact"/>
            </w:pPr>
            <w:r>
              <w:t xml:space="preserve">All users; applications with</w:t>
            </w:r>
            <w:r>
              <w:t xml:space="preserve"> </w:t>
            </w:r>
            <w:r>
              <w:rPr>
                <w:rStyle w:val="VerbatimChar"/>
              </w:rPr>
              <w:t xml:space="preserve">Environment</w:t>
            </w:r>
            <w:r>
              <w:t xml:space="preserve"> </w:t>
            </w:r>
            <w:r>
              <w:t xml:space="preserve">=</w:t>
            </w:r>
            <w:r>
              <w:t xml:space="preserve"> </w:t>
            </w:r>
            <w:r>
              <w:rPr>
                <w:rStyle w:val="VerbatimChar"/>
              </w:rPr>
              <w:t xml:space="preserve">Staging</w:t>
            </w:r>
            <w:r>
              <w:t xml:space="preserve">; any location except</w:t>
            </w:r>
            <w:r>
              <w:t xml:space="preserve"> </w:t>
            </w:r>
            <w:r>
              <w:rPr>
                <w:rStyle w:val="VerbatimChar"/>
              </w:rPr>
              <w:t xml:space="preserve">NL-TrustedNetworks</w:t>
            </w:r>
          </w:p>
        </w:tc>
        <w:tc>
          <w:tcPr/>
          <w:p>
            <w:pPr>
              <w:pStyle w:val="Compact"/>
            </w:pPr>
            <w:r>
              <w:t xml:space="preserve">Block</w:t>
            </w:r>
          </w:p>
        </w:tc>
        <w:tc>
          <w:tcPr/>
          <w:p>
            <w:pPr>
              <w:pStyle w:val="Compact"/>
            </w:pPr>
            <w:r>
              <w:t xml:space="preserve">P1</w:t>
            </w:r>
          </w:p>
        </w:tc>
      </w:tr>
      <w:tr>
        <w:tc>
          <w:tcPr/>
          <w:p>
            <w:pPr>
              <w:pStyle w:val="Compact"/>
            </w:pPr>
            <w:r>
              <w:t xml:space="preserve">CA033-AllUsers-PowerPlatform-BlockNonMakers</w:t>
            </w:r>
          </w:p>
        </w:tc>
        <w:tc>
          <w:tcPr/>
          <w:p>
            <w:pPr>
              <w:pStyle w:val="Compact"/>
            </w:pPr>
            <w:r>
              <w:t xml:space="preserve">Power Apps and Power Automate only for approved makers</w:t>
            </w:r>
          </w:p>
        </w:tc>
        <w:tc>
          <w:tcPr/>
          <w:p>
            <w:pPr>
              <w:pStyle w:val="Compact"/>
            </w:pPr>
            <w:r>
              <w:t xml:space="preserve">All users; Power Apps and Power Automate. Exclude</w:t>
            </w:r>
            <w:r>
              <w:t xml:space="preserve"> </w:t>
            </w:r>
            <w:r>
              <w:rPr>
                <w:rStyle w:val="VerbatimChar"/>
              </w:rPr>
              <w:t xml:space="preserve">CA-Access-PowerPlatformMakers</w:t>
            </w:r>
          </w:p>
        </w:tc>
        <w:tc>
          <w:tcPr/>
          <w:p>
            <w:pPr>
              <w:pStyle w:val="Compact"/>
            </w:pPr>
            <w:r>
              <w:t xml:space="preserve">Block</w:t>
            </w:r>
          </w:p>
        </w:tc>
        <w:tc>
          <w:tcPr/>
          <w:p>
            <w:pPr>
              <w:pStyle w:val="Compact"/>
            </w:pPr>
            <w:r>
              <w:t xml:space="preserve">P1</w:t>
            </w:r>
          </w:p>
        </w:tc>
      </w:tr>
      <w:tr>
        <w:tc>
          <w:tcPr/>
          <w:p>
            <w:pPr>
              <w:pStyle w:val="Compact"/>
            </w:pPr>
            <w:r>
              <w:t xml:space="preserve">CA034-{Dept}-{App}-RequireCompliantMFA</w:t>
            </w:r>
          </w:p>
        </w:tc>
        <w:tc>
          <w:tcPr/>
          <w:p>
            <w:pPr>
              <w:pStyle w:val="Compact"/>
            </w:pPr>
            <w:r>
              <w:t xml:space="preserve">Template: a department application with assurance</w:t>
            </w:r>
          </w:p>
        </w:tc>
        <w:tc>
          <w:tcPr/>
          <w:p>
            <w:pPr>
              <w:pStyle w:val="Compact"/>
            </w:pPr>
            <w:r>
              <w:rPr>
                <w:rStyle w:val="VerbatimChar"/>
              </w:rPr>
              <w:t xml:space="preserve">CA-Access-{App}</w:t>
            </w:r>
            <w:r>
              <w:t xml:space="preserve"> </w:t>
            </w:r>
            <w:r>
              <w:t xml:space="preserve">(built from department attributes); the application</w:t>
            </w:r>
          </w:p>
        </w:tc>
        <w:tc>
          <w:tcPr/>
          <w:p>
            <w:pPr>
              <w:pStyle w:val="Compact"/>
            </w:pPr>
            <w:r>
              <w:t xml:space="preserve">Compliant device</w:t>
            </w:r>
            <w:r>
              <w:t xml:space="preserve"> </w:t>
            </w:r>
            <w:r>
              <w:rPr>
                <w:b/>
                <w:bCs/>
              </w:rPr>
              <w:t xml:space="preserve">and</w:t>
            </w:r>
            <w:r>
              <w:t xml:space="preserve"> </w:t>
            </w:r>
            <w:r>
              <w:t xml:space="preserve">authentication strength MFA; sign-in frequency 8 hours</w:t>
            </w:r>
          </w:p>
        </w:tc>
        <w:tc>
          <w:tcPr/>
          <w:p>
            <w:pPr>
              <w:pStyle w:val="Compact"/>
            </w:pPr>
            <w:r>
              <w:t xml:space="preserve">P1</w:t>
            </w:r>
          </w:p>
        </w:tc>
      </w:tr>
      <w:tr>
        <w:tc>
          <w:tcPr/>
          <w:p>
            <w:pPr>
              <w:pStyle w:val="Compact"/>
            </w:pPr>
            <w:r>
              <w:t xml:space="preserve">CA035-AllUsers-{App}-BlockUnassigned</w:t>
            </w:r>
          </w:p>
        </w:tc>
        <w:tc>
          <w:tcPr/>
          <w:p>
            <w:pPr>
              <w:pStyle w:val="Compact"/>
            </w:pPr>
            <w:r>
              <w:t xml:space="preserve">Template: everyone else is blocked</w:t>
            </w:r>
          </w:p>
        </w:tc>
        <w:tc>
          <w:tcPr/>
          <w:p>
            <w:pPr>
              <w:pStyle w:val="Compact"/>
            </w:pPr>
            <w:r>
              <w:t xml:space="preserve">All users; the application. Exclude</w:t>
            </w:r>
            <w:r>
              <w:t xml:space="preserve"> </w:t>
            </w:r>
            <w:r>
              <w:rPr>
                <w:rStyle w:val="VerbatimChar"/>
              </w:rPr>
              <w:t xml:space="preserve">CA-Access-{App}</w:t>
            </w:r>
          </w:p>
        </w:tc>
        <w:tc>
          <w:tcPr/>
          <w:p>
            <w:pPr>
              <w:pStyle w:val="Compact"/>
            </w:pPr>
            <w:r>
              <w:t xml:space="preserve">Block</w:t>
            </w:r>
          </w:p>
        </w:tc>
        <w:tc>
          <w:tcPr/>
          <w:p>
            <w:pPr>
              <w:pStyle w:val="Compact"/>
            </w:pPr>
            <w:r>
              <w:t xml:space="preserve">P1</w:t>
            </w:r>
          </w:p>
        </w:tc>
      </w:tr>
    </w:tbl>
    <w:p>
      <w:pPr>
        <w:pStyle w:val="BodyText"/>
      </w:pPr>
      <w:r>
        <w:rPr>
          <w:b/>
          <w:bCs/>
        </w:rPr>
        <w:t xml:space="preserve">CA022</w:t>
      </w:r>
      <w:r>
        <w:t xml:space="preserve"> </w:t>
      </w:r>
      <w:r>
        <w:t xml:space="preserve">is where the library ends up. CISA’s MS.AAD.3.1 makes phishing-resistant MFA for all users mandatory, and MS.AAD.3.2 allows another MFA method only until it’s enforced.</w:t>
      </w:r>
      <w:r>
        <w:rPr>
          <w:rStyle w:val="FootnoteReference"/>
        </w:rPr>
        <w:footnoteReference w:id="600"/>
      </w:r>
      <w:r>
        <w:t xml:space="preserve"> </w:t>
      </w:r>
      <w:r>
        <w:t xml:space="preserve">CA022 is created in report-only on the first day of the program, before any enrollment campaign, so the sign-in logs build a history of who would have been blocked; that is Microsoft’s own deployment advice.</w:t>
      </w:r>
      <w:r>
        <w:rPr>
          <w:rStyle w:val="FootnoteReference"/>
        </w:rPr>
        <w:footnoteReference w:id="601"/>
      </w:r>
      <w:r>
        <w:t xml:space="preserve"> </w:t>
      </w:r>
      <w:r>
        <w:t xml:space="preserve">Microsoft’s guide then enforces per platform, using groups of users whose devices are ready.</w:t>
      </w:r>
      <w:r>
        <w:rPr>
          <w:rStyle w:val="FootnoteReference"/>
        </w:rPr>
        <w:footnoteReference w:id="603"/>
      </w:r>
      <w:r>
        <w:t xml:space="preserve"> </w:t>
      </w:r>
      <w:r>
        <w:t xml:space="preserve">The program does the equivalent by shrinking the not-ready exclusion group as users enroll, and every member of that group has an expiry. When the group is empty, CA006 and CA009’s MFA strength requirements are superseded, and the agency’s system security plan stops describing an interim state.</w:t>
      </w:r>
    </w:p>
    <w:p>
      <w:pPr>
        <w:pStyle w:val="BodyText"/>
      </w:pPr>
      <w:r>
        <w:rPr>
          <w:b/>
          <w:bCs/>
        </w:rPr>
        <w:t xml:space="preserve">CA023 and CA024</w:t>
      </w:r>
      <w:r>
        <w:t xml:space="preserve"> </w:t>
      </w:r>
      <w:r>
        <w:t xml:space="preserve">replace the source library’s unmanaged-device and SharePoint download policies. App-enforced restrictions work only in Exchange Online and SharePoint Online, where they give an unmanaged device a limited, web-only experience.</w:t>
      </w:r>
      <w:r>
        <w:rPr>
          <w:rStyle w:val="FootnoteReference"/>
        </w:rPr>
        <w:footnoteReference w:id="604"/>
      </w:r>
      <w:r>
        <w:t xml:space="preserve"> </w:t>
      </w:r>
      <w:r>
        <w:t xml:space="preserve">Persistent browser control works correctly only when the policy targets all resources, which is why CA024 is scoped that way.</w:t>
      </w:r>
      <w:r>
        <w:rPr>
          <w:rStyle w:val="FootnoteReference"/>
        </w:rPr>
        <w:footnoteReference w:id="605"/>
      </w:r>
      <w:r>
        <w:t xml:space="preserve"> </w:t>
      </w:r>
      <w:r>
        <w:t xml:space="preserve">Where Defender for Cloud Apps is licensed, CA024 can add Conditional Access App Control with a block-download session policy for applications other than Exchange and SharePoint.</w:t>
      </w:r>
      <w:r>
        <w:rPr>
          <w:rStyle w:val="FootnoteReference"/>
        </w:rPr>
        <w:footnoteReference w:id="606"/>
      </w:r>
    </w:p>
    <w:p>
      <w:pPr>
        <w:pStyle w:val="BodyText"/>
      </w:pPr>
      <w:r>
        <w:rPr>
          <w:b/>
          <w:bCs/>
        </w:rPr>
        <w:t xml:space="preserve">CA028</w:t>
      </w:r>
      <w:r>
        <w:t xml:space="preserve"> </w:t>
      </w:r>
      <w:r>
        <w:t xml:space="preserve">carries the source’s kiosk policy. The device filter includes only labeled shared devices, and because the label is readable only on compliant or managed devices, an unlabeled or unregistered device isn’t matched and the shared-device users fall back to the Internals policies.</w:t>
      </w:r>
      <w:r>
        <w:rPr>
          <w:rStyle w:val="FootnoteReference"/>
        </w:rPr>
        <w:footnoteReference w:id="607"/>
      </w:r>
      <w:r>
        <w:t xml:space="preserve"> </w:t>
      </w:r>
      <w:r>
        <w:t xml:space="preserve">The source library also gave kiosks app-enforced restrictions; those affect only Exchange and SharePoint and are left to the app set.</w:t>
      </w:r>
    </w:p>
    <w:p>
      <w:pPr>
        <w:pStyle w:val="BodyText"/>
      </w:pPr>
      <w:r>
        <w:rPr>
          <w:b/>
          <w:bCs/>
        </w:rPr>
        <w:t xml:space="preserve">CA029</w:t>
      </w:r>
      <w:r>
        <w:t xml:space="preserve"> </w:t>
      </w:r>
      <w:r>
        <w:t xml:space="preserve">consolidates the source’s non-corporate network and remote work policies. The device requirement those policies carried is already enforced everywhere by CA007, so what’s left off-network is a shorter, non-persistent session. The source’s site-based trust policy, which</w:t>
      </w:r>
      <w:r>
        <w:t xml:space="preserve"> </w:t>
      </w:r>
      <w:r>
        <w:rPr>
          <w:i/>
          <w:iCs/>
        </w:rPr>
        <w:t xml:space="preserve">lengthened</w:t>
      </w:r>
      <w:r>
        <w:t xml:space="preserve"> </w:t>
      </w:r>
      <w:r>
        <w:t xml:space="preserve">sessions on trusted sites, isn’t carried: CA006 already sets 12 hours, and the program doesn’t use location to relax controls (Chapter 03).</w:t>
      </w:r>
    </w:p>
    <w:p>
      <w:pPr>
        <w:pStyle w:val="BodyText"/>
      </w:pPr>
      <w:r>
        <w:rPr>
          <w:b/>
          <w:bCs/>
        </w:rPr>
        <w:t xml:space="preserve">CA030 to CA032</w:t>
      </w:r>
      <w:r>
        <w:t xml:space="preserve"> </w:t>
      </w:r>
      <w:r>
        <w:t xml:space="preserve">carry the source’s environment-isolation policies with a sounder mechanism. The source targeted users by an environment extension attribute and applications by</w:t>
      </w:r>
      <w:r>
        <w:t xml:space="preserve"> </w:t>
      </w:r>
      <w:r>
        <w:t xml:space="preserve">“tag.”</w:t>
      </w:r>
      <w:r>
        <w:t xml:space="preserve"> </w:t>
      </w:r>
      <w:r>
        <w:t xml:space="preserve">The program targets</w:t>
      </w:r>
      <w:r>
        <w:t xml:space="preserve"> </w:t>
      </w:r>
      <w:r>
        <w:rPr>
          <w:i/>
          <w:iCs/>
        </w:rPr>
        <w:t xml:space="preserve">applications</w:t>
      </w:r>
      <w:r>
        <w:t xml:space="preserve"> </w:t>
      </w:r>
      <w:r>
        <w:t xml:space="preserve">with a filter on a custom security attribute, which is evaluated at token issuance, accepts string attributes only, and is managed by the attribute roles rather than Global Administrators.</w:t>
      </w:r>
      <w:r>
        <w:rPr>
          <w:rStyle w:val="FootnoteReference"/>
        </w:rPr>
        <w:footnoteReference w:id="608"/>
      </w:r>
      <w:r>
        <w:t xml:space="preserve"> </w:t>
      </w:r>
      <w:r>
        <w:t xml:space="preserve">Users are targeted by access groups granted through access packages (Chapter 09), so no user attribute is consumed; the program’s user extension attributes are already assigned (Book 02, Appendix C). Development applications need no policy of their own: CA006, CA007 and CA018 already apply. The source’s</w:t>
      </w:r>
      <w:r>
        <w:t xml:space="preserve"> </w:t>
      </w:r>
      <w:r>
        <w:t xml:space="preserve">“block production users from development”</w:t>
      </w:r>
      <w:r>
        <w:t xml:space="preserve"> </w:t>
      </w:r>
      <w:r>
        <w:t xml:space="preserve">policy isn’t carried; production operators are also developers in most agencies, and the risk it addressed is handled by separate administrative accounts.</w:t>
      </w:r>
    </w:p>
    <w:p>
      <w:pPr>
        <w:pStyle w:val="BodyText"/>
      </w:pPr>
      <w:r>
        <w:rPr>
          <w:b/>
          <w:bCs/>
        </w:rPr>
        <w:t xml:space="preserve">CA033</w:t>
      </w:r>
      <w:r>
        <w:t xml:space="preserve"> </w:t>
      </w:r>
      <w:r>
        <w:t xml:space="preserve">keeps the source’s Power Platform restriction but drops Power BI from its scope, because blocking Power BI blocks everyone who reads a published report, not just makers. Agencies that need to restrict Power BI write that as its own pair.</w:t>
      </w:r>
    </w:p>
    <w:p>
      <w:pPr>
        <w:pStyle w:val="BodyText"/>
      </w:pPr>
      <w:r>
        <w:rPr>
          <w:b/>
          <w:bCs/>
        </w:rPr>
        <w:t xml:space="preserve">CA034 and CA035</w:t>
      </w:r>
      <w:r>
        <w:t xml:space="preserve"> </w:t>
      </w:r>
      <w:r>
        <w:t xml:space="preserve">are the template for any department or line-of-business application, including the source’s GitHub Enterprise policy and its finance, HR and engineering examples. Instances add a suffix:</w:t>
      </w:r>
      <w:r>
        <w:t xml:space="preserve"> </w:t>
      </w:r>
      <w:r>
        <w:rPr>
          <w:rStyle w:val="VerbatimChar"/>
        </w:rPr>
        <w:t xml:space="preserve">CA034-FIN-ERP</w:t>
      </w:r>
      <w:r>
        <w:t xml:space="preserve"> </w:t>
      </w:r>
      <w:r>
        <w:t xml:space="preserve">and</w:t>
      </w:r>
      <w:r>
        <w:t xml:space="preserve"> </w:t>
      </w:r>
      <w:r>
        <w:rPr>
          <w:rStyle w:val="VerbatimChar"/>
        </w:rPr>
        <w:t xml:space="preserve">CA035-AllUsers-ERP-BlockUnassigned</w:t>
      </w:r>
      <w:r>
        <w:t xml:space="preserve">. For most applications the first gate is enterprise-application assignment with</w:t>
      </w:r>
      <w:r>
        <w:t xml:space="preserve"> </w:t>
      </w:r>
      <w:r>
        <w:rPr>
          <w:b/>
          <w:bCs/>
        </w:rPr>
        <w:t xml:space="preserve">Assignment required</w:t>
      </w:r>
      <w:r>
        <w:t xml:space="preserve"> </w:t>
      </w:r>
      <w:r>
        <w:t xml:space="preserve">set, so that only assigned users can get a token; Global Administrators bypass that setting, which is one reason the block policy stays for sensitive applications.</w:t>
      </w:r>
      <w:r>
        <w:rPr>
          <w:rStyle w:val="FootnoteReference"/>
        </w:rPr>
        <w:footnoteReference w:id="609"/>
      </w:r>
    </w:p>
    <w:p>
      <w:pPr>
        <w:pStyle w:val="BodyText"/>
      </w:pPr>
      <w:r>
        <w:rPr>
          <w:b/>
          <w:bCs/>
        </w:rPr>
        <w:t xml:space="preserve">Rollout and monitoring.</w:t>
      </w:r>
      <w:r>
        <w:t xml:space="preserve"> </w:t>
      </w:r>
      <w:r>
        <w:t xml:space="preserve">Segment policies go in one application at a time. Before CA030 to CA032 are enforced, query service principals for the</w:t>
      </w:r>
      <w:r>
        <w:t xml:space="preserve"> </w:t>
      </w:r>
      <w:r>
        <w:rPr>
          <w:rStyle w:val="VerbatimChar"/>
        </w:rPr>
        <w:t xml:space="preserve">FMPAccess</w:t>
      </w:r>
      <w:r>
        <w:t xml:space="preserve"> </w:t>
      </w:r>
      <w:r>
        <w:t xml:space="preserve">attribute: an untagged production application is simply outside the policy.</w:t>
      </w:r>
    </w:p>
    <w:bookmarkEnd w:id="610"/>
    <w:bookmarkStart w:id="611" w:name="where-the-earlier-policies-went"/>
    <w:p>
      <w:pPr>
        <w:pStyle w:val="Heading2"/>
      </w:pPr>
      <w:bookmarkStart w:id="1231" w:name="_Toc00001231"/>
      <w:r>
        <w:t xml:space="preserve">Where the earlier policies went</w:t>
      </w:r>
      <w:bookmarkEnd w:id="1231"/>
    </w:p>
    <w:p>
      <w:pPr>
        <w:pStyle w:val="FirstParagraph"/>
      </w:pPr>
      <w:r>
        <w:t xml:space="preserve">Every policy in the source library is accounted for. The source’s numbers aren’t reused in the tenant.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 policy</w:t>
            </w:r>
          </w:p>
        </w:tc>
        <w:tc>
          <w:tcPr/>
          <w:p>
            <w:pPr>
              <w:pStyle w:val="Compact"/>
            </w:pPr>
            <w:r>
              <w:t xml:space="preserve">Now</w:t>
            </w:r>
          </w:p>
        </w:tc>
        <w:tc>
          <w:tcPr/>
          <w:p>
            <w:pPr>
              <w:pStyle w:val="Compact"/>
            </w:pPr>
            <w:r>
              <w:t xml:space="preserve">Note</w:t>
            </w:r>
          </w:p>
        </w:tc>
      </w:tr>
      <w:tr>
        <w:tc>
          <w:tcPr/>
          <w:p>
            <w:pPr>
              <w:pStyle w:val="Compact"/>
            </w:pPr>
            <w:r>
              <w:t xml:space="preserve">CA-001 MFA for all users</w:t>
            </w:r>
          </w:p>
        </w:tc>
        <w:tc>
          <w:tcPr/>
          <w:p>
            <w:pPr>
              <w:pStyle w:val="Compact"/>
            </w:pPr>
            <w:r>
              <w:t xml:space="preserve">CA018, with CA006, CA009, CA022</w:t>
            </w:r>
          </w:p>
        </w:tc>
        <w:tc>
          <w:tcPr/>
          <w:p>
            <w:pPr>
              <w:pStyle w:val="Compact"/>
            </w:pPr>
            <w:r>
              <w:t xml:space="preserve">Restored as the catch-all</w:t>
            </w:r>
          </w:p>
        </w:tc>
      </w:tr>
      <w:tr>
        <w:tc>
          <w:tcPr/>
          <w:p>
            <w:pPr>
              <w:pStyle w:val="Compact"/>
            </w:pPr>
            <w:r>
              <w:t xml:space="preserve">CA-002 Block legacy authentication</w:t>
            </w:r>
          </w:p>
        </w:tc>
        <w:tc>
          <w:tcPr/>
          <w:p>
            <w:pPr>
              <w:pStyle w:val="Compact"/>
            </w:pPr>
            <w:r>
              <w:t xml:space="preserve">CA001</w:t>
            </w:r>
          </w:p>
        </w:tc>
        <w:tc>
          <w:tcPr/>
          <w:p>
            <w:pPr>
              <w:pStyle w:val="Compact"/>
            </w:pPr>
            <w:r>
              <w:t xml:space="preserve">The source’s Group Policy equivalent (LAN Manager authentication level) was wrong; that setting governs NTLM on the network, not cloud protocols</w:t>
            </w:r>
          </w:p>
        </w:tc>
      </w:tr>
      <w:tr>
        <w:tc>
          <w:tcPr/>
          <w:p>
            <w:pPr>
              <w:pStyle w:val="Compact"/>
            </w:pPr>
            <w:r>
              <w:t xml:space="preserve">CA-003 Compliant device for corporate apps</w:t>
            </w:r>
          </w:p>
        </w:tc>
        <w:tc>
          <w:tcPr/>
          <w:p>
            <w:pPr>
              <w:pStyle w:val="Compact"/>
            </w:pPr>
            <w:r>
              <w:t xml:space="preserve">CA007, CA016</w:t>
            </w:r>
          </w:p>
        </w:tc>
        <w:tc>
          <w:tcPr/>
          <w:p>
            <w:pPr>
              <w:pStyle w:val="Compact"/>
            </w:pPr>
          </w:p>
        </w:tc>
      </w:tr>
      <w:tr>
        <w:tc>
          <w:tcPr/>
          <w:p>
            <w:pPr>
              <w:pStyle w:val="Compact"/>
            </w:pPr>
            <w:r>
              <w:t xml:space="preserve">CA-004 Managed device for admin portals</w:t>
            </w:r>
          </w:p>
        </w:tc>
        <w:tc>
          <w:tcPr/>
          <w:p>
            <w:pPr>
              <w:pStyle w:val="Compact"/>
            </w:pPr>
            <w:r>
              <w:t xml:space="preserve">CA003, CA004, CA025</w:t>
            </w:r>
          </w:p>
        </w:tc>
        <w:tc>
          <w:tcPr/>
          <w:p>
            <w:pPr>
              <w:pStyle w:val="Compact"/>
            </w:pPr>
            <w:r>
              <w:t xml:space="preserve">Passwordless strength raised to the privileged custom strength</w:t>
            </w:r>
          </w:p>
        </w:tc>
      </w:tr>
      <w:tr>
        <w:tc>
          <w:tcPr/>
          <w:p>
            <w:pPr>
              <w:pStyle w:val="Compact"/>
            </w:pPr>
            <w:r>
              <w:t xml:space="preserve">CA-005 Terms of use for guests</w:t>
            </w:r>
          </w:p>
        </w:tc>
        <w:tc>
          <w:tcPr/>
          <w:p>
            <w:pPr>
              <w:pStyle w:val="Compact"/>
            </w:pPr>
            <w:r>
              <w:t xml:space="preserve">CA010, CA011</w:t>
            </w:r>
          </w:p>
        </w:tc>
        <w:tc>
          <w:tcPr/>
          <w:p>
            <w:pPr>
              <w:pStyle w:val="Compact"/>
            </w:pPr>
          </w:p>
        </w:tc>
      </w:tr>
      <w:tr>
        <w:tc>
          <w:tcPr/>
          <w:p>
            <w:pPr>
              <w:pStyle w:val="Compact"/>
            </w:pPr>
            <w:r>
              <w:t xml:space="preserve">CA-010 Tier 0 PAW</w:t>
            </w:r>
          </w:p>
        </w:tc>
        <w:tc>
          <w:tcPr/>
          <w:p>
            <w:pPr>
              <w:pStyle w:val="Compact"/>
            </w:pPr>
            <w:r>
              <w:t xml:space="preserve">CA025</w:t>
            </w:r>
          </w:p>
        </w:tc>
        <w:tc>
          <w:tcPr/>
          <w:p>
            <w:pPr>
              <w:pStyle w:val="Compact"/>
            </w:pPr>
            <w:r>
              <w:t xml:space="preserve">Device-attribute</w:t>
            </w:r>
            <w:r>
              <w:t xml:space="preserve"> </w:t>
            </w:r>
            <w:r>
              <w:t xml:space="preserve">“user groups”</w:t>
            </w:r>
            <w:r>
              <w:t xml:space="preserve"> </w:t>
            </w:r>
            <w:r>
              <w:t xml:space="preserve">replaced by a device filter block</w:t>
            </w:r>
          </w:p>
        </w:tc>
      </w:tr>
      <w:tr>
        <w:tc>
          <w:tcPr/>
          <w:p>
            <w:pPr>
              <w:pStyle w:val="Compact"/>
            </w:pPr>
            <w:r>
              <w:t xml:space="preserve">CA-011 Tier 1 servers</w:t>
            </w:r>
          </w:p>
        </w:tc>
        <w:tc>
          <w:tcPr/>
          <w:p>
            <w:pPr>
              <w:pStyle w:val="Compact"/>
            </w:pPr>
            <w:r>
              <w:t xml:space="preserve">CA026</w:t>
            </w:r>
          </w:p>
        </w:tc>
        <w:tc>
          <w:tcPr/>
          <w:p>
            <w:pPr>
              <w:pStyle w:val="Compact"/>
            </w:pPr>
          </w:p>
        </w:tc>
      </w:tr>
      <w:tr>
        <w:tc>
          <w:tcPr/>
          <w:p>
            <w:pPr>
              <w:pStyle w:val="Compact"/>
            </w:pPr>
            <w:r>
              <w:t xml:space="preserve">CA-012 Tier 2 workstations</w:t>
            </w:r>
          </w:p>
        </w:tc>
        <w:tc>
          <w:tcPr/>
          <w:p>
            <w:pPr>
              <w:pStyle w:val="Compact"/>
            </w:pPr>
            <w:r>
              <w:t xml:space="preserve">CA007</w:t>
            </w:r>
          </w:p>
        </w:tc>
        <w:tc>
          <w:tcPr/>
          <w:p>
            <w:pPr>
              <w:pStyle w:val="Compact"/>
            </w:pPr>
          </w:p>
        </w:tc>
      </w:tr>
      <w:tr>
        <w:tc>
          <w:tcPr/>
          <w:p>
            <w:pPr>
              <w:pStyle w:val="Compact"/>
            </w:pPr>
            <w:r>
              <w:t xml:space="preserve">CA-013 Kiosk devices</w:t>
            </w:r>
          </w:p>
        </w:tc>
        <w:tc>
          <w:tcPr/>
          <w:p>
            <w:pPr>
              <w:pStyle w:val="Compact"/>
            </w:pPr>
            <w:r>
              <w:t xml:space="preserve">CA028</w:t>
            </w:r>
          </w:p>
        </w:tc>
        <w:tc>
          <w:tcPr/>
          <w:p>
            <w:pPr>
              <w:pStyle w:val="Compact"/>
            </w:pPr>
          </w:p>
        </w:tc>
      </w:tr>
      <w:tr>
        <w:tc>
          <w:tcPr/>
          <w:p>
            <w:pPr>
              <w:pStyle w:val="Compact"/>
            </w:pPr>
            <w:r>
              <w:t xml:space="preserve">CA-014 Unmanaged devices, browser only</w:t>
            </w:r>
          </w:p>
        </w:tc>
        <w:tc>
          <w:tcPr/>
          <w:p>
            <w:pPr>
              <w:pStyle w:val="Compact"/>
            </w:pPr>
            <w:r>
              <w:t xml:space="preserve">CA023, CA024</w:t>
            </w:r>
          </w:p>
        </w:tc>
        <w:tc>
          <w:tcPr/>
          <w:p>
            <w:pPr>
              <w:pStyle w:val="Compact"/>
            </w:pPr>
          </w:p>
        </w:tc>
      </w:tr>
      <w:tr>
        <w:tc>
          <w:tcPr/>
          <w:p>
            <w:pPr>
              <w:pStyle w:val="Compact"/>
            </w:pPr>
            <w:r>
              <w:t xml:space="preserve">CA-015 Non-corporate networks</w:t>
            </w:r>
          </w:p>
        </w:tc>
        <w:tc>
          <w:tcPr/>
          <w:p>
            <w:pPr>
              <w:pStyle w:val="Compact"/>
            </w:pPr>
            <w:r>
              <w:t xml:space="preserve">CA029</w:t>
            </w:r>
          </w:p>
        </w:tc>
        <w:tc>
          <w:tcPr/>
          <w:p>
            <w:pPr>
              <w:pStyle w:val="Compact"/>
            </w:pPr>
          </w:p>
        </w:tc>
      </w:tr>
      <w:tr>
        <w:tc>
          <w:tcPr/>
          <w:p>
            <w:pPr>
              <w:pStyle w:val="Compact"/>
            </w:pPr>
            <w:r>
              <w:t xml:space="preserve">CA-020 to CA-023 Environment isolation</w:t>
            </w:r>
          </w:p>
        </w:tc>
        <w:tc>
          <w:tcPr/>
          <w:p>
            <w:pPr>
              <w:pStyle w:val="Compact"/>
            </w:pPr>
            <w:r>
              <w:t xml:space="preserve">CA030 to CA032</w:t>
            </w:r>
          </w:p>
        </w:tc>
        <w:tc>
          <w:tcPr/>
          <w:p>
            <w:pPr>
              <w:pStyle w:val="Compact"/>
            </w:pPr>
            <w:r>
              <w:t xml:space="preserve">Application filters replace tags; CA-023a not carried</w:t>
            </w:r>
          </w:p>
        </w:tc>
      </w:tr>
      <w:tr>
        <w:tc>
          <w:tcPr/>
          <w:p>
            <w:pPr>
              <w:pStyle w:val="Compact"/>
            </w:pPr>
            <w:r>
              <w:t xml:space="preserve">CA-030 Geographic restrictions</w:t>
            </w:r>
          </w:p>
        </w:tc>
        <w:tc>
          <w:tcPr/>
          <w:p>
            <w:pPr>
              <w:pStyle w:val="Compact"/>
            </w:pPr>
            <w:r>
              <w:t xml:space="preserve">CA008</w:t>
            </w:r>
          </w:p>
        </w:tc>
        <w:tc>
          <w:tcPr/>
          <w:p>
            <w:pPr>
              <w:pStyle w:val="Compact"/>
            </w:pPr>
            <w:r>
              <w:t xml:space="preserve">Travel exception kept; scope stays Internals as in Book 02</w:t>
            </w:r>
          </w:p>
        </w:tc>
      </w:tr>
      <w:tr>
        <w:tc>
          <w:tcPr/>
          <w:p>
            <w:pPr>
              <w:pStyle w:val="Compact"/>
            </w:pPr>
            <w:r>
              <w:t xml:space="preserve">CA-031 Site-based trust</w:t>
            </w:r>
          </w:p>
        </w:tc>
        <w:tc>
          <w:tcPr/>
          <w:p>
            <w:pPr>
              <w:pStyle w:val="Compact"/>
            </w:pPr>
            <w:r>
              <w:t xml:space="preserve">Not carried</w:t>
            </w:r>
          </w:p>
        </w:tc>
        <w:tc>
          <w:tcPr/>
          <w:p>
            <w:pPr>
              <w:pStyle w:val="Compact"/>
            </w:pPr>
            <w:r>
              <w:t xml:space="preserve">Lengthened sessions on location</w:t>
            </w:r>
          </w:p>
        </w:tc>
      </w:tr>
      <w:tr>
        <w:tc>
          <w:tcPr/>
          <w:p>
            <w:pPr>
              <w:pStyle w:val="Compact"/>
            </w:pPr>
            <w:r>
              <w:t xml:space="preserve">CA-032 Remote work</w:t>
            </w:r>
          </w:p>
        </w:tc>
        <w:tc>
          <w:tcPr/>
          <w:p>
            <w:pPr>
              <w:pStyle w:val="Compact"/>
            </w:pPr>
            <w:r>
              <w:t xml:space="preserve">CA029, CA007</w:t>
            </w:r>
          </w:p>
        </w:tc>
        <w:tc>
          <w:tcPr/>
          <w:p>
            <w:pPr>
              <w:pStyle w:val="Compact"/>
            </w:pPr>
          </w:p>
        </w:tc>
      </w:tr>
      <w:tr>
        <w:tc>
          <w:tcPr/>
          <w:p>
            <w:pPr>
              <w:pStyle w:val="Compact"/>
            </w:pPr>
            <w:r>
              <w:t xml:space="preserve">CA-040 Exchange Online</w:t>
            </w:r>
          </w:p>
        </w:tc>
        <w:tc>
          <w:tcPr/>
          <w:p>
            <w:pPr>
              <w:pStyle w:val="Compact"/>
            </w:pPr>
            <w:r>
              <w:t xml:space="preserve">CA016, CA017</w:t>
            </w:r>
          </w:p>
        </w:tc>
        <w:tc>
          <w:tcPr/>
          <w:p>
            <w:pPr>
              <w:pStyle w:val="Compact"/>
            </w:pPr>
            <w:r>
              <w:t xml:space="preserve">Source combined AND and OR in one policy and used the retired approved-app grant</w:t>
            </w:r>
          </w:p>
        </w:tc>
      </w:tr>
      <w:tr>
        <w:tc>
          <w:tcPr/>
          <w:p>
            <w:pPr>
              <w:pStyle w:val="Compact"/>
            </w:pPr>
            <w:r>
              <w:t xml:space="preserve">CA-041 SharePoint download restrictions</w:t>
            </w:r>
          </w:p>
        </w:tc>
        <w:tc>
          <w:tcPr/>
          <w:p>
            <w:pPr>
              <w:pStyle w:val="Compact"/>
            </w:pPr>
            <w:r>
              <w:t xml:space="preserve">CA024</w:t>
            </w:r>
          </w:p>
        </w:tc>
        <w:tc>
          <w:tcPr/>
          <w:p>
            <w:pPr>
              <w:pStyle w:val="Compact"/>
            </w:pPr>
          </w:p>
        </w:tc>
      </w:tr>
      <w:tr>
        <w:tc>
          <w:tcPr/>
          <w:p>
            <w:pPr>
              <w:pStyle w:val="Compact"/>
            </w:pPr>
            <w:r>
              <w:t xml:space="preserve">CA-042 Teams</w:t>
            </w:r>
          </w:p>
        </w:tc>
        <w:tc>
          <w:tcPr/>
          <w:p>
            <w:pPr>
              <w:pStyle w:val="Compact"/>
            </w:pPr>
            <w:r>
              <w:t xml:space="preserve">CA016, CA017</w:t>
            </w:r>
          </w:p>
        </w:tc>
        <w:tc>
          <w:tcPr/>
          <w:p>
            <w:pPr>
              <w:pStyle w:val="Compact"/>
            </w:pPr>
          </w:p>
        </w:tc>
      </w:tr>
      <w:tr>
        <w:tc>
          <w:tcPr/>
          <w:p>
            <w:pPr>
              <w:pStyle w:val="Compact"/>
            </w:pPr>
            <w:r>
              <w:t xml:space="preserve">CA-043 Azure portal, privileged only</w:t>
            </w:r>
          </w:p>
        </w:tc>
        <w:tc>
          <w:tcPr/>
          <w:p>
            <w:pPr>
              <w:pStyle w:val="Compact"/>
            </w:pPr>
            <w:r>
              <w:t xml:space="preserve">CA027, CA025</w:t>
            </w:r>
          </w:p>
        </w:tc>
        <w:tc>
          <w:tcPr/>
          <w:p>
            <w:pPr>
              <w:pStyle w:val="Compact"/>
            </w:pPr>
          </w:p>
        </w:tc>
      </w:tr>
      <w:tr>
        <w:tc>
          <w:tcPr/>
          <w:p>
            <w:pPr>
              <w:pStyle w:val="Compact"/>
            </w:pPr>
            <w:r>
              <w:t xml:space="preserve">CA-044 Power Platform</w:t>
            </w:r>
          </w:p>
        </w:tc>
        <w:tc>
          <w:tcPr/>
          <w:p>
            <w:pPr>
              <w:pStyle w:val="Compact"/>
            </w:pPr>
            <w:r>
              <w:t xml:space="preserve">CA033</w:t>
            </w:r>
          </w:p>
        </w:tc>
        <w:tc>
          <w:tcPr/>
          <w:p>
            <w:pPr>
              <w:pStyle w:val="Compact"/>
            </w:pPr>
            <w:r>
              <w:t xml:space="preserve">Power BI removed from scope</w:t>
            </w:r>
          </w:p>
        </w:tc>
      </w:tr>
      <w:tr>
        <w:tc>
          <w:tcPr/>
          <w:p>
            <w:pPr>
              <w:pStyle w:val="Compact"/>
            </w:pPr>
            <w:r>
              <w:t xml:space="preserve">CA-045 GitHub Enterprise, CA-046 LOB apps</w:t>
            </w:r>
          </w:p>
        </w:tc>
        <w:tc>
          <w:tcPr/>
          <w:p>
            <w:pPr>
              <w:pStyle w:val="Compact"/>
            </w:pPr>
            <w:r>
              <w:t xml:space="preserve">CA034, CA035</w:t>
            </w:r>
          </w:p>
        </w:tc>
        <w:tc>
          <w:tcPr/>
          <w:p>
            <w:pPr>
              <w:pStyle w:val="Compact"/>
            </w:pPr>
          </w:p>
        </w:tc>
      </w:tr>
      <w:tr>
        <w:tc>
          <w:tcPr/>
          <w:p>
            <w:pPr>
              <w:pStyle w:val="Compact"/>
            </w:pPr>
            <w:r>
              <w:t xml:space="preserve">CA-060 Audit mode</w:t>
            </w:r>
          </w:p>
        </w:tc>
        <w:tc>
          <w:tcPr/>
          <w:p>
            <w:pPr>
              <w:pStyle w:val="Compact"/>
            </w:pPr>
            <w:r>
              <w:t xml:space="preserve">CA090</w:t>
            </w:r>
          </w:p>
        </w:tc>
        <w:tc>
          <w:tcPr/>
          <w:p>
            <w:pPr>
              <w:pStyle w:val="Compact"/>
            </w:pPr>
          </w:p>
        </w:tc>
      </w:tr>
      <w:tr>
        <w:tc>
          <w:tcPr/>
          <w:p>
            <w:pPr>
              <w:pStyle w:val="Compact"/>
            </w:pPr>
            <w:r>
              <w:t xml:space="preserve">CA-061 High sign-in risk block</w:t>
            </w:r>
          </w:p>
        </w:tc>
        <w:tc>
          <w:tcPr/>
          <w:p>
            <w:pPr>
              <w:pStyle w:val="Compact"/>
            </w:pPr>
            <w:r>
              <w:t xml:space="preserve">CA019</w:t>
            </w:r>
          </w:p>
        </w:tc>
        <w:tc>
          <w:tcPr/>
          <w:p>
            <w:pPr>
              <w:pStyle w:val="Compact"/>
            </w:pPr>
          </w:p>
        </w:tc>
      </w:tr>
      <w:tr>
        <w:tc>
          <w:tcPr/>
          <w:p>
            <w:pPr>
              <w:pStyle w:val="Compact"/>
            </w:pPr>
            <w:r>
              <w:t xml:space="preserve">CA-062 Medium risk: MFA and password change</w:t>
            </w:r>
          </w:p>
        </w:tc>
        <w:tc>
          <w:tcPr/>
          <w:p>
            <w:pPr>
              <w:pStyle w:val="Compact"/>
            </w:pPr>
            <w:r>
              <w:t xml:space="preserve">CA014</w:t>
            </w:r>
          </w:p>
        </w:tc>
        <w:tc>
          <w:tcPr/>
          <w:p>
            <w:pPr>
              <w:pStyle w:val="Compact"/>
            </w:pPr>
            <w:r>
              <w:t xml:space="preserve">Password change can’t be used with sign-in risk; it requires a user-risk condition</w:t>
            </w:r>
          </w:p>
        </w:tc>
      </w:tr>
      <w:tr>
        <w:tc>
          <w:tcPr/>
          <w:p>
            <w:pPr>
              <w:pStyle w:val="Compact"/>
            </w:pPr>
            <w:r>
              <w:t xml:space="preserve">CA-063 User risk: password change</w:t>
            </w:r>
          </w:p>
        </w:tc>
        <w:tc>
          <w:tcPr/>
          <w:p>
            <w:pPr>
              <w:pStyle w:val="Compact"/>
            </w:pPr>
            <w:r>
              <w:t xml:space="preserve">CA013</w:t>
            </w:r>
          </w:p>
        </w:tc>
        <w:tc>
          <w:tcPr/>
          <w:p>
            <w:pPr>
              <w:pStyle w:val="Compact"/>
            </w:pPr>
            <w:r>
              <w:t xml:space="preserve">Remediation or block, not password change</w:t>
            </w:r>
          </w:p>
        </w:tc>
      </w:tr>
      <w:tr>
        <w:tc>
          <w:tcPr/>
          <w:p>
            <w:pPr>
              <w:pStyle w:val="Compact"/>
            </w:pPr>
            <w:r>
              <w:t xml:space="preserve">CA-064 Insider risk</w:t>
            </w:r>
          </w:p>
        </w:tc>
        <w:tc>
          <w:tcPr/>
          <w:p>
            <w:pPr>
              <w:pStyle w:val="Compact"/>
            </w:pPr>
            <w:r>
              <w:t xml:space="preserve">CA036</w:t>
            </w:r>
          </w:p>
        </w:tc>
        <w:tc>
          <w:tcPr/>
          <w:p>
            <w:pPr>
              <w:pStyle w:val="Compact"/>
            </w:pPr>
          </w:p>
        </w:tc>
      </w:tr>
    </w:tbl>
    <w:bookmarkEnd w:id="611"/>
    <w:bookmarkStart w:id="623" w:name="rollout-from-report-only-to-enforcement"/>
    <w:p>
      <w:pPr>
        <w:pStyle w:val="Heading2"/>
      </w:pPr>
      <w:bookmarkStart w:id="1232" w:name="_Toc00001232"/>
      <w:r>
        <w:t xml:space="preserve">Rollout: from report-only to enforcement</w:t>
      </w:r>
      <w:bookmarkEnd w:id="1232"/>
    </w:p>
    <w:p>
      <w:pPr>
        <w:pStyle w:val="FirstParagraph"/>
      </w:pPr>
      <w:r>
        <w:t xml:space="preserve">Every policy, in every wave, passes the same gates. Book 02 set the durations (Book 02, Chapter 09); Microsoft’s minimum is a week in report-only before enforcement.</w:t>
      </w:r>
      <w:r>
        <w:rPr>
          <w:rStyle w:val="FootnoteReference"/>
        </w:rPr>
        <w:footnoteReference w:id="612"/>
      </w:r>
    </w:p>
    <w:bookmarkStart w:id="616" w:name="fig-ch07-rollout-sequence"/>
    <w:p>
      <w:pPr>
        <w:pStyle w:val="CaptionedFigure"/>
      </w:pPr>
      <w:r>
        <w:drawing>
          <wp:inline>
            <wp:extent cx="5334000" cy="1406130"/>
            <wp:effectExtent b="0" l="0" r="0" t="0"/>
            <wp:docPr descr="Every policy passes report-only, a pilot ring and expanding rings before steady-state enforcement; the waves are enforced in order, each after the previous one has run a week without incident." title="" id="614" name="Picture"/>
            <a:graphic>
              <a:graphicData uri="http://schemas.openxmlformats.org/drawingml/2006/picture">
                <pic:pic>
                  <pic:nvPicPr>
                    <pic:cNvPr descr="/home/runner/work/modernization-workbook/modernization-workbook/docs/images/diagrams/b04-access/png/ch07-rollout-sequence.png" id="615" name="Picture"/>
                    <pic:cNvPicPr>
                      <a:picLocks noChangeArrowheads="1" noChangeAspect="1"/>
                    </pic:cNvPicPr>
                  </pic:nvPicPr>
                  <pic:blipFill>
                    <a:blip r:embed="rId613"/>
                    <a:stretch>
                      <a:fillRect/>
                    </a:stretch>
                  </pic:blipFill>
                  <pic:spPr bwMode="auto">
                    <a:xfrm>
                      <a:off x="0" y="0"/>
                      <a:ext cx="5334000" cy="1406130"/>
                    </a:xfrm>
                    <a:prstGeom prst="rect">
                      <a:avLst/>
                    </a:prstGeom>
                    <a:noFill/>
                    <a:ln w="9525">
                      <a:noFill/>
                      <a:headEnd/>
                      <a:tailEnd/>
                    </a:ln>
                  </pic:spPr>
                </pic:pic>
              </a:graphicData>
            </a:graphic>
          </wp:inline>
        </w:drawing>
      </w:r>
    </w:p>
    <w:p>
      <w:pPr>
        <w:pStyle w:val="ImageCaption"/>
      </w:pPr>
      <w:r>
        <w:t xml:space="preserve">Every policy passes report-only, a pilot ring and expanding rings before steady-state enforcement; the waves are enforced in order, each after the previous one has run a week without incident.</w:t>
      </w:r>
    </w:p>
    <w:bookmarkEnd w:id="616"/>
    <w:p>
      <w:pPr>
        <w:pStyle w:val="BodyText"/>
      </w:pPr>
      <w:r>
        <w:t xml:space="preserve">The cycle for each policy, consolidated from the source library’s two versions of it:</w:t>
      </w:r>
    </w:p>
    <w:p>
      <w:pPr>
        <w:pStyle w:val="Compact"/>
        <w:numPr>
          <w:ilvl w:val="0"/>
          <w:numId w:val="1040"/>
        </w:numPr>
      </w:pPr>
      <w:r>
        <w:rPr>
          <w:b/>
          <w:bCs/>
        </w:rPr>
        <w:t xml:space="preserve">Pre-deployment check.</w:t>
      </w:r>
      <w:r>
        <w:t xml:space="preserve"> </w:t>
      </w:r>
      <w:r>
        <w:t xml:space="preserve">Prerequisites exist, readiness gates are met, the emergency access exclusion is present, and the policy JSON is reviewed in source control.</w:t>
      </w:r>
    </w:p>
    <w:p>
      <w:pPr>
        <w:pStyle w:val="Compact"/>
        <w:numPr>
          <w:ilvl w:val="0"/>
          <w:numId w:val="1040"/>
        </w:numPr>
      </w:pPr>
      <w:r>
        <w:rPr>
          <w:b/>
          <w:bCs/>
        </w:rPr>
        <w:t xml:space="preserve">Create in report-only.</w:t>
      </w:r>
      <w:r>
        <w:t xml:space="preserve"> </w:t>
      </w:r>
      <w:r>
        <w:t xml:space="preserve">Templates from Microsoft and from Appendix A default to report-only. For a policy that requires a compliant device, exclude macOS, iOS and Android from the report-only version to avoid certificate prompts.</w:t>
      </w:r>
      <w:r>
        <w:rPr>
          <w:rStyle w:val="FootnoteReference"/>
        </w:rPr>
        <w:footnoteReference w:id="617"/>
      </w:r>
    </w:p>
    <w:p>
      <w:pPr>
        <w:pStyle w:val="Compact"/>
        <w:numPr>
          <w:ilvl w:val="0"/>
          <w:numId w:val="1040"/>
        </w:numPr>
      </w:pPr>
      <w:r>
        <w:rPr>
          <w:b/>
          <w:bCs/>
        </w:rPr>
        <w:t xml:space="preserve">Measure for at least seven days</w:t>
      </w:r>
      <w:r>
        <w:t xml:space="preserve">, with two to four weeks preferred, using the policy impact view and the insights workbook.</w:t>
      </w:r>
      <w:r>
        <w:rPr>
          <w:rStyle w:val="FootnoteReference"/>
        </w:rPr>
        <w:footnoteReference w:id="618"/>
      </w:r>
    </w:p>
    <w:p>
      <w:pPr>
        <w:pStyle w:val="Compact"/>
        <w:numPr>
          <w:ilvl w:val="0"/>
          <w:numId w:val="1040"/>
        </w:numPr>
      </w:pPr>
      <w:r>
        <w:rPr>
          <w:b/>
          <w:bCs/>
        </w:rPr>
        <w:t xml:space="preserve">Analyze and remediate.</w:t>
      </w:r>
      <w:r>
        <w:t xml:space="preserve"> </w:t>
      </w:r>
      <w:r>
        <w:t xml:space="preserve">Who would be blocked or prompted, and why: missing registrations, noncompliant devices, untagged applications, empty attributes. Fix the cause; add an exclusion only as a governed object.</w:t>
      </w:r>
    </w:p>
    <w:p>
      <w:pPr>
        <w:pStyle w:val="Compact"/>
        <w:numPr>
          <w:ilvl w:val="0"/>
          <w:numId w:val="1040"/>
        </w:numPr>
      </w:pPr>
      <w:r>
        <w:rPr>
          <w:b/>
          <w:bCs/>
        </w:rPr>
        <w:t xml:space="preserve">Review.</w:t>
      </w:r>
      <w:r>
        <w:t xml:space="preserve"> </w:t>
      </w:r>
      <w:r>
        <w:t xml:space="preserve">Security and business owners approve the impact analysis. The approval and the analysis are kept as change evidence (Chapter 10).</w:t>
      </w:r>
    </w:p>
    <w:p>
      <w:pPr>
        <w:pStyle w:val="Compact"/>
        <w:numPr>
          <w:ilvl w:val="0"/>
          <w:numId w:val="1040"/>
        </w:numPr>
      </w:pPr>
      <w:r>
        <w:rPr>
          <w:b/>
          <w:bCs/>
        </w:rPr>
        <w:t xml:space="preserve">Enforce for the pilot ring,</w:t>
      </w:r>
      <w:r>
        <w:t xml:space="preserve"> </w:t>
      </w:r>
      <w:r>
        <w:t xml:space="preserve">then expand ring by ring. Turning a policy that targets all users straight from off to on is never allowed.</w:t>
      </w:r>
    </w:p>
    <w:p>
      <w:pPr>
        <w:pStyle w:val="Compact"/>
        <w:numPr>
          <w:ilvl w:val="0"/>
          <w:numId w:val="1040"/>
        </w:numPr>
      </w:pPr>
      <w:r>
        <w:rPr>
          <w:b/>
          <w:bCs/>
        </w:rPr>
        <w:t xml:space="preserve">Watch for 48 hours</w:t>
      </w:r>
      <w:r>
        <w:t xml:space="preserve"> </w:t>
      </w:r>
      <w:r>
        <w:t xml:space="preserve">after each ring: help desk volume, CA blocks by application, and failures on service and kiosk accounts.</w:t>
      </w:r>
    </w:p>
    <w:p>
      <w:pPr>
        <w:pStyle w:val="FirstParagraph"/>
      </w:pPr>
      <w:r>
        <w:t xml:space="preserve">A wave starts only after the previous one has been enforced for at least a week without an incident attributable to it.</w:t>
      </w:r>
    </w:p>
    <w:bookmarkStart w:id="622" w:name="rollback"/>
    <w:p>
      <w:pPr>
        <w:pStyle w:val="Heading3"/>
      </w:pPr>
      <w:r>
        <w:t xml:space="preserve">Rollback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When</w:t>
            </w:r>
          </w:p>
        </w:tc>
        <w:tc>
          <w:tcPr/>
          <w:p>
            <w:pPr>
              <w:pStyle w:val="Compact"/>
            </w:pPr>
            <w:r>
              <w:t xml:space="preserve">How</w:t>
            </w:r>
          </w:p>
        </w:tc>
      </w:tr>
      <w:tr>
        <w:tc>
          <w:tcPr/>
          <w:p>
            <w:pPr>
              <w:pStyle w:val="Compact"/>
            </w:pPr>
            <w:r>
              <w:t xml:space="preserve">Revert to report-only</w:t>
            </w:r>
          </w:p>
        </w:tc>
        <w:tc>
          <w:tcPr/>
          <w:p>
            <w:pPr>
              <w:pStyle w:val="Compact"/>
            </w:pPr>
            <w:r>
              <w:t xml:space="preserve">Need data while investigating</w:t>
            </w:r>
          </w:p>
        </w:tc>
        <w:tc>
          <w:tcPr/>
          <w:p>
            <w:pPr>
              <w:pStyle w:val="Compact"/>
            </w:pPr>
            <w:r>
              <w:t xml:space="preserve">Set state to report-only; monitoring continues without enforcement</w:t>
            </w:r>
          </w:p>
        </w:tc>
      </w:tr>
      <w:tr>
        <w:tc>
          <w:tcPr/>
          <w:p>
            <w:pPr>
              <w:pStyle w:val="Compact"/>
            </w:pPr>
            <w:r>
              <w:t xml:space="preserve">Scope reduction</w:t>
            </w:r>
          </w:p>
        </w:tc>
        <w:tc>
          <w:tcPr/>
          <w:p>
            <w:pPr>
              <w:pStyle w:val="Compact"/>
            </w:pPr>
            <w:r>
              <w:t xml:space="preserve">A specific population is blocked</w:t>
            </w:r>
          </w:p>
        </w:tc>
        <w:tc>
          <w:tcPr/>
          <w:p>
            <w:pPr>
              <w:pStyle w:val="Compact"/>
            </w:pPr>
            <w:r>
              <w:t xml:space="preserve">Add a time-bound exclusion group, fix the cause, then remove it</w:t>
            </w:r>
          </w:p>
        </w:tc>
      </w:tr>
      <w:tr>
        <w:tc>
          <w:tcPr/>
          <w:p>
            <w:pPr>
              <w:pStyle w:val="Compact"/>
            </w:pPr>
            <w:r>
              <w:t xml:space="preserve">Policy off</w:t>
            </w:r>
          </w:p>
        </w:tc>
        <w:tc>
          <w:tcPr/>
          <w:p>
            <w:pPr>
              <w:pStyle w:val="Compact"/>
            </w:pPr>
            <w:r>
              <w:t xml:space="preserve">One policy causing widespread blocks</w:t>
            </w:r>
          </w:p>
        </w:tc>
        <w:tc>
          <w:tcPr/>
          <w:p>
            <w:pPr>
              <w:pStyle w:val="Compact"/>
            </w:pPr>
            <w:r>
              <w:t xml:space="preserve">Set state to Off; investigate</w:t>
            </w:r>
          </w:p>
        </w:tc>
      </w:tr>
      <w:tr>
        <w:tc>
          <w:tcPr/>
          <w:p>
            <w:pPr>
              <w:pStyle w:val="Compact"/>
            </w:pPr>
            <w:r>
              <w:t xml:space="preserve">Wave rollback</w:t>
            </w:r>
          </w:p>
        </w:tc>
        <w:tc>
          <w:tcPr/>
          <w:p>
            <w:pPr>
              <w:pStyle w:val="Compact"/>
            </w:pPr>
            <w:r>
              <w:t xml:space="preserve">Several policies in a wave interacting badly</w:t>
            </w:r>
          </w:p>
        </w:tc>
        <w:tc>
          <w:tcPr/>
          <w:p>
            <w:pPr>
              <w:pStyle w:val="Compact"/>
            </w:pPr>
            <w:r>
              <w:t xml:space="preserve">Set the wave’s policies to report-only; open an incident</w:t>
            </w:r>
          </w:p>
        </w:tc>
      </w:tr>
    </w:tbl>
    <w:p>
      <w:pPr>
        <w:pStyle w:val="BodyText"/>
      </w:pPr>
      <w:r>
        <w:t xml:space="preserve">Never delete a policy during a rollback. Microsoft does allow a deleted policy or named location to be restored within 30 days,</w:t>
      </w:r>
      <w:r>
        <w:rPr>
          <w:rStyle w:val="FootnoteReference"/>
        </w:rPr>
        <w:footnoteReference w:id="619"/>
      </w:r>
      <w:r>
        <w:t xml:space="preserve"> </w:t>
      </w:r>
      <w:r>
        <w:t xml:space="preserve">but a deletion breaks the policy’s change history in source control and the drift record has to explain it. If the tenant is locked out entirely, an emergency account signs in to reverse the change; if no administrator can, Microsoft support can update the blocking policy after verification.</w:t>
      </w:r>
      <w:r>
        <w:rPr>
          <w:rStyle w:val="FootnoteReference"/>
        </w:rPr>
        <w:footnoteReference w:id="620"/>
      </w:r>
    </w:p>
    <w:bookmarkEnd w:id="622"/>
    <w:bookmarkEnd w:id="623"/>
    <w:bookmarkStart w:id="635" w:name="monitoring"/>
    <w:p>
      <w:pPr>
        <w:pStyle w:val="Heading2"/>
      </w:pPr>
      <w:bookmarkStart w:id="1233" w:name="_Toc00001233"/>
      <w:r>
        <w:t xml:space="preserve">Monitoring</w:t>
      </w:r>
      <w:bookmarkEnd w:id="1233"/>
    </w:p>
    <w:bookmarkStart w:id="629" w:name="sign-in-log-queries"/>
    <w:p>
      <w:pPr>
        <w:pStyle w:val="Heading3"/>
      </w:pPr>
      <w:r>
        <w:t xml:space="preserve">Sign-in log queries</w:t>
      </w:r>
    </w:p>
    <w:p>
      <w:pPr>
        <w:pStyle w:val="FirstParagraph"/>
      </w:pPr>
      <w:r>
        <w:t xml:space="preserve">The queries run against the</w:t>
      </w:r>
      <w:r>
        <w:t xml:space="preserve"> </w:t>
      </w:r>
      <w:r>
        <w:rPr>
          <w:rStyle w:val="VerbatimChar"/>
        </w:rPr>
        <w:t xml:space="preserve">SigninLogs</w:t>
      </w:r>
      <w:r>
        <w:t xml:space="preserve"> </w:t>
      </w:r>
      <w:r>
        <w:t xml:space="preserve">table in a Log Analytics workspace that receives Entra sign-in logs.</w:t>
      </w:r>
      <w:r>
        <w:t xml:space="preserve"> </w:t>
      </w:r>
      <w:r>
        <w:rPr>
          <w:rStyle w:val="VerbatimChar"/>
        </w:rPr>
        <w:t xml:space="preserve">ResultType</w:t>
      </w:r>
      <w:r>
        <w:t xml:space="preserve"> </w:t>
      </w:r>
      <w:r>
        <w:t xml:space="preserve">is a string column, and the per-policy result values come from Microsoft Graph’s</w:t>
      </w:r>
      <w:r>
        <w:t xml:space="preserve"> </w:t>
      </w:r>
      <w:r>
        <w:rPr>
          <w:rStyle w:val="VerbatimChar"/>
        </w:rPr>
        <w:t xml:space="preserve">appliedConditionalAccessPolicy</w:t>
      </w:r>
      <w:r>
        <w:t xml:space="preserve"> </w:t>
      </w:r>
      <w:r>
        <w:t xml:space="preserve">type.</w:t>
      </w:r>
      <w:r>
        <w:rPr>
          <w:rStyle w:val="FootnoteReference"/>
        </w:rPr>
        <w:footnoteReference w:id="624"/>
      </w:r>
      <w:r>
        <w:rPr>
          <w:rStyle w:val="FootnoteReference"/>
        </w:rPr>
        <w:footnoteReference w:id="626"/>
      </w:r>
    </w:p>
    <w:p>
      <w:pPr>
        <w:pStyle w:val="BodyText"/>
      </w:pPr>
      <w:r>
        <w:t xml:space="preserve">These queries are illustrative and haven’t been tested against a production workspace. Review them, and confirm column values against your own data, before using them for alerting or evidence.</w:t>
      </w:r>
    </w:p>
    <w:p>
      <w:pPr>
        <w:pStyle w:val="BodyText"/>
      </w:pPr>
      <w:r>
        <w:t xml:space="preserve">Policy results by policy, including report-only outcomes:</w:t>
      </w:r>
    </w:p>
    <w:p>
      <w:pPr>
        <w:pStyle w:val="SourceCode"/>
      </w:pPr>
      <w:r>
        <w:rPr>
          <w:rStyle w:val="VerbatimChar"/>
        </w:rPr>
        <w:t xml:space="preserve">SigninLogs</w:t>
      </w:r>
      <w:r>
        <w:br/>
      </w:r>
      <w:r>
        <w:rPr>
          <w:rStyle w:val="VerbatimChar"/>
        </w:rPr>
        <w:t xml:space="preserve">| where TimeGenerated &gt; ago(7d)</w:t>
      </w:r>
      <w:r>
        <w:br/>
      </w:r>
      <w:r>
        <w:rPr>
          <w:rStyle w:val="VerbatimChar"/>
        </w:rPr>
        <w:t xml:space="preserve">| mv-expand ConditionalAccessPolicies</w:t>
      </w:r>
      <w:r>
        <w:br/>
      </w:r>
      <w:r>
        <w:rPr>
          <w:rStyle w:val="VerbatimChar"/>
        </w:rPr>
        <w:t xml:space="preserve">| extend PolicyName = tostring(ConditionalAccessPolicies.displayName),</w:t>
      </w:r>
      <w:r>
        <w:br/>
      </w:r>
      <w:r>
        <w:rPr>
          <w:rStyle w:val="VerbatimChar"/>
        </w:rPr>
        <w:t xml:space="preserve">         PolicyResult = tostring(ConditionalAccessPolicies.result)</w:t>
      </w:r>
      <w:r>
        <w:br/>
      </w:r>
      <w:r>
        <w:rPr>
          <w:rStyle w:val="VerbatimChar"/>
        </w:rPr>
        <w:t xml:space="preserve">| summarize Total = count(),</w:t>
      </w:r>
      <w:r>
        <w:br/>
      </w:r>
      <w:r>
        <w:rPr>
          <w:rStyle w:val="VerbatimChar"/>
        </w:rPr>
        <w:t xml:space="preserve">            Success = countif(PolicyResult == "success"),</w:t>
      </w:r>
      <w:r>
        <w:br/>
      </w:r>
      <w:r>
        <w:rPr>
          <w:rStyle w:val="VerbatimChar"/>
        </w:rPr>
        <w:t xml:space="preserve">            Failure = countif(PolicyResult == "failure"),</w:t>
      </w:r>
      <w:r>
        <w:br/>
      </w:r>
      <w:r>
        <w:rPr>
          <w:rStyle w:val="VerbatimChar"/>
        </w:rPr>
        <w:t xml:space="preserve">            NotApplied = countif(PolicyResult == "notApplied"),</w:t>
      </w:r>
      <w:r>
        <w:br/>
      </w:r>
      <w:r>
        <w:rPr>
          <w:rStyle w:val="VerbatimChar"/>
        </w:rPr>
        <w:t xml:space="preserve">            ReportOnlyFailure = countif(PolicyResult == "reportOnlyFailure"),</w:t>
      </w:r>
      <w:r>
        <w:br/>
      </w:r>
      <w:r>
        <w:rPr>
          <w:rStyle w:val="VerbatimChar"/>
        </w:rPr>
        <w:t xml:space="preserve">            ReportOnlyActionRequired = countif(PolicyResult == "reportOnlyInterrupted")</w:t>
      </w:r>
      <w:r>
        <w:br/>
      </w:r>
      <w:r>
        <w:rPr>
          <w:rStyle w:val="VerbatimChar"/>
        </w:rPr>
        <w:t xml:space="preserve">    by PolicyName</w:t>
      </w:r>
      <w:r>
        <w:br/>
      </w:r>
      <w:r>
        <w:rPr>
          <w:rStyle w:val="VerbatimChar"/>
        </w:rPr>
        <w:t xml:space="preserve">| sort by Total desc</w:t>
      </w:r>
    </w:p>
    <w:p>
      <w:pPr>
        <w:pStyle w:val="FirstParagraph"/>
      </w:pPr>
      <w:r>
        <w:t xml:space="preserve">Sign-ins blocked by Conditional Access in the last day. Error 53003 is</w:t>
      </w:r>
      <w:r>
        <w:t xml:space="preserve"> </w:t>
      </w:r>
      <w:r>
        <w:rPr>
          <w:rStyle w:val="VerbatimChar"/>
        </w:rPr>
        <w:t xml:space="preserve">BlockedByConditionalAccess</w:t>
      </w:r>
      <w:r>
        <w:t xml:space="preserve">:</w:t>
      </w:r>
      <w:r>
        <w:rPr>
          <w:rStyle w:val="FootnoteReference"/>
        </w:rPr>
        <w:footnoteReference w:id="627"/>
      </w:r>
    </w:p>
    <w:p>
      <w:pPr>
        <w:pStyle w:val="SourceCode"/>
      </w:pPr>
      <w:r>
        <w:rPr>
          <w:rStyle w:val="VerbatimChar"/>
        </w:rPr>
        <w:t xml:space="preserve">SigninLogs</w:t>
      </w:r>
      <w:r>
        <w:br/>
      </w:r>
      <w:r>
        <w:rPr>
          <w:rStyle w:val="VerbatimChar"/>
        </w:rPr>
        <w:t xml:space="preserve">| where TimeGenerated &gt; ago(24h)</w:t>
      </w:r>
      <w:r>
        <w:br/>
      </w:r>
      <w:r>
        <w:rPr>
          <w:rStyle w:val="VerbatimChar"/>
        </w:rPr>
        <w:t xml:space="preserve">| where ResultType == "53003"</w:t>
      </w:r>
      <w:r>
        <w:br/>
      </w:r>
      <w:r>
        <w:rPr>
          <w:rStyle w:val="VerbatimChar"/>
        </w:rPr>
        <w:t xml:space="preserve">| project TimeGenerated, UserPrincipalName, AppDisplayName, IPAddress,</w:t>
      </w:r>
      <w:r>
        <w:br/>
      </w:r>
      <w:r>
        <w:rPr>
          <w:rStyle w:val="VerbatimChar"/>
        </w:rPr>
        <w:t xml:space="preserve">          Location = strcat(tostring(LocationDetails.city), ", ", tostring(LocationDetails.countryOrRegion)),</w:t>
      </w:r>
      <w:r>
        <w:br/>
      </w:r>
      <w:r>
        <w:rPr>
          <w:rStyle w:val="VerbatimChar"/>
        </w:rPr>
        <w:t xml:space="preserve">          OS = tostring(DeviceDetail.operatingSystem), ConditionalAccessStatus</w:t>
      </w:r>
      <w:r>
        <w:br/>
      </w:r>
      <w:r>
        <w:rPr>
          <w:rStyle w:val="VerbatimChar"/>
        </w:rPr>
        <w:t xml:space="preserve">| sort by TimeGenerated desc</w:t>
      </w:r>
    </w:p>
    <w:p>
      <w:pPr>
        <w:pStyle w:val="FirstParagraph"/>
      </w:pPr>
      <w:r>
        <w:t xml:space="preserve">Users who would fail the end-state policy (CA022) while it’s in report-only, the list that drives enrollment:</w:t>
      </w:r>
    </w:p>
    <w:p>
      <w:pPr>
        <w:pStyle w:val="SourceCode"/>
      </w:pPr>
      <w:r>
        <w:rPr>
          <w:rStyle w:val="VerbatimChar"/>
        </w:rPr>
        <w:t xml:space="preserve">SigninLogs</w:t>
      </w:r>
      <w:r>
        <w:br/>
      </w:r>
      <w:r>
        <w:rPr>
          <w:rStyle w:val="VerbatimChar"/>
        </w:rPr>
        <w:t xml:space="preserve">| where TimeGenerated &gt; ago(7d)</w:t>
      </w:r>
      <w:r>
        <w:br/>
      </w:r>
      <w:r>
        <w:rPr>
          <w:rStyle w:val="VerbatimChar"/>
        </w:rPr>
        <w:t xml:space="preserve">| mv-expand ConditionalAccessPolicies</w:t>
      </w:r>
      <w:r>
        <w:br/>
      </w:r>
      <w:r>
        <w:rPr>
          <w:rStyle w:val="VerbatimChar"/>
        </w:rPr>
        <w:t xml:space="preserve">| where tostring(ConditionalAccessPolicies.displayName) startswith "CA022-"</w:t>
      </w:r>
      <w:r>
        <w:br/>
      </w:r>
      <w:r>
        <w:rPr>
          <w:rStyle w:val="VerbatimChar"/>
        </w:rPr>
        <w:t xml:space="preserve">| where tostring(ConditionalAccessPolicies.result) in ("reportOnlyFailure", "reportOnlyInterrupted")</w:t>
      </w:r>
      <w:r>
        <w:br/>
      </w:r>
      <w:r>
        <w:rPr>
          <w:rStyle w:val="VerbatimChar"/>
        </w:rPr>
        <w:t xml:space="preserve">| summarize LastSeen = max(TimeGenerated), Apps = make_set(AppDisplayName, 10) by UserPrincipalName</w:t>
      </w:r>
      <w:r>
        <w:br/>
      </w:r>
      <w:r>
        <w:rPr>
          <w:rStyle w:val="VerbatimChar"/>
        </w:rPr>
        <w:t xml:space="preserve">| sort by UserPrincipalName asc</w:t>
      </w:r>
    </w:p>
    <w:p>
      <w:pPr>
        <w:pStyle w:val="FirstParagraph"/>
      </w:pPr>
      <w:r>
        <w:t xml:space="preserve">Legacy authentication still in use, to clear before CA001 is enforced. Microsoft documents</w:t>
      </w:r>
      <w:r>
        <w:t xml:space="preserve"> </w:t>
      </w:r>
      <w:r>
        <w:rPr>
          <w:rStyle w:val="VerbatimChar"/>
        </w:rPr>
        <w:t xml:space="preserve">ClientAppUsed</w:t>
      </w:r>
      <w:r>
        <w:t xml:space="preserve"> </w:t>
      </w:r>
      <w:r>
        <w:t xml:space="preserve">with examples such as Exchange ActiveSync, IMAP, MAPI, SMTP and POP;</w:t>
      </w:r>
      <w:r>
        <w:rPr>
          <w:rStyle w:val="FootnoteReference"/>
        </w:rPr>
        <w:footnoteReference w:id="628"/>
      </w:r>
      <w:r>
        <w:t xml:space="preserve"> </w:t>
      </w:r>
      <w:r>
        <w:t xml:space="preserve">the list below adds names the source library used. Check your own workspace for others before relying on it:</w:t>
      </w:r>
    </w:p>
    <w:p>
      <w:pPr>
        <w:pStyle w:val="SourceCode"/>
      </w:pPr>
      <w:r>
        <w:rPr>
          <w:rStyle w:val="VerbatimChar"/>
        </w:rPr>
        <w:t xml:space="preserve">SigninLogs</w:t>
      </w:r>
      <w:r>
        <w:br/>
      </w:r>
      <w:r>
        <w:rPr>
          <w:rStyle w:val="VerbatimChar"/>
        </w:rPr>
        <w:t xml:space="preserve">| where TimeGenerated &gt; ago(14d)</w:t>
      </w:r>
      <w:r>
        <w:br/>
      </w:r>
      <w:r>
        <w:rPr>
          <w:rStyle w:val="VerbatimChar"/>
        </w:rPr>
        <w:t xml:space="preserve">| where ClientAppUsed in ("Exchange ActiveSync", "IMAP", "IMAP4", "MAPI", "MAPI Over HTTP",</w:t>
      </w:r>
      <w:r>
        <w:br/>
      </w:r>
      <w:r>
        <w:rPr>
          <w:rStyle w:val="VerbatimChar"/>
        </w:rPr>
        <w:t xml:space="preserve">                          "POP", "POP3", "SMTP", "Authenticated SMTP", "Autodiscover",</w:t>
      </w:r>
      <w:r>
        <w:br/>
      </w:r>
      <w:r>
        <w:rPr>
          <w:rStyle w:val="VerbatimChar"/>
        </w:rPr>
        <w:t xml:space="preserve">                          "Offline Address Book", "Outlook Anywhere (RPC over HTTP)",</w:t>
      </w:r>
      <w:r>
        <w:br/>
      </w:r>
      <w:r>
        <w:rPr>
          <w:rStyle w:val="VerbatimChar"/>
        </w:rPr>
        <w:t xml:space="preserve">                          "Reporting Web Services", "Other clients")</w:t>
      </w:r>
      <w:r>
        <w:br/>
      </w:r>
      <w:r>
        <w:rPr>
          <w:rStyle w:val="VerbatimChar"/>
        </w:rPr>
        <w:t xml:space="preserve">| summarize Attempts = count() by UserPrincipalName, ClientAppUsed, AppDisplayName</w:t>
      </w:r>
      <w:r>
        <w:br/>
      </w:r>
      <w:r>
        <w:rPr>
          <w:rStyle w:val="VerbatimChar"/>
        </w:rPr>
        <w:t xml:space="preserve">| sort by Attempts desc</w:t>
      </w:r>
    </w:p>
    <w:p>
      <w:pPr>
        <w:pStyle w:val="FirstParagraph"/>
      </w:pPr>
      <w:r>
        <w:t xml:space="preserve">Coverage gaps: successful sign-ins that no policy applied to. With CA018 enforced this should be empty for interactive user sign-ins:</w:t>
      </w:r>
    </w:p>
    <w:p>
      <w:pPr>
        <w:pStyle w:val="SourceCode"/>
      </w:pPr>
      <w:r>
        <w:rPr>
          <w:rStyle w:val="VerbatimChar"/>
        </w:rPr>
        <w:t xml:space="preserve">SigninLogs</w:t>
      </w:r>
      <w:r>
        <w:br/>
      </w:r>
      <w:r>
        <w:rPr>
          <w:rStyle w:val="VerbatimChar"/>
        </w:rPr>
        <w:t xml:space="preserve">| where TimeGenerated &gt; ago(7d)</w:t>
      </w:r>
      <w:r>
        <w:br/>
      </w:r>
      <w:r>
        <w:rPr>
          <w:rStyle w:val="VerbatimChar"/>
        </w:rPr>
        <w:t xml:space="preserve">| where ResultType == "0" and ConditionalAccessStatus == "notApplied"</w:t>
      </w:r>
      <w:r>
        <w:br/>
      </w:r>
      <w:r>
        <w:rPr>
          <w:rStyle w:val="VerbatimChar"/>
        </w:rPr>
        <w:t xml:space="preserve">| summarize SignIns = count(), Users = dcount(UserPrincipalName) by AppDisplayName</w:t>
      </w:r>
      <w:r>
        <w:br/>
      </w:r>
      <w:r>
        <w:rPr>
          <w:rStyle w:val="VerbatimChar"/>
        </w:rPr>
        <w:t xml:space="preserve">| sort by SignIns desc</w:t>
      </w:r>
    </w:p>
    <w:p>
      <w:pPr>
        <w:pStyle w:val="FirstParagraph"/>
      </w:pPr>
      <w:r>
        <w:t xml:space="preserve">Emergency account use, matched on object IDs because the accounts’ names don’t reveal their purpose:</w:t>
      </w:r>
    </w:p>
    <w:p>
      <w:pPr>
        <w:pStyle w:val="SourceCode"/>
      </w:pPr>
      <w:r>
        <w:rPr>
          <w:rStyle w:val="VerbatimChar"/>
        </w:rPr>
        <w:t xml:space="preserve">let EmergencyIds = dynamic(["{emergency-account-1-object-id}", "{emergency-account-2-object-id}"]);</w:t>
      </w:r>
      <w:r>
        <w:br/>
      </w:r>
      <w:r>
        <w:rPr>
          <w:rStyle w:val="VerbatimChar"/>
        </w:rPr>
        <w:t xml:space="preserve">SigninLogs</w:t>
      </w:r>
      <w:r>
        <w:br/>
      </w:r>
      <w:r>
        <w:rPr>
          <w:rStyle w:val="VerbatimChar"/>
        </w:rPr>
        <w:t xml:space="preserve">| where TimeGenerated &gt; ago(1h)</w:t>
      </w:r>
      <w:r>
        <w:br/>
      </w:r>
      <w:r>
        <w:rPr>
          <w:rStyle w:val="VerbatimChar"/>
        </w:rPr>
        <w:t xml:space="preserve">| where UserId in (EmergencyIds)</w:t>
      </w:r>
      <w:r>
        <w:br/>
      </w:r>
      <w:r>
        <w:rPr>
          <w:rStyle w:val="VerbatimChar"/>
        </w:rPr>
        <w:t xml:space="preserve">| project TimeGenerated, UserPrincipalName, AppDisplayName, IPAddress, ResultType</w:t>
      </w:r>
    </w:p>
    <w:p>
      <w:pPr>
        <w:pStyle w:val="FirstParagraph"/>
      </w:pPr>
      <w:r>
        <w:t xml:space="preserve">The source library’s emergency-access alert matched on user names containing</w:t>
      </w:r>
      <w:r>
        <w:t xml:space="preserve"> </w:t>
      </w:r>
      <w:r>
        <w:t xml:space="preserve">“BreakGlass.”</w:t>
      </w:r>
      <w:r>
        <w:t xml:space="preserve"> </w:t>
      </w:r>
      <w:r>
        <w:t xml:space="preserve">That stops working once the accounts follow Book 02’s naming rule, so the program alerts on object IDs. Every match is a critical incident until a post-use review closes it; the storage, alerting and validation procedure is in Book 02, Chapter 09 and Vol III Book 01.</w:t>
      </w:r>
    </w:p>
    <w:bookmarkEnd w:id="629"/>
    <w:bookmarkStart w:id="632" w:name="workbooks-and-views"/>
    <w:p>
      <w:pPr>
        <w:pStyle w:val="Heading3"/>
      </w:pPr>
      <w:r>
        <w:t xml:space="preserve">Workbooks and views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View</w:t>
            </w:r>
          </w:p>
        </w:tc>
        <w:tc>
          <w:tcPr/>
          <w:p>
            <w:pPr>
              <w:pStyle w:val="Compact"/>
            </w:pPr>
            <w:r>
              <w:t xml:space="preserve">Purpose</w:t>
            </w:r>
          </w:p>
        </w:tc>
        <w:tc>
          <w:tcPr/>
          <w:p>
            <w:pPr>
              <w:pStyle w:val="Compact"/>
            </w:pPr>
            <w:r>
              <w:t xml:space="preserve">Key measures</w:t>
            </w:r>
          </w:p>
        </w:tc>
      </w:tr>
      <w:tr>
        <w:tc>
          <w:tcPr/>
          <w:p>
            <w:pPr>
              <w:pStyle w:val="Compact"/>
            </w:pPr>
            <w:r>
              <w:t xml:space="preserve">Conditional Access insights and reporting workbook</w:t>
            </w:r>
          </w:p>
        </w:tc>
        <w:tc>
          <w:tcPr/>
          <w:p>
            <w:pPr>
              <w:pStyle w:val="Compact"/>
            </w:pPr>
            <w:r>
              <w:t xml:space="preserve">Policy impact, report-only analysis, failure reasons by policy</w:t>
            </w:r>
          </w:p>
        </w:tc>
        <w:tc>
          <w:tcPr/>
          <w:p>
            <w:pPr>
              <w:pStyle w:val="Compact"/>
            </w:pPr>
            <w:r>
              <w:t xml:space="preserve">Report-only failure rate per policy; enforced vs. report-only counts. Needs P1 and Log Analytics</w:t>
            </w:r>
            <w:r>
              <w:rPr>
                <w:rStyle w:val="FootnoteReference"/>
              </w:rPr>
              <w:footnoteReference w:id="630"/>
            </w:r>
          </w:p>
        </w:tc>
      </w:tr>
      <w:tr>
        <w:tc>
          <w:tcPr/>
          <w:p>
            <w:pPr>
              <w:pStyle w:val="Compact"/>
            </w:pPr>
            <w:r>
              <w:t xml:space="preserve">Policy impact (in each policy)</w:t>
            </w:r>
          </w:p>
        </w:tc>
        <w:tc>
          <w:tcPr/>
          <w:p>
            <w:pPr>
              <w:pStyle w:val="Compact"/>
            </w:pPr>
            <w:r>
              <w:t xml:space="preserve">Snapshot of impact over 24 hours, 7 days or a month</w:t>
            </w:r>
          </w:p>
        </w:tc>
        <w:tc>
          <w:tcPr/>
          <w:p>
            <w:pPr>
              <w:pStyle w:val="Compact"/>
            </w:pPr>
            <w:r>
              <w:t xml:space="preserve">Readable with Security Reader</w:t>
            </w:r>
            <w:r>
              <w:rPr>
                <w:rStyle w:val="FootnoteReference"/>
              </w:rPr>
              <w:footnoteReference w:id="631"/>
            </w:r>
          </w:p>
        </w:tc>
      </w:tr>
      <w:tr>
        <w:tc>
          <w:tcPr/>
          <w:p>
            <w:pPr>
              <w:pStyle w:val="Compact"/>
            </w:pPr>
            <w:r>
              <w:t xml:space="preserve">Authentication methods activity</w:t>
            </w:r>
          </w:p>
        </w:tc>
        <w:tc>
          <w:tcPr/>
          <w:p>
            <w:pPr>
              <w:pStyle w:val="Compact"/>
            </w:pPr>
            <w:r>
              <w:t xml:space="preserve">Registration completeness</w:t>
            </w:r>
          </w:p>
        </w:tc>
        <w:tc>
          <w:tcPr/>
          <w:p>
            <w:pPr>
              <w:pStyle w:val="Compact"/>
            </w:pPr>
            <w:r>
              <w:t xml:space="preserve">Percent of members with a phishing-resistant method, by persona</w:t>
            </w:r>
          </w:p>
        </w:tc>
      </w:tr>
      <w:tr>
        <w:tc>
          <w:tcPr/>
          <w:p>
            <w:pPr>
              <w:pStyle w:val="Compact"/>
            </w:pPr>
            <w:r>
              <w:t xml:space="preserve">Device compliance (Intune)</w:t>
            </w:r>
          </w:p>
        </w:tc>
        <w:tc>
          <w:tcPr/>
          <w:p>
            <w:pPr>
              <w:pStyle w:val="Compact"/>
            </w:pPr>
            <w:r>
              <w:t xml:space="preserve">Compliance by platform and by device label</w:t>
            </w:r>
          </w:p>
        </w:tc>
        <w:tc>
          <w:tcPr/>
          <w:p>
            <w:pPr>
              <w:pStyle w:val="Compact"/>
            </w:pPr>
            <w:r>
              <w:t xml:space="preserve">Noncompliant PAWs and shared devices are an incident, not a trend</w:t>
            </w:r>
          </w:p>
        </w:tc>
      </w:tr>
      <w:tr>
        <w:tc>
          <w:tcPr/>
          <w:p>
            <w:pPr>
              <w:pStyle w:val="Compact"/>
            </w:pPr>
            <w:r>
              <w:t xml:space="preserve">Risk event analysis (ID Protection)</w:t>
            </w:r>
          </w:p>
        </w:tc>
        <w:tc>
          <w:tcPr/>
          <w:p>
            <w:pPr>
              <w:pStyle w:val="Compact"/>
            </w:pPr>
            <w:r>
              <w:t xml:space="preserve">Risk detections and the policies that acted on them</w:t>
            </w:r>
          </w:p>
        </w:tc>
        <w:tc>
          <w:tcPr/>
          <w:p>
            <w:pPr>
              <w:pStyle w:val="Compact"/>
            </w:pPr>
            <w:r>
              <w:t xml:space="preserve">CA013, CA014 and CA019 hits; time to remediate</w:t>
            </w:r>
          </w:p>
        </w:tc>
      </w:tr>
      <w:tr>
        <w:tc>
          <w:tcPr/>
          <w:p>
            <w:pPr>
              <w:pStyle w:val="Compact"/>
            </w:pPr>
            <w:r>
              <w:t xml:space="preserve">Emergency access</w:t>
            </w:r>
          </w:p>
        </w:tc>
        <w:tc>
          <w:tcPr/>
          <w:p>
            <w:pPr>
              <w:pStyle w:val="Compact"/>
            </w:pPr>
            <w:r>
              <w:t xml:space="preserve">Any use of the emergency accounts</w:t>
            </w:r>
          </w:p>
        </w:tc>
        <w:tc>
          <w:tcPr/>
          <w:p>
            <w:pPr>
              <w:pStyle w:val="Compact"/>
            </w:pPr>
            <w:r>
              <w:t xml:space="preserve">Sign-ins should be zero outside scheduled validation</w:t>
            </w:r>
          </w:p>
        </w:tc>
      </w:tr>
    </w:tbl>
    <w:bookmarkEnd w:id="632"/>
    <w:bookmarkStart w:id="634" w:name="drift"/>
    <w:p>
      <w:pPr>
        <w:pStyle w:val="Heading3"/>
      </w:pPr>
      <w:r>
        <w:t xml:space="preserve">Drift</w:t>
      </w:r>
    </w:p>
    <w:p>
      <w:pPr>
        <w:pStyle w:val="FirstParagraph"/>
      </w:pPr>
      <w:r>
        <w:t xml:space="preserve">The policy set in the tenant must equal the policy set in source control. The program’s drift check, described in Chapter 10, compares them and alerts on:</w:t>
      </w:r>
    </w:p>
    <w:p>
      <w:pPr>
        <w:pStyle w:val="Compact"/>
        <w:numPr>
          <w:ilvl w:val="0"/>
          <w:numId w:val="1041"/>
        </w:numPr>
      </w:pPr>
      <w:r>
        <w:t xml:space="preserve">a policy whose state changed (On to Off or report-only) without an approved change;</w:t>
      </w:r>
    </w:p>
    <w:p>
      <w:pPr>
        <w:pStyle w:val="Compact"/>
        <w:numPr>
          <w:ilvl w:val="0"/>
          <w:numId w:val="1041"/>
        </w:numPr>
      </w:pPr>
      <w:r>
        <w:t xml:space="preserve">a change to any exclusion group’s membership, especially</w:t>
      </w:r>
      <w:r>
        <w:t xml:space="preserve"> </w:t>
      </w:r>
      <w:r>
        <w:rPr>
          <w:rStyle w:val="VerbatimChar"/>
        </w:rPr>
        <w:t xml:space="preserve">CA-Exclude-EmergencyAccess</w:t>
      </w:r>
      <w:r>
        <w:t xml:space="preserve">;</w:t>
      </w:r>
    </w:p>
    <w:p>
      <w:pPr>
        <w:pStyle w:val="Compact"/>
        <w:numPr>
          <w:ilvl w:val="0"/>
          <w:numId w:val="1041"/>
        </w:numPr>
      </w:pPr>
      <w:r>
        <w:t xml:space="preserve">a change to conditions, named locations, authentication strengths, or grant and session controls;</w:t>
      </w:r>
    </w:p>
    <w:p>
      <w:pPr>
        <w:pStyle w:val="Compact"/>
        <w:numPr>
          <w:ilvl w:val="0"/>
          <w:numId w:val="1041"/>
        </w:numPr>
      </w:pPr>
      <w:r>
        <w:t xml:space="preserve">a policy created or deleted outside the pipeline, including a Microsoft-managed policy that Microsoft added or enabled;</w:t>
      </w:r>
    </w:p>
    <w:p>
      <w:pPr>
        <w:pStyle w:val="Compact"/>
        <w:numPr>
          <w:ilvl w:val="0"/>
          <w:numId w:val="1041"/>
        </w:numPr>
      </w:pPr>
      <w:r>
        <w:t xml:space="preserve">users or devices whose persona or device attributes are missing, which puts them outside attribute-scoped policies.</w:t>
      </w:r>
    </w:p>
    <w:p>
      <w:pPr>
        <w:pStyle w:val="FirstParagraph"/>
      </w:pPr>
      <w:r>
        <w:t xml:space="preserve">Protected actions require fresh strong authentication to change Conditional Access policies and named locations, which narrows who can cause drift in the first place (Book 02, Chapter 09).</w:t>
      </w:r>
      <w:r>
        <w:rPr>
          <w:rStyle w:val="FootnoteReference"/>
        </w:rPr>
        <w:footnoteReference w:id="633"/>
      </w:r>
    </w:p>
    <w:bookmarkEnd w:id="634"/>
    <w:bookmarkEnd w:id="635"/>
    <w:bookmarkStart w:id="651" w:name="Xe480942710a12774fe6d9fe06e0cf41da637e9e"/>
    <w:p>
      <w:pPr>
        <w:pStyle w:val="Heading2"/>
      </w:pPr>
      <w:bookmarkStart w:id="1234" w:name="_Toc00001234"/>
      <w:r>
        <w:t xml:space="preserve">What the library answers in federal requirements</w:t>
      </w:r>
      <w:bookmarkEnd w:id="1234"/>
    </w:p>
    <w:bookmarkStart w:id="639" w:name="cisa-bod-25-01"/>
    <w:p>
      <w:pPr>
        <w:pStyle w:val="Heading3"/>
      </w:pPr>
      <w:r>
        <w:t xml:space="preserve">CISA BOD 25-01</w:t>
      </w:r>
    </w:p>
    <w:p>
      <w:pPr>
        <w:pStyle w:val="FirstParagraph"/>
      </w:pPr>
      <w:r>
        <w:t xml:space="preserve">BOD 25-01 requires federal civilian agencies to implement CISA’s mandatory SCuBA configurations for in-scope cloud tenants; the deadline for the configurations effective at issuance was June 20, 2025.</w:t>
      </w:r>
      <w:r>
        <w:rPr>
          <w:rStyle w:val="FootnoteReference"/>
        </w:rPr>
        <w:footnoteReference w:id="636"/>
      </w:r>
      <w:r>
        <w:t xml:space="preserve"> </w:t>
      </w:r>
      <w:r>
        <w:t xml:space="preserve">The Microsoft Entra ID items in the required list that Conditional Access answers: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Required configuration</w:t>
            </w:r>
          </w:p>
        </w:tc>
        <w:tc>
          <w:tcPr/>
          <w:p>
            <w:pPr>
              <w:pStyle w:val="Compact"/>
            </w:pPr>
            <w:r>
              <w:t xml:space="preserve">Text</w:t>
            </w:r>
          </w:p>
        </w:tc>
        <w:tc>
          <w:tcPr/>
          <w:p>
            <w:pPr>
              <w:pStyle w:val="Compact"/>
            </w:pPr>
            <w:r>
              <w:t xml:space="preserve">Library policy</w:t>
            </w:r>
          </w:p>
        </w:tc>
      </w:tr>
      <w:tr>
        <w:tc>
          <w:tcPr/>
          <w:p>
            <w:pPr>
              <w:pStyle w:val="Compact"/>
            </w:pPr>
            <w:r>
              <w:t xml:space="preserve">MS.AAD.1.1v1</w:t>
            </w:r>
          </w:p>
        </w:tc>
        <w:tc>
          <w:tcPr/>
          <w:p>
            <w:pPr>
              <w:pStyle w:val="Compact"/>
            </w:pPr>
            <w:r>
              <w:t xml:space="preserve">Legacy authentication shall be blocked</w:t>
            </w:r>
          </w:p>
        </w:tc>
        <w:tc>
          <w:tcPr/>
          <w:p>
            <w:pPr>
              <w:pStyle w:val="Compact"/>
            </w:pPr>
            <w:r>
              <w:t xml:space="preserve">CA001</w:t>
            </w:r>
          </w:p>
        </w:tc>
      </w:tr>
      <w:tr>
        <w:tc>
          <w:tcPr/>
          <w:p>
            <w:pPr>
              <w:pStyle w:val="Compact"/>
            </w:pPr>
            <w:r>
              <w:t xml:space="preserve">MS.AAD.2.1v1</w:t>
            </w:r>
          </w:p>
        </w:tc>
        <w:tc>
          <w:tcPr/>
          <w:p>
            <w:pPr>
              <w:pStyle w:val="Compact"/>
            </w:pPr>
            <w:r>
              <w:t xml:space="preserve">Users detected as high risk shall be blocked</w:t>
            </w:r>
          </w:p>
        </w:tc>
        <w:tc>
          <w:tcPr/>
          <w:p>
            <w:pPr>
              <w:pStyle w:val="Compact"/>
            </w:pPr>
            <w:r>
              <w:t xml:space="preserve">CA013 in its block form</w:t>
            </w:r>
          </w:p>
        </w:tc>
      </w:tr>
      <w:tr>
        <w:tc>
          <w:tcPr/>
          <w:p>
            <w:pPr>
              <w:pStyle w:val="Compact"/>
            </w:pPr>
            <w:r>
              <w:t xml:space="preserve">MS.AAD.2.3v1</w:t>
            </w:r>
          </w:p>
        </w:tc>
        <w:tc>
          <w:tcPr/>
          <w:p>
            <w:pPr>
              <w:pStyle w:val="Compact"/>
            </w:pPr>
            <w:r>
              <w:t xml:space="preserve">Sign-ins detected as high risk shall be blocked</w:t>
            </w:r>
          </w:p>
        </w:tc>
        <w:tc>
          <w:tcPr/>
          <w:p>
            <w:pPr>
              <w:pStyle w:val="Compact"/>
            </w:pPr>
            <w:r>
              <w:t xml:space="preserve">CA019 (and CA012 until retired)</w:t>
            </w:r>
          </w:p>
        </w:tc>
      </w:tr>
      <w:tr>
        <w:tc>
          <w:tcPr/>
          <w:p>
            <w:pPr>
              <w:pStyle w:val="Compact"/>
            </w:pPr>
            <w:r>
              <w:t xml:space="preserve">MS.AAD.3.1v1</w:t>
            </w:r>
          </w:p>
        </w:tc>
        <w:tc>
          <w:tcPr/>
          <w:p>
            <w:pPr>
              <w:pStyle w:val="Compact"/>
            </w:pPr>
            <w:r>
              <w:t xml:space="preserve">Phishing-resistant MFA shall be enforced for all users</w:t>
            </w:r>
          </w:p>
        </w:tc>
        <w:tc>
          <w:tcPr/>
          <w:p>
            <w:pPr>
              <w:pStyle w:val="Compact"/>
            </w:pPr>
            <w:r>
              <w:t xml:space="preserve">CA022, with CA003 for administrators</w:t>
            </w:r>
          </w:p>
        </w:tc>
      </w:tr>
      <w:tr>
        <w:tc>
          <w:tcPr/>
          <w:p>
            <w:pPr>
              <w:pStyle w:val="Compact"/>
            </w:pPr>
            <w:r>
              <w:t xml:space="preserve">MS.AAD.3.2v1</w:t>
            </w:r>
          </w:p>
        </w:tc>
        <w:tc>
          <w:tcPr/>
          <w:p>
            <w:pPr>
              <w:pStyle w:val="Compact"/>
            </w:pPr>
            <w:r>
              <w:t xml:space="preserve">If phishing-resistant MFA isn’t enforced yet, an alternative MFA method shall be enforced for all users</w:t>
            </w:r>
          </w:p>
        </w:tc>
        <w:tc>
          <w:tcPr/>
          <w:p>
            <w:pPr>
              <w:pStyle w:val="Compact"/>
            </w:pPr>
            <w:r>
              <w:t xml:space="preserve">CA006, CA009, CA018 (interim)</w:t>
            </w:r>
          </w:p>
        </w:tc>
      </w:tr>
      <w:tr>
        <w:tc>
          <w:tcPr/>
          <w:p>
            <w:pPr>
              <w:pStyle w:val="Compact"/>
            </w:pPr>
            <w:r>
              <w:t xml:space="preserve">MS.AAD.3.6v1</w:t>
            </w:r>
          </w:p>
        </w:tc>
        <w:tc>
          <w:tcPr/>
          <w:p>
            <w:pPr>
              <w:pStyle w:val="Compact"/>
            </w:pPr>
            <w:r>
              <w:t xml:space="preserve">Phishing-resistant MFA shall be required for highly privileged roles</w:t>
            </w:r>
          </w:p>
        </w:tc>
        <w:tc>
          <w:tcPr/>
          <w:p>
            <w:pPr>
              <w:pStyle w:val="Compact"/>
            </w:pPr>
            <w:r>
              <w:t xml:space="preserve">CA003</w:t>
            </w:r>
          </w:p>
        </w:tc>
      </w:tr>
    </w:tbl>
    <w:p>
      <w:pPr>
        <w:pStyle w:val="BodyText"/>
      </w:pPr>
      <w:r>
        <w:t xml:space="preserve">Source: CISA’s required-configurations list.</w:t>
      </w:r>
      <w:r>
        <w:rPr>
          <w:rStyle w:val="FootnoteReference"/>
        </w:rPr>
        <w:footnoteReference w:id="637"/>
      </w:r>
      <w:r>
        <w:t xml:space="preserve"> </w:t>
      </w:r>
      <w:r>
        <w:t xml:space="preserve">The other mandatory Entra items (authentication methods settings, application consent, password expiry, and the privileged-role rules in MS.AAD.7) aren’t Conditional Access settings; they’re in Book 02, Chapter 10, Chapter 05 and Chapter 08. Two SHOULD items from the SCuBA Entra baseline are met by CA007 (MS.AAD.3.7, managed devices for authentication) and CA020 (MS.AAD.3.8, managed devices to register MFA).</w:t>
      </w:r>
      <w:r>
        <w:rPr>
          <w:rStyle w:val="FootnoteReference"/>
        </w:rPr>
        <w:footnoteReference w:id="638"/>
      </w:r>
    </w:p>
    <w:bookmarkEnd w:id="639"/>
    <w:bookmarkStart w:id="646" w:name="nist-sp-800-53-and-fedramp-20x"/>
    <w:p>
      <w:pPr>
        <w:pStyle w:val="Heading3"/>
      </w:pPr>
      <w:r>
        <w:t xml:space="preserve">NIST SP 800-53 and FedRAMP 20x</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asks</w:t>
            </w:r>
          </w:p>
        </w:tc>
        <w:tc>
          <w:tcPr/>
          <w:p>
            <w:pPr>
              <w:pStyle w:val="Compact"/>
            </w:pPr>
            <w:r>
              <w:t xml:space="preserve">Library policies</w:t>
            </w:r>
          </w:p>
        </w:tc>
      </w:tr>
      <w:tr>
        <w:tc>
          <w:tcPr/>
          <w:p>
            <w:pPr>
              <w:pStyle w:val="Compact"/>
            </w:pPr>
            <w:r>
              <w:t xml:space="preserve">AC-3 Access Enforcement</w:t>
            </w:r>
          </w:p>
        </w:tc>
        <w:tc>
          <w:tcPr/>
          <w:p>
            <w:pPr>
              <w:pStyle w:val="Compact"/>
            </w:pPr>
            <w:r>
              <w:t xml:space="preserve">Enforce approved authorizations for logical access</w:t>
            </w:r>
          </w:p>
        </w:tc>
        <w:tc>
          <w:tcPr/>
          <w:p>
            <w:pPr>
              <w:pStyle w:val="Compact"/>
            </w:pPr>
            <w:r>
              <w:t xml:space="preserve">The library as a whole; CA030 to CA035 for application segmentation</w:t>
            </w:r>
          </w:p>
        </w:tc>
      </w:tr>
      <w:tr>
        <w:tc>
          <w:tcPr/>
          <w:p>
            <w:pPr>
              <w:pStyle w:val="Compact"/>
            </w:pPr>
            <w:r>
              <w:t xml:space="preserve">AC-12 Session Termination</w:t>
            </w:r>
          </w:p>
        </w:tc>
        <w:tc>
          <w:tcPr/>
          <w:p>
            <w:pPr>
              <w:pStyle w:val="Compact"/>
            </w:pPr>
            <w:r>
              <w:t xml:space="preserve">Terminate sessions after defined conditions</w:t>
            </w:r>
          </w:p>
        </w:tc>
        <w:tc>
          <w:tcPr/>
          <w:p>
            <w:pPr>
              <w:pStyle w:val="Compact"/>
            </w:pPr>
            <w:r>
              <w:t xml:space="preserve">Sign-in frequency in CA003, CA026, CA029, CA031; CAE on critical events</w:t>
            </w:r>
          </w:p>
        </w:tc>
      </w:tr>
      <w:tr>
        <w:tc>
          <w:tcPr/>
          <w:p>
            <w:pPr>
              <w:pStyle w:val="Compact"/>
            </w:pPr>
            <w:r>
              <w:t xml:space="preserve">AC-17 Remote Access</w:t>
            </w:r>
          </w:p>
        </w:tc>
        <w:tc>
          <w:tcPr/>
          <w:p>
            <w:pPr>
              <w:pStyle w:val="Compact"/>
            </w:pPr>
            <w:r>
              <w:t xml:space="preserve">Usage restrictions and authorization for each type of remote access</w:t>
            </w:r>
          </w:p>
        </w:tc>
        <w:tc>
          <w:tcPr/>
          <w:p>
            <w:pPr>
              <w:pStyle w:val="Compact"/>
            </w:pPr>
            <w:r>
              <w:t xml:space="preserve">CA005, CA008, CA023, CA024, CA029</w:t>
            </w:r>
          </w:p>
        </w:tc>
      </w:tr>
      <w:tr>
        <w:tc>
          <w:tcPr/>
          <w:p>
            <w:pPr>
              <w:pStyle w:val="Compact"/>
            </w:pPr>
            <w:r>
              <w:t xml:space="preserve">AC-19 Access Control for Mobile Devices</w:t>
            </w:r>
          </w:p>
        </w:tc>
        <w:tc>
          <w:tcPr/>
          <w:p>
            <w:pPr>
              <w:pStyle w:val="Compact"/>
            </w:pPr>
            <w:r>
              <w:t xml:space="preserve">Configuration and connection requirements for mobile devices</w:t>
            </w:r>
          </w:p>
        </w:tc>
        <w:tc>
          <w:tcPr/>
          <w:p>
            <w:pPr>
              <w:pStyle w:val="Compact"/>
            </w:pPr>
            <w:r>
              <w:t xml:space="preserve">CA017, CA007</w:t>
            </w:r>
          </w:p>
        </w:tc>
      </w:tr>
      <w:tr>
        <w:tc>
          <w:tcPr/>
          <w:p>
            <w:pPr>
              <w:pStyle w:val="Compact"/>
            </w:pPr>
            <w:r>
              <w:t xml:space="preserve">IA-2(1), IA-2(2)</w:t>
            </w:r>
          </w:p>
        </w:tc>
        <w:tc>
          <w:tcPr/>
          <w:p>
            <w:pPr>
              <w:pStyle w:val="Compact"/>
            </w:pPr>
            <w:r>
              <w:t xml:space="preserve">MFA for privileged and non-privileged accounts; FedRAMP’s guidance requires it to be phishing-resistant</w:t>
            </w:r>
          </w:p>
        </w:tc>
        <w:tc>
          <w:tcPr/>
          <w:p>
            <w:pPr>
              <w:pStyle w:val="Compact"/>
            </w:pPr>
            <w:r>
              <w:t xml:space="preserve">CA003, CA022; CA006 and CA018 in the interim</w:t>
            </w:r>
          </w:p>
        </w:tc>
      </w:tr>
      <w:tr>
        <w:tc>
          <w:tcPr/>
          <w:p>
            <w:pPr>
              <w:pStyle w:val="Compact"/>
            </w:pPr>
            <w:r>
              <w:t xml:space="preserve">IA-8</w:t>
            </w:r>
          </w:p>
        </w:tc>
        <w:tc>
          <w:tcPr/>
          <w:p>
            <w:pPr>
              <w:pStyle w:val="Compact"/>
            </w:pPr>
            <w:r>
              <w:t xml:space="preserve">Identify and authenticate non-organizational users</w:t>
            </w:r>
          </w:p>
        </w:tc>
        <w:tc>
          <w:tcPr/>
          <w:p>
            <w:pPr>
              <w:pStyle w:val="Compact"/>
            </w:pPr>
            <w:r>
              <w:t xml:space="preserve">CA009 to CA012, CA038</w:t>
            </w:r>
          </w:p>
        </w:tc>
      </w:tr>
      <w:tr>
        <w:tc>
          <w:tcPr/>
          <w:p>
            <w:pPr>
              <w:pStyle w:val="Compact"/>
            </w:pPr>
            <w:r>
              <w:t xml:space="preserve">IA-11 Re-authentication</w:t>
            </w:r>
          </w:p>
        </w:tc>
        <w:tc>
          <w:tcPr/>
          <w:p>
            <w:pPr>
              <w:pStyle w:val="Compact"/>
            </w:pPr>
            <w:r>
              <w:t xml:space="preserve">Re-authenticate under defined circumstances</w:t>
            </w:r>
          </w:p>
        </w:tc>
        <w:tc>
          <w:tcPr/>
          <w:p>
            <w:pPr>
              <w:pStyle w:val="Compact"/>
            </w:pPr>
            <w:r>
              <w:t xml:space="preserve">CA014 (every time on risk), sign-in frequency settings</w:t>
            </w:r>
          </w:p>
        </w:tc>
      </w:tr>
    </w:tbl>
    <w:p>
      <w:pPr>
        <w:pStyle w:val="BodyText"/>
      </w:pPr>
      <w:r>
        <w:t xml:space="preserve">Control text is from FedRAMP’s Rev. 5 catalog.</w:t>
      </w:r>
      <w:r>
        <w:rPr>
          <w:rStyle w:val="FootnoteReference"/>
        </w:rPr>
        <w:footnoteReference w:id="640"/>
      </w:r>
      <w:r>
        <w:rPr>
          <w:rStyle w:val="FootnoteReference"/>
        </w:rPr>
        <w:footnoteReference w:id="642"/>
      </w:r>
      <w:r>
        <w:t xml:space="preserve"> </w:t>
      </w:r>
      <w:r>
        <w:t xml:space="preserve">The source library mapped sign-in frequency to AC-11, Device Lock; that control is about locking the device after inactivity, which Intune configures, so the mapping is corrected to AC-12 and IA-11. It also mapped risk policies to AC-7, Unsuccessful Logon Attempts; AC-7 is a lockout threshold on failed logons, and Conditional Access runs only after a successful first factor, so risk policies complement AC-7 rather than meet it.</w:t>
      </w:r>
    </w:p>
    <w:p>
      <w:pPr>
        <w:pStyle w:val="BodyText"/>
      </w:pPr>
      <w:r>
        <w:t xml:space="preserve">Among FedRAMP 20x’s identity indicators, the library is evidence for KSI-IAM-APM (passwordless and phishing-resistant methods: CA003, CA022), KSI-IAM-ELP (least privilege: CA027, CA030, CA033, CA035), KSI-IAM-SNU (non-user authentication: CA015, CA037) and part of KSI-IAM-SUS (securing accounts on suspicious activity: CA013, CA019, CA036).</w:t>
      </w:r>
      <w:r>
        <w:rPr>
          <w:rStyle w:val="FootnoteReference"/>
        </w:rPr>
        <w:footnoteReference w:id="644"/>
      </w:r>
      <w:r>
        <w:t xml:space="preserve"> </w:t>
      </w:r>
      <w:r>
        <w:t xml:space="preserve">Just-in-time authorization (KSI-IAM-JIT) is PIM’s job (Chapter 08), and automated account management (KSI-IAM-AAM) is Book 03’s. Citing this library for indicators outside identity, such as recovery planning or incident response, would overclaim. How the evidence is produced is Chapter 10’s subject, and Book 02, Appendix A has the full crosswalk.</w:t>
      </w:r>
    </w:p>
    <w:bookmarkEnd w:id="646"/>
    <w:bookmarkStart w:id="650" w:name="government-cloud-notes"/>
    <w:p>
      <w:pPr>
        <w:pStyle w:val="Heading3"/>
      </w:pPr>
      <w:r>
        <w:t xml:space="preserve">Government cloud notes</w:t>
      </w:r>
    </w:p>
    <w:p>
      <w:pPr>
        <w:pStyle w:val="FirstParagraph"/>
      </w:pPr>
      <w:r>
        <w:t xml:space="preserve">The workbook’s reference environment is Microsoft 365 GCC on the commercial Entra ID service. GCC tenants use the worldwide endpoints,</w:t>
      </w:r>
      <w:r>
        <w:t xml:space="preserve"> </w:t>
      </w:r>
      <w:r>
        <w:rPr>
          <w:rStyle w:val="VerbatimChar"/>
        </w:rPr>
        <w:t xml:space="preserve">graph.microsoft.com</w:t>
      </w:r>
      <w:r>
        <w:t xml:space="preserve"> </w:t>
      </w:r>
      <w:r>
        <w:t xml:space="preserve">and</w:t>
      </w:r>
      <w:r>
        <w:t xml:space="preserve"> </w:t>
      </w:r>
      <w:r>
        <w:rPr>
          <w:rStyle w:val="VerbatimChar"/>
        </w:rPr>
        <w:t xml:space="preserve">portal.azure.com</w:t>
      </w:r>
      <w:r>
        <w:t xml:space="preserve">; GCC High uses</w:t>
      </w:r>
      <w:r>
        <w:t xml:space="preserve"> </w:t>
      </w:r>
      <w:r>
        <w:rPr>
          <w:rStyle w:val="VerbatimChar"/>
        </w:rPr>
        <w:t xml:space="preserve">graph.microsoft.us</w:t>
      </w:r>
      <w:r>
        <w:t xml:space="preserve">.</w:t>
      </w:r>
      <w:r>
        <w:rPr>
          <w:rStyle w:val="FootnoteReference"/>
        </w:rPr>
        <w:footnoteReference w:id="647"/>
      </w:r>
      <w:r>
        <w:t xml:space="preserve"> </w:t>
      </w:r>
      <w:r>
        <w:t xml:space="preserve">In Azure Government, policies that target Azure management use the Azure Government Cloud Management API application instead of the Windows Azure Service Management API.</w:t>
      </w:r>
      <w:r>
        <w:rPr>
          <w:rStyle w:val="FootnoteReference"/>
        </w:rPr>
        <w:footnoteReference w:id="649"/>
      </w:r>
      <w:r>
        <w:t xml:space="preserve"> </w:t>
      </w:r>
      <w:r>
        <w:t xml:space="preserve">Feature availability can lag in government clouds; confirm each preview-dependent policy (CA036, agent targets) against the service description before relying on it. The program also procures FIDO2 security keys validated under FIPS 140, as a program standard for authenticators used by privileged accounts.</w:t>
      </w:r>
    </w:p>
    <w:bookmarkEnd w:id="650"/>
    <w:bookmarkEnd w:id="651"/>
    <w:bookmarkStart w:id="654" w:name="retiring-group-policy-with-the-library"/>
    <w:p>
      <w:pPr>
        <w:pStyle w:val="Heading2"/>
      </w:pPr>
      <w:bookmarkStart w:id="1235" w:name="_Toc00001235"/>
      <w:r>
        <w:t xml:space="preserve">Retiring Group Policy with the library</w:t>
      </w:r>
      <w:bookmarkEnd w:id="1235"/>
    </w:p>
    <w:p>
      <w:pPr>
        <w:pStyle w:val="FirstParagraph"/>
      </w:pPr>
      <w:r>
        <w:t xml:space="preserve">The access-related Group Policy settings an assessment finds (Book 02, Chapter 08) can be retired once the library policy that replaces them is enforced. The rest move to Intune, not Conditional Access. Chapter 01 gives the principle; this is the working 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Policy setting</w:t>
            </w:r>
          </w:p>
        </w:tc>
        <w:tc>
          <w:tcPr/>
          <w:p>
            <w:pPr>
              <w:pStyle w:val="Compact"/>
            </w:pPr>
            <w:r>
              <w:t xml:space="preserve">Replaced by</w:t>
            </w:r>
          </w:p>
        </w:tc>
        <w:tc>
          <w:tcPr/>
          <w:p>
            <w:pPr>
              <w:pStyle w:val="Compact"/>
            </w:pPr>
            <w:r>
              <w:t xml:space="preserve">Notes</w:t>
            </w:r>
          </w:p>
        </w:tc>
      </w:tr>
      <w:tr>
        <w:tc>
          <w:tcPr/>
          <w:p>
            <w:pPr>
              <w:pStyle w:val="Compact"/>
            </w:pPr>
            <w:r>
              <w:t xml:space="preserve">Account lockout policy</w:t>
            </w:r>
          </w:p>
        </w:tc>
        <w:tc>
          <w:tcPr/>
          <w:p>
            <w:pPr>
              <w:pStyle w:val="Compact"/>
            </w:pPr>
            <w:r>
              <w:t xml:space="preserve">Microsoft Entra smart lockout, plus CA013, CA014, CA019</w:t>
            </w:r>
          </w:p>
        </w:tc>
        <w:tc>
          <w:tcPr/>
          <w:p>
            <w:pPr>
              <w:pStyle w:val="Compact"/>
            </w:pPr>
            <w:r>
              <w:t xml:space="preserve">Smart lockout is always on; its default threshold is three failed attempts in Azure US Government tenants and ten elsewhere, and customizing it needs P1.</w:t>
            </w:r>
            <w:r>
              <w:rPr>
                <w:rStyle w:val="FootnoteReference"/>
              </w:rPr>
              <w:footnoteReference w:id="652"/>
            </w:r>
            <w:r>
              <w:t xml:space="preserve"> </w:t>
            </w:r>
            <w:r>
              <w:t xml:space="preserve">Risk policies respond to compromise; they don’t replace a lockout threshold</w:t>
            </w:r>
          </w:p>
        </w:tc>
      </w:tr>
      <w:tr>
        <w:tc>
          <w:tcPr/>
          <w:p>
            <w:pPr>
              <w:pStyle w:val="Compact"/>
            </w:pPr>
            <w:r>
              <w:t xml:space="preserve">Password policy</w:t>
            </w:r>
          </w:p>
        </w:tc>
        <w:tc>
          <w:tcPr/>
          <w:p>
            <w:pPr>
              <w:pStyle w:val="Compact"/>
            </w:pPr>
            <w:r>
              <w:t xml:space="preserve">Authentication methods policy and CA022</w:t>
            </w:r>
          </w:p>
        </w:tc>
        <w:tc>
          <w:tcPr/>
          <w:p>
            <w:pPr>
              <w:pStyle w:val="Compact"/>
            </w:pPr>
            <w:r>
              <w:t xml:space="preserve">The target is passwordless (Book 02, Chapter 10)</w:t>
            </w:r>
          </w:p>
        </w:tc>
      </w:tr>
      <w:tr>
        <w:tc>
          <w:tcPr/>
          <w:p>
            <w:pPr>
              <w:pStyle w:val="Compact"/>
            </w:pPr>
            <w:r>
              <w:t xml:space="preserve">Interactive logon: require smart card</w:t>
            </w:r>
          </w:p>
        </w:tc>
        <w:tc>
          <w:tcPr/>
          <w:p>
            <w:pPr>
              <w:pStyle w:val="Compact"/>
            </w:pPr>
            <w:r>
              <w:t xml:space="preserve">CA003, CA022 with certificate-based authentication</w:t>
            </w:r>
          </w:p>
        </w:tc>
        <w:tc>
          <w:tcPr/>
          <w:p>
            <w:pPr>
              <w:pStyle w:val="Compact"/>
            </w:pPr>
          </w:p>
        </w:tc>
      </w:tr>
      <w:tr>
        <w:tc>
          <w:tcPr/>
          <w:p>
            <w:pPr>
              <w:pStyle w:val="Compact"/>
            </w:pPr>
            <w:r>
              <w:t xml:space="preserve">Allow log on locally, Deny log on through Remote Desktop</w:t>
            </w:r>
          </w:p>
        </w:tc>
        <w:tc>
          <w:tcPr/>
          <w:p>
            <w:pPr>
              <w:pStyle w:val="Compact"/>
            </w:pPr>
            <w:r>
              <w:t xml:space="preserve">CA025, CA026 for cloud administration; Intune account protection for the device itself</w:t>
            </w:r>
          </w:p>
        </w:tc>
        <w:tc>
          <w:tcPr/>
          <w:p>
            <w:pPr>
              <w:pStyle w:val="Compact"/>
            </w:pPr>
            <w:r>
              <w:t xml:space="preserve">Conditional Access controls the sign-in to cloud resources, not who can log on to the console</w:t>
            </w:r>
          </w:p>
        </w:tc>
      </w:tr>
      <w:tr>
        <w:tc>
          <w:tcPr/>
          <w:p>
            <w:pPr>
              <w:pStyle w:val="Compact"/>
            </w:pPr>
            <w:r>
              <w:t xml:space="preserve">Software restriction policies, AppLocker</w:t>
            </w:r>
          </w:p>
        </w:tc>
        <w:tc>
          <w:tcPr/>
          <w:p>
            <w:pPr>
              <w:pStyle w:val="Compact"/>
            </w:pPr>
            <w:r>
              <w:t xml:space="preserve">CA017, CA034, CA035 for which apps a user can reach; Intune and App Control for Business for what runs</w:t>
            </w:r>
          </w:p>
        </w:tc>
        <w:tc>
          <w:tcPr/>
          <w:p>
            <w:pPr>
              <w:pStyle w:val="Compact"/>
            </w:pPr>
          </w:p>
        </w:tc>
      </w:tr>
      <w:tr>
        <w:tc>
          <w:tcPr/>
          <w:p>
            <w:pPr>
              <w:pStyle w:val="Compact"/>
            </w:pPr>
            <w:r>
              <w:t xml:space="preserve">Security filtering, WMI filtering</w:t>
            </w:r>
          </w:p>
        </w:tc>
        <w:tc>
          <w:tcPr/>
          <w:p>
            <w:pPr>
              <w:pStyle w:val="Compact"/>
            </w:pPr>
            <w:r>
              <w:t xml:space="preserve">Group assignments and device filters</w:t>
            </w:r>
          </w:p>
        </w:tc>
        <w:tc>
          <w:tcPr/>
          <w:p>
            <w:pPr>
              <w:pStyle w:val="Compact"/>
            </w:pPr>
            <w:r>
              <w:t xml:space="preserve">Attribute-driven, evaluated at sign-in</w:t>
            </w:r>
          </w:p>
        </w:tc>
      </w:tr>
      <w:tr>
        <w:tc>
          <w:tcPr/>
          <w:p>
            <w:pPr>
              <w:pStyle w:val="Compact"/>
            </w:pPr>
            <w:r>
              <w:t xml:space="preserve">Audit policy</w:t>
            </w:r>
          </w:p>
        </w:tc>
        <w:tc>
          <w:tcPr/>
          <w:p>
            <w:pPr>
              <w:pStyle w:val="Compact"/>
            </w:pPr>
            <w:r>
              <w:t xml:space="preserve">Sign-in logs and CA090 for identity events; Intune for device auditing</w:t>
            </w:r>
          </w:p>
        </w:tc>
        <w:tc>
          <w:tcPr/>
          <w:p>
            <w:pPr>
              <w:pStyle w:val="Compact"/>
            </w:pPr>
          </w:p>
        </w:tc>
      </w:tr>
      <w:tr>
        <w:tc>
          <w:tcPr/>
          <w:p>
            <w:pPr>
              <w:pStyle w:val="Compact"/>
            </w:pPr>
            <w:r>
              <w:t xml:space="preserve">Drive maps, printers</w:t>
            </w:r>
          </w:p>
        </w:tc>
        <w:tc>
          <w:tcPr/>
          <w:p>
            <w:pPr>
              <w:pStyle w:val="Compact"/>
            </w:pPr>
            <w:r>
              <w:t xml:space="preserve">No Conditional Access equivalent</w:t>
            </w:r>
          </w:p>
        </w:tc>
        <w:tc>
          <w:tcPr/>
          <w:p>
            <w:pPr>
              <w:pStyle w:val="Compact"/>
            </w:pPr>
            <w:r>
              <w:t xml:space="preserve">SharePoint and OneDrive; Universal Print</w:t>
            </w:r>
          </w:p>
        </w:tc>
      </w:tr>
      <w:tr>
        <w:tc>
          <w:tcPr/>
          <w:p>
            <w:pPr>
              <w:pStyle w:val="Compact"/>
            </w:pPr>
            <w:r>
              <w:t xml:space="preserve">Firewall, BitLocker, update, antivirus settings</w:t>
            </w:r>
          </w:p>
        </w:tc>
        <w:tc>
          <w:tcPr/>
          <w:p>
            <w:pPr>
              <w:pStyle w:val="Compact"/>
            </w:pPr>
            <w:r>
              <w:t xml:space="preserve">No Conditional Access equivalent</w:t>
            </w:r>
          </w:p>
        </w:tc>
        <w:tc>
          <w:tcPr/>
          <w:p>
            <w:pPr>
              <w:pStyle w:val="Compact"/>
            </w:pPr>
            <w:r>
              <w:t xml:space="preserve">Intune configuration and compliance policies, which CA007 and CA016 then require</w:t>
            </w:r>
          </w:p>
        </w:tc>
      </w:tr>
    </w:tbl>
    <w:bookmarkEnd w:id="654"/>
    <w:bookmarkStart w:id="655" w:name="continue-the-book-6"/>
    <w:p>
      <w:pPr>
        <w:pStyle w:val="Heading2"/>
      </w:pPr>
      <w:bookmarkStart w:id="1236" w:name="_Toc00001236"/>
      <w:r>
        <w:t xml:space="preserve">Continue the book</w:t>
      </w:r>
      <w:bookmarkEnd w:id="1236"/>
    </w:p>
    <w:p>
      <w:pPr>
        <w:pStyle w:val="FirstParagraph"/>
      </w:pPr>
      <w:r>
        <w:t xml:space="preserve">← Previous: Chapter 06 — Who Decides Access · Book index · Next: Chapter 08 — PIM Self-Request with Approval →</w:t>
      </w:r>
    </w:p>
    <w:bookmarkEnd w:id="655"/>
    <w:bookmarkEnd w:id="656"/>
    <w:bookmarkStart w:id="821" w:name="X6461035bcd37a95adad87882c6a55612830647a"/>
    <w:p>
      <w:pPr>
        <w:pStyle w:val="Heading1"/>
      </w:pPr>
      <w:bookmarkStart w:id="1237" w:name="_Toc00001237"/>
      <w:r>
        <w:t xml:space="preserve">Chapter 08 — PIM Self-Request with Approval</w:t>
      </w:r>
      <w:bookmarkEnd w:id="1237"/>
    </w:p>
    <w:p>
      <w:pPr>
        <w:pStyle w:val="FirstParagraph"/>
      </w:pPr>
      <w:r>
        <w:rPr>
          <w:i/>
          <w:iCs/>
        </w:rPr>
        <w:t xml:space="preserve">An eligible role is only as safe as the moment it turns active, so that moment needs fresh proof, a reason, a second person and a record that outlives the audit window.</w:t>
      </w:r>
    </w:p>
    <w:bookmarkStart w:id="657" w:name="in-this-chapter-7"/>
    <w:p>
      <w:pPr>
        <w:pStyle w:val="Heading2"/>
      </w:pPr>
      <w:bookmarkStart w:id="1238" w:name="_Toc00001238"/>
      <w:r>
        <w:t xml:space="preserve">In this chapter</w:t>
      </w:r>
      <w:bookmarkEnd w:id="1238"/>
    </w:p>
    <w:p>
      <w:pPr>
        <w:pStyle w:val="FirstParagraph"/>
      </w:pPr>
      <w:r>
        <w:t xml:space="preserve">How to build and run one Privileged Identity Management (PIM) configuration: administrative roles held as eligible only, activated by the holder’s own request, and released only after an approver from outside the holder’s tier approves. The prerequisites, the activation and assignment controls, the build in order (emergency accounts first), the Microsoft Graph equivalents, notifications, alerts, access reviews and log export, the day-to-day requester and approver paths, and the evidence, tests and control mapping an assessor will ask for.</w:t>
      </w:r>
    </w:p>
    <w:bookmarkEnd w:id="657"/>
    <w:p>
      <w:pPr>
        <w:pStyle w:val="BodyText"/>
      </w:pPr>
      <w:r>
        <w:t xml:space="preserve">Chapter 04 placed every administrative role in a privilege tier and put each role on a role-assignable group. This chapter builds the gate a member passes to use that role. Appendix B gives each role’s settings; Book 02, Chapter 09 covers PIM basics and the AD-to-Entra role mapping.</w:t>
      </w:r>
    </w:p>
    <w:p>
      <w:pPr>
        <w:pStyle w:val="BodyText"/>
      </w:pPr>
      <w:r>
        <w:t xml:space="preserve">“Self-request”</w:t>
      </w:r>
      <w:r>
        <w:t xml:space="preserve"> </w:t>
      </w:r>
      <w:r>
        <w:t xml:space="preserve">has two layers, and an agency can run either or both.</w:t>
      </w:r>
      <w:r>
        <w:t xml:space="preserve"> </w:t>
      </w:r>
      <w:r>
        <w:rPr>
          <w:b/>
          <w:bCs/>
        </w:rPr>
        <w:t xml:space="preserve">Self-request for eligibility</w:t>
      </w:r>
      <w:r>
        <w:t xml:space="preserve"> </w:t>
      </w:r>
      <w:r>
        <w:t xml:space="preserve">is a person asking to become eligible for a role, decided in entitlement management through an access package for the role-assignable group (Chapter 09); it answers</w:t>
      </w:r>
      <w:r>
        <w:t xml:space="preserve"> </w:t>
      </w:r>
      <w:r>
        <w:rPr>
          <w:i/>
          <w:iCs/>
        </w:rPr>
        <w:t xml:space="preserve">may this person ever hold this role?</w:t>
      </w:r>
      <w:r>
        <w:t xml:space="preserve"> </w:t>
      </w:r>
      <w:r>
        <w:rPr>
          <w:b/>
          <w:bCs/>
        </w:rPr>
        <w:t xml:space="preserve">Self-request for activation</w:t>
      </w:r>
      <w:r>
        <w:t xml:space="preserve"> </w:t>
      </w:r>
      <w:r>
        <w:t xml:space="preserve">is an already-eligible person asking to turn the role on for a bounded window, decided in PIM; it answers</w:t>
      </w:r>
      <w:r>
        <w:t xml:space="preserve"> </w:t>
      </w:r>
      <w:r>
        <w:rPr>
          <w:i/>
          <w:iCs/>
        </w:rPr>
        <w:t xml:space="preserve">may this person use this role right now?</w:t>
      </w:r>
      <w:r>
        <w:t xml:space="preserve"> </w:t>
      </w:r>
      <w:r>
        <w:t xml:space="preserve">Microsoft’s guidance for the DoD Zero Trust user pillar treats them as composable: approval when users request eligibility in entitlement management, approval upon activation in PIM, or both.</w:t>
      </w:r>
      <w:r>
        <w:rPr>
          <w:rStyle w:val="FootnoteReference"/>
        </w:rPr>
        <w:footnoteReference w:id="658"/>
      </w:r>
      <w:r>
        <w:t xml:space="preserve"> </w:t>
      </w:r>
      <w:r>
        <w:t xml:space="preserve">This chapter builds the second layer. It’s the one that produces a per-use, time-bounded, individually justified record of privileged use, which is what AC-6(9) and AC-17(4) are tested against. Eligibility without an activation gate is standing privilege through a nicer front door; if an agency runs only one layer, it should run this one.</w:t>
      </w:r>
    </w:p>
    <w:bookmarkStart w:id="663" w:name="fig-ch08-activation-sequence"/>
    <w:p>
      <w:pPr>
        <w:pStyle w:val="CaptionedFigure"/>
      </w:pPr>
      <w:r>
        <w:drawing>
          <wp:inline>
            <wp:extent cx="5334000" cy="6670893"/>
            <wp:effectExtent b="0" l="0" r="0" t="0"/>
            <wp:docPr descr="One approval-gated activation: the administrator requests the role, satisfies a fresh authentication context, waits for an approver outside their tier, and holds the role only until the requested end time; a denial or 24 hours without a decision leaves the role eligible." title="" id="661" name="Picture"/>
            <a:graphic>
              <a:graphicData uri="http://schemas.openxmlformats.org/drawingml/2006/picture">
                <pic:pic>
                  <pic:nvPicPr>
                    <pic:cNvPr descr="/home/runner/work/modernization-workbook/modernization-workbook/docs/images/diagrams/b04-access/png/ch08-activation-sequence.png" id="662" name="Picture"/>
                    <pic:cNvPicPr>
                      <a:picLocks noChangeArrowheads="1" noChangeAspect="1"/>
                    </pic:cNvPicPr>
                  </pic:nvPicPr>
                  <pic:blipFill>
                    <a:blip r:embed="rId660"/>
                    <a:stretch>
                      <a:fillRect/>
                    </a:stretch>
                  </pic:blipFill>
                  <pic:spPr bwMode="auto">
                    <a:xfrm>
                      <a:off x="0" y="0"/>
                      <a:ext cx="5334000" cy="6670893"/>
                    </a:xfrm>
                    <a:prstGeom prst="rect">
                      <a:avLst/>
                    </a:prstGeom>
                    <a:noFill/>
                    <a:ln w="9525">
                      <a:noFill/>
                      <a:headEnd/>
                      <a:tailEnd/>
                    </a:ln>
                  </pic:spPr>
                </pic:pic>
              </a:graphicData>
            </a:graphic>
          </wp:inline>
        </w:drawing>
      </w:r>
    </w:p>
    <w:p>
      <w:pPr>
        <w:pStyle w:val="ImageCaption"/>
      </w:pPr>
      <w:r>
        <w:t xml:space="preserve">One approval-gated activation: the administrator requests the role, satisfies a fresh authentication context, waits for an approver outside their tier, and holds the role only until the requested end time; a denial or 24 hours without a decision leaves the role eligible.</w:t>
      </w:r>
    </w:p>
    <w:bookmarkEnd w:id="663"/>
    <w:bookmarkStart w:id="676" w:name="prerequisites-1"/>
    <w:p>
      <w:pPr>
        <w:pStyle w:val="Heading2"/>
      </w:pPr>
      <w:bookmarkStart w:id="1239" w:name="_Toc00001239"/>
      <w:r>
        <w:t xml:space="preserve">Prerequisites</w:t>
      </w:r>
      <w:bookmarkEnd w:id="1239"/>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Detail</w:t>
            </w:r>
          </w:p>
        </w:tc>
      </w:tr>
      <w:tr>
        <w:tc>
          <w:tcPr/>
          <w:p>
            <w:pPr>
              <w:pStyle w:val="Compact"/>
            </w:pPr>
            <w:r>
              <w:t xml:space="preserve">License</w:t>
            </w:r>
          </w:p>
        </w:tc>
        <w:tc>
          <w:tcPr/>
          <w:p>
            <w:pPr>
              <w:pStyle w:val="Compact"/>
            </w:pPr>
            <w:r>
              <w:t xml:space="preserve">Microsoft Entra ID P2 or Microsoft Entra ID Governance. Licenses are needed for eligible and time-bound assignees, for approvers, and for reviewers and the users they review.</w:t>
            </w:r>
            <w:r>
              <w:rPr>
                <w:rStyle w:val="FootnoteReference"/>
              </w:rPr>
              <w:footnoteReference w:id="664"/>
            </w:r>
          </w:p>
        </w:tc>
      </w:tr>
      <w:tr>
        <w:tc>
          <w:tcPr/>
          <w:p>
            <w:pPr>
              <w:pStyle w:val="Compact"/>
            </w:pPr>
            <w:r>
              <w:t xml:space="preserve">Role to configure PIM</w:t>
            </w:r>
          </w:p>
        </w:tc>
        <w:tc>
          <w:tcPr/>
          <w:p>
            <w:pPr>
              <w:pStyle w:val="Compact"/>
            </w:pPr>
            <w:r>
              <w:t xml:space="preserve">Privileged Role Administrator is the least-privileged role for assigning Microsoft Entra roles in PIM and configuring their role settings.</w:t>
            </w:r>
            <w:r>
              <w:rPr>
                <w:rStyle w:val="FootnoteReference"/>
              </w:rPr>
              <w:footnoteReference w:id="665"/>
            </w:r>
            <w:r>
              <w:rPr>
                <w:rStyle w:val="FootnoteReference"/>
              </w:rPr>
              <w:footnoteReference w:id="666"/>
            </w:r>
          </w:p>
        </w:tc>
      </w:tr>
      <w:tr>
        <w:tc>
          <w:tcPr/>
          <w:p>
            <w:pPr>
              <w:pStyle w:val="Compact"/>
            </w:pPr>
            <w:r>
              <w:t xml:space="preserve">Role to read PIM alerts and audit</w:t>
            </w:r>
          </w:p>
        </w:tc>
        <w:tc>
          <w:tcPr/>
          <w:p>
            <w:pPr>
              <w:pStyle w:val="Compact"/>
            </w:pPr>
            <w:r>
              <w:t xml:space="preserve">Alerts: Global Administrator, Privileged Role Administrator, Global Reader, Security Administrator or Security Reader.</w:t>
            </w:r>
            <w:r>
              <w:rPr>
                <w:rStyle w:val="FootnoteReference"/>
              </w:rPr>
              <w:footnoteReference w:id="667"/>
            </w:r>
            <w:r>
              <w:t xml:space="preserve"> </w:t>
            </w:r>
            <w:r>
              <w:t xml:space="preserve">Viewing PIM audit activity: at least Security Reader.</w:t>
            </w:r>
            <w:r>
              <w:rPr>
                <w:rStyle w:val="FootnoteReference"/>
              </w:rPr>
              <w:footnoteReference w:id="669"/>
            </w:r>
          </w:p>
        </w:tc>
      </w:tr>
      <w:tr>
        <w:tc>
          <w:tcPr/>
          <w:p>
            <w:pPr>
              <w:pStyle w:val="Compact"/>
            </w:pPr>
            <w:r>
              <w:t xml:space="preserve">Microsoft Graph permissions</w:t>
            </w:r>
          </w:p>
        </w:tc>
        <w:tc>
          <w:tcPr/>
          <w:p>
            <w:pPr>
              <w:pStyle w:val="Compact"/>
            </w:pPr>
            <w:r>
              <w:rPr>
                <w:rStyle w:val="VerbatimChar"/>
              </w:rPr>
              <w:t xml:space="preserve">RoleManagementPolicy.ReadWrite.Directory</w:t>
            </w:r>
            <w:r>
              <w:t xml:space="preserve"> </w:t>
            </w:r>
            <w:r>
              <w:t xml:space="preserve">to update role settings (rules).</w:t>
            </w:r>
            <w:r>
              <w:rPr>
                <w:rStyle w:val="FootnoteReference"/>
              </w:rPr>
              <w:footnoteReference w:id="670"/>
            </w:r>
            <w:r>
              <w:t xml:space="preserve"> </w:t>
            </w:r>
            <w:r>
              <w:rPr>
                <w:rStyle w:val="VerbatimChar"/>
              </w:rPr>
              <w:t xml:space="preserve">RoleEligibilitySchedule.ReadWrite.Directory</w:t>
            </w:r>
            <w:r>
              <w:t xml:space="preserve"> </w:t>
            </w:r>
            <w:r>
              <w:t xml:space="preserve">is the least-privileged permission to create eligibility requests;</w:t>
            </w:r>
            <w:r>
              <w:t xml:space="preserve"> </w:t>
            </w:r>
            <w:r>
              <w:rPr>
                <w:rStyle w:val="VerbatimChar"/>
              </w:rPr>
              <w:t xml:space="preserve">RoleManagement.ReadWrite.Directory</w:t>
            </w:r>
            <w:r>
              <w:t xml:space="preserve"> </w:t>
            </w:r>
            <w:r>
              <w:t xml:space="preserve">also works but grants more. Delegated writes also need the signed-in user to hold Privileged Role Administrator.</w:t>
            </w:r>
            <w:r>
              <w:rPr>
                <w:rStyle w:val="FootnoteReference"/>
              </w:rPr>
              <w:footnoteReference w:id="672"/>
            </w:r>
          </w:p>
        </w:tc>
      </w:tr>
      <w:tr>
        <w:tc>
          <w:tcPr/>
          <w:p>
            <w:pPr>
              <w:pStyle w:val="Compact"/>
            </w:pPr>
            <w:r>
              <w:t xml:space="preserve">Phishing-resistant MFA</w:t>
            </w:r>
          </w:p>
        </w:tc>
        <w:tc>
          <w:tcPr/>
          <w:p>
            <w:pPr>
              <w:pStyle w:val="Compact"/>
            </w:pPr>
            <w:r>
              <w:t xml:space="preserve">Registered for every eligible administrator. PIM’s activation requirement isn’t a substitute for the tenant-wide authentication policies in Chapter 07.</w:t>
            </w:r>
          </w:p>
        </w:tc>
      </w:tr>
      <w:tr>
        <w:tc>
          <w:tcPr/>
          <w:p>
            <w:pPr>
              <w:pStyle w:val="Compact"/>
            </w:pPr>
            <w:r>
              <w:t xml:space="preserve">Log destination</w:t>
            </w:r>
          </w:p>
        </w:tc>
        <w:tc>
          <w:tcPr/>
          <w:p>
            <w:pPr>
              <w:pStyle w:val="Compact"/>
            </w:pPr>
            <w:r>
              <w:t xml:space="preserve">A Log Analytics workspace, and a storage account where required, inside the authorization boundary, for retention beyond 30 days (</w:t>
            </w:r>
            <w:hyperlink w:anchor="X95935456f73d86ae6dbf6d0bc68ddbf3cfefc75">
              <w:r>
                <w:rPr>
                  <w:rStyle w:val="Hyperlink"/>
                </w:rPr>
                <w:t xml:space="preserve">Step 9</w:t>
              </w:r>
            </w:hyperlink>
            <w:r>
              <w:t xml:space="preserve">).</w:t>
            </w:r>
          </w:p>
        </w:tc>
      </w:tr>
      <w:tr>
        <w:tc>
          <w:tcPr/>
          <w:p>
            <w:pPr>
              <w:pStyle w:val="Compact"/>
            </w:pPr>
            <w:r>
              <w:t xml:space="preserve">Government cloud</w:t>
            </w:r>
          </w:p>
        </w:tc>
        <w:tc>
          <w:tcPr/>
          <w:p>
            <w:pPr>
              <w:pStyle w:val="Compact"/>
            </w:pPr>
            <w:r>
              <w:t xml:space="preserve">Microsoft Entra ID Governance, which carries PIM, is available in GCC, GCC High and the Department of Defense cloud environments.</w:t>
            </w:r>
            <w:r>
              <w:rPr>
                <w:rStyle w:val="FootnoteReference"/>
              </w:rPr>
              <w:footnoteReference w:id="674"/>
            </w:r>
            <w:r>
              <w:t xml:space="preserve"> </w:t>
            </w:r>
            <w:r>
              <w:t xml:space="preserve">Confirm any specific capability on that page for the agency’s cloud before designing against it.</w:t>
            </w:r>
          </w:p>
        </w:tc>
      </w:tr>
    </w:tbl>
    <w:bookmarkEnd w:id="676"/>
    <w:bookmarkStart w:id="678" w:name="X1c8d12e002774dc00b7484c8ab72ead13984515"/>
    <w:p>
      <w:pPr>
        <w:pStyle w:val="Heading2"/>
      </w:pPr>
      <w:bookmarkStart w:id="1240" w:name="_Toc00001240"/>
      <w:r>
        <w:t xml:space="preserve">License continuity is a control dependency</w:t>
      </w:r>
      <w:bookmarkEnd w:id="1240"/>
    </w:p>
    <w:p>
      <w:pPr>
        <w:pStyle w:val="FirstParagraph"/>
      </w:pPr>
      <w:r>
        <w:t xml:space="preserve">When a P2, Governance or trial license expires, permanent role assignments are unaffected, but PIM stops serving activation and privileged-access management in the admin center, Graph and PowerShell;</w:t>
      </w:r>
      <w:r>
        <w:t xml:space="preserve"> </w:t>
      </w:r>
      <w:r>
        <w:rPr>
          <w:b/>
          <w:bCs/>
        </w:rPr>
        <w:t xml:space="preserve">eligible Microsoft Entra role assignments are removed</w:t>
      </w:r>
      <w:r>
        <w:t xml:space="preserve">; ongoing access reviews of Entra roles end; PIM configuration settings are removed; and PIM stops sending email about assignment changes.</w:t>
      </w:r>
      <w:r>
        <w:rPr>
          <w:rStyle w:val="FootnoteReference"/>
        </w:rPr>
        <w:footnoteReference w:id="677"/>
      </w:r>
      <w:r>
        <w:t xml:space="preserve"> </w:t>
      </w:r>
      <w:r>
        <w:t xml:space="preserve">The approval gate is only as durable as the subscription behind it. Treat a license expiry as a configuration-management event with control impact, and keep the role inventory exported (Chapter 10) so the eligible assignments can be restored.</w:t>
      </w:r>
    </w:p>
    <w:bookmarkEnd w:id="678"/>
    <w:bookmarkStart w:id="692" w:name="the-target-design"/>
    <w:p>
      <w:pPr>
        <w:pStyle w:val="Heading2"/>
      </w:pPr>
      <w:bookmarkStart w:id="1241" w:name="_Toc00001241"/>
      <w:r>
        <w:t xml:space="preserve">The target design</w:t>
      </w:r>
      <w:bookmarkEnd w:id="1241"/>
    </w:p>
    <w:bookmarkStart w:id="681" w:name="eligible-not-active"/>
    <w:p>
      <w:pPr>
        <w:pStyle w:val="Heading3"/>
      </w:pPr>
      <w:r>
        <w:t xml:space="preserve">Eligible, not active</w:t>
      </w:r>
    </w:p>
    <w:p>
      <w:pPr>
        <w:pStyle w:val="FirstParagraph"/>
      </w:pPr>
      <w:r>
        <w:t xml:space="preserve">PIM gives every role assignment one of two states. An</w:t>
      </w:r>
      <w:r>
        <w:t xml:space="preserve"> </w:t>
      </w:r>
      <w:r>
        <w:rPr>
          <w:b/>
          <w:bCs/>
        </w:rPr>
        <w:t xml:space="preserve">active</w:t>
      </w:r>
      <w:r>
        <w:t xml:space="preserve"> </w:t>
      </w:r>
      <w:r>
        <w:t xml:space="preserve">assignment is effective now; anyone who captures the holder’s session captures the privilege. An</w:t>
      </w:r>
      <w:r>
        <w:t xml:space="preserve"> </w:t>
      </w:r>
      <w:r>
        <w:rPr>
          <w:b/>
          <w:bCs/>
        </w:rPr>
        <w:t xml:space="preserve">eligible</w:t>
      </w:r>
      <w:r>
        <w:t xml:space="preserve"> </w:t>
      </w:r>
      <w:r>
        <w:t xml:space="preserve">assignment isn’t effective until the holder activates it, meeting whatever the role’s settings require, for a time-limited window; at expiry it reverts to eligible.</w:t>
      </w:r>
      <w:r>
        <w:rPr>
          <w:rStyle w:val="FootnoteReference"/>
        </w:rPr>
        <w:footnoteReference w:id="679"/>
      </w:r>
      <w:r>
        <w:t xml:space="preserve"> </w:t>
      </w:r>
      <w:r>
        <w:t xml:space="preserve">The program holds every human administrative assignment as eligible. Active assignments are reserved for the emergency access accounts of</w:t>
      </w:r>
      <w:r>
        <w:t xml:space="preserve"> </w:t>
      </w:r>
      <w:hyperlink w:anchor="X6a1fbf839e590c091db39ccfade4dac6530a2e9">
        <w:r>
          <w:rPr>
            <w:rStyle w:val="Hyperlink"/>
          </w:rPr>
          <w:t xml:space="preserve">Step 0</w:t>
        </w:r>
      </w:hyperlink>
      <w:r>
        <w:t xml:space="preserve"> </w:t>
      </w:r>
      <w:r>
        <w:t xml:space="preserve">and for service principals that can’t perform an activation.</w:t>
      </w:r>
    </w:p>
    <w:bookmarkEnd w:id="681"/>
    <w:bookmarkStart w:id="688" w:name="the-activation-controls"/>
    <w:p>
      <w:pPr>
        <w:pStyle w:val="Heading3"/>
      </w:pPr>
      <w:r>
        <w:t xml:space="preserve">The activation controls</w:t>
      </w:r>
    </w:p>
    <w:p>
      <w:pPr>
        <w:pStyle w:val="FirstParagraph"/>
      </w:pPr>
      <w:r>
        <w:t xml:space="preserve">Microsoft calls a role’s PIM settings</w:t>
      </w:r>
      <w:r>
        <w:t xml:space="preserve"> </w:t>
      </w:r>
      <w:r>
        <w:rPr>
          <w:i/>
          <w:iCs/>
        </w:rPr>
        <w:t xml:space="preserve">role settings</w:t>
      </w:r>
      <w:r>
        <w:t xml:space="preserve">; Microsoft Graph calls them</w:t>
      </w:r>
      <w:r>
        <w:t xml:space="preserve"> </w:t>
      </w:r>
      <w:r>
        <w:rPr>
          <w:i/>
          <w:iCs/>
        </w:rPr>
        <w:t xml:space="preserve">rules</w:t>
      </w:r>
      <w:r>
        <w:t xml:space="preserve"> </w:t>
      </w:r>
      <w:r>
        <w:t xml:space="preserve">of a role management policy; both are sometimes called</w:t>
      </w:r>
      <w:r>
        <w:t xml:space="preserve"> </w:t>
      </w:r>
      <w:r>
        <w:rPr>
          <w:i/>
          <w:iCs/>
        </w:rPr>
        <w:t xml:space="preserve">PIM policies</w:t>
      </w:r>
      <w:r>
        <w:t xml:space="preserve">. They’re defined</w:t>
      </w:r>
      <w:r>
        <w:t xml:space="preserve"> </w:t>
      </w:r>
      <w:r>
        <w:rPr>
          <w:b/>
          <w:bCs/>
        </w:rPr>
        <w:t xml:space="preserve">per role</w:t>
      </w:r>
      <w:r>
        <w:t xml:space="preserve">: each role’s settings are independent of every other role’s, and every assignment of a role follows that role’s settings.</w:t>
      </w:r>
      <w:r>
        <w:rPr>
          <w:rStyle w:val="FootnoteReference"/>
        </w:rPr>
        <w:footnoteReference w:id="68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does</w:t>
            </w:r>
          </w:p>
        </w:tc>
        <w:tc>
          <w:tcPr/>
          <w:p>
            <w:pPr>
              <w:pStyle w:val="Compact"/>
            </w:pPr>
            <w:r>
              <w:t xml:space="preserve">What matters for a federal build</w:t>
            </w:r>
          </w:p>
        </w:tc>
      </w:tr>
      <w:tr>
        <w:tc>
          <w:tcPr/>
          <w:p>
            <w:pPr>
              <w:pStyle w:val="Compact"/>
            </w:pPr>
            <w:r>
              <w:t xml:space="preserve">Activation maximum duration</w:t>
            </w:r>
          </w:p>
        </w:tc>
        <w:tc>
          <w:tcPr/>
          <w:p>
            <w:pPr>
              <w:pStyle w:val="Compact"/>
            </w:pPr>
            <w:r>
              <w:t xml:space="preserve">Caps how long an activation lasts</w:t>
            </w:r>
          </w:p>
        </w:tc>
        <w:tc>
          <w:tcPr/>
          <w:p>
            <w:pPr>
              <w:pStyle w:val="Compact"/>
            </w:pPr>
            <w:r>
              <w:t xml:space="preserve">One to 24 hours.</w:t>
            </w:r>
            <w:r>
              <w:rPr>
                <w:rStyle w:val="FootnoteReference"/>
              </w:rPr>
              <w:footnoteReference w:id="683"/>
            </w:r>
            <w:r>
              <w:t xml:space="preserve"> </w:t>
            </w:r>
            <w:r>
              <w:t xml:space="preserve">This is the exposure window; set it to the shortest window the work needs</w:t>
            </w:r>
          </w:p>
        </w:tc>
      </w:tr>
      <w:tr>
        <w:tc>
          <w:tcPr/>
          <w:p>
            <w:pPr>
              <w:pStyle w:val="Compact"/>
            </w:pPr>
            <w:r>
              <w:t xml:space="preserve">On activation, require multifactor authentication</w:t>
            </w:r>
          </w:p>
        </w:tc>
        <w:tc>
          <w:tcPr/>
          <w:p>
            <w:pPr>
              <w:pStyle w:val="Compact"/>
            </w:pPr>
            <w:r>
              <w:t xml:space="preserve">Requires MFA before activation</w:t>
            </w:r>
          </w:p>
        </w:tc>
        <w:tc>
          <w:tcPr/>
          <w:p>
            <w:pPr>
              <w:pStyle w:val="Compact"/>
            </w:pPr>
            <w:r>
              <w:t xml:space="preserve">Users might not be prompted if they authenticated with strong credentials or provided MFA earlier in the session.</w:t>
            </w:r>
            <w:r>
              <w:rPr>
                <w:rStyle w:val="FootnoteReference"/>
              </w:rPr>
              <w:footnoteReference w:id="684"/>
            </w:r>
            <w:r>
              <w:t xml:space="preserve"> </w:t>
            </w:r>
            <w:r>
              <w:t xml:space="preserve">It doesn’t prove anything</w:t>
            </w:r>
            <w:r>
              <w:t xml:space="preserve"> </w:t>
            </w:r>
            <w:r>
              <w:rPr>
                <w:i/>
                <w:iCs/>
              </w:rPr>
              <w:t xml:space="preserve">at</w:t>
            </w:r>
            <w:r>
              <w:t xml:space="preserve"> </w:t>
            </w:r>
            <w:r>
              <w:t xml:space="preserve">activation time</w:t>
            </w:r>
          </w:p>
        </w:tc>
      </w:tr>
      <w:tr>
        <w:tc>
          <w:tcPr/>
          <w:p>
            <w:pPr>
              <w:pStyle w:val="Compact"/>
            </w:pPr>
            <w:r>
              <w:t xml:space="preserve">On activation, require Microsoft Entra Conditional Access authentication context</w:t>
            </w:r>
          </w:p>
        </w:tc>
        <w:tc>
          <w:tcPr/>
          <w:p>
            <w:pPr>
              <w:pStyle w:val="Compact"/>
            </w:pPr>
            <w:r>
              <w:t xml:space="preserve">Sends the activation through a Conditional Access policy that targets the context</w:t>
            </w:r>
          </w:p>
        </w:tc>
        <w:tc>
          <w:tcPr/>
          <w:p>
            <w:pPr>
              <w:pStyle w:val="Compact"/>
            </w:pPr>
            <w:r>
              <w:t xml:space="preserve">The way to force a fresh, method-specific, device-conditioned proof (</w:t>
            </w:r>
            <w:hyperlink w:anchor="Xe60ae281a840e7b968efd5a393123bfc9b04aeb">
              <w:r>
                <w:rPr>
                  <w:rStyle w:val="Hyperlink"/>
                </w:rPr>
                <w:t xml:space="preserve">Step 2</w:t>
              </w:r>
            </w:hyperlink>
            <w:r>
              <w:t xml:space="preserve">)</w:t>
            </w:r>
          </w:p>
        </w:tc>
      </w:tr>
      <w:tr>
        <w:tc>
          <w:tcPr/>
          <w:p>
            <w:pPr>
              <w:pStyle w:val="Compact"/>
            </w:pPr>
            <w:r>
              <w:t xml:space="preserve">Require justification on activation</w:t>
            </w:r>
          </w:p>
        </w:tc>
        <w:tc>
          <w:tcPr/>
          <w:p>
            <w:pPr>
              <w:pStyle w:val="Compact"/>
            </w:pPr>
            <w:r>
              <w:t xml:space="preserve">Free-text business reason</w:t>
            </w:r>
          </w:p>
        </w:tc>
        <w:tc>
          <w:tcPr/>
          <w:p>
            <w:pPr>
              <w:pStyle w:val="Compact"/>
            </w:pPr>
            <w:r>
              <w:t xml:space="preserve">Recorded in the request and the audit log; it’s what makes an activation reviewable</w:t>
            </w:r>
          </w:p>
        </w:tc>
      </w:tr>
      <w:tr>
        <w:tc>
          <w:tcPr/>
          <w:p>
            <w:pPr>
              <w:pStyle w:val="Compact"/>
            </w:pPr>
            <w:r>
              <w:t xml:space="preserve">Require ticket information on activation</w:t>
            </w:r>
          </w:p>
        </w:tc>
        <w:tc>
          <w:tcPr/>
          <w:p>
            <w:pPr>
              <w:pStyle w:val="Compact"/>
            </w:pPr>
            <w:r>
              <w:t xml:space="preserve">A support ticket number and system</w:t>
            </w:r>
          </w:p>
        </w:tc>
        <w:tc>
          <w:tcPr/>
          <w:p>
            <w:pPr>
              <w:pStyle w:val="Compact"/>
            </w:pPr>
            <w:r>
              <w:t xml:space="preserve">Information only; Entra doesn’t check it against any ticketing system.</w:t>
            </w:r>
            <w:r>
              <w:rPr>
                <w:rStyle w:val="FootnoteReference"/>
              </w:rPr>
              <w:footnoteReference w:id="685"/>
            </w:r>
            <w:r>
              <w:t xml:space="preserve"> </w:t>
            </w:r>
            <w:r>
              <w:t xml:space="preserve">Enforced correlation belongs in the SIEM or ITSM</w:t>
            </w:r>
          </w:p>
        </w:tc>
      </w:tr>
      <w:tr>
        <w:tc>
          <w:tcPr/>
          <w:p>
            <w:pPr>
              <w:pStyle w:val="Compact"/>
            </w:pPr>
            <w:r>
              <w:t xml:space="preserve">Require approval to activate</w:t>
            </w:r>
          </w:p>
        </w:tc>
        <w:tc>
          <w:tcPr/>
          <w:p>
            <w:pPr>
              <w:pStyle w:val="Compact"/>
            </w:pPr>
            <w:r>
              <w:t xml:space="preserve">Holds the activation until an approver approves</w:t>
            </w:r>
          </w:p>
        </w:tc>
        <w:tc>
          <w:tcPr/>
          <w:p>
            <w:pPr>
              <w:pStyle w:val="Compact"/>
            </w:pPr>
            <w:r>
              <w:t xml:space="preserve">Approvers are users or groups; at least one is required and Microsoft recommends at least two</w:t>
            </w:r>
            <w:r>
              <w:rPr>
                <w:rStyle w:val="FootnoteReference"/>
              </w:rPr>
              <w:footnoteReference w:id="686"/>
            </w:r>
          </w:p>
        </w:tc>
      </w:tr>
    </w:tbl>
    <w:p>
      <w:pPr>
        <w:pStyle w:val="BodyText"/>
      </w:pPr>
      <w:r>
        <w:t xml:space="preserve">Microsoft’s recommendation, when the goal is authentication</w:t>
      </w:r>
      <w:r>
        <w:t xml:space="preserve"> </w:t>
      </w:r>
      <w:r>
        <w:rPr>
          <w:i/>
          <w:iCs/>
        </w:rPr>
        <w:t xml:space="preserve">during</w:t>
      </w:r>
      <w:r>
        <w:t xml:space="preserve"> </w:t>
      </w:r>
      <w:r>
        <w:t xml:space="preserve">activation, is the authentication context combined with an authentication strength.</w:t>
      </w:r>
      <w:r>
        <w:rPr>
          <w:rStyle w:val="FootnoteReference"/>
        </w:rPr>
        <w:footnoteReference w:id="687"/>
      </w:r>
      <w:r>
        <w:t xml:space="preserve"> </w:t>
      </w:r>
      <w:r>
        <w:t xml:space="preserve">The program selects the authentication context for every role (Appendix B), which keeps Book 02’s rule that every activation requires the phishing-resistant context (Book 02, Chapter 09).</w:t>
      </w:r>
    </w:p>
    <w:bookmarkEnd w:id="688"/>
    <w:bookmarkStart w:id="690" w:name="the-assignment-controls"/>
    <w:p>
      <w:pPr>
        <w:pStyle w:val="Heading3"/>
      </w:pPr>
      <w:r>
        <w:t xml:space="preserve">The assignment controls</w:t>
      </w:r>
    </w:p>
    <w:p>
      <w:pPr>
        <w:pStyle w:val="FirstParagraph"/>
      </w:pPr>
      <w:r>
        <w:t xml:space="preserve">Six further settings govern how assignments are made rather than how they’re activated: allow permanent eligible assignment, expire eligible assignment after, allow permanent active assignment, expire active assignment after, require multifactor authentication on active assignment, and require justification on active assignment.</w:t>
      </w:r>
      <w:r>
        <w:rPr>
          <w:rStyle w:val="FootnoteReference"/>
        </w:rPr>
        <w:footnoteReference w:id="689"/>
      </w:r>
      <w:r>
        <w:t xml:space="preserve"> </w:t>
      </w:r>
      <w:r>
        <w:t xml:space="preserve">They stop a well-built activation gate from being bypassed by simply granting someone a permanent active assignment.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Program posture</w:t>
            </w:r>
          </w:p>
        </w:tc>
      </w:tr>
      <w:tr>
        <w:tc>
          <w:tcPr/>
          <w:p>
            <w:pPr>
              <w:pStyle w:val="Compact"/>
            </w:pPr>
            <w:r>
              <w:t xml:space="preserve">Permanent eligible assignment</w:t>
            </w:r>
          </w:p>
        </w:tc>
        <w:tc>
          <w:tcPr/>
          <w:p>
            <w:pPr>
              <w:pStyle w:val="Compact"/>
            </w:pPr>
            <w:r>
              <w:t xml:space="preserve">Not allowed. Eligibility expires after the tier’s window (90, 180 or 365 days; Appendix B), forcing re-authorization in addition to reviews. Book 02’s ceiling of 12 months holds</w:t>
            </w:r>
          </w:p>
        </w:tc>
      </w:tr>
      <w:tr>
        <w:tc>
          <w:tcPr/>
          <w:p>
            <w:pPr>
              <w:pStyle w:val="Compact"/>
            </w:pPr>
            <w:r>
              <w:t xml:space="preserve">Permanent active assignment</w:t>
            </w:r>
          </w:p>
        </w:tc>
        <w:tc>
          <w:tcPr/>
          <w:p>
            <w:pPr>
              <w:pStyle w:val="Compact"/>
            </w:pPr>
            <w:r>
              <w:t xml:space="preserve">Not allowed, except Global Administrator for the emergency access accounts. Active assignments for service principals are documented in the system security plan with a rationale</w:t>
            </w:r>
          </w:p>
        </w:tc>
      </w:tr>
      <w:tr>
        <w:tc>
          <w:tcPr/>
          <w:p>
            <w:pPr>
              <w:pStyle w:val="Compact"/>
            </w:pPr>
            <w:r>
              <w:t xml:space="preserve">MFA and justification on active assignment</w:t>
            </w:r>
          </w:p>
        </w:tc>
        <w:tc>
          <w:tcPr/>
          <w:p>
            <w:pPr>
              <w:pStyle w:val="Compact"/>
            </w:pPr>
            <w:r>
              <w:t xml:space="preserve">Both required. PIM can’t apply an activation requirement to someone who is already active, so the enforcement point for active assignments is the moment they’re made</w:t>
            </w:r>
          </w:p>
        </w:tc>
      </w:tr>
    </w:tbl>
    <w:bookmarkEnd w:id="690"/>
    <w:bookmarkStart w:id="691" w:name="settings-by-tier"/>
    <w:p>
      <w:pPr>
        <w:pStyle w:val="Heading3"/>
      </w:pPr>
      <w:r>
        <w:t xml:space="preserve">Settings by tier</w:t>
      </w:r>
    </w:p>
    <w:p>
      <w:pPr>
        <w:pStyle w:val="FirstParagraph"/>
      </w:pPr>
      <w:r>
        <w:t xml:space="preserve">The tiers in Chapter 04 decide the values. In summary:</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Tier</w:t>
            </w:r>
          </w:p>
        </w:tc>
        <w:tc>
          <w:tcPr/>
          <w:p>
            <w:pPr>
              <w:pStyle w:val="Compact"/>
            </w:pPr>
            <w:r>
              <w:t xml:space="preserve">Max activation</w:t>
            </w:r>
          </w:p>
        </w:tc>
        <w:tc>
          <w:tcPr/>
          <w:p>
            <w:pPr>
              <w:pStyle w:val="Compact"/>
            </w:pPr>
            <w:r>
              <w:t xml:space="preserve">On activation</w:t>
            </w:r>
          </w:p>
        </w:tc>
        <w:tc>
          <w:tcPr/>
          <w:p>
            <w:pPr>
              <w:pStyle w:val="Compact"/>
            </w:pPr>
            <w:r>
              <w:t xml:space="preserve">Justification</w:t>
            </w:r>
          </w:p>
        </w:tc>
        <w:tc>
          <w:tcPr/>
          <w:p>
            <w:pPr>
              <w:pStyle w:val="Compact"/>
            </w:pPr>
            <w:r>
              <w:t xml:space="preserve">Ticket</w:t>
            </w:r>
          </w:p>
        </w:tc>
        <w:tc>
          <w:tcPr/>
          <w:p>
            <w:pPr>
              <w:pStyle w:val="Compact"/>
            </w:pPr>
            <w:r>
              <w:t xml:space="preserve">Approval</w:t>
            </w:r>
          </w:p>
        </w:tc>
        <w:tc>
          <w:tcPr/>
          <w:p>
            <w:pPr>
              <w:pStyle w:val="Compact"/>
            </w:pPr>
            <w:r>
              <w:t xml:space="preserve">Eligibility expiry</w:t>
            </w:r>
          </w:p>
        </w:tc>
      </w:tr>
      <w:tr>
        <w:tc>
          <w:tcPr/>
          <w:p>
            <w:pPr>
              <w:pStyle w:val="Compact"/>
            </w:pPr>
            <w:r>
              <w:t xml:space="preserve">T0, control plane</w:t>
            </w:r>
          </w:p>
        </w:tc>
        <w:tc>
          <w:tcPr/>
          <w:p>
            <w:pPr>
              <w:pStyle w:val="Compact"/>
            </w:pPr>
            <w:r>
              <w:t xml:space="preserve">4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Required</w:t>
            </w:r>
          </w:p>
        </w:tc>
        <w:tc>
          <w:tcPr/>
          <w:p>
            <w:pPr>
              <w:pStyle w:val="Compact"/>
            </w:pPr>
            <w:r>
              <w:t xml:space="preserve">Required:</w:t>
            </w:r>
            <w:r>
              <w:t xml:space="preserve"> </w:t>
            </w:r>
            <w:r>
              <w:rPr>
                <w:rStyle w:val="VerbatimChar"/>
              </w:rPr>
              <w:t xml:space="preserve">PIM-Approvers-T0</w:t>
            </w:r>
          </w:p>
        </w:tc>
        <w:tc>
          <w:tcPr/>
          <w:p>
            <w:pPr>
              <w:pStyle w:val="Compact"/>
            </w:pPr>
            <w:r>
              <w:t xml:space="preserve">90 days</w:t>
            </w:r>
          </w:p>
        </w:tc>
      </w:tr>
      <w:tr>
        <w:tc>
          <w:tcPr/>
          <w:p>
            <w:pPr>
              <w:pStyle w:val="Compact"/>
            </w:pPr>
            <w:r>
              <w:t xml:space="preserve">T1, management plane</w:t>
            </w:r>
          </w:p>
        </w:tc>
        <w:tc>
          <w:tcPr/>
          <w:p>
            <w:pPr>
              <w:pStyle w:val="Compact"/>
            </w:pPr>
            <w:r>
              <w:t xml:space="preserve">8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Required</w:t>
            </w:r>
          </w:p>
        </w:tc>
        <w:tc>
          <w:tcPr/>
          <w:p>
            <w:pPr>
              <w:pStyle w:val="Compact"/>
            </w:pPr>
            <w:r>
              <w:t xml:space="preserve">Required:</w:t>
            </w:r>
            <w:r>
              <w:t xml:space="preserve"> </w:t>
            </w:r>
            <w:r>
              <w:rPr>
                <w:rStyle w:val="VerbatimChar"/>
              </w:rPr>
              <w:t xml:space="preserve">PIM-Approvers-T1</w:t>
            </w:r>
          </w:p>
        </w:tc>
        <w:tc>
          <w:tcPr/>
          <w:p>
            <w:pPr>
              <w:pStyle w:val="Compact"/>
            </w:pPr>
            <w:r>
              <w:t xml:space="preserve">180 days</w:t>
            </w:r>
          </w:p>
        </w:tc>
      </w:tr>
      <w:tr>
        <w:tc>
          <w:tcPr/>
          <w:p>
            <w:pPr>
              <w:pStyle w:val="Compact"/>
            </w:pPr>
            <w:r>
              <w:t xml:space="preserve">T2, scoped operations</w:t>
            </w:r>
          </w:p>
        </w:tc>
        <w:tc>
          <w:tcPr/>
          <w:p>
            <w:pPr>
              <w:pStyle w:val="Compact"/>
            </w:pPr>
            <w:r>
              <w:t xml:space="preserve">8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Required</w:t>
            </w:r>
          </w:p>
        </w:tc>
        <w:tc>
          <w:tcPr/>
          <w:p>
            <w:pPr>
              <w:pStyle w:val="Compact"/>
            </w:pPr>
            <w:r>
              <w:t xml:space="preserve">Optional, with a documented risk acceptance per role</w:t>
            </w:r>
          </w:p>
        </w:tc>
        <w:tc>
          <w:tcPr/>
          <w:p>
            <w:pPr>
              <w:pStyle w:val="Compact"/>
            </w:pPr>
            <w:r>
              <w:t xml:space="preserve">180 days</w:t>
            </w:r>
          </w:p>
        </w:tc>
      </w:tr>
      <w:tr>
        <w:tc>
          <w:tcPr/>
          <w:p>
            <w:pPr>
              <w:pStyle w:val="Compact"/>
            </w:pPr>
            <w:r>
              <w:t xml:space="preserve">Read-only</w:t>
            </w:r>
          </w:p>
        </w:tc>
        <w:tc>
          <w:tcPr/>
          <w:p>
            <w:pPr>
              <w:pStyle w:val="Compact"/>
            </w:pPr>
            <w:r>
              <w:t xml:space="preserve">8 hours</w:t>
            </w:r>
          </w:p>
        </w:tc>
        <w:tc>
          <w:tcPr/>
          <w:p>
            <w:pPr>
              <w:pStyle w:val="Compact"/>
            </w:pPr>
            <w:r>
              <w:t xml:space="preserve">Authentication context</w:t>
            </w:r>
            <w:r>
              <w:t xml:space="preserve"> </w:t>
            </w:r>
            <w:r>
              <w:rPr>
                <w:rStyle w:val="VerbatimChar"/>
              </w:rPr>
              <w:t xml:space="preserve">c1</w:t>
            </w:r>
          </w:p>
        </w:tc>
        <w:tc>
          <w:tcPr/>
          <w:p>
            <w:pPr>
              <w:pStyle w:val="Compact"/>
            </w:pPr>
            <w:r>
              <w:t xml:space="preserve">Required</w:t>
            </w:r>
          </w:p>
        </w:tc>
        <w:tc>
          <w:tcPr/>
          <w:p>
            <w:pPr>
              <w:pStyle w:val="Compact"/>
            </w:pPr>
            <w:r>
              <w:t xml:space="preserve">Optional</w:t>
            </w:r>
          </w:p>
        </w:tc>
        <w:tc>
          <w:tcPr/>
          <w:p>
            <w:pPr>
              <w:pStyle w:val="Compact"/>
            </w:pPr>
            <w:r>
              <w:t xml:space="preserve">Not required</w:t>
            </w:r>
          </w:p>
        </w:tc>
        <w:tc>
          <w:tcPr/>
          <w:p>
            <w:pPr>
              <w:pStyle w:val="Compact"/>
            </w:pPr>
            <w:r>
              <w:t xml:space="preserve">365 days</w:t>
            </w:r>
          </w:p>
        </w:tc>
      </w:tr>
    </w:tbl>
    <w:p>
      <w:pPr>
        <w:pStyle w:val="BodyText"/>
      </w:pPr>
      <w:r>
        <w:t xml:space="preserve">Appendix B lists each role’s values, approvers and notification recipients, and records where they tighten the table in Book 02, Chapter 09.</w:t>
      </w:r>
    </w:p>
    <w:bookmarkEnd w:id="691"/>
    <w:bookmarkEnd w:id="692"/>
    <w:bookmarkStart w:id="694" w:name="build"/>
    <w:p>
      <w:pPr>
        <w:pStyle w:val="Heading2"/>
      </w:pPr>
      <w:bookmarkStart w:id="1242" w:name="_Toc00001242"/>
      <w:r>
        <w:t xml:space="preserve">Build</w:t>
      </w:r>
      <w:bookmarkEnd w:id="1242"/>
    </w:p>
    <w:p>
      <w:pPr>
        <w:pStyle w:val="FirstParagraph"/>
      </w:pPr>
      <w:r>
        <w:t xml:space="preserve">Work the steps in order. Step 0 isn’t optional and can’t be moved: configuring approval before emergency access accounts exist is the one sequence that can lock an agency out of its own tenant.</w:t>
      </w:r>
    </w:p>
    <w:bookmarkStart w:id="693" w:name="X6a1fbf839e590c091db39ccfade4dac6530a2e9"/>
    <w:p>
      <w:pPr>
        <w:pStyle w:val="Heading3"/>
      </w:pPr>
      <w:r>
        <w:t xml:space="preserve">Step 0 — Establish emergency access accounts first</w:t>
      </w:r>
    </w:p>
    <w:bookmarkEnd w:id="693"/>
    <w:bookmarkEnd w:id="694"/>
    <w:bookmarkStart w:id="696" w:name="the-documented-lockout"/>
    <w:p>
      <w:pPr>
        <w:pStyle w:val="Heading2"/>
      </w:pPr>
      <w:bookmarkStart w:id="1243" w:name="_Toc00001243"/>
      <w:r>
        <w:t xml:space="preserve">The documented lockout</w:t>
      </w:r>
      <w:bookmarkEnd w:id="1243"/>
    </w:p>
    <w:p>
      <w:pPr>
        <w:pStyle w:val="FirstParagraph"/>
      </w:pPr>
      <w:r>
        <w:t xml:space="preserve">Microsoft documents a tenant lockout this build can cause. It occurs when</w:t>
      </w:r>
      <w:r>
        <w:t xml:space="preserve"> </w:t>
      </w:r>
      <w:r>
        <w:rPr>
          <w:b/>
          <w:bCs/>
        </w:rPr>
        <w:t xml:space="preserve">all</w:t>
      </w:r>
      <w:r>
        <w:t xml:space="preserve"> </w:t>
      </w:r>
      <w:r>
        <w:t xml:space="preserve">of these are true: every Privileged Role Administrator and Global Administrator assignment is eligible and none is active; approval is required for activation; and no approvers are configured, so the default approvers (active Privileged Role and Global Administrators) don’t exist.</w:t>
      </w:r>
      <w:r>
        <w:rPr>
          <w:rStyle w:val="FootnoteReference"/>
        </w:rPr>
        <w:footnoteReference w:id="695"/>
      </w:r>
      <w:r>
        <w:t xml:space="preserve"> </w:t>
      </w:r>
      <w:r>
        <w:t xml:space="preserve">Avoid it with</w:t>
      </w:r>
      <w:r>
        <w:t xml:space="preserve"> </w:t>
      </w:r>
      <w:r>
        <w:rPr>
          <w:b/>
          <w:bCs/>
        </w:rPr>
        <w:t xml:space="preserve">both</w:t>
      </w:r>
      <w:r>
        <w:t xml:space="preserve"> </w:t>
      </w:r>
      <w:r>
        <w:t xml:space="preserve">halves of the fix: emergency access accounts with permanent active Global Administrator, and explicitly named approvers on every role that requires approval.</w:t>
      </w:r>
    </w:p>
    <w:bookmarkEnd w:id="696"/>
    <w:p>
      <w:pPr>
        <w:pStyle w:val="BodyText"/>
      </w:pPr>
      <w:r>
        <w:t xml:space="preserve">Create and test the emergency access accounts to the standard in Chapter 04 before touching any role setting: two or more cloud-only accounts on</w:t>
      </w:r>
      <w:r>
        <w:t xml:space="preserve"> </w:t>
      </w:r>
      <w:r>
        <w:rPr>
          <w:rStyle w:val="VerbatimChar"/>
        </w:rPr>
        <w:t xml:space="preserve">*.onmicrosoft.com</w:t>
      </w:r>
      <w:r>
        <w:t xml:space="preserve">, permanent active Global Administrator, phishing-resistant authentication, excluded from Conditional Access policies that block or restrict sign-in, alerted on every use, and validated at least every 90 days.</w:t>
      </w:r>
      <w:r>
        <w:rPr>
          <w:rStyle w:val="FootnoteReference"/>
        </w:rPr>
        <w:footnoteReference w:id="697"/>
      </w:r>
      <w:r>
        <w:t xml:space="preserve"> </w:t>
      </w:r>
      <w:r>
        <w:t xml:space="preserve">Validate them again after any change to Conditional Access, authentication methods policy or the PIM settings built below.</w:t>
      </w:r>
    </w:p>
    <w:bookmarkStart w:id="702" w:name="step-1-build-the-approver-groups"/>
    <w:p>
      <w:pPr>
        <w:pStyle w:val="Heading3"/>
      </w:pPr>
      <w:r>
        <w:t xml:space="preserve">Step 1 — Build the approver groups</w:t>
      </w:r>
    </w:p>
    <w:p>
      <w:pPr>
        <w:pStyle w:val="FirstParagraph"/>
      </w:pPr>
      <w:r>
        <w:t xml:space="preserve">Approvers can be users or groups.</w:t>
      </w:r>
      <w:r>
        <w:rPr>
          <w:rStyle w:val="FootnoteReference"/>
        </w:rPr>
        <w:footnoteReference w:id="698"/>
      </w:r>
      <w:r>
        <w:t xml:space="preserve"> </w:t>
      </w:r>
      <w:r>
        <w:t xml:space="preserve">Use groups: people leave, and a policy that names a departed employee has a broken approval path. Create one approver group per tier that requires approval,</w:t>
      </w:r>
      <w:r>
        <w:t xml:space="preserve"> </w:t>
      </w:r>
      <w:r>
        <w:rPr>
          <w:rStyle w:val="VerbatimChar"/>
        </w:rPr>
        <w:t xml:space="preserve">PIM-Approvers-T0</w:t>
      </w:r>
      <w:r>
        <w:t xml:space="preserve"> </w:t>
      </w:r>
      <w:r>
        <w:t xml:space="preserve">and</w:t>
      </w:r>
      <w:r>
        <w:t xml:space="preserve"> </w:t>
      </w:r>
      <w:r>
        <w:rPr>
          <w:rStyle w:val="VerbatimChar"/>
        </w:rPr>
        <w:t xml:space="preserve">PIM-Approvers-T1</w:t>
      </w:r>
      <w:r>
        <w:t xml:space="preserve"> </w:t>
      </w:r>
      <w:r>
        <w:t xml:space="preserve">(and</w:t>
      </w:r>
      <w:r>
        <w:t xml:space="preserve"> </w:t>
      </w:r>
      <w:r>
        <w:rPr>
          <w:rStyle w:val="VerbatimChar"/>
        </w:rPr>
        <w:t xml:space="preserve">PIM-Approvers-T2</w:t>
      </w:r>
      <w:r>
        <w:t xml:space="preserve"> </w:t>
      </w:r>
      <w:r>
        <w:t xml:space="preserve">where a Tier 2 role requires approval), and populate them by the separation rules in</w:t>
      </w:r>
      <w:r>
        <w:t xml:space="preserve"> </w:t>
      </w:r>
      <w:hyperlink w:anchor="approver-design-and-separation-of-duties">
        <w:r>
          <w:rPr>
            <w:rStyle w:val="Hyperlink"/>
          </w:rPr>
          <w:t xml:space="preserve">Approver design and separation of duties</w:t>
        </w:r>
      </w:hyperlink>
      <w:r>
        <w:t xml:space="preserve">.</w:t>
      </w:r>
    </w:p>
    <w:p>
      <w:pPr>
        <w:pStyle w:val="BodyText"/>
      </w:pPr>
      <w:r>
        <w:t xml:space="preserve">Three properties of the approval engine shape the design:</w:t>
      </w:r>
    </w:p>
    <w:p>
      <w:pPr>
        <w:pStyle w:val="Compact"/>
        <w:numPr>
          <w:ilvl w:val="0"/>
          <w:numId w:val="1042"/>
        </w:numPr>
      </w:pPr>
      <w:r>
        <w:rPr>
          <w:b/>
          <w:bCs/>
        </w:rPr>
        <w:t xml:space="preserve">Approvers don’t need to hold any role.</w:t>
      </w:r>
      <w:r>
        <w:t xml:space="preserve"> </w:t>
      </w:r>
      <w:r>
        <w:t xml:space="preserve">The authority to approve is independent of the approver’s own privilege.</w:t>
      </w:r>
      <w:r>
        <w:rPr>
          <w:rStyle w:val="FootnoteReference"/>
        </w:rPr>
        <w:footnoteReference w:id="699"/>
      </w:r>
      <w:r>
        <w:t xml:space="preserve"> </w:t>
      </w:r>
      <w:r>
        <w:t xml:space="preserve">That’s what makes a non-administrative oversight function, such as the security office, possible as the Tier 0 approver.</w:t>
      </w:r>
    </w:p>
    <w:p>
      <w:pPr>
        <w:pStyle w:val="Compact"/>
        <w:numPr>
          <w:ilvl w:val="0"/>
          <w:numId w:val="1042"/>
        </w:numPr>
      </w:pPr>
      <w:r>
        <w:rPr>
          <w:b/>
          <w:bCs/>
        </w:rPr>
        <w:t xml:space="preserve">Approvers can’t approve their own activation requests, and service principals can’t approve at all.</w:t>
      </w:r>
      <w:r>
        <w:rPr>
          <w:rStyle w:val="FootnoteReference"/>
        </w:rPr>
        <w:footnoteReference w:id="700"/>
      </w:r>
      <w:r>
        <w:t xml:space="preserve"> </w:t>
      </w:r>
      <w:r>
        <w:t xml:space="preserve">Self-approval is blocked by the platform, not by procedure, which is worth stating in the system security plan.</w:t>
      </w:r>
    </w:p>
    <w:p>
      <w:pPr>
        <w:pStyle w:val="Compact"/>
        <w:numPr>
          <w:ilvl w:val="0"/>
          <w:numId w:val="1042"/>
        </w:numPr>
      </w:pPr>
      <w:r>
        <w:rPr>
          <w:b/>
          <w:bCs/>
        </w:rPr>
        <w:t xml:space="preserve">Approvers need a license.</w:t>
      </w:r>
      <w:r>
        <w:t xml:space="preserve"> </w:t>
      </w:r>
      <w:r>
        <w:t xml:space="preserve">Users who approve or reject activation requests need P2 or Governance.</w:t>
      </w:r>
      <w:r>
        <w:rPr>
          <w:rStyle w:val="FootnoteReference"/>
        </w:rPr>
        <w:footnoteReference w:id="701"/>
      </w:r>
    </w:p>
    <w:bookmarkEnd w:id="702"/>
    <w:bookmarkStart w:id="707" w:name="Xe60ae281a840e7b968efd5a393123bfc9b04aeb"/>
    <w:p>
      <w:pPr>
        <w:pStyle w:val="Heading3"/>
      </w:pPr>
      <w:r>
        <w:t xml:space="preserve">Step 2 — Build the authentication context and its policy</w:t>
      </w:r>
    </w:p>
    <w:p>
      <w:pPr>
        <w:pStyle w:val="FirstParagraph"/>
      </w:pPr>
      <w:r>
        <w:t xml:space="preserve">For privileged roles</w:t>
      </w:r>
      <w:r>
        <w:t xml:space="preserve"> </w:t>
      </w:r>
      <w:r>
        <w:t xml:space="preserve">“require MFA on activation”</w:t>
      </w:r>
      <w:r>
        <w:t xml:space="preserve"> </w:t>
      </w:r>
      <w:r>
        <w:t xml:space="preserve">isn’t enough, because an earlier sign-in can satisfy it.</w:t>
      </w:r>
      <w:r>
        <w:rPr>
          <w:rStyle w:val="FootnoteReference"/>
        </w:rPr>
        <w:footnoteReference w:id="703"/>
      </w:r>
      <w:r>
        <w:t xml:space="preserve"> </w:t>
      </w:r>
      <w:r>
        <w:t xml:space="preserve">The program’s objective is a fresh, phishing-resistant proof from a managed device at the moment of elevation, so it uses an authentication context. The order matters: Microsoft requires the Conditional Access policy to exist and be enabled before the context is selected in PIM.</w:t>
      </w:r>
      <w:r>
        <w:rPr>
          <w:rStyle w:val="FootnoteReference"/>
        </w:rPr>
        <w:footnoteReference w:id="704"/>
      </w:r>
    </w:p>
    <w:p>
      <w:pPr>
        <w:pStyle w:val="Compact"/>
        <w:numPr>
          <w:ilvl w:val="0"/>
          <w:numId w:val="1043"/>
        </w:numPr>
      </w:pPr>
      <w:r>
        <w:t xml:space="preserve">Create authentication context</w:t>
      </w:r>
      <w:r>
        <w:t xml:space="preserve"> </w:t>
      </w:r>
      <w:r>
        <w:rPr>
          <w:rStyle w:val="VerbatimChar"/>
          <w:b/>
          <w:bCs/>
        </w:rPr>
        <w:t xml:space="preserve">c1</w:t>
      </w:r>
      <w:r>
        <w:t xml:space="preserve">, display name</w:t>
      </w:r>
      <w:r>
        <w:t xml:space="preserve"> </w:t>
      </w:r>
      <w:r>
        <w:rPr>
          <w:rStyle w:val="VerbatimChar"/>
        </w:rPr>
        <w:t xml:space="preserve">FMP-PIM-Activation</w:t>
      </w:r>
      <w:r>
        <w:t xml:space="preserve">. Authentication contexts are labels</w:t>
      </w:r>
      <w:r>
        <w:t xml:space="preserve"> </w:t>
      </w:r>
      <w:r>
        <w:rPr>
          <w:rStyle w:val="VerbatimChar"/>
        </w:rPr>
        <w:t xml:space="preserve">c1</w:t>
      </w:r>
      <w:r>
        <w:t xml:space="preserve"> </w:t>
      </w:r>
      <w:r>
        <w:t xml:space="preserve">to</w:t>
      </w:r>
      <w:r>
        <w:t xml:space="preserve"> </w:t>
      </w:r>
      <w:r>
        <w:rPr>
          <w:rStyle w:val="VerbatimChar"/>
        </w:rPr>
        <w:t xml:space="preserve">c99</w:t>
      </w:r>
      <w:r>
        <w:t xml:space="preserve"> </w:t>
      </w:r>
      <w:r>
        <w:t xml:space="preserve">(Chapter 03).</w:t>
      </w:r>
    </w:p>
    <w:p>
      <w:pPr>
        <w:pStyle w:val="Compact"/>
        <w:numPr>
          <w:ilvl w:val="0"/>
          <w:numId w:val="1043"/>
        </w:numPr>
      </w:pPr>
      <w:r>
        <w:t xml:space="preserve">Create the Conditional Access policy for it,</w:t>
      </w:r>
      <w:r>
        <w:t xml:space="preserve"> </w:t>
      </w:r>
      <w:r>
        <w:rPr>
          <w:rStyle w:val="VerbatimChar"/>
        </w:rPr>
        <w:t xml:space="preserve">PIM-Activation-c1</w:t>
      </w:r>
      <w:r>
        <w:t xml:space="preserve">, targeting the authentication context,</w:t>
      </w:r>
      <w:r>
        <w:t xml:space="preserve"> </w:t>
      </w:r>
      <w:r>
        <w:rPr>
          <w:b/>
          <w:bCs/>
        </w:rPr>
        <w:t xml:space="preserve">all users</w:t>
      </w:r>
      <w:r>
        <w:t xml:space="preserve"> </w:t>
      </w:r>
      <w:r>
        <w:t xml:space="preserve">(or the eligible population), and excluding the emergency access group. Grant: authentication strength</w:t>
      </w:r>
      <w:r>
        <w:t xml:space="preserve"> </w:t>
      </w:r>
      <w:r>
        <w:rPr>
          <w:rStyle w:val="VerbatimChar"/>
        </w:rPr>
        <w:t xml:space="preserve">FMP-Privileged-SeparateDevice</w:t>
      </w:r>
      <w:r>
        <w:t xml:space="preserve"> </w:t>
      </w:r>
      <w:r>
        <w:t xml:space="preserve">(Appendix A)</w:t>
      </w:r>
      <w:r>
        <w:t xml:space="preserve"> </w:t>
      </w:r>
      <w:r>
        <w:rPr>
          <w:b/>
          <w:bCs/>
        </w:rPr>
        <w:t xml:space="preserve">and</w:t>
      </w:r>
      <w:r>
        <w:t xml:space="preserve"> </w:t>
      </w:r>
      <w:r>
        <w:t xml:space="preserve">compliant device. Session:</w:t>
      </w:r>
      <w:r>
        <w:t xml:space="preserve"> </w:t>
      </w:r>
      <w:r>
        <w:rPr>
          <w:b/>
          <w:bCs/>
        </w:rPr>
        <w:t xml:space="preserve">sign-in frequency, Every time</w:t>
      </w:r>
      <w:r>
        <w:t xml:space="preserve">, which forces reauthentication on every activation.</w:t>
      </w:r>
      <w:r>
        <w:rPr>
          <w:rStyle w:val="FootnoteReference"/>
        </w:rPr>
        <w:footnoteReference w:id="705"/>
      </w:r>
      <w:r>
        <w:t xml:space="preserve"> </w:t>
      </w:r>
      <w:r>
        <w:t xml:space="preserve">Turn it</w:t>
      </w:r>
      <w:r>
        <w:t xml:space="preserve"> </w:t>
      </w:r>
      <w:r>
        <w:rPr>
          <w:b/>
          <w:bCs/>
        </w:rPr>
        <w:t xml:space="preserve">On</w:t>
      </w:r>
      <w:r>
        <w:t xml:space="preserve">; report-only doesn’t count.</w:t>
      </w:r>
    </w:p>
    <w:p>
      <w:pPr>
        <w:pStyle w:val="Compact"/>
        <w:numPr>
          <w:ilvl w:val="0"/>
          <w:numId w:val="1043"/>
        </w:numPr>
      </w:pPr>
      <w:r>
        <w:t xml:space="preserve">Only then select</w:t>
      </w:r>
      <w:r>
        <w:t xml:space="preserve"> </w:t>
      </w:r>
      <w:r>
        <w:rPr>
          <w:rStyle w:val="VerbatimChar"/>
        </w:rPr>
        <w:t xml:space="preserve">c1</w:t>
      </w:r>
      <w:r>
        <w:t xml:space="preserve"> </w:t>
      </w:r>
      <w:r>
        <w:t xml:space="preserve">in each role’s settings (Steps 3 and 4).</w:t>
      </w:r>
    </w:p>
    <w:p>
      <w:pPr>
        <w:pStyle w:val="FirstParagraph"/>
      </w:pPr>
      <w:r>
        <w:t xml:space="preserve">Constraints to design around:</w:t>
      </w:r>
      <w:r>
        <w:rPr>
          <w:rStyle w:val="FootnoteReference"/>
        </w:rPr>
        <w:footnoteReference w:id="706"/>
      </w:r>
    </w:p>
    <w:p>
      <w:pPr>
        <w:pStyle w:val="Compact"/>
        <w:numPr>
          <w:ilvl w:val="0"/>
          <w:numId w:val="1044"/>
        </w:numPr>
      </w:pPr>
      <w:r>
        <w:rPr>
          <w:b/>
          <w:bCs/>
        </w:rPr>
        <w:t xml:space="preserve">Don’t scope the policy to both the authentication context and a directory role.</w:t>
      </w:r>
      <w:r>
        <w:t xml:space="preserve"> </w:t>
      </w:r>
      <w:r>
        <w:t xml:space="preserve">At activation time the user doesn’t hold the role yet, so a role-scoped policy wouldn’t apply.</w:t>
      </w:r>
    </w:p>
    <w:p>
      <w:pPr>
        <w:pStyle w:val="Compact"/>
        <w:numPr>
          <w:ilvl w:val="0"/>
          <w:numId w:val="1044"/>
        </w:numPr>
      </w:pPr>
      <w:r>
        <w:rPr>
          <w:b/>
          <w:bCs/>
        </w:rPr>
        <w:t xml:space="preserve">The fallback isn’t a safety net.</w:t>
      </w:r>
      <w:r>
        <w:t xml:space="preserve"> </w:t>
      </w:r>
      <w:r>
        <w:t xml:space="preserve">If no Conditional Access policy targets the context selected in PIM, activation falls back to requiring MFA. The fallback doesn’t trigger if the policy is off, in report-only mode, or excludes the eligible user. It exists to catch a build-order mistake.</w:t>
      </w:r>
    </w:p>
    <w:p>
      <w:pPr>
        <w:pStyle w:val="Compact"/>
        <w:numPr>
          <w:ilvl w:val="0"/>
          <w:numId w:val="1044"/>
        </w:numPr>
      </w:pPr>
      <w:r>
        <w:rPr>
          <w:b/>
          <w:bCs/>
        </w:rPr>
        <w:t xml:space="preserve">A 10-minute window follows reauthentication.</w:t>
      </w:r>
      <w:r>
        <w:t xml:space="preserve"> </w:t>
      </w:r>
      <w:r>
        <w:t xml:space="preserve">Another eligible activation inside it doesn’t prompt again; the window spans Microsoft Entra roles, Azure resource roles and PIM for Groups.</w:t>
      </w:r>
    </w:p>
    <w:p>
      <w:pPr>
        <w:pStyle w:val="Compact"/>
        <w:numPr>
          <w:ilvl w:val="0"/>
          <w:numId w:val="1044"/>
        </w:numPr>
      </w:pPr>
      <w:r>
        <w:rPr>
          <w:b/>
          <w:bCs/>
        </w:rPr>
        <w:t xml:space="preserve">The context governs activation, not use.</w:t>
      </w:r>
      <w:r>
        <w:t xml:space="preserve"> </w:t>
      </w:r>
      <w:r>
        <w:t xml:space="preserve">A user could activate from a compliant device and use the role from another. The program closes that with the persona policies in Chapter 07 (CA003, CA004 and CA025, the PAW block), which apply to every privileged sign-in; Microsoft’s alternative is a second policy targeting directory roles.</w:t>
      </w:r>
    </w:p>
    <w:bookmarkEnd w:id="707"/>
    <w:bookmarkStart w:id="709" w:name="Xf3c85dd160ecca292205888c9abc395d99c743a"/>
    <w:p>
      <w:pPr>
        <w:pStyle w:val="Heading2"/>
      </w:pPr>
      <w:bookmarkStart w:id="1244" w:name="_Toc00001244"/>
      <w:r>
        <w:t xml:space="preserve">The authentication context creates a privilege dependency</w:t>
      </w:r>
      <w:bookmarkEnd w:id="1244"/>
    </w:p>
    <w:p>
      <w:pPr>
        <w:pStyle w:val="FirstParagraph"/>
      </w:pPr>
      <w:r>
        <w:t xml:space="preserve">Once PIM points at</w:t>
      </w:r>
      <w:r>
        <w:t xml:space="preserve"> </w:t>
      </w:r>
      <w:r>
        <w:rPr>
          <w:rStyle w:val="VerbatimChar"/>
        </w:rPr>
        <w:t xml:space="preserve">c1</w:t>
      </w:r>
      <w:r>
        <w:t xml:space="preserve">, whoever can edit Conditional Access, the Conditional Access Administrator and Security Administrator roles, can weaken the requirement, remove it, or block eligible users from activating. Microsoft says to treat those roles as highly privileged.</w:t>
      </w:r>
      <w:r>
        <w:rPr>
          <w:rStyle w:val="FootnoteReference"/>
        </w:rPr>
        <w:footnoteReference w:id="708"/>
      </w:r>
      <w:r>
        <w:t xml:space="preserve"> </w:t>
      </w:r>
      <w:r>
        <w:t xml:space="preserve">The program puts them in Tier 0 (Chapter 04) behind this same gate, and closes the loop with protected actions (</w:t>
      </w:r>
      <w:hyperlink w:anchor="Xd8f0c5894baed02b9d8028c49b7d8866fa3c3c3">
        <w:r>
          <w:rPr>
            <w:rStyle w:val="Hyperlink"/>
          </w:rPr>
          <w:t xml:space="preserve">Step 6</w:t>
        </w:r>
      </w:hyperlink>
      <w:r>
        <w:t xml:space="preserve">).</w:t>
      </w:r>
    </w:p>
    <w:bookmarkEnd w:id="709"/>
    <w:p>
      <w:pPr>
        <w:pStyle w:val="BodyText"/>
      </w:pPr>
      <w:r>
        <w:t xml:space="preserve">Chapter 07’s library doesn’t yet number this policy; it belongs in Wave 2 with the administrator policies.</w:t>
      </w:r>
    </w:p>
    <w:bookmarkStart w:id="711" w:name="X84766da77d776d74ae052d65a8698f56f24b5cd"/>
    <w:p>
      <w:pPr>
        <w:pStyle w:val="Heading3"/>
      </w:pPr>
      <w:r>
        <w:t xml:space="preserve">Step 3 — Configure role settings in the admin center</w:t>
      </w:r>
    </w:p>
    <w:p>
      <w:pPr>
        <w:pStyle w:val="FirstParagraph"/>
      </w:pPr>
      <w:r>
        <w:t xml:space="preserve">For each role in Appendix B:</w:t>
      </w:r>
    </w:p>
    <w:p>
      <w:pPr>
        <w:pStyle w:val="Compact"/>
        <w:numPr>
          <w:ilvl w:val="0"/>
          <w:numId w:val="1045"/>
        </w:numPr>
      </w:pPr>
      <w:r>
        <w:t xml:space="preserve">Sign in to the Microsoft Entra admin center as at least a Privileged Role Administrator.</w:t>
      </w:r>
    </w:p>
    <w:p>
      <w:pPr>
        <w:pStyle w:val="Compact"/>
        <w:numPr>
          <w:ilvl w:val="0"/>
          <w:numId w:val="1045"/>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Microsoft Entra roles</w:t>
      </w:r>
      <w:r>
        <w:t xml:space="preserve"> </w:t>
      </w:r>
      <w:r>
        <w:t xml:space="preserve">&gt;</w:t>
      </w:r>
      <w:r>
        <w:t xml:space="preserve"> </w:t>
      </w:r>
      <w:r>
        <w:rPr>
          <w:b/>
          <w:bCs/>
        </w:rPr>
        <w:t xml:space="preserve">Roles</w:t>
      </w:r>
      <w:r>
        <w:t xml:space="preserve">, select the role, then</w:t>
      </w:r>
      <w:r>
        <w:t xml:space="preserve"> </w:t>
      </w:r>
      <w:r>
        <w:rPr>
          <w:b/>
          <w:bCs/>
        </w:rPr>
        <w:t xml:space="preserve">Role settings</w:t>
      </w:r>
      <w:r>
        <w:t xml:space="preserve"> </w:t>
      </w:r>
      <w:r>
        <w:t xml:space="preserve">&gt;</w:t>
      </w:r>
      <w:r>
        <w:t xml:space="preserve"> </w:t>
      </w:r>
      <w:r>
        <w:rPr>
          <w:b/>
          <w:bCs/>
        </w:rPr>
        <w:t xml:space="preserve">Edit</w:t>
      </w:r>
      <w:r>
        <w:t xml:space="preserve">.</w:t>
      </w:r>
      <w:r>
        <w:rPr>
          <w:rStyle w:val="FootnoteReference"/>
        </w:rPr>
        <w:footnoteReference w:id="710"/>
      </w:r>
    </w:p>
    <w:p>
      <w:pPr>
        <w:pStyle w:val="Compact"/>
        <w:numPr>
          <w:ilvl w:val="0"/>
          <w:numId w:val="1045"/>
        </w:numPr>
      </w:pPr>
      <w:r>
        <w:t xml:space="preserve">On</w:t>
      </w:r>
      <w:r>
        <w:t xml:space="preserve"> </w:t>
      </w:r>
      <w:r>
        <w:rPr>
          <w:b/>
          <w:bCs/>
        </w:rPr>
        <w:t xml:space="preserve">Activation</w:t>
      </w:r>
      <w:r>
        <w:t xml:space="preserve">: set the maximum duration; under</w:t>
      </w:r>
      <w:r>
        <w:t xml:space="preserve"> </w:t>
      </w:r>
      <w:r>
        <w:rPr>
          <w:b/>
          <w:bCs/>
        </w:rPr>
        <w:t xml:space="preserve">On activation, require</w:t>
      </w:r>
      <w:r>
        <w:t xml:space="preserve">, select the Conditional Access authentication context</w:t>
      </w:r>
      <w:r>
        <w:t xml:space="preserve"> </w:t>
      </w:r>
      <w:r>
        <w:rPr>
          <w:rStyle w:val="VerbatimChar"/>
        </w:rPr>
        <w:t xml:space="preserve">c1</w:t>
      </w:r>
      <w:r>
        <w:t xml:space="preserve">; turn on justification and ticket information; turn on</w:t>
      </w:r>
      <w:r>
        <w:t xml:space="preserve"> </w:t>
      </w:r>
      <w:r>
        <w:rPr>
          <w:b/>
          <w:bCs/>
        </w:rPr>
        <w:t xml:space="preserve">Require approval to activate</w:t>
      </w:r>
      <w:r>
        <w:t xml:space="preserve"> </w:t>
      </w:r>
      <w:r>
        <w:t xml:space="preserve">and select the tier’s approver group.</w:t>
      </w:r>
    </w:p>
    <w:p>
      <w:pPr>
        <w:pStyle w:val="Compact"/>
        <w:numPr>
          <w:ilvl w:val="0"/>
          <w:numId w:val="1045"/>
        </w:numPr>
      </w:pPr>
      <w:r>
        <w:t xml:space="preserve">On</w:t>
      </w:r>
      <w:r>
        <w:t xml:space="preserve"> </w:t>
      </w:r>
      <w:r>
        <w:rPr>
          <w:b/>
          <w:bCs/>
        </w:rPr>
        <w:t xml:space="preserve">Assignment</w:t>
      </w:r>
      <w:r>
        <w:t xml:space="preserve">: turn off permanent eligible and permanent active assignment, set the expiry, and require MFA and justification on active assignment.</w:t>
      </w:r>
    </w:p>
    <w:p>
      <w:pPr>
        <w:pStyle w:val="Compact"/>
        <w:numPr>
          <w:ilvl w:val="0"/>
          <w:numId w:val="1045"/>
        </w:numPr>
      </w:pPr>
      <w:r>
        <w:t xml:space="preserve">On</w:t>
      </w:r>
      <w:r>
        <w:t xml:space="preserve"> </w:t>
      </w:r>
      <w:r>
        <w:rPr>
          <w:b/>
          <w:bCs/>
        </w:rPr>
        <w:t xml:space="preserve">Notifications</w:t>
      </w:r>
      <w:r>
        <w:t xml:space="preserve">: set recipients (</w:t>
      </w:r>
      <w:hyperlink w:anchor="step-7-notifications-and-pim-alerts">
        <w:r>
          <w:rPr>
            <w:rStyle w:val="Hyperlink"/>
          </w:rPr>
          <w:t xml:space="preserve">Step 7</w:t>
        </w:r>
      </w:hyperlink>
      <w:r>
        <w:t xml:space="preserve">).</w:t>
      </w:r>
    </w:p>
    <w:p>
      <w:pPr>
        <w:pStyle w:val="Compact"/>
        <w:numPr>
          <w:ilvl w:val="0"/>
          <w:numId w:val="1045"/>
        </w:numPr>
      </w:pPr>
      <w:r>
        <w:t xml:space="preserve">Select</w:t>
      </w:r>
      <w:r>
        <w:t xml:space="preserve"> </w:t>
      </w:r>
      <w:r>
        <w:rPr>
          <w:b/>
          <w:bCs/>
        </w:rPr>
        <w:t xml:space="preserve">Update</w:t>
      </w:r>
      <w:r>
        <w:t xml:space="preserve">.</w:t>
      </w:r>
    </w:p>
    <w:bookmarkEnd w:id="711"/>
    <w:bookmarkStart w:id="713" w:name="never-leave-the-approver-list-empty"/>
    <w:p>
      <w:pPr>
        <w:pStyle w:val="Heading2"/>
      </w:pPr>
      <w:bookmarkStart w:id="1245" w:name="_Toc00001245"/>
      <w:r>
        <w:t xml:space="preserve">Never leave the approver list empty</w:t>
      </w:r>
      <w:bookmarkEnd w:id="1245"/>
    </w:p>
    <w:p>
      <w:pPr>
        <w:pStyle w:val="FirstParagraph"/>
      </w:pPr>
      <w:r>
        <w:t xml:space="preserve">If approval is required and no approvers are selected, active Privileged Role Administrators and Global Administrators become the default approvers.</w:t>
      </w:r>
      <w:r>
        <w:rPr>
          <w:rStyle w:val="FootnoteReference"/>
        </w:rPr>
        <w:footnoteReference w:id="712"/>
      </w:r>
      <w:r>
        <w:t xml:space="preserve"> </w:t>
      </w:r>
      <w:r>
        <w:t xml:space="preserve">That is exactly the population this design keeps eligible, which is how the Step 0 lockout arises. Name the approver group explicitly every time.</w:t>
      </w:r>
    </w:p>
    <w:bookmarkEnd w:id="713"/>
    <w:bookmarkStart w:id="716" w:name="Xe6e610aa38388a5463274102b9bb5d041d669b1"/>
    <w:p>
      <w:pPr>
        <w:pStyle w:val="Heading3"/>
      </w:pPr>
      <w:r>
        <w:t xml:space="preserve">Step 4 — Configure role settings with Microsoft Graph</w:t>
      </w:r>
    </w:p>
    <w:p>
      <w:pPr>
        <w:pStyle w:val="FirstParagraph"/>
      </w:pPr>
      <w:r>
        <w:t xml:space="preserve">The admin center works for one role and not for thirty. In Graph, each directory role at tenant scope is assigned one role management policy, and its settings are that policy’s rules. Each policy has 17 rules.</w:t>
      </w:r>
      <w:r>
        <w:rPr>
          <w:rStyle w:val="FootnoteReference"/>
        </w:rPr>
        <w:footnoteReference w:id="714"/>
      </w:r>
      <w:r>
        <w:t xml:space="preserve"> </w:t>
      </w:r>
      <w:r>
        <w:t xml:space="preserve">Chapter 10 keeps them as code.</w:t>
      </w:r>
    </w:p>
    <w:bookmarkEnd w:id="716"/>
    <w:bookmarkStart w:id="717" w:name="illustrative-code-1"/>
    <w:p>
      <w:pPr>
        <w:pStyle w:val="Heading2"/>
      </w:pPr>
      <w:bookmarkStart w:id="1246" w:name="_Toc00001246"/>
      <w:r>
        <w:t xml:space="preserve">Illustrative code</w:t>
      </w:r>
      <w:bookmarkEnd w:id="1246"/>
    </w:p>
    <w:p>
      <w:pPr>
        <w:pStyle w:val="FirstParagraph"/>
      </w:pPr>
      <w:r>
        <w:t xml:space="preserve">The requests and script in this chapter are reference implementations written against current Microsoft Graph and Microsoft Graph PowerShell. They haven’t been run against a production tenant. Review them, dry-run them with</w:t>
      </w:r>
      <w:r>
        <w:t xml:space="preserve"> </w:t>
      </w:r>
      <w:r>
        <w:rPr>
          <w:rStyle w:val="VerbatimChar"/>
        </w:rPr>
        <w:t xml:space="preserve">-WhatIf</w:t>
      </w:r>
      <w:r>
        <w:t xml:space="preserve"> </w:t>
      </w:r>
      <w:r>
        <w:t xml:space="preserve">in a test tenant, and adapt the values marked</w:t>
      </w:r>
      <w:r>
        <w:t xml:space="preserve"> </w:t>
      </w:r>
      <w:r>
        <w:rPr>
          <w:rStyle w:val="VerbatimChar"/>
        </w:rPr>
        <w:t xml:space="preserve">CONFIGURE</w:t>
      </w:r>
      <w:r>
        <w:t xml:space="preserve"> </w:t>
      </w:r>
      <w:r>
        <w:t xml:space="preserve">before running them anywhere that matters.</w:t>
      </w:r>
    </w:p>
    <w:bookmarkEnd w:id="717"/>
    <w:bookmarkStart w:id="719" w:name="find-the-policy-for-a-role"/>
    <w:p>
      <w:pPr>
        <w:pStyle w:val="Heading4"/>
      </w:pPr>
      <w:r>
        <w:t xml:space="preserve">Find the policy for a role</w:t>
      </w:r>
    </w:p>
    <w:p>
      <w:pPr>
        <w:pStyle w:val="FirstParagraph"/>
      </w:pPr>
      <w:r>
        <w:t xml:space="preserve">Resolve the</w:t>
      </w:r>
      <w:r>
        <w:t xml:space="preserve"> </w:t>
      </w:r>
      <w:r>
        <w:rPr>
          <w:rStyle w:val="VerbatimChar"/>
        </w:rPr>
        <w:t xml:space="preserve">policyId</w:t>
      </w:r>
      <w:r>
        <w:t xml:space="preserve"> </w:t>
      </w:r>
      <w:r>
        <w:t xml:space="preserve">from the role’s immutable template ID (Appendix B lists them):</w:t>
      </w:r>
      <w:r>
        <w:rPr>
          <w:rStyle w:val="FootnoteReference"/>
        </w:rPr>
        <w:footnoteReference w:id="718"/>
      </w:r>
    </w:p>
    <w:p>
      <w:pPr>
        <w:pStyle w:val="SourceCode"/>
      </w:pPr>
      <w:r>
        <w:rPr>
          <w:rStyle w:val="VerbatimChar"/>
        </w:rPr>
        <w:t xml:space="preserve">GET https://graph.microsoft.com/v1.0/policies/roleManagementPolicyAssignments?$filter=scopeId eq '/' and scopeType eq 'DirectoryRole' and roleDefinitionId eq '9b895d92-2cd3-44c7-9d02-a6ac2d5ea5c3'</w:t>
      </w:r>
    </w:p>
    <w:p>
      <w:pPr>
        <w:pStyle w:val="FirstParagraph"/>
      </w:pPr>
      <w:r>
        <w:t xml:space="preserve">The response carries the assignment</w:t>
      </w:r>
      <w:r>
        <w:t xml:space="preserve"> </w:t>
      </w:r>
      <w:r>
        <w:rPr>
          <w:rStyle w:val="VerbatimChar"/>
        </w:rPr>
        <w:t xml:space="preserve">id</w:t>
      </w:r>
      <w:r>
        <w:t xml:space="preserve"> </w:t>
      </w:r>
      <w:r>
        <w:t xml:space="preserve">and the</w:t>
      </w:r>
      <w:r>
        <w:t xml:space="preserve"> </w:t>
      </w:r>
      <w:r>
        <w:rPr>
          <w:rStyle w:val="VerbatimChar"/>
        </w:rPr>
        <w:t xml:space="preserve">policyId</w:t>
      </w:r>
      <w:r>
        <w:t xml:space="preserve">; use the</w:t>
      </w:r>
      <w:r>
        <w:t xml:space="preserve"> </w:t>
      </w:r>
      <w:r>
        <w:rPr>
          <w:rStyle w:val="VerbatimChar"/>
        </w:rPr>
        <w:t xml:space="preserve">policyId</w:t>
      </w:r>
      <w:r>
        <w:t xml:space="preserve"> </w:t>
      </w:r>
      <w:r>
        <w:t xml:space="preserve">from here on.</w:t>
      </w:r>
    </w:p>
    <w:bookmarkEnd w:id="719"/>
    <w:bookmarkStart w:id="722" w:name="the-rules-this-build-touches"/>
    <w:p>
      <w:pPr>
        <w:pStyle w:val="Heading4"/>
      </w:pPr>
      <w:r>
        <w:t xml:space="preserve">The rules this build touches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 ID</w:t>
            </w:r>
          </w:p>
        </w:tc>
        <w:tc>
          <w:tcPr/>
          <w:p>
            <w:pPr>
              <w:pStyle w:val="Compact"/>
            </w:pPr>
            <w:r>
              <w:t xml:space="preserve">Tab</w:t>
            </w:r>
          </w:p>
        </w:tc>
        <w:tc>
          <w:tcPr/>
          <w:p>
            <w:pPr>
              <w:pStyle w:val="Compact"/>
            </w:pPr>
            <w:r>
              <w:t xml:space="preserve">What it sets</w:t>
            </w:r>
          </w:p>
        </w:tc>
      </w:tr>
      <w:tr>
        <w:tc>
          <w:tcPr/>
          <w:p>
            <w:pPr>
              <w:pStyle w:val="Compact"/>
            </w:pPr>
            <w:r>
              <w:rPr>
                <w:rStyle w:val="VerbatimChar"/>
              </w:rPr>
              <w:t xml:space="preserve">Expiration_EndUser_Assignment</w:t>
            </w:r>
          </w:p>
        </w:tc>
        <w:tc>
          <w:tcPr/>
          <w:p>
            <w:pPr>
              <w:pStyle w:val="Compact"/>
            </w:pPr>
            <w:r>
              <w:t xml:space="preserve">Activation</w:t>
            </w:r>
          </w:p>
        </w:tc>
        <w:tc>
          <w:tcPr/>
          <w:p>
            <w:pPr>
              <w:pStyle w:val="Compact"/>
            </w:pPr>
            <w:r>
              <w:t xml:space="preserve">Activation maximum duration</w:t>
            </w:r>
          </w:p>
        </w:tc>
      </w:tr>
      <w:tr>
        <w:tc>
          <w:tcPr/>
          <w:p>
            <w:pPr>
              <w:pStyle w:val="Compact"/>
            </w:pPr>
            <w:r>
              <w:rPr>
                <w:rStyle w:val="VerbatimChar"/>
              </w:rPr>
              <w:t xml:space="preserve">Enablement_EndUser_Assignment</w:t>
            </w:r>
          </w:p>
        </w:tc>
        <w:tc>
          <w:tcPr/>
          <w:p>
            <w:pPr>
              <w:pStyle w:val="Compact"/>
            </w:pPr>
            <w:r>
              <w:t xml:space="preserve">Activation</w:t>
            </w:r>
          </w:p>
        </w:tc>
        <w:tc>
          <w:tcPr/>
          <w:p>
            <w:pPr>
              <w:pStyle w:val="Compact"/>
            </w:pPr>
            <w:r>
              <w:t xml:space="preserve">Justification, MFA and ticket on activation</w:t>
            </w:r>
          </w:p>
        </w:tc>
      </w:tr>
      <w:tr>
        <w:tc>
          <w:tcPr/>
          <w:p>
            <w:pPr>
              <w:pStyle w:val="Compact"/>
            </w:pPr>
            <w:r>
              <w:rPr>
                <w:rStyle w:val="VerbatimChar"/>
              </w:rPr>
              <w:t xml:space="preserve">AuthenticationContext_EndUser_Assignment</w:t>
            </w:r>
          </w:p>
        </w:tc>
        <w:tc>
          <w:tcPr/>
          <w:p>
            <w:pPr>
              <w:pStyle w:val="Compact"/>
            </w:pPr>
            <w:r>
              <w:t xml:space="preserve">Activation</w:t>
            </w:r>
          </w:p>
        </w:tc>
        <w:tc>
          <w:tcPr/>
          <w:p>
            <w:pPr>
              <w:pStyle w:val="Compact"/>
            </w:pPr>
            <w:r>
              <w:t xml:space="preserve">The authentication context required on activation</w:t>
            </w:r>
          </w:p>
        </w:tc>
      </w:tr>
      <w:tr>
        <w:tc>
          <w:tcPr/>
          <w:p>
            <w:pPr>
              <w:pStyle w:val="Compact"/>
            </w:pPr>
            <w:r>
              <w:rPr>
                <w:rStyle w:val="VerbatimChar"/>
              </w:rPr>
              <w:t xml:space="preserve">Approval_EndUser_Assignment</w:t>
            </w:r>
          </w:p>
        </w:tc>
        <w:tc>
          <w:tcPr/>
          <w:p>
            <w:pPr>
              <w:pStyle w:val="Compact"/>
            </w:pPr>
            <w:r>
              <w:t xml:space="preserve">Activation</w:t>
            </w:r>
          </w:p>
        </w:tc>
        <w:tc>
          <w:tcPr/>
          <w:p>
            <w:pPr>
              <w:pStyle w:val="Compact"/>
            </w:pPr>
            <w:r>
              <w:t xml:space="preserve">The approval requirement and approvers</w:t>
            </w:r>
          </w:p>
        </w:tc>
      </w:tr>
      <w:tr>
        <w:tc>
          <w:tcPr/>
          <w:p>
            <w:pPr>
              <w:pStyle w:val="Compact"/>
            </w:pPr>
            <w:r>
              <w:rPr>
                <w:rStyle w:val="VerbatimChar"/>
              </w:rPr>
              <w:t xml:space="preserve">Expiration_Admin_Eligibility</w:t>
            </w:r>
          </w:p>
        </w:tc>
        <w:tc>
          <w:tcPr/>
          <w:p>
            <w:pPr>
              <w:pStyle w:val="Compact"/>
            </w:pPr>
            <w:r>
              <w:t xml:space="preserve">Assignment</w:t>
            </w:r>
          </w:p>
        </w:tc>
        <w:tc>
          <w:tcPr/>
          <w:p>
            <w:pPr>
              <w:pStyle w:val="Compact"/>
            </w:pPr>
            <w:r>
              <w:t xml:space="preserve">Expiry of eligible assignments</w:t>
            </w:r>
          </w:p>
        </w:tc>
      </w:tr>
      <w:tr>
        <w:tc>
          <w:tcPr/>
          <w:p>
            <w:pPr>
              <w:pStyle w:val="Compact"/>
            </w:pPr>
            <w:r>
              <w:rPr>
                <w:rStyle w:val="VerbatimChar"/>
              </w:rPr>
              <w:t xml:space="preserve">Expiration_Admin_Assignment</w:t>
            </w:r>
          </w:p>
        </w:tc>
        <w:tc>
          <w:tcPr/>
          <w:p>
            <w:pPr>
              <w:pStyle w:val="Compact"/>
            </w:pPr>
            <w:r>
              <w:t xml:space="preserve">Assignment</w:t>
            </w:r>
          </w:p>
        </w:tc>
        <w:tc>
          <w:tcPr/>
          <w:p>
            <w:pPr>
              <w:pStyle w:val="Compact"/>
            </w:pPr>
            <w:r>
              <w:t xml:space="preserve">Expiry of active assignments</w:t>
            </w:r>
          </w:p>
        </w:tc>
      </w:tr>
      <w:tr>
        <w:tc>
          <w:tcPr/>
          <w:p>
            <w:pPr>
              <w:pStyle w:val="Compact"/>
            </w:pPr>
            <w:r>
              <w:rPr>
                <w:rStyle w:val="VerbatimChar"/>
              </w:rPr>
              <w:t xml:space="preserve">Enablement_Admin_Assignment</w:t>
            </w:r>
          </w:p>
        </w:tc>
        <w:tc>
          <w:tcPr/>
          <w:p>
            <w:pPr>
              <w:pStyle w:val="Compact"/>
            </w:pPr>
            <w:r>
              <w:t xml:space="preserve">Assignment</w:t>
            </w:r>
          </w:p>
        </w:tc>
        <w:tc>
          <w:tcPr/>
          <w:p>
            <w:pPr>
              <w:pStyle w:val="Compact"/>
            </w:pPr>
            <w:r>
              <w:t xml:space="preserve">MFA and justification when an administrator makes an active assignment</w:t>
            </w:r>
          </w:p>
        </w:tc>
      </w:tr>
      <w:tr>
        <w:tc>
          <w:tcPr/>
          <w:p>
            <w:pPr>
              <w:pStyle w:val="Compact"/>
            </w:pPr>
            <w:r>
              <w:rPr>
                <w:rStyle w:val="VerbatimChar"/>
              </w:rPr>
              <w:t xml:space="preserve">Notification_{Admin,Requestor,Approver}_{Admin_Eligibility,Admin_Assignment,EndUser_Assignment}</w:t>
            </w:r>
          </w:p>
        </w:tc>
        <w:tc>
          <w:tcPr/>
          <w:p>
            <w:pPr>
              <w:pStyle w:val="Compact"/>
            </w:pPr>
            <w:r>
              <w:t xml:space="preserve">Notifications</w:t>
            </w:r>
          </w:p>
        </w:tc>
        <w:tc>
          <w:tcPr/>
          <w:p>
            <w:pPr>
              <w:pStyle w:val="Compact"/>
            </w:pPr>
            <w:r>
              <w:t xml:space="preserve">The nine notification rules</w:t>
            </w:r>
          </w:p>
        </w:tc>
      </w:tr>
    </w:tbl>
    <w:p>
      <w:pPr>
        <w:pStyle w:val="BodyText"/>
      </w:pPr>
      <w:r>
        <w:t xml:space="preserve">Rule IDs and shapes are from Microsoft’s rules mapping guide.</w:t>
      </w:r>
      <w:r>
        <w:rPr>
          <w:rStyle w:val="FootnoteReference"/>
        </w:rPr>
        <w:footnoteReference w:id="720"/>
      </w:r>
      <w:r>
        <w:t xml:space="preserve"> </w:t>
      </w:r>
      <w:r>
        <w:t xml:space="preserve">Every</w:t>
      </w:r>
      <w:r>
        <w:t xml:space="preserve"> </w:t>
      </w:r>
      <w:r>
        <w:rPr>
          <w:rStyle w:val="VerbatimChar"/>
        </w:rPr>
        <w:t xml:space="preserve">PATCH</w:t>
      </w:r>
      <w:r>
        <w:t xml:space="preserve"> </w:t>
      </w:r>
      <w:r>
        <w:t xml:space="preserve">must include the</w:t>
      </w:r>
      <w:r>
        <w:t xml:space="preserve"> </w:t>
      </w:r>
      <w:r>
        <w:rPr>
          <w:rStyle w:val="VerbatimChar"/>
        </w:rPr>
        <w:t xml:space="preserve">@odata.type</w:t>
      </w:r>
      <w:r>
        <w:t xml:space="preserve"> </w:t>
      </w:r>
      <w:r>
        <w:t xml:space="preserve">of the derived rule type, and a successful update returns</w:t>
      </w:r>
      <w:r>
        <w:t xml:space="preserve"> </w:t>
      </w:r>
      <w:r>
        <w:rPr>
          <w:rStyle w:val="VerbatimChar"/>
        </w:rPr>
        <w:t xml:space="preserve">204 No Content</w:t>
      </w:r>
      <w:r>
        <w:t xml:space="preserve">.</w:t>
      </w:r>
      <w:r>
        <w:rPr>
          <w:rStyle w:val="FootnoteReference"/>
        </w:rPr>
        <w:footnoteReference w:id="721"/>
      </w:r>
    </w:p>
    <w:bookmarkEnd w:id="722"/>
    <w:bookmarkStart w:id="724" w:name="require-approval-from-a-named-group"/>
    <w:p>
      <w:pPr>
        <w:pStyle w:val="Heading4"/>
      </w:pPr>
      <w:r>
        <w:t xml:space="preserve">Require approval from a named group</w:t>
      </w:r>
    </w:p>
    <w:p>
      <w:pPr>
        <w:pStyle w:val="SourceCode"/>
      </w:pPr>
      <w:r>
        <w:rPr>
          <w:rStyle w:val="VerbatimChar"/>
        </w:rPr>
        <w:t xml:space="preserve">PATCH https://graph.microsoft.com/v1.0/policies/roleManagementPolicies/{policyId}/rules/Approval_EndUser_Assignment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"#microsoft.graph.unifiedRoleManagementPolicyApprovalRule",</w:t>
      </w:r>
      <w:r>
        <w:br/>
      </w:r>
      <w:r>
        <w:rPr>
          <w:rStyle w:val="VerbatimChar"/>
        </w:rPr>
        <w:t xml:space="preserve">  "id": "Approval_EndUser_Assignment",</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  "setting": {</w:t>
      </w:r>
      <w:r>
        <w:br/>
      </w:r>
      <w:r>
        <w:rPr>
          <w:rStyle w:val="VerbatimChar"/>
        </w:rPr>
        <w:t xml:space="preserve">    "@odata.type": "microsoft.graph.approvalSettings",</w:t>
      </w:r>
      <w:r>
        <w:br/>
      </w:r>
      <w:r>
        <w:rPr>
          <w:rStyle w:val="VerbatimChar"/>
        </w:rPr>
        <w:t xml:space="preserve">    "isApprovalRequired": true,</w:t>
      </w:r>
      <w:r>
        <w:br/>
      </w:r>
      <w:r>
        <w:rPr>
          <w:rStyle w:val="VerbatimChar"/>
        </w:rPr>
        <w:t xml:space="preserve">    "isApprovalRequiredForExtension": false,</w:t>
      </w:r>
      <w:r>
        <w:br/>
      </w:r>
      <w:r>
        <w:rPr>
          <w:rStyle w:val="VerbatimChar"/>
        </w:rPr>
        <w:t xml:space="preserve">    "isRequestorJustificationRequired": true,</w:t>
      </w:r>
      <w:r>
        <w:br/>
      </w:r>
      <w:r>
        <w:rPr>
          <w:rStyle w:val="VerbatimChar"/>
        </w:rPr>
        <w:t xml:space="preserve">    "approvalMode": "SingleStage",</w:t>
      </w:r>
      <w:r>
        <w:br/>
      </w:r>
      <w:r>
        <w:rPr>
          <w:rStyle w:val="VerbatimChar"/>
        </w:rPr>
        <w:t xml:space="preserve">    "approvalStages": [</w:t>
      </w:r>
      <w:r>
        <w:br/>
      </w:r>
      <w:r>
        <w:rPr>
          <w:rStyle w:val="VerbatimChar"/>
        </w:rPr>
        <w:t xml:space="preserve">      {</w:t>
      </w:r>
      <w:r>
        <w:br/>
      </w:r>
      <w:r>
        <w:rPr>
          <w:rStyle w:val="VerbatimChar"/>
        </w:rPr>
        <w:t xml:space="preserve">        "approvalStageTimeOutInDays": 1,</w:t>
      </w:r>
      <w:r>
        <w:br/>
      </w:r>
      <w:r>
        <w:rPr>
          <w:rStyle w:val="VerbatimChar"/>
        </w:rPr>
        <w:t xml:space="preserve">        "isApproverJustificationRequired": true,</w:t>
      </w:r>
      <w:r>
        <w:br/>
      </w:r>
      <w:r>
        <w:rPr>
          <w:rStyle w:val="VerbatimChar"/>
        </w:rPr>
        <w:t xml:space="preserve">        "escalationTimeInMinutes": 0,</w:t>
      </w:r>
      <w:r>
        <w:br/>
      </w:r>
      <w:r>
        <w:rPr>
          <w:rStyle w:val="VerbatimChar"/>
        </w:rPr>
        <w:t xml:space="preserve">        "primaryApprovers": [</w:t>
      </w:r>
      <w:r>
        <w:br/>
      </w:r>
      <w:r>
        <w:rPr>
          <w:rStyle w:val="VerbatimChar"/>
        </w:rPr>
        <w:t xml:space="preserve">          {</w:t>
      </w:r>
      <w:r>
        <w:br/>
      </w:r>
      <w:r>
        <w:rPr>
          <w:rStyle w:val="VerbatimChar"/>
        </w:rPr>
        <w:t xml:space="preserve">            "@odata.type": "#microsoft.graph.groupMembers",</w:t>
      </w:r>
      <w:r>
        <w:br/>
      </w:r>
      <w:r>
        <w:rPr>
          <w:rStyle w:val="VerbatimChar"/>
        </w:rPr>
        <w:t xml:space="preserve">            "groupId": "&lt;PIM-Approvers-T0 object ID&gt;"</w:t>
      </w:r>
      <w:r>
        <w:br/>
      </w:r>
      <w:r>
        <w:rPr>
          <w:rStyle w:val="VerbatimChar"/>
        </w:rPr>
        <w:t xml:space="preserve">          }</w:t>
      </w:r>
      <w:r>
        <w:br/>
      </w:r>
      <w:r>
        <w:rPr>
          <w:rStyle w:val="VerbatimChar"/>
        </w:rPr>
        <w:t xml:space="preserve">        ],</w:t>
      </w:r>
      <w:r>
        <w:br/>
      </w:r>
      <w:r>
        <w:rPr>
          <w:rStyle w:val="VerbatimChar"/>
        </w:rPr>
        <w:t xml:space="preserve">        "isEscalationEnabled": false,</w:t>
      </w:r>
      <w:r>
        <w:br/>
      </w:r>
      <w:r>
        <w:rPr>
          <w:rStyle w:val="VerbatimChar"/>
        </w:rPr>
        <w:t xml:space="preserve">        "escalationApprovers":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rPr>
          <w:rStyle w:val="VerbatimChar"/>
        </w:rPr>
        <w:t xml:space="preserve">isApproverJustificationRequired: true</w:t>
      </w:r>
      <w:r>
        <w:t xml:space="preserve"> </w:t>
      </w:r>
      <w:r>
        <w:t xml:space="preserve">puts the approver’s reasoning in the record, not only the requester’s; keep it on, so the approval is evidence of a decision rather than of a click.</w:t>
      </w:r>
      <w:r>
        <w:t xml:space="preserve"> </w:t>
      </w:r>
      <w:r>
        <w:rPr>
          <w:rStyle w:val="VerbatimChar"/>
        </w:rPr>
        <w:t xml:space="preserve">approvalMode</w:t>
      </w:r>
      <w:r>
        <w:t xml:space="preserve"> </w:t>
      </w:r>
      <w:r>
        <w:t xml:space="preserve">stays</w:t>
      </w:r>
      <w:r>
        <w:t xml:space="preserve"> </w:t>
      </w:r>
      <w:r>
        <w:rPr>
          <w:rStyle w:val="VerbatimChar"/>
        </w:rPr>
        <w:t xml:space="preserve">SingleStage</w:t>
      </w:r>
      <w:r>
        <w:t xml:space="preserve">: multi-step approval isn’t supported for Microsoft Entra roles.</w:t>
      </w:r>
      <w:r>
        <w:rPr>
          <w:rStyle w:val="FootnoteReference"/>
        </w:rPr>
        <w:footnoteReference w:id="723"/>
      </w:r>
    </w:p>
    <w:bookmarkEnd w:id="724"/>
    <w:bookmarkStart w:id="727" w:name="Xd760b2d1b6ee27fdb6aa4702e41a14746c8c2e1"/>
    <w:p>
      <w:pPr>
        <w:pStyle w:val="Heading4"/>
      </w:pPr>
      <w:r>
        <w:t xml:space="preserve">Require the authentication context, justification and ticket</w:t>
      </w:r>
    </w:p>
    <w:p>
      <w:pPr>
        <w:pStyle w:val="SourceCode"/>
      </w:pPr>
      <w:r>
        <w:rPr>
          <w:rStyle w:val="VerbatimChar"/>
        </w:rPr>
        <w:t xml:space="preserve">PATCH https://graph.microsoft.com/v1.0/policies/roleManagementPolicies/{policyId}/rules/AuthenticationContext_EndUser_Assignment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"#microsoft.graph.unifiedRoleManagementPolicyAuthenticationContextRule",</w:t>
      </w:r>
      <w:r>
        <w:br/>
      </w:r>
      <w:r>
        <w:rPr>
          <w:rStyle w:val="VerbatimChar"/>
        </w:rPr>
        <w:t xml:space="preserve">  "id": "AuthenticationContext_EndUser_Assignment",</w:t>
      </w:r>
      <w:r>
        <w:br/>
      </w:r>
      <w:r>
        <w:rPr>
          <w:rStyle w:val="VerbatimChar"/>
        </w:rPr>
        <w:t xml:space="preserve">  "isEnabled": true,</w:t>
      </w:r>
      <w:r>
        <w:br/>
      </w:r>
      <w:r>
        <w:rPr>
          <w:rStyle w:val="VerbatimChar"/>
        </w:rPr>
        <w:t xml:space="preserve">  "claimValue": "c1",</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p>
      <w:pPr>
        <w:pStyle w:val="SourceCode"/>
      </w:pPr>
      <w:r>
        <w:rPr>
          <w:rStyle w:val="VerbatimChar"/>
        </w:rPr>
        <w:t xml:space="preserve">PATCH https://graph.microsoft.com/v1.0/policies/roleManagementPolicies/{policyId}/rules/Enablement_EndUser_Assignment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"#microsoft.graph.unifiedRoleManagementPolicyEnablementRule",</w:t>
      </w:r>
      <w:r>
        <w:br/>
      </w:r>
      <w:r>
        <w:rPr>
          <w:rStyle w:val="VerbatimChar"/>
        </w:rPr>
        <w:t xml:space="preserve">  "id": "Enablement_EndUser_Assignment",</w:t>
      </w:r>
      <w:r>
        <w:br/>
      </w:r>
      <w:r>
        <w:rPr>
          <w:rStyle w:val="VerbatimChar"/>
        </w:rPr>
        <w:t xml:space="preserve">  "enabledRules": [ "Justification", "Ticketing" ],</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p>
      <w:pPr>
        <w:pStyle w:val="FirstParagraph"/>
      </w:pPr>
      <w:r>
        <w:t xml:space="preserve">The authentication context rule takes</w:t>
      </w:r>
      <w:r>
        <w:t xml:space="preserve"> </w:t>
      </w:r>
      <w:r>
        <w:rPr>
          <w:rStyle w:val="VerbatimChar"/>
        </w:rPr>
        <w:t xml:space="preserve">isEnabled</w:t>
      </w:r>
      <w:r>
        <w:t xml:space="preserve"> </w:t>
      </w:r>
      <w:r>
        <w:t xml:space="preserve">and</w:t>
      </w:r>
      <w:r>
        <w:t xml:space="preserve"> </w:t>
      </w:r>
      <w:r>
        <w:rPr>
          <w:rStyle w:val="VerbatimChar"/>
        </w:rPr>
        <w:t xml:space="preserve">claimValue</w:t>
      </w:r>
      <w:r>
        <w:t xml:space="preserve">.</w:t>
      </w:r>
      <w:r>
        <w:rPr>
          <w:rStyle w:val="FootnoteReference"/>
        </w:rPr>
        <w:footnoteReference w:id="725"/>
      </w:r>
      <w:r>
        <w:t xml:space="preserve"> </w:t>
      </w:r>
      <w:r>
        <w:t xml:space="preserve">The program leaves</w:t>
      </w:r>
      <w:r>
        <w:t xml:space="preserve"> </w:t>
      </w:r>
      <w:r>
        <w:rPr>
          <w:rStyle w:val="VerbatimChar"/>
        </w:rPr>
        <w:t xml:space="preserve">MultiFactorAuthentication</w:t>
      </w:r>
      <w:r>
        <w:t xml:space="preserve"> </w:t>
      </w:r>
      <w:r>
        <w:t xml:space="preserve">out of</w:t>
      </w:r>
      <w:r>
        <w:t xml:space="preserve"> </w:t>
      </w:r>
      <w:r>
        <w:rPr>
          <w:rStyle w:val="VerbatimChar"/>
        </w:rPr>
        <w:t xml:space="preserve">enabledRules</w:t>
      </w:r>
      <w:r>
        <w:t xml:space="preserve"> </w:t>
      </w:r>
      <w:r>
        <w:t xml:space="preserve">because the context’s policy already demands a stronger, fresh proof; a role configured without a context would list</w:t>
      </w:r>
      <w:r>
        <w:t xml:space="preserve"> </w:t>
      </w:r>
      <w:r>
        <w:rPr>
          <w:rStyle w:val="VerbatimChar"/>
        </w:rPr>
        <w:t xml:space="preserve">"Justification", "MultiFactorAuthentication", "Ticketing"</w:t>
      </w:r>
      <w:r>
        <w:t xml:space="preserve">.</w:t>
      </w:r>
    </w:p>
    <w:bookmarkEnd w:id="727"/>
    <w:bookmarkStart w:id="728" w:name="X732c9da0a1d50a1d322b4caa941ea7dc8b0c23b"/>
    <w:p>
      <w:pPr>
        <w:pStyle w:val="Heading4"/>
      </w:pPr>
      <w:r>
        <w:t xml:space="preserve">Cap the activation window and bound eligibility</w:t>
      </w:r>
    </w:p>
    <w:p>
      <w:pPr>
        <w:pStyle w:val="SourceCode"/>
      </w:pPr>
      <w:r>
        <w:rPr>
          <w:rStyle w:val="VerbatimChar"/>
        </w:rPr>
        <w:t xml:space="preserve">PATCH https://graph.microsoft.com/v1.0/policies/roleManagementPolicies/{policyId}/rules/Expiration_EndUser_Assignment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"Expiration_EndUser_Assignment",</w:t>
      </w:r>
      <w:r>
        <w:br/>
      </w:r>
      <w:r>
        <w:rPr>
          <w:rStyle w:val="VerbatimChar"/>
        </w:rPr>
        <w:t xml:space="preserve">  "isExpirationRequired": true,</w:t>
      </w:r>
      <w:r>
        <w:br/>
      </w:r>
      <w:r>
        <w:rPr>
          <w:rStyle w:val="VerbatimChar"/>
        </w:rPr>
        <w:t xml:space="preserve">  "maximumDuration": "PT4H",</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p>
      <w:pPr>
        <w:pStyle w:val="SourceCode"/>
      </w:pPr>
      <w:r>
        <w:rPr>
          <w:rStyle w:val="VerbatimChar"/>
        </w:rPr>
        <w:t xml:space="preserve">PATCH https://graph.microsoft.com/v1.0/policies/roleManagementPolicies/{policyId}/rules/Expiration_Admin_Eligibility</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"Expiration_Admin_Eligibility",</w:t>
      </w:r>
      <w:r>
        <w:br/>
      </w:r>
      <w:r>
        <w:rPr>
          <w:rStyle w:val="VerbatimChar"/>
        </w:rPr>
        <w:t xml:space="preserve">  "isExpirationRequired": true,</w:t>
      </w:r>
      <w:r>
        <w:br/>
      </w:r>
      <w:r>
        <w:rPr>
          <w:rStyle w:val="VerbatimChar"/>
        </w:rPr>
        <w:t xml:space="preserve">  "maximumDuration": "P90D",</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"Admin",</w:t>
      </w:r>
      <w:r>
        <w:br/>
      </w:r>
      <w:r>
        <w:rPr>
          <w:rStyle w:val="VerbatimChar"/>
        </w:rPr>
        <w:t xml:space="preserve">    "operations": [ "All" ],</w:t>
      </w:r>
      <w:r>
        <w:br/>
      </w:r>
      <w:r>
        <w:rPr>
          <w:rStyle w:val="VerbatimChar"/>
        </w:rPr>
        <w:t xml:space="preserve">    "level": "Eligibility",</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728"/>
    <w:bookmarkStart w:id="730" w:name="applying-a-tiers-settings-across-roles"/>
    <w:p>
      <w:pPr>
        <w:pStyle w:val="Heading4"/>
      </w:pPr>
      <w:r>
        <w:t xml:space="preserve">Applying a tier’s settings across roles</w:t>
      </w:r>
    </w:p>
    <w:p>
      <w:pPr>
        <w:pStyle w:val="FirstParagraph"/>
      </w:pPr>
      <w:r>
        <w:t xml:space="preserve">The script applies one tier’s settings to a list of roles.</w:t>
      </w:r>
      <w:r>
        <w:t xml:space="preserve"> </w:t>
      </w:r>
      <w:r>
        <w:rPr>
          <w:rStyle w:val="VerbatimChar"/>
        </w:rPr>
        <w:t xml:space="preserve">Get-MgPolicyRoleManagementPolicyAssignment</w:t>
      </w:r>
      <w:r>
        <w:t xml:space="preserve"> </w:t>
      </w:r>
      <w:r>
        <w:t xml:space="preserve">and</w:t>
      </w:r>
      <w:r>
        <w:t xml:space="preserve"> </w:t>
      </w:r>
      <w:r>
        <w:rPr>
          <w:rStyle w:val="VerbatimChar"/>
        </w:rPr>
        <w:t xml:space="preserve">Update-MgPolicyRoleManagementPolicyRule</w:t>
      </w:r>
      <w:r>
        <w:t xml:space="preserve"> </w:t>
      </w:r>
      <w:r>
        <w:t xml:space="preserve">are in the</w:t>
      </w:r>
      <w:r>
        <w:t xml:space="preserve"> </w:t>
      </w:r>
      <w:r>
        <w:rPr>
          <w:rStyle w:val="VerbatimChar"/>
        </w:rPr>
        <w:t xml:space="preserve">Microsoft.Graph.Identity.SignIns</w:t>
      </w:r>
      <w:r>
        <w:t xml:space="preserve"> </w:t>
      </w:r>
      <w:r>
        <w:t xml:space="preserve">module.</w:t>
      </w:r>
      <w:r>
        <w:rPr>
          <w:rStyle w:val="FootnoteReference"/>
        </w:rPr>
        <w:footnoteReference w:id="729"/>
      </w:r>
      <w:r>
        <w:t xml:space="preserve"> </w:t>
      </w:r>
      <w:r>
        <w:t xml:space="preserve">The script honors</w:t>
      </w:r>
      <w:r>
        <w:t xml:space="preserve"> </w:t>
      </w:r>
      <w:r>
        <w:rPr>
          <w:rStyle w:val="VerbatimChar"/>
        </w:rPr>
        <w:t xml:space="preserve">-WhatIf</w:t>
      </w:r>
      <w:r>
        <w:t xml:space="preserve">.</w:t>
      </w:r>
    </w:p>
    <w:p>
      <w:pPr>
        <w:pStyle w:val="SourceCode"/>
      </w:pPr>
      <w:r>
        <w:rPr>
          <w:rStyle w:val="CommentTok"/>
        </w:rPr>
        <w:t xml:space="preserve">#Requires -Modules Microsoft.Graph.Identity.SignIns</w:t>
      </w:r>
      <w:r>
        <w:br/>
      </w:r>
      <w:r>
        <w:br/>
      </w:r>
      <w:r>
        <w:rPr>
          <w:rStyle w:val="CommentTok"/>
        </w:rPr>
        <w:t xml:space="preserve">&lt;#</w:t>
      </w:r>
      <w:r>
        <w:br/>
      </w:r>
      <w:r>
        <w:rPr>
          <w:rStyle w:val="CommentTok"/>
        </w:rPr>
        <w:t xml:space="preserve">.SYNOPSIS</w:t>
      </w:r>
      <w:r>
        <w:br/>
      </w:r>
      <w:r>
        <w:rPr>
          <w:rStyle w:val="CommentTok"/>
        </w:rPr>
        <w:t xml:space="preserve">    Apply an FMP privilege-tier PIM policy (approval, authentication context,</w:t>
      </w:r>
      <w:r>
        <w:br/>
      </w:r>
      <w:r>
        <w:rPr>
          <w:rStyle w:val="CommentTok"/>
        </w:rPr>
        <w:t xml:space="preserve">    justification, ticket, duration, eligibility expiry) to Microsoft Entra roles.</w:t>
      </w:r>
      <w:r>
        <w:br/>
      </w:r>
      <w:r>
        <w:br/>
      </w:r>
      <w:r>
        <w:rPr>
          <w:rStyle w:val="CommentTok"/>
        </w:rPr>
        <w:t xml:space="preserve">.DESCRIPTION</w:t>
      </w:r>
      <w:r>
        <w:br/>
      </w:r>
      <w:r>
        <w:rPr>
          <w:rStyle w:val="CommentTok"/>
        </w:rPr>
        <w:t xml:space="preserve">    Resolves each role's role management policy from its immutable template ID,</w:t>
      </w:r>
      <w:r>
        <w:br/>
      </w:r>
      <w:r>
        <w:rPr>
          <w:rStyle w:val="CommentTok"/>
        </w:rPr>
        <w:t xml:space="preserve">    then updates the five rules that make up the approval gate. Re-running with</w:t>
      </w:r>
      <w:r>
        <w:br/>
      </w:r>
      <w:r>
        <w:rPr>
          <w:rStyle w:val="CommentTok"/>
        </w:rPr>
        <w:t xml:space="preserve">    the same inputs leaves the settings unchanged.</w:t>
      </w:r>
      <w:r>
        <w:br/>
      </w:r>
      <w:r>
        <w:br/>
      </w:r>
      <w:r>
        <w:rPr>
          <w:rStyle w:val="CommentTok"/>
        </w:rPr>
        <w:t xml:space="preserve">.NOTES</w:t>
      </w:r>
      <w:r>
        <w:br/>
      </w:r>
      <w:r>
        <w:rPr>
          <w:rStyle w:val="CommentTok"/>
        </w:rPr>
        <w:t xml:space="preserve">    Least-privileged role: Privileged Role Administrator.</w:t>
      </w:r>
      <w:r>
        <w:br/>
      </w:r>
      <w:r>
        <w:rPr>
          <w:rStyle w:val="CommentTok"/>
        </w:rPr>
        <w:t xml:space="preserve">    Connect first:</w:t>
      </w:r>
      <w:r>
        <w:br/>
      </w:r>
      <w:r>
        <w:rPr>
          <w:rStyle w:val="CommentTok"/>
        </w:rPr>
        <w:t xml:space="preserve">        Connect-MgGraph -Scopes 'RoleManagementPolicy.ReadWrite.Directory'</w:t>
      </w:r>
      <w:r>
        <w:br/>
      </w:r>
      <w:r>
        <w:rPr>
          <w:rStyle w:val="CommentTok"/>
        </w:rPr>
        <w:t xml:space="preserve">#&gt;</w:t>
      </w:r>
      <w:r>
        <w:br/>
      </w:r>
      <w:r>
        <w:rPr>
          <w:rStyle w:val="OperatorTok"/>
        </w:rPr>
        <w:t xml:space="preserve">[</w:t>
      </w:r>
      <w:r>
        <w:rPr>
          <w:rStyle w:val="NormalTok"/>
        </w:rPr>
        <w:t xml:space="preserve">CmdletBinding</w:t>
      </w:r>
      <w:r>
        <w:rPr>
          <w:rStyle w:val="OperatorTok"/>
        </w:rPr>
        <w:t xml:space="preserve">(</w:t>
      </w:r>
      <w:r>
        <w:rPr>
          <w:rStyle w:val="NormalTok"/>
        </w:rPr>
        <w:t xml:space="preserve">SupportsShouldProcess</w:t>
      </w:r>
      <w:r>
        <w:rPr>
          <w:rStyle w:val="OperatorTok"/>
        </w:rPr>
        <w:t xml:space="preserve">,</w:t>
      </w:r>
      <w:r>
        <w:rPr>
          <w:rStyle w:val="NormalTok"/>
        </w:rPr>
        <w:t xml:space="preserve"> ConfirmImpact </w:t>
      </w:r>
      <w:r>
        <w:rPr>
          <w:rStyle w:val="OperatorTok"/>
        </w:rPr>
        <w:t xml:space="preserve">=</w:t>
      </w:r>
      <w:r>
        <w:rPr>
          <w:rStyle w:val="NormalTok"/>
        </w:rPr>
        <w:t xml:space="preserve"> </w:t>
      </w:r>
      <w:r>
        <w:rPr>
          <w:rStyle w:val="StringTok"/>
        </w:rPr>
        <w:t xml:space="preserve">'High'</w:t>
      </w:r>
      <w:r>
        <w:rPr>
          <w:rStyle w:val="OperatorTok"/>
        </w:rPr>
        <w:t xml:space="preserve">)]</w:t>
      </w:r>
      <w:r>
        <w:br/>
      </w:r>
      <w:r>
        <w:rPr>
          <w:rStyle w:val="KeywordTok"/>
        </w:rPr>
        <w:t xml:space="preserve">param</w:t>
      </w:r>
      <w:r>
        <w:rPr>
          <w:rStyle w:val="OperatorTok"/>
        </w:rPr>
        <w:t xml:space="preserve">(</w:t>
      </w:r>
      <w:r>
        <w:br/>
      </w:r>
      <w:r>
        <w:rPr>
          <w:rStyle w:val="NormalTok"/>
        </w:rPr>
        <w:t xml:space="preserve">    </w:t>
      </w:r>
      <w:r>
        <w:rPr>
          <w:rStyle w:val="CommentTok"/>
        </w:rPr>
        <w:t xml:space="preserve"># CONFIGURE: the template IDs of the roles in one tier (Appendix B).</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$RoleTemplateId</w:t>
      </w:r>
      <w:r>
        <w:rPr>
          <w:rStyle w:val="OperatorTok"/>
        </w:rPr>
        <w:t xml:space="preserve">,</w:t>
      </w:r>
      <w:r>
        <w:br/>
      </w:r>
      <w:r>
        <w:br/>
      </w:r>
      <w:r>
        <w:rPr>
          <w:rStyle w:val="NormalTok"/>
        </w:rPr>
        <w:t xml:space="preserve">    </w:t>
      </w:r>
      <w:r>
        <w:rPr>
          <w:rStyle w:val="CommentTok"/>
        </w:rPr>
        <w:t xml:space="preserve"># CONFIGURE: object ID of the tier's approver group (Step 1).</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$ApproverGroupId</w:t>
      </w:r>
      <w:r>
        <w:rPr>
          <w:rStyle w:val="OperatorTok"/>
        </w:rPr>
        <w:t xml:space="preserve">,</w:t>
      </w:r>
      <w:r>
        <w:br/>
      </w:r>
      <w:r>
        <w:br/>
      </w:r>
      <w:r>
        <w:rPr>
          <w:rStyle w:val="NormalTok"/>
        </w:rPr>
        <w:t xml:space="preserve">    </w:t>
      </w:r>
      <w:r>
        <w:rPr>
          <w:rStyle w:val="CommentTok"/>
        </w:rPr>
        <w:t xml:space="preserve"># Maximum activation window, ISO 8601, 1 to 24 hours.</w:t>
      </w:r>
      <w:r>
        <w:br/>
      </w:r>
      <w:r>
        <w:rPr>
          <w:rStyle w:val="NormalTok"/>
        </w:rPr>
        <w:t xml:space="preserve">    </w:t>
      </w:r>
      <w:r>
        <w:rPr>
          <w:rStyle w:val="OperatorTok"/>
        </w:rPr>
        <w:t xml:space="preserve">[</w:t>
      </w:r>
      <w:r>
        <w:rPr>
          <w:rStyle w:val="NormalTok"/>
        </w:rPr>
        <w:t xml:space="preserve">ValidatePattern</w:t>
      </w:r>
      <w:r>
        <w:rPr>
          <w:rStyle w:val="OperatorTok"/>
        </w:rPr>
        <w:t xml:space="preserve">(</w:t>
      </w:r>
      <w:r>
        <w:rPr>
          <w:rStyle w:val="StringTok"/>
        </w:rPr>
        <w:t xml:space="preserve">'^PT([1-9]|1[0-9]|2[0-4])H$'</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$MaxActivationDuration</w:t>
      </w:r>
      <w:r>
        <w:rPr>
          <w:rStyle w:val="NormalTok"/>
        </w:rPr>
        <w:t xml:space="preserve"> </w:t>
      </w:r>
      <w:r>
        <w:rPr>
          <w:rStyle w:val="OperatorTok"/>
        </w:rPr>
        <w:t xml:space="preserve">=</w:t>
      </w:r>
      <w:r>
        <w:rPr>
          <w:rStyle w:val="NormalTok"/>
        </w:rPr>
        <w:t xml:space="preserve"> </w:t>
      </w:r>
      <w:r>
        <w:rPr>
          <w:rStyle w:val="StringTok"/>
        </w:rPr>
        <w:t xml:space="preserve">'PT4H'</w:t>
      </w:r>
      <w:r>
        <w:rPr>
          <w:rStyle w:val="OperatorTok"/>
        </w:rPr>
        <w:t xml:space="preserve">,</w:t>
      </w:r>
      <w:r>
        <w:br/>
      </w:r>
      <w:r>
        <w:br/>
      </w:r>
      <w:r>
        <w:rPr>
          <w:rStyle w:val="NormalTok"/>
        </w:rPr>
        <w:t xml:space="preserve">    </w:t>
      </w:r>
      <w:r>
        <w:rPr>
          <w:rStyle w:val="CommentTok"/>
        </w:rPr>
        <w:t xml:space="preserve"># Maximum eligible-assignment lifetime, ISO 8601.</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$MaxEligibilityDuration</w:t>
      </w:r>
      <w:r>
        <w:rPr>
          <w:rStyle w:val="NormalTok"/>
        </w:rPr>
        <w:t xml:space="preserve"> </w:t>
      </w:r>
      <w:r>
        <w:rPr>
          <w:rStyle w:val="OperatorTok"/>
        </w:rPr>
        <w:t xml:space="preserve">=</w:t>
      </w:r>
      <w:r>
        <w:rPr>
          <w:rStyle w:val="NormalTok"/>
        </w:rPr>
        <w:t xml:space="preserve"> </w:t>
      </w:r>
      <w:r>
        <w:rPr>
          <w:rStyle w:val="StringTok"/>
        </w:rPr>
        <w:t xml:space="preserve">'P90D'</w:t>
      </w:r>
      <w:r>
        <w:rPr>
          <w:rStyle w:val="OperatorTok"/>
        </w:rPr>
        <w:t xml:space="preserve">,</w:t>
      </w:r>
      <w:r>
        <w:br/>
      </w:r>
      <w:r>
        <w:br/>
      </w:r>
      <w:r>
        <w:rPr>
          <w:rStyle w:val="NormalTok"/>
        </w:rPr>
        <w:t xml:space="preserve">    </w:t>
      </w:r>
      <w:r>
        <w:rPr>
          <w:rStyle w:val="CommentTok"/>
        </w:rPr>
        <w:t xml:space="preserve"># Authentication context required on activation (Step 2).</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$AuthenticationContext</w:t>
      </w:r>
      <w:r>
        <w:rPr>
          <w:rStyle w:val="NormalTok"/>
        </w:rPr>
        <w:t xml:space="preserve"> </w:t>
      </w:r>
      <w:r>
        <w:rPr>
          <w:rStyle w:val="OperatorTok"/>
        </w:rPr>
        <w:t xml:space="preserve">=</w:t>
      </w:r>
      <w:r>
        <w:rPr>
          <w:rStyle w:val="NormalTok"/>
        </w:rPr>
        <w:t xml:space="preserve"> </w:t>
      </w:r>
      <w:r>
        <w:rPr>
          <w:rStyle w:val="StringTok"/>
        </w:rPr>
        <w:t xml:space="preserve">'c1'</w:t>
      </w:r>
      <w:r>
        <w:br/>
      </w:r>
      <w:r>
        <w:rPr>
          <w:rStyle w:val="OperatorTok"/>
        </w:rPr>
        <w:t xml:space="preserve">)</w:t>
      </w:r>
      <w:r>
        <w:br/>
      </w:r>
      <w:r>
        <w:br/>
      </w:r>
      <w:r>
        <w:rPr>
          <w:rStyle w:val="KeywordTok"/>
        </w:rPr>
        <w:t xml:space="preserve">begin</w:t>
      </w:r>
      <w:r>
        <w:rPr>
          <w:rStyle w:val="NormalTok"/>
        </w:rPr>
        <w:t xml:space="preserve"> </w:t>
      </w:r>
      <w:r>
        <w:rPr>
          <w:rStyle w:val="OperatorTok"/>
        </w:rPr>
        <w:t xml:space="preserve">{</w:t>
      </w:r>
      <w:r>
        <w:br/>
      </w:r>
      <w:r>
        <w:rPr>
          <w:rStyle w:val="NormalTok"/>
        </w:rPr>
        <w:t xml:space="preserve">    </w:t>
      </w:r>
      <w:r>
        <w:rPr>
          <w:rStyle w:val="KeywordTok"/>
        </w:rPr>
        <w:t xml:space="preserve">function</w:t>
      </w:r>
      <w:r>
        <w:rPr>
          <w:rStyle w:val="NormalTok"/>
        </w:rPr>
        <w:t xml:space="preserve"> New-PimRuleTarget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'EndUser'</w:t>
      </w:r>
      <w:r>
        <w:rPr>
          <w:rStyle w:val="OperatorTok"/>
        </w:rPr>
        <w:t xml:space="preserve">,</w:t>
      </w:r>
      <w:r>
        <w:rPr>
          <w:rStyle w:val="NormalTok"/>
        </w:rPr>
        <w:t xml:space="preserve"> </w:t>
      </w:r>
      <w:r>
        <w:rPr>
          <w:rStyle w:val="StringTok"/>
        </w:rPr>
        <w:t xml:space="preserve">'Admin'</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$Caller</w:t>
      </w:r>
      <w:r>
        <w:rPr>
          <w:rStyle w:val="NormalTok"/>
        </w:rPr>
        <w:t xml:space="preserve"> </w:t>
      </w:r>
      <w:r>
        <w:rPr>
          <w:rStyle w:val="OperatorTok"/>
        </w:rPr>
        <w:t xml:space="preserve">=</w:t>
      </w:r>
      <w:r>
        <w:rPr>
          <w:rStyle w:val="NormalTok"/>
        </w:rPr>
        <w:t xml:space="preserve"> </w:t>
      </w:r>
      <w:r>
        <w:rPr>
          <w:rStyle w:val="StringTok"/>
        </w:rPr>
        <w:t xml:space="preserve">'EndUser'</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'Assignment'</w:t>
      </w:r>
      <w:r>
        <w:rPr>
          <w:rStyle w:val="OperatorTok"/>
        </w:rPr>
        <w:t xml:space="preserve">,</w:t>
      </w:r>
      <w:r>
        <w:rPr>
          <w:rStyle w:val="NormalTok"/>
        </w:rPr>
        <w:t xml:space="preserve"> </w:t>
      </w:r>
      <w:r>
        <w:rPr>
          <w:rStyle w:val="StringTok"/>
        </w:rPr>
        <w:t xml:space="preserve">'Eligibility'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$Level</w:t>
      </w:r>
      <w:r>
        <w:rPr>
          <w:rStyle w:val="NormalTok"/>
        </w:rPr>
        <w:t xml:space="preserve"> </w:t>
      </w:r>
      <w:r>
        <w:rPr>
          <w:rStyle w:val="OperatorTok"/>
        </w:rPr>
        <w:t xml:space="preserve">=</w:t>
      </w:r>
      <w:r>
        <w:rPr>
          <w:rStyle w:val="NormalTok"/>
        </w:rPr>
        <w:t xml:space="preserve"> </w:t>
      </w:r>
      <w:r>
        <w:rPr>
          <w:rStyle w:val="StringTok"/>
        </w:rPr>
        <w:t xml:space="preserve">'Assignment'</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'microsoft.graph.unifiedRoleManagementPolicyRuleTarget'</w:t>
      </w:r>
      <w:r>
        <w:br/>
      </w:r>
      <w:r>
        <w:rPr>
          <w:rStyle w:val="NormalTok"/>
        </w:rPr>
        <w:t xml:space="preserve">            caller              </w:t>
      </w:r>
      <w:r>
        <w:rPr>
          <w:rStyle w:val="OperatorTok"/>
        </w:rPr>
        <w:t xml:space="preserve">=</w:t>
      </w:r>
      <w:r>
        <w:rPr>
          <w:rStyle w:val="NormalTok"/>
        </w:rPr>
        <w:t xml:space="preserve"> </w:t>
      </w:r>
      <w:r>
        <w:rPr>
          <w:rStyle w:val="VariableTok"/>
        </w:rPr>
        <w:t xml:space="preserve">$Caller</w:t>
      </w:r>
      <w:r>
        <w:br/>
      </w:r>
      <w:r>
        <w:rPr>
          <w:rStyle w:val="NormalTok"/>
        </w:rPr>
        <w:t xml:space="preserve">            operations          </w:t>
      </w:r>
      <w:r>
        <w:rPr>
          <w:rStyle w:val="OperatorTok"/>
        </w:rPr>
        <w:t xml:space="preserve">=</w:t>
      </w:r>
      <w:r>
        <w:rPr>
          <w:rStyle w:val="NormalTok"/>
        </w:rPr>
        <w:t xml:space="preserve"> </w:t>
      </w:r>
      <w:r>
        <w:rPr>
          <w:rStyle w:val="OperatorTok"/>
        </w:rPr>
        <w:t xml:space="preserve">@(</w:t>
      </w:r>
      <w:r>
        <w:rPr>
          <w:rStyle w:val="StringTok"/>
        </w:rPr>
        <w:t xml:space="preserve">'All'</w:t>
      </w:r>
      <w:r>
        <w:rPr>
          <w:rStyle w:val="OperatorTok"/>
        </w:rPr>
        <w:t xml:space="preserve">)</w:t>
      </w:r>
      <w:r>
        <w:br/>
      </w:r>
      <w:r>
        <w:rPr>
          <w:rStyle w:val="NormalTok"/>
        </w:rPr>
        <w:t xml:space="preserve">            level               </w:t>
      </w:r>
      <w:r>
        <w:rPr>
          <w:rStyle w:val="OperatorTok"/>
        </w:rPr>
        <w:t xml:space="preserve">=</w:t>
      </w:r>
      <w:r>
        <w:rPr>
          <w:rStyle w:val="NormalTok"/>
        </w:rPr>
        <w:t xml:space="preserve"> </w:t>
      </w:r>
      <w:r>
        <w:rPr>
          <w:rStyle w:val="VariableTok"/>
        </w:rPr>
        <w:t xml:space="preserve">$Level</w:t>
      </w:r>
      <w:r>
        <w:br/>
      </w:r>
      <w:r>
        <w:rPr>
          <w:rStyle w:val="NormalTok"/>
        </w:rPr>
        <w:t xml:space="preserve">            inheritableSettings </w:t>
      </w:r>
      <w:r>
        <w:rPr>
          <w:rStyle w:val="OperatorTok"/>
        </w:rPr>
        <w:t xml:space="preserve">=</w:t>
      </w:r>
      <w:r>
        <w:rPr>
          <w:rStyle w:val="NormalTok"/>
        </w:rPr>
        <w:t xml:space="preserve"> </w:t>
      </w:r>
      <w:r>
        <w:rPr>
          <w:rStyle w:val="OperatorTok"/>
        </w:rPr>
        <w:t xml:space="preserve">@()</w:t>
      </w:r>
      <w:r>
        <w:br/>
      </w:r>
      <w:r>
        <w:rPr>
          <w:rStyle w:val="NormalTok"/>
        </w:rPr>
        <w:t xml:space="preserve">            enforcedSettings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Activation rules apply to the end user activating their own eligible</w:t>
      </w:r>
      <w:r>
        <w:br/>
      </w:r>
      <w:r>
        <w:rPr>
          <w:rStyle w:val="NormalTok"/>
        </w:rPr>
        <w:t xml:space="preserve">    </w:t>
      </w:r>
      <w:r>
        <w:rPr>
          <w:rStyle w:val="CommentTok"/>
        </w:rPr>
        <w:t xml:space="preserve"># assignment; the eligibility-expiry rule applies to the admin who assigns it.</w:t>
      </w:r>
      <w:r>
        <w:br/>
      </w:r>
      <w:r>
        <w:rPr>
          <w:rStyle w:val="NormalTok"/>
        </w:rPr>
        <w:t xml:space="preserve">    </w:t>
      </w:r>
      <w:r>
        <w:rPr>
          <w:rStyle w:val="VariableTok"/>
        </w:rPr>
        <w:t xml:space="preserve">$activationTarget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'EndUser'</w:t>
      </w:r>
      <w:r>
        <w:rPr>
          <w:rStyle w:val="NormalTok"/>
        </w:rPr>
        <w:t xml:space="preserve"> </w:t>
      </w:r>
      <w:r>
        <w:rPr>
          <w:rStyle w:val="OperatorTok"/>
        </w:rPr>
        <w:t xml:space="preserve">-</w:t>
      </w:r>
      <w:r>
        <w:rPr>
          <w:rStyle w:val="NormalTok"/>
        </w:rPr>
        <w:t xml:space="preserve">Level </w:t>
      </w:r>
      <w:r>
        <w:rPr>
          <w:rStyle w:val="StringTok"/>
        </w:rPr>
        <w:t xml:space="preserve">'Assignment'</w:t>
      </w:r>
      <w:r>
        <w:br/>
      </w:r>
      <w:r>
        <w:rPr>
          <w:rStyle w:val="NormalTok"/>
        </w:rPr>
        <w:t xml:space="preserve">    </w:t>
      </w:r>
      <w:r>
        <w:rPr>
          <w:rStyle w:val="VariableTok"/>
        </w:rPr>
        <w:t xml:space="preserve">$eligibilityTarget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'Admin'</w:t>
      </w:r>
      <w:r>
        <w:rPr>
          <w:rStyle w:val="NormalTok"/>
        </w:rPr>
        <w:t xml:space="preserve">   </w:t>
      </w:r>
      <w:r>
        <w:rPr>
          <w:rStyle w:val="OperatorTok"/>
        </w:rPr>
        <w:t xml:space="preserve">-</w:t>
      </w:r>
      <w:r>
        <w:rPr>
          <w:rStyle w:val="NormalTok"/>
        </w:rPr>
        <w:t xml:space="preserve">Level </w:t>
      </w:r>
      <w:r>
        <w:rPr>
          <w:rStyle w:val="StringTok"/>
        </w:rPr>
        <w:t xml:space="preserve">'Eligibility'</w:t>
      </w:r>
      <w:r>
        <w:br/>
      </w:r>
      <w:r>
        <w:br/>
      </w:r>
      <w:r>
        <w:rPr>
          <w:rStyle w:val="NormalTok"/>
        </w:rPr>
        <w:t xml:space="preserve">    </w:t>
      </w:r>
      <w:r>
        <w:rPr>
          <w:rStyle w:val="KeywordTok"/>
        </w:rPr>
        <w:t xml:space="preserve">function</w:t>
      </w:r>
      <w:r>
        <w:rPr>
          <w:rStyle w:val="NormalTok"/>
        </w:rPr>
        <w:t xml:space="preserve"> Resolve-PimPolicyId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$TemplateId</w:t>
      </w:r>
      <w:r>
        <w:rPr>
          <w:rStyle w:val="OperatorTok"/>
        </w:rPr>
        <w:t xml:space="preserve">)</w:t>
      </w:r>
      <w:r>
        <w:br/>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"scopeId eq '/' and scopeType eq 'DirectoryRole' and "</w:t>
      </w:r>
      <w:r>
        <w:rPr>
          <w:rStyle w:val="NormalTok"/>
        </w:rPr>
        <w:t xml:space="preserve"> </w:t>
      </w:r>
      <w:r>
        <w:rPr>
          <w:rStyle w:val="OperatorTok"/>
        </w:rPr>
        <w:t xml:space="preserve">+</w:t>
      </w:r>
      <w:r>
        <w:br/>
      </w:r>
      <w:r>
        <w:rPr>
          <w:rStyle w:val="NormalTok"/>
        </w:rPr>
        <w:t xml:space="preserve">                  </w:t>
      </w:r>
      <w:r>
        <w:rPr>
          <w:rStyle w:val="StringTok"/>
        </w:rPr>
        <w:t xml:space="preserve">"roleDefinitionId eq '</w:t>
      </w:r>
      <w:r>
        <w:rPr>
          <w:rStyle w:val="VariableTok"/>
        </w:rPr>
        <w:t xml:space="preserve">$TemplateId</w:t>
      </w:r>
      <w:r>
        <w:rPr>
          <w:rStyle w:val="StringTok"/>
        </w:rPr>
        <w:t xml:space="preserve">'"</w:t>
      </w:r>
      <w:r>
        <w:br/>
      </w:r>
      <w:r>
        <w:rPr>
          <w:rStyle w:val="NormalTok"/>
        </w:rPr>
        <w:t xml:space="preserve">        </w:t>
      </w:r>
      <w:r>
        <w:rPr>
          <w:rStyle w:val="VariableTok"/>
        </w:rPr>
        <w:t xml:space="preserve">$assignment</w:t>
      </w:r>
      <w:r>
        <w:rPr>
          <w:rStyle w:val="NormalTok"/>
        </w:rPr>
        <w:t xml:space="preserve"> </w:t>
      </w:r>
      <w:r>
        <w:rPr>
          <w:rStyle w:val="OperatorTok"/>
        </w:rPr>
        <w:t xml:space="preserve">=</w:t>
      </w:r>
      <w:r>
        <w:rPr>
          <w:rStyle w:val="NormalTok"/>
        </w:rPr>
        <w:t xml:space="preserve"> Get-MgPolicyRoleManagementPolicyAssignment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ErrorAction Stop</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$assignment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throw</w:t>
      </w:r>
      <w:r>
        <w:rPr>
          <w:rStyle w:val="NormalTok"/>
        </w:rPr>
        <w:t xml:space="preserve"> </w:t>
      </w:r>
      <w:r>
        <w:rPr>
          <w:rStyle w:val="StringTok"/>
        </w:rPr>
        <w:t xml:space="preserve">"No role management policy assignment found for template ID </w:t>
      </w:r>
      <w:r>
        <w:rPr>
          <w:rStyle w:val="VariableTok"/>
        </w:rPr>
        <w:t xml:space="preserve">$TemplateId</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CommentTok"/>
        </w:rPr>
        <w:t xml:space="preserve"># A directory role at tenant scope resolves to exactly one policy.</w:t>
      </w:r>
      <w:r>
        <w:br/>
      </w:r>
      <w:r>
        <w:rPr>
          <w:rStyle w:val="NormalTok"/>
        </w:rPr>
        <w:t xml:space="preserve">        </w:t>
      </w:r>
      <w:r>
        <w:rPr>
          <w:rStyle w:val="ControlFlowTok"/>
        </w:rPr>
        <w:t xml:space="preserve">return</w:t>
      </w:r>
      <w:r>
        <w:rPr>
          <w:rStyle w:val="NormalTok"/>
        </w:rPr>
        <w:t xml:space="preserve"> </w:t>
      </w:r>
      <w:r>
        <w:rPr>
          <w:rStyle w:val="VariableTok"/>
        </w:rPr>
        <w:t xml:space="preserve">$assignment</w:t>
      </w:r>
      <w:r>
        <w:rPr>
          <w:rStyle w:val="OperatorTok"/>
        </w:rPr>
        <w:t xml:space="preserve">[</w:t>
      </w:r>
      <w:r>
        <w:rPr>
          <w:rStyle w:val="DecValTok"/>
        </w:rPr>
        <w:t xml:space="preserve">0</w:t>
      </w:r>
      <w:r>
        <w:rPr>
          <w:rStyle w:val="OperatorTok"/>
        </w:rPr>
        <w:t xml:space="preserve">].</w:t>
      </w:r>
      <w:r>
        <w:rPr>
          <w:rStyle w:val="FunctionTok"/>
        </w:rPr>
        <w:t xml:space="preserve">PolicyId</w:t>
      </w:r>
      <w:r>
        <w:br/>
      </w:r>
      <w:r>
        <w:rPr>
          <w:rStyle w:val="NormalTok"/>
        </w:rPr>
        <w:t xml:space="preserve">    </w:t>
      </w:r>
      <w:r>
        <w:rPr>
          <w:rStyle w:val="OperatorTok"/>
        </w:rPr>
        <w:t xml:space="preserve">}</w:t>
      </w:r>
      <w:r>
        <w:br/>
      </w:r>
      <w:r>
        <w:br/>
      </w:r>
      <w:r>
        <w:rPr>
          <w:rStyle w:val="NormalTok"/>
        </w:rPr>
        <w:t xml:space="preserve">    </w:t>
      </w:r>
      <w:r>
        <w:rPr>
          <w:rStyle w:val="KeywordTok"/>
        </w:rPr>
        <w:t xml:space="preserve">function</w:t>
      </w:r>
      <w:r>
        <w:rPr>
          <w:rStyle w:val="NormalTok"/>
        </w:rPr>
        <w:t xml:space="preserve"> Set-PimRule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$PolicyId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$RuleId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hashtable</w:t>
      </w:r>
      <w:r>
        <w:rPr>
          <w:rStyle w:val="OperatorTok"/>
        </w:rPr>
        <w:t xml:space="preserve">]</w:t>
      </w:r>
      <w:r>
        <w:rPr>
          <w:rStyle w:val="NormalTok"/>
        </w:rPr>
        <w:t xml:space="preserve"> </w:t>
      </w:r>
      <w:r>
        <w:rPr>
          <w:rStyle w:val="VariableTok"/>
        </w:rPr>
        <w:t xml:space="preserve">$Body</w:t>
      </w:r>
      <w:r>
        <w:br/>
      </w:r>
      <w:r>
        <w:rPr>
          <w:rStyle w:val="NormalTok"/>
        </w:rPr>
        <w:t xml:space="preserve">        </w:t>
      </w:r>
      <w:r>
        <w:rPr>
          <w:rStyle w:val="OperatorTok"/>
        </w:rPr>
        <w:t xml:space="preserve">)</w:t>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$Body</w:t>
      </w:r>
      <w:r>
        <w:rPr>
          <w:rStyle w:val="NormalTok"/>
        </w:rPr>
        <w:t xml:space="preserve"> `</w:t>
      </w:r>
      <w:r>
        <w:br/>
      </w:r>
      <w:r>
        <w:rPr>
          <w:rStyle w:val="NormalTok"/>
        </w:rPr>
        <w:t xml:space="preserve">            </w:t>
      </w:r>
      <w:r>
        <w:rPr>
          <w:rStyle w:val="OperatorTok"/>
        </w:rPr>
        <w:t xml:space="preserve">-</w:t>
      </w:r>
      <w:r>
        <w:rPr>
          <w:rStyle w:val="NormalTok"/>
        </w:rPr>
        <w:t xml:space="preserve">ErrorAction                       Stop</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process</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$templateId</w:t>
      </w:r>
      <w:r>
        <w:rPr>
          <w:rStyle w:val="NormalTok"/>
        </w:rPr>
        <w:t xml:space="preserve"> </w:t>
      </w:r>
      <w:r>
        <w:rPr>
          <w:rStyle w:val="KeywordTok"/>
        </w:rPr>
        <w:t xml:space="preserve">in</w:t>
      </w:r>
      <w:r>
        <w:rPr>
          <w:rStyle w:val="NormalTok"/>
        </w:rPr>
        <w:t xml:space="preserve"> </w:t>
      </w:r>
      <w:r>
        <w:rPr>
          <w:rStyle w:val="VariableTok"/>
        </w:rPr>
        <w:t xml:space="preserve">$RoleTemplateId</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$policyId</w:t>
      </w:r>
      <w:r>
        <w:rPr>
          <w:rStyle w:val="NormalTok"/>
        </w:rPr>
        <w:t xml:space="preserve"> </w:t>
      </w:r>
      <w:r>
        <w:rPr>
          <w:rStyle w:val="OperatorTok"/>
        </w:rPr>
        <w:t xml:space="preserve">=</w:t>
      </w:r>
      <w:r>
        <w:rPr>
          <w:rStyle w:val="NormalTok"/>
        </w:rPr>
        <w:t xml:space="preserve"> Resolve-PimPolicyId </w:t>
      </w:r>
      <w:r>
        <w:rPr>
          <w:rStyle w:val="OperatorTok"/>
        </w:rPr>
        <w:t xml:space="preserve">-</w:t>
      </w:r>
      <w:r>
        <w:rPr>
          <w:rStyle w:val="NormalTok"/>
        </w:rPr>
        <w:t xml:space="preserve">TemplateId </w:t>
      </w:r>
      <w:r>
        <w:rPr>
          <w:rStyle w:val="VariableTok"/>
        </w:rPr>
        <w:t xml:space="preserve">$templateId</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$PSCmdlet</w:t>
      </w:r>
      <w:r>
        <w:rPr>
          <w:rStyle w:val="OperatorTok"/>
        </w:rPr>
        <w:t xml:space="preserve">.</w:t>
      </w:r>
      <w:r>
        <w:rPr>
          <w:rStyle w:val="FunctionTok"/>
        </w:rPr>
        <w:t xml:space="preserve">ShouldProcess</w:t>
      </w:r>
      <w:r>
        <w:rPr>
          <w:rStyle w:val="OperatorTok"/>
        </w:rPr>
        <w:t xml:space="preserve">(</w:t>
      </w:r>
      <w:r>
        <w:br/>
      </w:r>
      <w:r>
        <w:rPr>
          <w:rStyle w:val="NormalTok"/>
        </w:rPr>
        <w:t xml:space="preserve">                </w:t>
      </w:r>
      <w:r>
        <w:rPr>
          <w:rStyle w:val="StringTok"/>
        </w:rPr>
        <w:t xml:space="preserve">"role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rPr>
          <w:rStyle w:val="OperatorTok"/>
        </w:rPr>
        <w:t xml:space="preserve">,</w:t>
      </w:r>
      <w:r>
        <w:br/>
      </w:r>
      <w:r>
        <w:rPr>
          <w:rStyle w:val="NormalTok"/>
        </w:rPr>
        <w:t xml:space="preserve">                </w:t>
      </w:r>
      <w:r>
        <w:rPr>
          <w:rStyle w:val="StringTok"/>
        </w:rPr>
        <w:t xml:space="preserve">"Apply tier policy: approval by </w:t>
      </w:r>
      <w:r>
        <w:rPr>
          <w:rStyle w:val="VariableTok"/>
        </w:rPr>
        <w:t xml:space="preserve">$ApproverGroupId</w:t>
      </w:r>
      <w:r>
        <w:rPr>
          <w:rStyle w:val="StringTok"/>
        </w:rPr>
        <w:t xml:space="preserve">, context </w:t>
      </w:r>
      <w:r>
        <w:rPr>
          <w:rStyle w:val="VariableTok"/>
        </w:rPr>
        <w:t xml:space="preserve">$AuthenticationContext</w:t>
      </w:r>
      <w:r>
        <w:rPr>
          <w:rStyle w:val="StringTok"/>
        </w:rPr>
        <w:t xml:space="preserve">, max </w:t>
      </w:r>
      <w:r>
        <w:rPr>
          <w:rStyle w:val="VariableTok"/>
        </w:rPr>
        <w:t xml:space="preserve">$MaxActivationDuration</w:t>
      </w:r>
      <w:r>
        <w:rPr>
          <w:rStyle w:val="String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br/>
      </w:r>
      <w:r>
        <w:rPr>
          <w:rStyle w:val="NormalTok"/>
        </w:rPr>
        <w:t xml:space="preserve">        </w:t>
      </w:r>
      <w:r>
        <w:rPr>
          <w:rStyle w:val="CommentTok"/>
        </w:rPr>
        <w:t xml:space="preserve"># 1. Require approval, routed to the approver group.</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'Approval_EndUser_Assignment'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'#microsoft.graph.unifiedRoleManagementPolicyApprovalRule'</w:t>
      </w:r>
      <w:r>
        <w:br/>
      </w:r>
      <w:r>
        <w:rPr>
          <w:rStyle w:val="NormalTok"/>
        </w:rPr>
        <w:t xml:space="preserve">            id            </w:t>
      </w:r>
      <w:r>
        <w:rPr>
          <w:rStyle w:val="OperatorTok"/>
        </w:rPr>
        <w:t xml:space="preserve">=</w:t>
      </w:r>
      <w:r>
        <w:rPr>
          <w:rStyle w:val="NormalTok"/>
        </w:rPr>
        <w:t xml:space="preserve"> </w:t>
      </w:r>
      <w:r>
        <w:rPr>
          <w:rStyle w:val="StringTok"/>
        </w:rPr>
        <w:t xml:space="preserve">'Approval_EndUser_Assignment'</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setting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'microsoft.graph.approvalSettings'</w:t>
      </w:r>
      <w:r>
        <w:br/>
      </w:r>
      <w:r>
        <w:rPr>
          <w:rStyle w:val="NormalTok"/>
        </w:rPr>
        <w:t xml:space="preserve">                isApprovalRequired               </w:t>
      </w:r>
      <w:r>
        <w:rPr>
          <w:rStyle w:val="OperatorTok"/>
        </w:rPr>
        <w:t xml:space="preserve">=</w:t>
      </w:r>
      <w:r>
        <w:rPr>
          <w:rStyle w:val="NormalTok"/>
        </w:rPr>
        <w:t xml:space="preserve"> </w:t>
      </w:r>
      <w:r>
        <w:rPr>
          <w:rStyle w:val="VariableTok"/>
        </w:rPr>
        <w:t xml:space="preserve">$true</w:t>
      </w:r>
      <w:r>
        <w:br/>
      </w:r>
      <w:r>
        <w:rPr>
          <w:rStyle w:val="NormalTok"/>
        </w:rPr>
        <w:t xml:space="preserve">                isApprovalRequiredForExtension   </w:t>
      </w:r>
      <w:r>
        <w:rPr>
          <w:rStyle w:val="OperatorTok"/>
        </w:rPr>
        <w:t xml:space="preserve">=</w:t>
      </w:r>
      <w:r>
        <w:rPr>
          <w:rStyle w:val="NormalTok"/>
        </w:rPr>
        <w:t xml:space="preserve"> </w:t>
      </w:r>
      <w:r>
        <w:rPr>
          <w:rStyle w:val="VariableTok"/>
        </w:rPr>
        <w:t xml:space="preserve">$false</w:t>
      </w:r>
      <w:r>
        <w:br/>
      </w:r>
      <w:r>
        <w:rPr>
          <w:rStyle w:val="NormalTok"/>
        </w:rPr>
        <w:t xml:space="preserve">                isRequestorJustificationRequired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approvalMode                     </w:t>
      </w:r>
      <w:r>
        <w:rPr>
          <w:rStyle w:val="OperatorTok"/>
        </w:rPr>
        <w:t xml:space="preserve">=</w:t>
      </w:r>
      <w:r>
        <w:rPr>
          <w:rStyle w:val="NormalTok"/>
        </w:rPr>
        <w:t xml:space="preserve"> </w:t>
      </w:r>
      <w:r>
        <w:rPr>
          <w:rStyle w:val="StringTok"/>
        </w:rPr>
        <w:t xml:space="preserve">'SingleStage'</w:t>
      </w:r>
      <w:r>
        <w:br/>
      </w:r>
      <w:r>
        <w:rPr>
          <w:rStyle w:val="NormalTok"/>
        </w:rPr>
        <w:t xml:space="preserve">                approvalStages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approvalStageTimeOutInDays      </w:t>
      </w:r>
      <w:r>
        <w:rPr>
          <w:rStyle w:val="OperatorTok"/>
        </w:rPr>
        <w:t xml:space="preserve">=</w:t>
      </w:r>
      <w:r>
        <w:rPr>
          <w:rStyle w:val="NormalTok"/>
        </w:rPr>
        <w:t xml:space="preserve"> </w:t>
      </w:r>
      <w:r>
        <w:rPr>
          <w:rStyle w:val="DecValTok"/>
        </w:rPr>
        <w:t xml:space="preserve">1</w:t>
      </w:r>
      <w:r>
        <w:br/>
      </w:r>
      <w:r>
        <w:rPr>
          <w:rStyle w:val="NormalTok"/>
        </w:rPr>
        <w:t xml:space="preserve">                        isApproverJustificationRequired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escalationTimeInMinutes         </w:t>
      </w:r>
      <w:r>
        <w:rPr>
          <w:rStyle w:val="OperatorTok"/>
        </w:rPr>
        <w:t xml:space="preserve">=</w:t>
      </w:r>
      <w:r>
        <w:rPr>
          <w:rStyle w:val="NormalTok"/>
        </w:rPr>
        <w:t xml:space="preserve"> </w:t>
      </w:r>
      <w:r>
        <w:rPr>
          <w:rStyle w:val="DecValTok"/>
        </w:rPr>
        <w:t xml:space="preserve">0</w:t>
      </w:r>
      <w:r>
        <w:br/>
      </w:r>
      <w:r>
        <w:rPr>
          <w:rStyle w:val="NormalTok"/>
        </w:rPr>
        <w:t xml:space="preserve">                        isEscalationEnabled             </w:t>
      </w:r>
      <w:r>
        <w:rPr>
          <w:rStyle w:val="OperatorTok"/>
        </w:rPr>
        <w:t xml:space="preserve">=</w:t>
      </w:r>
      <w:r>
        <w:rPr>
          <w:rStyle w:val="NormalTok"/>
        </w:rPr>
        <w:t xml:space="preserve"> </w:t>
      </w:r>
      <w:r>
        <w:rPr>
          <w:rStyle w:val="VariableTok"/>
        </w:rPr>
        <w:t xml:space="preserve">$false</w:t>
      </w:r>
      <w:r>
        <w:br/>
      </w:r>
      <w:r>
        <w:rPr>
          <w:rStyle w:val="NormalTok"/>
        </w:rPr>
        <w:t xml:space="preserve">                        escalationApprovers             </w:t>
      </w:r>
      <w:r>
        <w:rPr>
          <w:rStyle w:val="OperatorTok"/>
        </w:rPr>
        <w:t xml:space="preserve">=</w:t>
      </w:r>
      <w:r>
        <w:rPr>
          <w:rStyle w:val="NormalTok"/>
        </w:rPr>
        <w:t xml:space="preserve"> </w:t>
      </w:r>
      <w:r>
        <w:rPr>
          <w:rStyle w:val="OperatorTok"/>
        </w:rPr>
        <w:t xml:space="preserve">@()</w:t>
      </w:r>
      <w:r>
        <w:br/>
      </w:r>
      <w:r>
        <w:rPr>
          <w:rStyle w:val="NormalTok"/>
        </w:rPr>
        <w:t xml:space="preserve">                        primaryApprovers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'#microsoft.graph.groupMembers'</w:t>
      </w:r>
      <w:r>
        <w:br/>
      </w:r>
      <w:r>
        <w:rPr>
          <w:rStyle w:val="NormalTok"/>
        </w:rPr>
        <w:t xml:space="preserve">                                groupId       </w:t>
      </w:r>
      <w:r>
        <w:rPr>
          <w:rStyle w:val="OperatorTok"/>
        </w:rPr>
        <w:t xml:space="preserve">=</w:t>
      </w:r>
      <w:r>
        <w:rPr>
          <w:rStyle w:val="NormalTok"/>
        </w:rPr>
        <w:t xml:space="preserve"> </w:t>
      </w:r>
      <w:r>
        <w:rPr>
          <w:rStyle w:val="VariableTok"/>
        </w:rPr>
        <w:t xml:space="preserve">$ApproverGroupId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2. Require the authentication context on activation.</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'AuthenticationContext_EndUser_Assignment'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'#microsoft.graph.unifiedRoleManagementPolicyAuthenticationContextRule'</w:t>
      </w:r>
      <w:r>
        <w:br/>
      </w:r>
      <w:r>
        <w:rPr>
          <w:rStyle w:val="NormalTok"/>
        </w:rPr>
        <w:t xml:space="preserve">            id            </w:t>
      </w:r>
      <w:r>
        <w:rPr>
          <w:rStyle w:val="OperatorTok"/>
        </w:rPr>
        <w:t xml:space="preserve">=</w:t>
      </w:r>
      <w:r>
        <w:rPr>
          <w:rStyle w:val="NormalTok"/>
        </w:rPr>
        <w:t xml:space="preserve"> </w:t>
      </w:r>
      <w:r>
        <w:rPr>
          <w:rStyle w:val="StringTok"/>
        </w:rPr>
        <w:t xml:space="preserve">'AuthenticationContext_EndUser_Assignment'</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claimValue    </w:t>
      </w:r>
      <w:r>
        <w:rPr>
          <w:rStyle w:val="OperatorTok"/>
        </w:rPr>
        <w:t xml:space="preserve">=</w:t>
      </w:r>
      <w:r>
        <w:rPr>
          <w:rStyle w:val="NormalTok"/>
        </w:rPr>
        <w:t xml:space="preserve"> </w:t>
      </w:r>
      <w:r>
        <w:rPr>
          <w:rStyle w:val="VariableTok"/>
        </w:rPr>
        <w:t xml:space="preserve">$AuthenticationContext</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3. Require justification and ticket information on activation.</w:t>
      </w:r>
      <w:r>
        <w:br/>
      </w:r>
      <w:r>
        <w:rPr>
          <w:rStyle w:val="NormalTok"/>
        </w:rPr>
        <w:t xml:space="preserve">        </w:t>
      </w:r>
      <w:r>
        <w:rPr>
          <w:rStyle w:val="CommentTok"/>
        </w:rPr>
        <w:t xml:space="preserve">#    Ticket information is recorded but not validated by Entra.</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'Enablement_EndUser_Assignment'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OperatorTok"/>
        </w:rPr>
        <w:t xml:space="preserve">@(</w:t>
      </w:r>
      <w:r>
        <w:rPr>
          <w:rStyle w:val="StringTok"/>
        </w:rPr>
        <w:t xml:space="preserve">'Justification'</w:t>
      </w:r>
      <w:r>
        <w:rPr>
          <w:rStyle w:val="OperatorTok"/>
        </w:rPr>
        <w:t xml:space="preserve">,</w:t>
      </w:r>
      <w:r>
        <w:rPr>
          <w:rStyle w:val="NormalTok"/>
        </w:rPr>
        <w:t xml:space="preserve"> </w:t>
      </w:r>
      <w:r>
        <w:rPr>
          <w:rStyle w:val="StringTok"/>
        </w:rPr>
        <w:t xml:space="preserve">'Ticketing'</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4. Cap the activation window.</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$MaxActivationDuration</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5. Bound how long an eligible assignment may live.</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'Expiration_Admin_Eligibility'</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'Expiration_Admin_Eligibility'</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$MaxEligibilityDuration</w:t>
      </w:r>
      <w:r>
        <w:br/>
      </w:r>
      <w:r>
        <w:rPr>
          <w:rStyle w:val="NormalTok"/>
        </w:rPr>
        <w:t xml:space="preserve">            target               </w:t>
      </w:r>
      <w:r>
        <w:rPr>
          <w:rStyle w:val="OperatorTok"/>
        </w:rPr>
        <w:t xml:space="preserve">=</w:t>
      </w:r>
      <w:r>
        <w:rPr>
          <w:rStyle w:val="NormalTok"/>
        </w:rPr>
        <w:t xml:space="preserve"> </w:t>
      </w:r>
      <w:r>
        <w:rPr>
          <w:rStyle w:val="VariableTok"/>
        </w:rPr>
        <w:t xml:space="preserve">$eligibilityTarget</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Write-Verbose</w:t>
      </w:r>
      <w:r>
        <w:rPr>
          <w:rStyle w:val="NormalTok"/>
        </w:rPr>
        <w:t xml:space="preserve"> </w:t>
      </w:r>
      <w:r>
        <w:rPr>
          <w:rStyle w:val="StringTok"/>
        </w:rPr>
        <w:t xml:space="preserve">"Applied tier policy to 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For a Tier 2 role whose approval has been risk-accepted, set</w:t>
      </w:r>
      <w:r>
        <w:t xml:space="preserve"> </w:t>
      </w:r>
      <w:r>
        <w:rPr>
          <w:rStyle w:val="VerbatimChar"/>
        </w:rPr>
        <w:t xml:space="preserve">isApprovalRequired</w:t>
      </w:r>
      <w:r>
        <w:t xml:space="preserve"> </w:t>
      </w:r>
      <w:r>
        <w:t xml:space="preserve">to</w:t>
      </w:r>
      <w:r>
        <w:t xml:space="preserve"> </w:t>
      </w:r>
      <w:r>
        <w:rPr>
          <w:rStyle w:val="VerbatimChar"/>
        </w:rPr>
        <w:t xml:space="preserve">$false</w:t>
      </w:r>
      <w:r>
        <w:t xml:space="preserve"> </w:t>
      </w:r>
      <w:r>
        <w:t xml:space="preserve">and record the acceptance alongside the role’s file in the policy repository (Chapter 10).</w:t>
      </w:r>
    </w:p>
    <w:bookmarkEnd w:id="730"/>
    <w:bookmarkStart w:id="736" w:name="X158c479161cff64c8da6bf09acf0d4af686435d"/>
    <w:p>
      <w:pPr>
        <w:pStyle w:val="Heading3"/>
      </w:pPr>
      <w:r>
        <w:t xml:space="preserve">Step 5 — Convert standing assignments to eligible</w:t>
      </w:r>
    </w:p>
    <w:p>
      <w:pPr>
        <w:pStyle w:val="FirstParagraph"/>
      </w:pPr>
      <w:r>
        <w:t xml:space="preserve">An approval gate does nothing for an administrator who never has to activate. Inventory the tenant’s active directory role assignments, and convert every human one to an eligible assignment of the role-assignable group that should hold it (Chapter 04). Create the eligible assignment first, confirm the person can activate through it, and only then remove the active assignment, so no administrator is stranded mid-conversion. (Some older scripts in the compliance series remove first and create second; don’t copy that order.)</w:t>
      </w:r>
    </w:p>
    <w:p>
      <w:pPr>
        <w:pStyle w:val="SourceCode"/>
      </w:pPr>
      <w:r>
        <w:rPr>
          <w:rStyle w:val="VerbatimChar"/>
        </w:rPr>
        <w:t xml:space="preserve">POST https://graph.microsoft.com/v1.0/roleManagement/directory/roleEligibilityScheduleRequests</w:t>
      </w:r>
      <w:r>
        <w:br/>
      </w:r>
      <w:r>
        <w:rPr>
          <w:rStyle w:val="VerbatimChar"/>
        </w:rPr>
        <w:t xml:space="preserve">Content-Type: application/json</w:t>
      </w:r>
      <w:r>
        <w:br/>
      </w:r>
      <w:r>
        <w:br/>
      </w:r>
      <w:r>
        <w:rPr>
          <w:rStyle w:val="VerbatimChar"/>
        </w:rPr>
        <w:t xml:space="preserve">{</w:t>
      </w:r>
      <w:r>
        <w:br/>
      </w:r>
      <w:r>
        <w:rPr>
          <w:rStyle w:val="VerbatimChar"/>
        </w:rPr>
        <w:t xml:space="preserve">  "action": "adminAssign",</w:t>
      </w:r>
      <w:r>
        <w:br/>
      </w:r>
      <w:r>
        <w:rPr>
          <w:rStyle w:val="VerbatimChar"/>
        </w:rPr>
        <w:t xml:space="preserve">  "justification": "Convert standing assignment to PIM eligible per the FMP privileged access standard",</w:t>
      </w:r>
      <w:r>
        <w:br/>
      </w:r>
      <w:r>
        <w:rPr>
          <w:rStyle w:val="VerbatimChar"/>
        </w:rPr>
        <w:t xml:space="preserve">  "roleDefinitionId": "9b895d92-2cd3-44c7-9d02-a6ac2d5ea5c3",</w:t>
      </w:r>
      <w:r>
        <w:br/>
      </w:r>
      <w:r>
        <w:rPr>
          <w:rStyle w:val="VerbatimChar"/>
        </w:rPr>
        <w:t xml:space="preserve">  "directoryScopeId": "/",</w:t>
      </w:r>
      <w:r>
        <w:br/>
      </w:r>
      <w:r>
        <w:rPr>
          <w:rStyle w:val="VerbatimChar"/>
        </w:rPr>
        <w:t xml:space="preserve">  "principalId": "&lt;PRV-T1-AppAdmin group object ID&gt;",</w:t>
      </w:r>
      <w:r>
        <w:br/>
      </w:r>
      <w:r>
        <w:rPr>
          <w:rStyle w:val="VerbatimChar"/>
        </w:rPr>
        <w:t xml:space="preserve">  "scheduleInfo": {</w:t>
      </w:r>
      <w:r>
        <w:br/>
      </w:r>
      <w:r>
        <w:rPr>
          <w:rStyle w:val="VerbatimChar"/>
        </w:rPr>
        <w:t xml:space="preserve">    "startDateTime": "2026-11-02T00:00:00Z",</w:t>
      </w:r>
      <w:r>
        <w:br/>
      </w:r>
      <w:r>
        <w:rPr>
          <w:rStyle w:val="VerbatimChar"/>
        </w:rPr>
        <w:t xml:space="preserve">    "expiration": { "type": "afterDuration", "duration": "P180D" }</w:t>
      </w:r>
      <w:r>
        <w:br/>
      </w:r>
      <w:r>
        <w:rPr>
          <w:rStyle w:val="VerbatimChar"/>
        </w:rPr>
        <w:t xml:space="preserve">  }</w:t>
      </w:r>
      <w:r>
        <w:br/>
      </w:r>
      <w:r>
        <w:rPr>
          <w:rStyle w:val="VerbatimChar"/>
        </w:rPr>
        <w:t xml:space="preserve">}</w:t>
      </w:r>
    </w:p>
    <w:p>
      <w:pPr>
        <w:pStyle w:val="FirstParagraph"/>
      </w:pPr>
      <w:r>
        <w:t xml:space="preserve">The least-privileged permission for this request is</w:t>
      </w:r>
      <w:r>
        <w:t xml:space="preserve"> </w:t>
      </w:r>
      <w:r>
        <w:rPr>
          <w:rStyle w:val="VerbatimChar"/>
        </w:rPr>
        <w:t xml:space="preserve">RoleEligibilitySchedule.ReadWrite.Directory</w:t>
      </w:r>
      <w:r>
        <w:t xml:space="preserve">, and a delegated caller must hold Privileged Role Administrator.</w:t>
      </w:r>
      <w:r>
        <w:rPr>
          <w:rStyle w:val="FootnoteReference"/>
        </w:rPr>
        <w:footnoteReference w:id="731"/>
      </w:r>
      <w:r>
        <w:t xml:space="preserve"> </w:t>
      </w:r>
      <w:r>
        <w:t xml:space="preserve">In PowerShell the same request is</w:t>
      </w:r>
      <w:r>
        <w:t xml:space="preserve"> </w:t>
      </w:r>
      <w:r>
        <w:rPr>
          <w:rStyle w:val="VerbatimChar"/>
        </w:rPr>
        <w:t xml:space="preserve">New-MgRoleManagementDirectoryRoleEligibilityScheduleRequest -BodyParameter</w:t>
      </w:r>
      <w:r>
        <w:t xml:space="preserve">, in the</w:t>
      </w:r>
      <w:r>
        <w:t xml:space="preserve"> </w:t>
      </w:r>
      <w:r>
        <w:rPr>
          <w:rStyle w:val="VerbatimChar"/>
        </w:rPr>
        <w:t xml:space="preserve">Microsoft.Graph.Identity.Governance</w:t>
      </w:r>
      <w:r>
        <w:t xml:space="preserve"> </w:t>
      </w:r>
      <w:r>
        <w:t xml:space="preserve">module.</w:t>
      </w:r>
      <w:r>
        <w:rPr>
          <w:rStyle w:val="FootnoteReference"/>
        </w:rPr>
        <w:footnoteReference w:id="732"/>
      </w:r>
    </w:p>
    <w:p>
      <w:pPr>
        <w:pStyle w:val="BodyText"/>
      </w:pPr>
      <w:r>
        <w:t xml:space="preserve">Plan around three platform behaviors:</w:t>
      </w:r>
      <w:r>
        <w:rPr>
          <w:rStyle w:val="FootnoteReference"/>
        </w:rPr>
        <w:footnoteReference w:id="733"/>
      </w:r>
    </w:p>
    <w:p>
      <w:pPr>
        <w:pStyle w:val="Compact"/>
        <w:numPr>
          <w:ilvl w:val="0"/>
          <w:numId w:val="1046"/>
        </w:numPr>
      </w:pPr>
      <w:r>
        <w:t xml:space="preserve">An assignment can’t be created for less than five minutes, and can’t be removed within five minutes of creation. Batch conversions accordingly.</w:t>
      </w:r>
    </w:p>
    <w:p>
      <w:pPr>
        <w:pStyle w:val="Compact"/>
        <w:numPr>
          <w:ilvl w:val="0"/>
          <w:numId w:val="1046"/>
        </w:numPr>
      </w:pPr>
      <w:r>
        <w:t xml:space="preserve">A time-bound active Global Administrator assignment isn’t removed at expiry if it’s the last active one, and a time-bound eligible Global Administrator assignment isn’t removed if it’s the last Global Administrator assignment of any kind. Don’t read the survivor as a failed conversion, and don’t rely on expiry to remove the final one.</w:t>
      </w:r>
    </w:p>
    <w:p>
      <w:pPr>
        <w:pStyle w:val="Compact"/>
        <w:numPr>
          <w:ilvl w:val="0"/>
          <w:numId w:val="1046"/>
        </w:numPr>
      </w:pPr>
      <w:r>
        <w:t xml:space="preserve">PIM prevents removing the last active Global Administrator assignment. Microsoft’s PIM overview also lists protection for the last active Privileged Role Administrator assignment.</w:t>
      </w:r>
      <w:r>
        <w:rPr>
          <w:rStyle w:val="FootnoteReference"/>
        </w:rPr>
        <w:footnoteReference w:id="735"/>
      </w:r>
    </w:p>
    <w:p>
      <w:pPr>
        <w:pStyle w:val="FirstParagraph"/>
      </w:pPr>
      <w:r>
        <w:t xml:space="preserve">The exclusions from conversion are exactly two, and both go in the system security plan with a rationale: the emergency access accounts, and service principals that can’t perform an activation.</w:t>
      </w:r>
    </w:p>
    <w:bookmarkEnd w:id="736"/>
    <w:bookmarkStart w:id="742" w:name="Xd8f0c5894baed02b9d8028c49b7d8866fa3c3c3"/>
    <w:p>
      <w:pPr>
        <w:pStyle w:val="Heading3"/>
      </w:pPr>
      <w:r>
        <w:t xml:space="preserve">Step 6 — Close the loop with protected actions</w:t>
      </w:r>
    </w:p>
    <w:p>
      <w:pPr>
        <w:pStyle w:val="FirstParagraph"/>
      </w:pPr>
      <w:r>
        <w:t xml:space="preserve">PIM protects</w:t>
      </w:r>
      <w:r>
        <w:t xml:space="preserve"> </w:t>
      </w:r>
      <w:r>
        <w:rPr>
          <w:i/>
          <w:iCs/>
        </w:rPr>
        <w:t xml:space="preserve">becoming</w:t>
      </w:r>
      <w:r>
        <w:t xml:space="preserve"> </w:t>
      </w:r>
      <w:r>
        <w:t xml:space="preserve">a Conditional Access Administrator. Nothing in PIM protects</w:t>
      </w:r>
      <w:r>
        <w:t xml:space="preserve"> </w:t>
      </w:r>
      <w:r>
        <w:rPr>
          <w:i/>
          <w:iCs/>
        </w:rPr>
        <w:t xml:space="preserve">editing a Conditional Access policy</w:t>
      </w:r>
      <w:r>
        <w:t xml:space="preserve"> </w:t>
      </w:r>
      <w:r>
        <w:t xml:space="preserve">once someone holds that permission by any route. Protected actions close the gap: they attach a Conditional Access authentication context to specific Microsoft Entra permissions, enforced when the user attempts the action, regardless of which role granted the permission.</w:t>
      </w:r>
      <w:r>
        <w:rPr>
          <w:rStyle w:val="FootnoteReference"/>
        </w:rPr>
        <w:footnoteReference w:id="737"/>
      </w:r>
      <w:r>
        <w:t xml:space="preserve"> </w:t>
      </w:r>
      <w:r>
        <w:t xml:space="preserve">Book 02, Chapter 09 introduces them; this step applies them to the permissions that could dismantle this build.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Permission</w:t>
            </w:r>
          </w:p>
        </w:tc>
        <w:tc>
          <w:tcPr/>
          <w:p>
            <w:pPr>
              <w:pStyle w:val="Compact"/>
            </w:pPr>
            <w:r>
              <w:t xml:space="preserve">Why it’s protected</w:t>
            </w:r>
          </w:p>
        </w:tc>
      </w:tr>
      <w:tr>
        <w:tc>
          <w:tcPr/>
          <w:p>
            <w:pPr>
              <w:pStyle w:val="Compact"/>
            </w:pPr>
            <w:r>
              <w:rPr>
                <w:rStyle w:val="VerbatimChar"/>
              </w:rPr>
              <w:t xml:space="preserve">microsoft.directory/conditionalAccessPolicies/basic/update</w:t>
            </w:r>
          </w:p>
        </w:tc>
        <w:tc>
          <w:tcPr/>
          <w:p>
            <w:pPr>
              <w:pStyle w:val="Compact"/>
            </w:pPr>
            <w:r>
              <w:t xml:space="preserve">Weakening</w:t>
            </w:r>
            <w:r>
              <w:t xml:space="preserve"> </w:t>
            </w:r>
            <w:r>
              <w:rPr>
                <w:rStyle w:val="VerbatimChar"/>
              </w:rPr>
              <w:t xml:space="preserve">PIM-Activation-c1</w:t>
            </w:r>
            <w:r>
              <w:t xml:space="preserve"> </w:t>
            </w:r>
            <w:r>
              <w:t xml:space="preserve">silently relaxes the elevation gate</w:t>
            </w:r>
          </w:p>
        </w:tc>
      </w:tr>
      <w:tr>
        <w:tc>
          <w:tcPr/>
          <w:p>
            <w:pPr>
              <w:pStyle w:val="Compact"/>
            </w:pPr>
            <w:r>
              <w:rPr>
                <w:rStyle w:val="VerbatimChar"/>
              </w:rPr>
              <w:t xml:space="preserve">microsoft.directory/conditionalAccessPolicies/create</w:t>
            </w:r>
          </w:p>
        </w:tc>
        <w:tc>
          <w:tcPr/>
          <w:p>
            <w:pPr>
              <w:pStyle w:val="Compact"/>
            </w:pPr>
            <w:r>
              <w:t xml:space="preserve">A new policy can shadow or contradict the elevation policy</w:t>
            </w:r>
          </w:p>
        </w:tc>
      </w:tr>
      <w:tr>
        <w:tc>
          <w:tcPr/>
          <w:p>
            <w:pPr>
              <w:pStyle w:val="Compact"/>
            </w:pPr>
            <w:r>
              <w:rPr>
                <w:rStyle w:val="VerbatimChar"/>
              </w:rPr>
              <w:t xml:space="preserve">microsoft.directory/conditionalAccessPolicies/delete</w:t>
            </w:r>
          </w:p>
        </w:tc>
        <w:tc>
          <w:tcPr/>
          <w:p>
            <w:pPr>
              <w:pStyle w:val="Compact"/>
            </w:pPr>
            <w:r>
              <w:t xml:space="preserve">Deleting the policy removes the requirement outright</w:t>
            </w:r>
          </w:p>
        </w:tc>
      </w:tr>
      <w:tr>
        <w:tc>
          <w:tcPr/>
          <w:p>
            <w:pPr>
              <w:pStyle w:val="Compact"/>
            </w:pPr>
            <w:r>
              <w:rPr>
                <w:rStyle w:val="VerbatimChar"/>
              </w:rPr>
              <w:t xml:space="preserve">microsoft.directory/resourceNamespaces/resourceActions/authenticationContext/update</w:t>
            </w:r>
          </w:p>
        </w:tc>
        <w:tc>
          <w:tcPr/>
          <w:p>
            <w:pPr>
              <w:pStyle w:val="Compact"/>
            </w:pPr>
            <w:r>
              <w:t xml:space="preserve">Changing the protected-action assignments changes what the gate demands</w:t>
            </w:r>
          </w:p>
        </w:tc>
      </w:tr>
      <w:tr>
        <w:tc>
          <w:tcPr/>
          <w:p>
            <w:pPr>
              <w:pStyle w:val="Compact"/>
            </w:pPr>
            <w:r>
              <w:rPr>
                <w:rStyle w:val="VerbatimChar"/>
              </w:rPr>
              <w:t xml:space="preserve">microsoft.directory/deletedItems/delete</w:t>
            </w:r>
          </w:p>
        </w:tc>
        <w:tc>
          <w:tcPr/>
          <w:p>
            <w:pPr>
              <w:pStyle w:val="Compact"/>
            </w:pPr>
            <w:r>
              <w:t xml:space="preserve">Hard deletion is unrecoverable, where soft-deleted objects stay restorable for 30 days</w:t>
            </w:r>
          </w:p>
        </w:tc>
      </w:tr>
    </w:tbl>
    <w:p>
      <w:pPr>
        <w:pStyle w:val="BodyText"/>
      </w:pPr>
      <w:r>
        <w:t xml:space="preserve">Cross-tenant access settings and named-location permissions can also be protected, and the program protects them where its policy set depends on them (Chapter 07).</w:t>
      </w:r>
      <w:r>
        <w:rPr>
          <w:rStyle w:val="FootnoteReference"/>
        </w:rPr>
        <w:footnoteReference w:id="739"/>
      </w:r>
    </w:p>
    <w:p>
      <w:pPr>
        <w:pStyle w:val="BodyText"/>
      </w:pPr>
      <w:r>
        <w:t xml:space="preserve">The build order runs the same way as Step 2:</w:t>
      </w:r>
      <w:r>
        <w:rPr>
          <w:rStyle w:val="FootnoteReference"/>
        </w:rPr>
        <w:footnoteReference w:id="740"/>
      </w:r>
    </w:p>
    <w:p>
      <w:pPr>
        <w:pStyle w:val="Compact"/>
        <w:numPr>
          <w:ilvl w:val="0"/>
          <w:numId w:val="1047"/>
        </w:numPr>
      </w:pPr>
      <w:r>
        <w:t xml:space="preserve">Confirm you hold Conditional Access Administrator or Security Administrator.</w:t>
      </w:r>
    </w:p>
    <w:p>
      <w:pPr>
        <w:pStyle w:val="Compact"/>
        <w:numPr>
          <w:ilvl w:val="0"/>
          <w:numId w:val="1047"/>
        </w:numPr>
      </w:pPr>
      <w:r>
        <w:t xml:space="preserve">Create a second authentication context,</w:t>
      </w:r>
      <w:r>
        <w:t xml:space="preserve"> </w:t>
      </w:r>
      <w:r>
        <w:rPr>
          <w:rStyle w:val="VerbatimChar"/>
          <w:b/>
          <w:bCs/>
        </w:rPr>
        <w:t xml:space="preserve">c2</w:t>
      </w:r>
      <w:r>
        <w:t xml:space="preserve"> </w:t>
      </w:r>
      <w:r>
        <w:t xml:space="preserve">(</w:t>
      </w:r>
      <w:r>
        <w:rPr>
          <w:rStyle w:val="VerbatimChar"/>
        </w:rPr>
        <w:t xml:space="preserve">FMP-ProtectedActions</w:t>
      </w:r>
      <w:r>
        <w:t xml:space="preserve">), and its Conditional Access policy: the privileged authentication strength and compliant device,</w:t>
      </w:r>
      <w:r>
        <w:t xml:space="preserve"> </w:t>
      </w:r>
      <w:r>
        <w:rPr>
          <w:b/>
          <w:bCs/>
        </w:rPr>
        <w:t xml:space="preserve">excluding an emergency access account</w:t>
      </w:r>
      <w:r>
        <w:t xml:space="preserve">.</w:t>
      </w:r>
    </w:p>
    <w:p>
      <w:pPr>
        <w:pStyle w:val="Compact"/>
        <w:numPr>
          <w:ilvl w:val="0"/>
          <w:numId w:val="1047"/>
        </w:numPr>
      </w:pPr>
      <w:r>
        <w:t xml:space="preserve">Confirm the policy is</w:t>
      </w:r>
      <w:r>
        <w:t xml:space="preserve"> </w:t>
      </w:r>
      <w:r>
        <w:rPr>
          <w:b/>
          <w:bCs/>
        </w:rPr>
        <w:t xml:space="preserve">On</w:t>
      </w:r>
      <w:r>
        <w:t xml:space="preserve">. A policy that’s off or in report-only mode doesn’t satisfy a protected action.</w:t>
      </w:r>
    </w:p>
    <w:p>
      <w:pPr>
        <w:pStyle w:val="Compact"/>
        <w:numPr>
          <w:ilvl w:val="0"/>
          <w:numId w:val="1047"/>
        </w:numPr>
      </w:pPr>
      <w:r>
        <w:t xml:space="preserve">Assign</w:t>
      </w:r>
      <w:r>
        <w:t xml:space="preserve"> </w:t>
      </w:r>
      <w:r>
        <w:rPr>
          <w:rStyle w:val="VerbatimChar"/>
        </w:rPr>
        <w:t xml:space="preserve">c2</w:t>
      </w:r>
      <w:r>
        <w:t xml:space="preserve"> </w:t>
      </w:r>
      <w:r>
        <w:t xml:space="preserve">to the permissions above under</w:t>
      </w:r>
      <w:r>
        <w:t xml:space="preserve"> </w:t>
      </w:r>
      <w:r>
        <w:rPr>
          <w:b/>
          <w:bCs/>
        </w:rPr>
        <w:t xml:space="preserve">Entra ID</w:t>
      </w:r>
      <w:r>
        <w:t xml:space="preserve"> </w:t>
      </w:r>
      <w:r>
        <w:t xml:space="preserve">&gt;</w:t>
      </w:r>
      <w:r>
        <w:t xml:space="preserve"> </w:t>
      </w:r>
      <w:r>
        <w:rPr>
          <w:b/>
          <w:bCs/>
        </w:rPr>
        <w:t xml:space="preserve">Roles &amp; admins</w:t>
      </w:r>
      <w:r>
        <w:t xml:space="preserve"> </w:t>
      </w:r>
      <w:r>
        <w:t xml:space="preserve">&gt;</w:t>
      </w:r>
      <w:r>
        <w:t xml:space="preserve"> </w:t>
      </w:r>
      <w:r>
        <w:rPr>
          <w:b/>
          <w:bCs/>
        </w:rPr>
        <w:t xml:space="preserve">Protected actions</w:t>
      </w:r>
      <w:r>
        <w:t xml:space="preserve">.</w:t>
      </w:r>
    </w:p>
    <w:p>
      <w:pPr>
        <w:pStyle w:val="Compact"/>
        <w:numPr>
          <w:ilvl w:val="0"/>
          <w:numId w:val="1047"/>
        </w:numPr>
      </w:pPr>
      <w:r>
        <w:t xml:space="preserve">Test by performing each action and confirming the step-up prompt appears.</w:t>
      </w:r>
    </w:p>
    <w:p>
      <w:pPr>
        <w:pStyle w:val="FirstParagraph"/>
      </w:pPr>
      <w:r>
        <w:t xml:space="preserve">A separate context keeps a change to the activation policy from changing what protected actions demand, and the reverse.</w:t>
      </w:r>
    </w:p>
    <w:bookmarkEnd w:id="742"/>
    <w:bookmarkStart w:id="747" w:name="automation-and-recovery"/>
    <w:p>
      <w:pPr>
        <w:pStyle w:val="Heading2"/>
      </w:pPr>
      <w:bookmarkStart w:id="1247" w:name="_Toc00001247"/>
      <w:r>
        <w:t xml:space="preserve">Automation and recovery</w:t>
      </w:r>
      <w:bookmarkEnd w:id="1247"/>
    </w:p>
    <w:p>
      <w:pPr>
        <w:pStyle w:val="FirstParagraph"/>
      </w:pPr>
      <w:r>
        <w:t xml:space="preserve">Step-up for protected actions works in the Microsoft Entra admin center, Microsoft Graph PowerShell and Graph Explorer.</w:t>
      </w:r>
      <w:r>
        <w:t xml:space="preserve"> </w:t>
      </w:r>
      <w:r>
        <w:rPr>
          <w:b/>
          <w:bCs/>
        </w:rPr>
        <w:t xml:space="preserve">Azure PowerShell fails</w:t>
      </w:r>
      <w:r>
        <w:t xml:space="preserve"> </w:t>
      </w:r>
      <w:r>
        <w:t xml:space="preserve">when it attempts a protected action, and creating new terms of use or custom controls is blocked while Conditional Access create, update and delete are protected.</w:t>
      </w:r>
      <w:r>
        <w:rPr>
          <w:rStyle w:val="FootnoteReference"/>
        </w:rPr>
        <w:footnoteReference w:id="743"/>
      </w:r>
      <w:r>
        <w:t xml:space="preserve"> </w:t>
      </w:r>
      <w:r>
        <w:t xml:space="preserve">Inventory automation that touches these permissions before enabling them. If a protected action’s policy ends up off or in report-only, editing that policy requires a step-up that can never be satisfied; Microsoft’s recovery entry point is</w:t>
      </w:r>
      <w:r>
        <w:t xml:space="preserve"> </w:t>
      </w:r>
      <w:r>
        <w:rPr>
          <w:rStyle w:val="VerbatimChar"/>
        </w:rPr>
        <w:t xml:space="preserve">aka.ms/MSALProtectedActions</w:t>
      </w:r>
      <w:r>
        <w:t xml:space="preserve">, which belongs in the break-glass runbook next to the Step 0 accounts.</w:t>
      </w:r>
      <w:r>
        <w:rPr>
          <w:rStyle w:val="FootnoteReference"/>
        </w:rPr>
        <w:footnoteReference w:id="744"/>
      </w:r>
      <w:r>
        <w:t xml:space="preserve"> </w:t>
      </w:r>
      <w:r>
        <w:t xml:space="preserve">Protected actions need Microsoft Entra ID P1. The overview page carries no preview label, but Microsoft’s privileged roles page still describes the feature as preview; confirm its status before citing it as a compliance control.</w:t>
      </w:r>
      <w:r>
        <w:rPr>
          <w:rStyle w:val="FootnoteReference"/>
        </w:rPr>
        <w:footnoteReference w:id="745"/>
      </w:r>
      <w:r>
        <w:rPr>
          <w:rStyle w:val="FootnoteReference"/>
        </w:rPr>
        <w:footnoteReference w:id="746"/>
      </w:r>
    </w:p>
    <w:bookmarkEnd w:id="747"/>
    <w:p>
      <w:pPr>
        <w:pStyle w:val="BodyText"/>
      </w:pPr>
      <w:r>
        <w:t xml:space="preserve">One rule from Microsoft is easy to get backwards: don’t use protected actions to block access based on identity or group membership.</w:t>
      </w:r>
      <w:r>
        <w:rPr>
          <w:rStyle w:val="FootnoteReference"/>
        </w:rPr>
        <w:footnoteReference w:id="748"/>
      </w:r>
      <w:r>
        <w:t xml:space="preserve"> </w:t>
      </w:r>
      <w:r>
        <w:t xml:space="preserve">They impose a requirement on performing an action; who may hold the permission is a role-assignment decision, which is what the rest of this chapter governs.</w:t>
      </w:r>
    </w:p>
    <w:bookmarkStart w:id="757" w:name="step-7-notifications-and-pim-alerts"/>
    <w:p>
      <w:pPr>
        <w:pStyle w:val="Heading3"/>
      </w:pPr>
      <w:r>
        <w:t xml:space="preserve">Step 7 — Notifications and PIM alerts</w:t>
      </w:r>
    </w:p>
    <w:p>
      <w:pPr>
        <w:pStyle w:val="FirstParagraph"/>
      </w:pPr>
      <w:r>
        <w:rPr>
          <w:b/>
          <w:bCs/>
        </w:rPr>
        <w:t xml:space="preserve">Notifications</w:t>
      </w:r>
      <w:r>
        <w:t xml:space="preserve"> </w:t>
      </w:r>
      <w:r>
        <w:t xml:space="preserve">are set on each role’s</w:t>
      </w:r>
      <w:r>
        <w:t xml:space="preserve"> </w:t>
      </w:r>
      <w:r>
        <w:rPr>
          <w:b/>
          <w:bCs/>
        </w:rPr>
        <w:t xml:space="preserve">Notifications</w:t>
      </w:r>
      <w:r>
        <w:t xml:space="preserve"> </w:t>
      </w:r>
      <w:r>
        <w:t xml:space="preserve">tab, per event and per recipient type. For each, PIM can turn the email off, send it only to named addresses, send it to the default recipients plus added ones, or send critical emails only, which suppresses informational mail while keeping mail that needs action.</w:t>
      </w:r>
      <w:r>
        <w:rPr>
          <w:rStyle w:val="FootnoteReference"/>
        </w:rPr>
        <w:footnoteReference w:id="749"/>
      </w:r>
      <w:r>
        <w:t xml:space="preserve"> </w:t>
      </w:r>
      <w:r>
        <w:t xml:space="preserve">By default, a pending approval notifies Privileged Role Administrators only when no explicit approvers are set, and a completed activation notifies active Privileged Role Administrators, Security Administrators and Global Administrators.</w:t>
      </w:r>
      <w:r>
        <w:rPr>
          <w:rStyle w:val="FootnoteReference"/>
        </w:rPr>
        <w:footnoteReference w:id="750"/>
      </w:r>
      <w:r>
        <w:t xml:space="preserve"> </w:t>
      </w:r>
      <w:r>
        <w:t xml:space="preserve">Approvers receive two emails per request, typically 3 to 10 minutes after the request and occasionally up to 15. One event can notify at most 1,000 recipients.</w:t>
      </w:r>
      <w:r>
        <w:rPr>
          <w:rStyle w:val="FootnoteReference"/>
        </w:rPr>
        <w:footnoteReference w:id="752"/>
      </w:r>
      <w:r>
        <w:t xml:space="preserve"> </w:t>
      </w:r>
      <w:r>
        <w:t xml:space="preserve">PIM mail comes from</w:t>
      </w:r>
      <w:r>
        <w:t xml:space="preserve"> </w:t>
      </w:r>
      <w:r>
        <w:rPr>
          <w:rStyle w:val="VerbatimChar"/>
        </w:rPr>
        <w:t xml:space="preserve">MSSecurity-noreply@microsoft.com</w:t>
      </w:r>
      <w:r>
        <w:t xml:space="preserve"> </w:t>
      </w:r>
      <w:r>
        <w:t xml:space="preserve">with subjects starting</w:t>
      </w:r>
      <w:r>
        <w:t xml:space="preserve"> </w:t>
      </w:r>
      <w:r>
        <w:t xml:space="preserve">“PIM:”</w:t>
      </w:r>
      <w:r>
        <w:t xml:space="preserve">, which mail rules and allowlists should expect.</w:t>
      </w:r>
      <w:r>
        <w:rPr>
          <w:rStyle w:val="FootnoteReference"/>
        </w:rPr>
        <w:footnoteReference w:id="753"/>
      </w:r>
    </w:p>
    <w:p>
      <w:pPr>
        <w:pStyle w:val="BodyText"/>
      </w:pPr>
      <w:r>
        <w:t xml:space="preserve">The program routes approval requests to the tier’s approver group and every activation alert to the security operations mailbox, as Appendix B records per role. Approver groups stay small, which the separation rules want anyway.</w:t>
      </w:r>
    </w:p>
    <w:p>
      <w:pPr>
        <w:pStyle w:val="BodyText"/>
      </w:pPr>
      <w:r>
        <w:rPr>
          <w:b/>
          <w:bCs/>
        </w:rPr>
        <w:t xml:space="preserve">PIM security alerts</w:t>
      </w:r>
      <w:r>
        <w:t xml:space="preserve"> </w:t>
      </w:r>
      <w:r>
        <w:t xml:space="preserve">are the second signal, under</w:t>
      </w:r>
      <w:r>
        <w:t xml:space="preserve"> </w:t>
      </w:r>
      <w:r>
        <w:rPr>
          <w:b/>
          <w:bCs/>
        </w:rPr>
        <w:t xml:space="preserve">Microsoft Entra roles</w:t>
      </w:r>
      <w:r>
        <w:t xml:space="preserve"> </w:t>
      </w:r>
      <w:r>
        <w:t xml:space="preserve">&gt;</w:t>
      </w:r>
      <w:r>
        <w:t xml:space="preserve"> </w:t>
      </w:r>
      <w:r>
        <w:rPr>
          <w:b/>
          <w:bCs/>
        </w:rPr>
        <w:t xml:space="preserve">Alerts</w:t>
      </w:r>
      <w:r>
        <w:t xml:space="preserve">:</w:t>
      </w:r>
      <w:r>
        <w:rPr>
          <w:rStyle w:val="FootnoteReference"/>
        </w:rPr>
        <w:footnoteReference w:id="754"/>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Alert</w:t>
            </w:r>
          </w:p>
        </w:tc>
        <w:tc>
          <w:tcPr/>
          <w:p>
            <w:pPr>
              <w:pStyle w:val="Compact"/>
            </w:pPr>
            <w:r>
              <w:t xml:space="preserve">Severity</w:t>
            </w:r>
          </w:p>
        </w:tc>
        <w:tc>
          <w:tcPr/>
          <w:p>
            <w:pPr>
              <w:pStyle w:val="Compact"/>
            </w:pPr>
            <w:r>
              <w:t xml:space="preserve">Configurable threshold</w:t>
            </w:r>
          </w:p>
        </w:tc>
        <w:tc>
          <w:tcPr/>
          <w:p>
            <w:pPr>
              <w:pStyle w:val="Compact"/>
            </w:pPr>
            <w:r>
              <w:t xml:space="preserve">Why it matters here</w:t>
            </w:r>
          </w:p>
        </w:tc>
      </w:tr>
      <w:tr>
        <w:tc>
          <w:tcPr/>
          <w:p>
            <w:pPr>
              <w:pStyle w:val="Compact"/>
            </w:pPr>
            <w:r>
              <w:t xml:space="preserve">Roles are being assigned outside of Privileged Identity Management</w:t>
            </w:r>
          </w:p>
        </w:tc>
        <w:tc>
          <w:tcPr/>
          <w:p>
            <w:pPr>
              <w:pStyle w:val="Compact"/>
            </w:pPr>
            <w:r>
              <w:t xml:space="preserve">High</w:t>
            </w:r>
          </w:p>
        </w:tc>
        <w:tc>
          <w:tcPr/>
          <w:p>
            <w:pPr>
              <w:pStyle w:val="Compact"/>
            </w:pPr>
            <w:r>
              <w:t xml:space="preserve">None</w:t>
            </w:r>
          </w:p>
        </w:tc>
        <w:tc>
          <w:tcPr/>
          <w:p>
            <w:pPr>
              <w:pStyle w:val="Compact"/>
            </w:pPr>
            <w:r>
              <w:t xml:space="preserve">The bypass signal. An assignment made outside PIM never met the gate; treat each one as an incident until shown otherwise</w:t>
            </w:r>
          </w:p>
        </w:tc>
      </w:tr>
      <w:tr>
        <w:tc>
          <w:tcPr/>
          <w:p>
            <w:pPr>
              <w:pStyle w:val="Compact"/>
            </w:pPr>
            <w:r>
              <w:t xml:space="preserve">Potential stale accounts in a privileged role</w:t>
            </w:r>
          </w:p>
        </w:tc>
        <w:tc>
          <w:tcPr/>
          <w:p>
            <w:pPr>
              <w:pStyle w:val="Compact"/>
            </w:pPr>
            <w:r>
              <w:t xml:space="preserve">Medium</w:t>
            </w:r>
          </w:p>
        </w:tc>
        <w:tc>
          <w:tcPr/>
          <w:p>
            <w:pPr>
              <w:pStyle w:val="Compact"/>
            </w:pPr>
            <w:r>
              <w:t xml:space="preserve">1 to 365 days without sign-in</w:t>
            </w:r>
          </w:p>
        </w:tc>
        <w:tc>
          <w:tcPr/>
          <w:p>
            <w:pPr>
              <w:pStyle w:val="Compact"/>
            </w:pPr>
            <w:r>
              <w:t xml:space="preserve">Usually shared or service accounts that need review and credential rotation</w:t>
            </w:r>
          </w:p>
        </w:tc>
      </w:tr>
      <w:tr>
        <w:tc>
          <w:tcPr/>
          <w:p>
            <w:pPr>
              <w:pStyle w:val="Compact"/>
            </w:pPr>
            <w:r>
              <w:t xml:space="preserve">Roles don’t require multifactor authentication for activation</w:t>
            </w:r>
          </w:p>
        </w:tc>
        <w:tc>
          <w:tcPr/>
          <w:p>
            <w:pPr>
              <w:pStyle w:val="Compact"/>
            </w:pPr>
            <w:r>
              <w:t xml:space="preserve">Low</w:t>
            </w:r>
          </w:p>
        </w:tc>
        <w:tc>
          <w:tcPr/>
          <w:p>
            <w:pPr>
              <w:pStyle w:val="Compact"/>
            </w:pPr>
            <w:r>
              <w:t xml:space="preserve">None</w:t>
            </w:r>
          </w:p>
        </w:tc>
        <w:tc>
          <w:tcPr/>
          <w:p>
            <w:pPr>
              <w:pStyle w:val="Compact"/>
            </w:pPr>
            <w:r>
              <w:t xml:space="preserve">Detects a role whose settings drifted off the baseline</w:t>
            </w:r>
          </w:p>
        </w:tc>
      </w:tr>
      <w:tr>
        <w:tc>
          <w:tcPr/>
          <w:p>
            <w:pPr>
              <w:pStyle w:val="Compact"/>
            </w:pPr>
            <w:r>
              <w:t xml:space="preserve">There are too many Global Administrators</w:t>
            </w:r>
          </w:p>
        </w:tc>
        <w:tc>
          <w:tcPr/>
          <w:p>
            <w:pPr>
              <w:pStyle w:val="Compact"/>
            </w:pPr>
            <w:r>
              <w:t xml:space="preserve">Low</w:t>
            </w:r>
          </w:p>
        </w:tc>
        <w:tc>
          <w:tcPr/>
          <w:p>
            <w:pPr>
              <w:pStyle w:val="Compact"/>
            </w:pPr>
            <w:r>
              <w:t xml:space="preserve">Count (2 to 100) and percentage (0 to 100); both must be met</w:t>
            </w:r>
          </w:p>
        </w:tc>
        <w:tc>
          <w:tcPr/>
          <w:p>
            <w:pPr>
              <w:pStyle w:val="Compact"/>
            </w:pPr>
            <w:r>
              <w:t xml:space="preserve">Set to the agency’s own posture; Microsoft’s guidance is fewer than five</w:t>
            </w:r>
          </w:p>
        </w:tc>
      </w:tr>
      <w:tr>
        <w:tc>
          <w:tcPr/>
          <w:p>
            <w:pPr>
              <w:pStyle w:val="Compact"/>
            </w:pPr>
            <w:r>
              <w:t xml:space="preserve">Roles are being activated too frequently</w:t>
            </w:r>
          </w:p>
        </w:tc>
        <w:tc>
          <w:tcPr/>
          <w:p>
            <w:pPr>
              <w:pStyle w:val="Compact"/>
            </w:pPr>
            <w:r>
              <w:t xml:space="preserve">Low</w:t>
            </w:r>
          </w:p>
        </w:tc>
        <w:tc>
          <w:tcPr/>
          <w:p>
            <w:pPr>
              <w:pStyle w:val="Compact"/>
            </w:pPr>
            <w:r>
              <w:t xml:space="preserve">Activations (2 to 100) within a time window</w:t>
            </w:r>
          </w:p>
        </w:tc>
        <w:tc>
          <w:tcPr/>
          <w:p>
            <w:pPr>
              <w:pStyle w:val="Compact"/>
            </w:pPr>
            <w:r>
              <w:t xml:space="preserve">Separates real just-in-time use from standing privilege in disguise</w:t>
            </w:r>
          </w:p>
        </w:tc>
      </w:tr>
      <w:tr>
        <w:tc>
          <w:tcPr/>
          <w:p>
            <w:pPr>
              <w:pStyle w:val="Compact"/>
            </w:pPr>
            <w:r>
              <w:t xml:space="preserve">Administrators aren’t using their privileged roles</w:t>
            </w:r>
          </w:p>
        </w:tc>
        <w:tc>
          <w:tcPr/>
          <w:p>
            <w:pPr>
              <w:pStyle w:val="Compact"/>
            </w:pPr>
            <w:r>
              <w:t xml:space="preserve">Low</w:t>
            </w:r>
          </w:p>
        </w:tc>
        <w:tc>
          <w:tcPr/>
          <w:p>
            <w:pPr>
              <w:pStyle w:val="Compact"/>
            </w:pPr>
            <w:r>
              <w:t xml:space="preserve">0 to 100 days</w:t>
            </w:r>
          </w:p>
        </w:tc>
        <w:tc>
          <w:tcPr/>
          <w:p>
            <w:pPr>
              <w:pStyle w:val="Compact"/>
            </w:pPr>
            <w:r>
              <w:t xml:space="preserve">Feeds access reviews: eligibility never activated is eligibility to remove</w:t>
            </w:r>
          </w:p>
        </w:tc>
      </w:tr>
      <w:tr>
        <w:tc>
          <w:tcPr/>
          <w:p>
            <w:pPr>
              <w:pStyle w:val="Compact"/>
            </w:pPr>
            <w:r>
              <w:t xml:space="preserve">The organization doesn’t have Microsoft Entra ID P2 or Microsoft Entra ID Governance</w:t>
            </w:r>
          </w:p>
        </w:tc>
        <w:tc>
          <w:tcPr/>
          <w:p>
            <w:pPr>
              <w:pStyle w:val="Compact"/>
            </w:pPr>
            <w:r>
              <w:t xml:space="preserve">Low</w:t>
            </w:r>
          </w:p>
        </w:tc>
        <w:tc>
          <w:tcPr/>
          <w:p>
            <w:pPr>
              <w:pStyle w:val="Compact"/>
            </w:pPr>
            <w:r>
              <w:t xml:space="preserve">None</w:t>
            </w:r>
          </w:p>
        </w:tc>
        <w:tc>
          <w:tcPr/>
          <w:p>
            <w:pPr>
              <w:pStyle w:val="Compact"/>
            </w:pPr>
            <w:r>
              <w:t xml:space="preserve">The license dependency in the prerequisites</w:t>
            </w:r>
          </w:p>
        </w:tc>
      </w:tr>
    </w:tbl>
    <w:p>
      <w:pPr>
        <w:pStyle w:val="BodyText"/>
      </w:pPr>
      <w:r>
        <w:t xml:space="preserve">The</w:t>
      </w:r>
      <w:r>
        <w:t xml:space="preserve"> </w:t>
      </w:r>
      <w:r>
        <w:t xml:space="preserve">“assigned outside”</w:t>
      </w:r>
      <w:r>
        <w:t xml:space="preserve"> </w:t>
      </w:r>
      <w:r>
        <w:t xml:space="preserve">alert, and its email to Privileged Role Administrators, Security Administrators and Global Administrators, can be toggled; the program keeps both on and also forwards the underlying audit event to the SIEM. The Graph API for PIM alerts is beta only, so alert state is read in the admin center or through the audit log rather than through a v1.0 contract.</w:t>
      </w:r>
      <w:r>
        <w:rPr>
          <w:rStyle w:val="FootnoteReference"/>
        </w:rPr>
        <w:footnoteReference w:id="755"/>
      </w:r>
    </w:p>
    <w:bookmarkEnd w:id="757"/>
    <w:bookmarkStart w:id="761" w:name="step-8-access-reviews-of-eligibility"/>
    <w:p>
      <w:pPr>
        <w:pStyle w:val="Heading3"/>
      </w:pPr>
      <w:r>
        <w:t xml:space="preserve">Step 8 — Access reviews of eligibility</w:t>
      </w:r>
    </w:p>
    <w:p>
      <w:pPr>
        <w:pStyle w:val="FirstParagraph"/>
      </w:pPr>
      <w:r>
        <w:t xml:space="preserve">The approval gate controls</w:t>
      </w:r>
      <w:r>
        <w:t xml:space="preserve"> </w:t>
      </w:r>
      <w:r>
        <w:rPr>
          <w:i/>
          <w:iCs/>
        </w:rPr>
        <w:t xml:space="preserve">use</w:t>
      </w:r>
      <w:r>
        <w:t xml:space="preserve"> </w:t>
      </w:r>
      <w:r>
        <w:t xml:space="preserve">of privilege; access reviews control</w:t>
      </w:r>
      <w:r>
        <w:t xml:space="preserve"> </w:t>
      </w:r>
      <w:r>
        <w:rPr>
          <w:i/>
          <w:iCs/>
        </w:rPr>
        <w:t xml:space="preserve">possession</w:t>
      </w:r>
      <w:r>
        <w:t xml:space="preserve"> </w:t>
      </w:r>
      <w:r>
        <w:t xml:space="preserve">of eligibility. Without reviews, the eligible population only grows. Create recurring PIM access reviews over Microsoft Entra roles, one per role (selecting several roles creates one review per role). Creating one needs at least Privileged Role Administrator.</w:t>
      </w:r>
      <w:r>
        <w:rPr>
          <w:rStyle w:val="FootnoteReference"/>
        </w:rPr>
        <w:footnoteReference w:id="758"/>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Program value</w:t>
            </w:r>
          </w:p>
        </w:tc>
      </w:tr>
      <w:tr>
        <w:tc>
          <w:tcPr/>
          <w:p>
            <w:pPr>
              <w:pStyle w:val="Compact"/>
            </w:pPr>
            <w:r>
              <w:t xml:space="preserve">Scope</w:t>
            </w:r>
          </w:p>
        </w:tc>
        <w:tc>
          <w:tcPr/>
          <w:p>
            <w:pPr>
              <w:pStyle w:val="Compact"/>
            </w:pPr>
            <w:r>
              <w:t xml:space="preserve">Eligible assignments of each role; T0 roles reviewed</w:t>
            </w:r>
            <w:r>
              <w:t xml:space="preserve"> </w:t>
            </w:r>
            <w:r>
              <w:rPr>
                <w:b/>
                <w:bCs/>
              </w:rPr>
              <w:t xml:space="preserve">monthly</w:t>
            </w:r>
            <w:r>
              <w:t xml:space="preserve">, all other tiers</w:t>
            </w:r>
            <w:r>
              <w:t xml:space="preserve"> </w:t>
            </w:r>
            <w:r>
              <w:rPr>
                <w:b/>
                <w:bCs/>
              </w:rPr>
              <w:t xml:space="preserve">quarterly</w:t>
            </w:r>
          </w:p>
        </w:tc>
      </w:tr>
      <w:tr>
        <w:tc>
          <w:tcPr/>
          <w:p>
            <w:pPr>
              <w:pStyle w:val="Compact"/>
            </w:pPr>
            <w:r>
              <w:t xml:space="preserve">Reviewers</w:t>
            </w:r>
          </w:p>
        </w:tc>
        <w:tc>
          <w:tcPr/>
          <w:p>
            <w:pPr>
              <w:pStyle w:val="Compact"/>
            </w:pPr>
            <w:r>
              <w:t xml:space="preserve">Selected users: for T0 the</w:t>
            </w:r>
            <w:r>
              <w:t xml:space="preserve"> </w:t>
            </w:r>
            <w:r>
              <w:rPr>
                <w:rStyle w:val="VerbatimChar"/>
              </w:rPr>
              <w:t xml:space="preserve">PIM-Approvers-T0</w:t>
            </w:r>
            <w:r>
              <w:t xml:space="preserve"> </w:t>
            </w:r>
            <w:r>
              <w:t xml:space="preserve">group; for T1 and T2 the role owner and the tier’s approver group</w:t>
            </w:r>
          </w:p>
        </w:tc>
      </w:tr>
      <w:tr>
        <w:tc>
          <w:tcPr/>
          <w:p>
            <w:pPr>
              <w:pStyle w:val="Compact"/>
            </w:pPr>
            <w:r>
              <w:t xml:space="preserve">Upon completion</w:t>
            </w:r>
          </w:p>
        </w:tc>
        <w:tc>
          <w:tcPr/>
          <w:p>
            <w:pPr>
              <w:pStyle w:val="Compact"/>
            </w:pPr>
            <w:r>
              <w:rPr>
                <w:b/>
                <w:bCs/>
              </w:rPr>
              <w:t xml:space="preserve">Auto apply results to resource</w:t>
            </w:r>
            <w:r>
              <w:t xml:space="preserve">: enabled</w:t>
            </w:r>
          </w:p>
        </w:tc>
      </w:tr>
      <w:tr>
        <w:tc>
          <w:tcPr/>
          <w:p>
            <w:pPr>
              <w:pStyle w:val="Compact"/>
            </w:pPr>
            <w:r>
              <w:t xml:space="preserve">If reviewers don’t respond</w:t>
            </w:r>
          </w:p>
        </w:tc>
        <w:tc>
          <w:tcPr/>
          <w:p>
            <w:pPr>
              <w:pStyle w:val="Compact"/>
            </w:pPr>
            <w:r>
              <w:rPr>
                <w:b/>
                <w:bCs/>
              </w:rPr>
              <w:t xml:space="preserve">Remove access</w:t>
            </w:r>
          </w:p>
        </w:tc>
      </w:tr>
      <w:tr>
        <w:tc>
          <w:tcPr/>
          <w:p>
            <w:pPr>
              <w:pStyle w:val="Compact"/>
            </w:pPr>
            <w:r>
              <w:t xml:space="preserve">Justification</w:t>
            </w:r>
          </w:p>
        </w:tc>
        <w:tc>
          <w:tcPr/>
          <w:p>
            <w:pPr>
              <w:pStyle w:val="Compact"/>
            </w:pPr>
            <w:r>
              <w:t xml:space="preserve">Required for approvals</w:t>
            </w:r>
          </w:p>
        </w:tc>
      </w:tr>
    </w:tbl>
    <w:p>
      <w:pPr>
        <w:pStyle w:val="BodyText"/>
      </w:pPr>
      <w:r>
        <w:t xml:space="preserve">Reviewers are never the assignees themselves. Microsoft offers a self-review option, but when it’s chosen, role-assignable groups are left out of the review entirely.</w:t>
      </w:r>
      <w:r>
        <w:rPr>
          <w:rStyle w:val="FootnoteReference"/>
        </w:rPr>
        <w:footnoteReference w:id="760"/>
      </w:r>
      <w:r>
        <w:t xml:space="preserve"> </w:t>
      </w:r>
      <w:r>
        <w:t xml:space="preserve">Because the program assigns every role to a group, a self-review would review nothing. The monthly Tier 0 cadence follows Book 02, Chapter 05 (</w:t>
      </w:r>
      <w:r>
        <w:t xml:space="preserve">“monthly or on change”</w:t>
      </w:r>
      <w:r>
        <w:t xml:space="preserve"> </w:t>
      </w:r>
      <w:r>
        <w:t xml:space="preserve">for privileged roles); the quarterly cadence is the floor that Book 02, Chapter 10 sets.</w:t>
      </w:r>
    </w:p>
    <w:bookmarkEnd w:id="761"/>
    <w:bookmarkStart w:id="763" w:name="groups-assigned-to-roles"/>
    <w:p>
      <w:pPr>
        <w:pStyle w:val="Heading2"/>
      </w:pPr>
      <w:bookmarkStart w:id="1248" w:name="_Toc00001248"/>
      <w:r>
        <w:t xml:space="preserve">Groups assigned to roles</w:t>
      </w:r>
      <w:bookmarkEnd w:id="1248"/>
    </w:p>
    <w:p>
      <w:pPr>
        <w:pStyle w:val="FirstParagraph"/>
      </w:pPr>
      <w:r>
        <w:t xml:space="preserve">When a role-assignable group holds the role, the review shows the group by name, not its members, and a denial removes the group’s assignment.</w:t>
      </w:r>
      <w:r>
        <w:rPr>
          <w:rStyle w:val="FootnoteReference"/>
        </w:rPr>
        <w:footnoteReference w:id="762"/>
      </w:r>
      <w:r>
        <w:t xml:space="preserve"> </w:t>
      </w:r>
      <w:r>
        <w:t xml:space="preserve">Pair each role review with an access review of the group’s membership (Chapter 09); otherwise membership drift is invisible to the role review. Review the approver groups the same way: they hold no role, but they’re privileged objects.</w:t>
      </w:r>
    </w:p>
    <w:bookmarkEnd w:id="763"/>
    <w:bookmarkStart w:id="771" w:name="X95935456f73d86ae6dbf6d0bc68ddbf3cfefc75"/>
    <w:p>
      <w:pPr>
        <w:pStyle w:val="Heading3"/>
      </w:pPr>
      <w:r>
        <w:t xml:space="preserve">Step 9 — Export audit records for retention</w:t>
      </w:r>
    </w:p>
    <w:p>
      <w:pPr>
        <w:pStyle w:val="FirstParagraph"/>
      </w:pPr>
      <w:r>
        <w:t xml:space="preserve">This is the step most often missed, and missing it is a control failure.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Record</w:t>
            </w:r>
          </w:p>
        </w:tc>
        <w:tc>
          <w:tcPr/>
          <w:p>
            <w:pPr>
              <w:pStyle w:val="Compact"/>
            </w:pPr>
            <w:r>
              <w:t xml:space="preserve">Retained in the service</w:t>
            </w:r>
          </w:p>
        </w:tc>
      </w:tr>
      <w:tr>
        <w:tc>
          <w:tcPr/>
          <w:p>
            <w:pPr>
              <w:pStyle w:val="Compact"/>
            </w:pPr>
            <w:r>
              <w:t xml:space="preserve">PIM resource audit (a subset of the Microsoft Entra audit log)</w:t>
            </w:r>
          </w:p>
        </w:tc>
        <w:tc>
          <w:tcPr/>
          <w:p>
            <w:pPr>
              <w:pStyle w:val="Compact"/>
            </w:pPr>
            <w:r>
              <w:t xml:space="preserve">30 days</w:t>
            </w:r>
            <w:r>
              <w:rPr>
                <w:rStyle w:val="FootnoteReference"/>
              </w:rPr>
              <w:footnoteReference w:id="764"/>
            </w:r>
          </w:p>
        </w:tc>
      </w:tr>
      <w:tr>
        <w:tc>
          <w:tcPr/>
          <w:p>
            <w:pPr>
              <w:pStyle w:val="Compact"/>
            </w:pPr>
            <w:r>
              <w:t xml:space="preserve">Microsoft Entra audit logs</w:t>
            </w:r>
          </w:p>
        </w:tc>
        <w:tc>
          <w:tcPr/>
          <w:p>
            <w:pPr>
              <w:pStyle w:val="Compact"/>
            </w:pPr>
            <w:r>
              <w:t xml:space="preserve">7 days (Free); 30 days (P1, P2)</w:t>
            </w:r>
            <w:r>
              <w:rPr>
                <w:rStyle w:val="FootnoteReference"/>
              </w:rPr>
              <w:footnoteReference w:id="766"/>
            </w:r>
          </w:p>
        </w:tc>
      </w:tr>
      <w:tr>
        <w:tc>
          <w:tcPr/>
          <w:p>
            <w:pPr>
              <w:pStyle w:val="Compact"/>
            </w:pPr>
            <w:r>
              <w:t xml:space="preserve">Microsoft Entra sign-in logs</w:t>
            </w:r>
          </w:p>
        </w:tc>
        <w:tc>
          <w:tcPr/>
          <w:p>
            <w:pPr>
              <w:pStyle w:val="Compact"/>
            </w:pPr>
            <w:r>
              <w:t xml:space="preserve">7 days (Free); 30 days (P1, P2)</w:t>
            </w:r>
            <w:r>
              <w:rPr>
                <w:rStyle w:val="FootnoteReference"/>
              </w:rPr>
              <w:footnoteReference w:id="767"/>
            </w:r>
          </w:p>
        </w:tc>
      </w:tr>
    </w:tbl>
    <w:p>
      <w:pPr>
        <w:pStyle w:val="BodyText"/>
      </w:pPr>
      <w:r>
        <w:t xml:space="preserve">Thirty days doesn’t meet an AU-11 retention parameter under any federal baseline the program uses. Route the audit and sign-in logs through Azure Monitor diagnostic settings to the program’s Log Analytics workspace (and a storage account where the agency requires one), inside the authorization boundary, at the program’s 365-day retention in Book 02, Chapter 10 or the agency’s authorized AU-11 value if longer.</w:t>
      </w:r>
      <w:r>
        <w:rPr>
          <w:rStyle w:val="FootnoteReference"/>
        </w:rPr>
        <w:footnoteReference w:id="768"/>
      </w:r>
    </w:p>
    <w:p>
      <w:pPr>
        <w:pStyle w:val="Compact"/>
        <w:numPr>
          <w:ilvl w:val="0"/>
          <w:numId w:val="1048"/>
        </w:numPr>
      </w:pPr>
      <w:r>
        <w:rPr>
          <w:b/>
          <w:bCs/>
        </w:rPr>
        <w:t xml:space="preserve">Retention changes aren’t retroactive.</w:t>
      </w:r>
      <w:r>
        <w:t xml:space="preserve"> </w:t>
      </w:r>
      <w:r>
        <w:t xml:space="preserve">Data that has aged out can’t be recovered unless it was already exported.</w:t>
      </w:r>
      <w:r>
        <w:rPr>
          <w:rStyle w:val="FootnoteReference"/>
        </w:rPr>
        <w:footnoteReference w:id="769"/>
      </w:r>
      <w:r>
        <w:t xml:space="preserve"> </w:t>
      </w:r>
      <w:r>
        <w:t xml:space="preserve">Configure the export before go-live.</w:t>
      </w:r>
    </w:p>
    <w:p>
      <w:pPr>
        <w:pStyle w:val="Compact"/>
        <w:numPr>
          <w:ilvl w:val="0"/>
          <w:numId w:val="1048"/>
        </w:numPr>
      </w:pPr>
      <w:r>
        <w:rPr>
          <w:b/>
          <w:bCs/>
        </w:rPr>
        <w:t xml:space="preserve">Correlate an activation by request, not by session.</w:t>
      </w:r>
      <w:r>
        <w:t xml:space="preserve"> </w:t>
      </w:r>
      <w:r>
        <w:t xml:space="preserve">Use the role assignment request ID to join request, approval, activation and deactivation events.</w:t>
      </w:r>
      <w:r>
        <w:rPr>
          <w:rStyle w:val="FootnoteReference"/>
        </w:rPr>
        <w:footnoteReference w:id="770"/>
      </w:r>
    </w:p>
    <w:p>
      <w:pPr>
        <w:pStyle w:val="Compact"/>
        <w:numPr>
          <w:ilvl w:val="0"/>
          <w:numId w:val="1048"/>
        </w:numPr>
      </w:pPr>
      <w:r>
        <w:rPr>
          <w:b/>
          <w:bCs/>
        </w:rPr>
        <w:t xml:space="preserve">The Microsoft 365 unified audit log is a different pipeline</w:t>
      </w:r>
      <w:r>
        <w:t xml:space="preserve">, with retention managed in Microsoft Purview Audit. If the system security plan names it as the record store, its retention setting is the one to evidence.</w:t>
      </w:r>
    </w:p>
    <w:bookmarkEnd w:id="771"/>
    <w:bookmarkStart w:id="781" w:name="operating-the-workflow"/>
    <w:p>
      <w:pPr>
        <w:pStyle w:val="Heading2"/>
      </w:pPr>
      <w:bookmarkStart w:id="1249" w:name="_Toc00001249"/>
      <w:r>
        <w:t xml:space="preserve">Operating the workflow</w:t>
      </w:r>
      <w:bookmarkEnd w:id="1249"/>
    </w:p>
    <w:bookmarkStart w:id="774" w:name="the-requesters-path"/>
    <w:p>
      <w:pPr>
        <w:pStyle w:val="Heading3"/>
      </w:pPr>
      <w:r>
        <w:t xml:space="preserve">The requester’s path</w:t>
      </w:r>
    </w:p>
    <w:p>
      <w:pPr>
        <w:pStyle w:val="Compact"/>
        <w:numPr>
          <w:ilvl w:val="0"/>
          <w:numId w:val="1049"/>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My roles</w:t>
      </w:r>
      <w:r>
        <w:t xml:space="preserve"> </w:t>
      </w:r>
      <w:r>
        <w:t xml:space="preserve">&gt;</w:t>
      </w:r>
      <w:r>
        <w:t xml:space="preserve"> </w:t>
      </w:r>
      <w:r>
        <w:rPr>
          <w:b/>
          <w:bCs/>
        </w:rPr>
        <w:t xml:space="preserve">Microsoft Entra roles</w:t>
      </w:r>
      <w:r>
        <w:t xml:space="preserve"> </w:t>
      </w:r>
      <w:r>
        <w:t xml:space="preserve">(short link</w:t>
      </w:r>
      <w:r>
        <w:t xml:space="preserve"> </w:t>
      </w:r>
      <w:r>
        <w:rPr>
          <w:rStyle w:val="VerbatimChar"/>
        </w:rPr>
        <w:t xml:space="preserve">aka.ms/pim</w:t>
      </w:r>
      <w:r>
        <w:t xml:space="preserve">), and select</w:t>
      </w:r>
      <w:r>
        <w:t xml:space="preserve"> </w:t>
      </w:r>
      <w:r>
        <w:rPr>
          <w:b/>
          <w:bCs/>
        </w:rPr>
        <w:t xml:space="preserve">Activate</w:t>
      </w:r>
      <w:r>
        <w:t xml:space="preserve"> </w:t>
      </w:r>
      <w:r>
        <w:t xml:space="preserve">on the eligible role.</w:t>
      </w:r>
      <w:r>
        <w:rPr>
          <w:rStyle w:val="FootnoteReference"/>
        </w:rPr>
        <w:footnoteReference w:id="772"/>
      </w:r>
    </w:p>
    <w:p>
      <w:pPr>
        <w:pStyle w:val="Compact"/>
        <w:numPr>
          <w:ilvl w:val="0"/>
          <w:numId w:val="1049"/>
        </w:numPr>
      </w:pPr>
      <w:r>
        <w:t xml:space="preserve">Enter the justification, the ticket number, and a duration within the role’s maximum.</w:t>
      </w:r>
    </w:p>
    <w:p>
      <w:pPr>
        <w:pStyle w:val="Compact"/>
        <w:numPr>
          <w:ilvl w:val="0"/>
          <w:numId w:val="1049"/>
        </w:numPr>
      </w:pPr>
      <w:r>
        <w:t xml:space="preserve">Satisfy the authentication context. The request page shows the banner</w:t>
      </w:r>
      <w:r>
        <w:t xml:space="preserve"> </w:t>
      </w:r>
      <w:r>
        <w:t xml:space="preserve">“A Conditional Access policy is enabled and may require additional verification. Click to continue.”</w:t>
      </w:r>
      <w:r>
        <w:t xml:space="preserve"> </w:t>
      </w:r>
      <w:r>
        <w:t xml:space="preserve">and redirects to reauthenticate.</w:t>
      </w:r>
      <w:r>
        <w:rPr>
          <w:rStyle w:val="FootnoteReference"/>
        </w:rPr>
        <w:footnoteReference w:id="773"/>
      </w:r>
    </w:p>
    <w:p>
      <w:pPr>
        <w:pStyle w:val="Compact"/>
        <w:numPr>
          <w:ilvl w:val="0"/>
          <w:numId w:val="1049"/>
        </w:numPr>
      </w:pPr>
      <w:r>
        <w:t xml:space="preserve">Track the request under</w:t>
      </w:r>
      <w:r>
        <w:t xml:space="preserve"> </w:t>
      </w:r>
      <w:r>
        <w:rPr>
          <w:b/>
          <w:bCs/>
        </w:rPr>
        <w:t xml:space="preserve">My requests</w:t>
      </w:r>
      <w:r>
        <w:t xml:space="preserve"> </w:t>
      </w:r>
      <w:r>
        <w:t xml:space="preserve">until it’s approved.</w:t>
      </w:r>
    </w:p>
    <w:p>
      <w:pPr>
        <w:pStyle w:val="Compact"/>
        <w:numPr>
          <w:ilvl w:val="0"/>
          <w:numId w:val="1049"/>
        </w:numPr>
      </w:pPr>
      <w:r>
        <w:t xml:space="preserve">On approval the role is active until the requested end time and deactivates on its own. No action is needed to release it; deactivating early when the task is done is good practice.</w:t>
      </w:r>
    </w:p>
    <w:bookmarkEnd w:id="774"/>
    <w:bookmarkStart w:id="780" w:name="the-approvers-path"/>
    <w:p>
      <w:pPr>
        <w:pStyle w:val="Heading3"/>
      </w:pPr>
      <w:r>
        <w:t xml:space="preserve">The approver’s path</w:t>
      </w:r>
    </w:p>
    <w:p>
      <w:pPr>
        <w:pStyle w:val="Compact"/>
        <w:numPr>
          <w:ilvl w:val="0"/>
          <w:numId w:val="1050"/>
        </w:numPr>
      </w:pPr>
      <w:r>
        <w:t xml:space="preserve">An email arrives; pending requests are listed under</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Approve requests</w:t>
      </w:r>
      <w:r>
        <w:t xml:space="preserve">.</w:t>
      </w:r>
      <w:r>
        <w:rPr>
          <w:rStyle w:val="FootnoteReference"/>
        </w:rPr>
        <w:footnoteReference w:id="775"/>
      </w:r>
    </w:p>
    <w:p>
      <w:pPr>
        <w:pStyle w:val="Compact"/>
        <w:numPr>
          <w:ilvl w:val="0"/>
          <w:numId w:val="1050"/>
        </w:numPr>
      </w:pPr>
      <w:r>
        <w:t xml:space="preserve">Read the justification and ticket, check the ticket in the ITSM, enter the decision’s own justification, and approve or deny. The first approver to respond resolves the request.</w:t>
      </w:r>
      <w:r>
        <w:rPr>
          <w:rStyle w:val="FootnoteReference"/>
        </w:rPr>
        <w:footnoteReference w:id="776"/>
      </w:r>
    </w:p>
    <w:p>
      <w:pPr>
        <w:pStyle w:val="FirstParagraph"/>
      </w:pPr>
      <w:r>
        <w:t xml:space="preserve">Programmatically, pending requests for the signed-in approver are listed on v1.0:</w:t>
      </w:r>
      <w:r>
        <w:rPr>
          <w:rStyle w:val="FootnoteReference"/>
        </w:rPr>
        <w:footnoteReference w:id="777"/>
      </w:r>
    </w:p>
    <w:p>
      <w:pPr>
        <w:pStyle w:val="SourceCode"/>
      </w:pPr>
      <w:r>
        <w:rPr>
          <w:rStyle w:val="VerbatimChar"/>
        </w:rPr>
        <w:t xml:space="preserve">GET https://graph.microsoft.com/v1.0/roleManagement/directory/roleAssignmentScheduleRequests/filterByCurrentUser(on='approver')?$filter=status eq 'PendingApproval'</w:t>
      </w:r>
    </w:p>
    <w:p>
      <w:pPr>
        <w:pStyle w:val="FirstParagraph"/>
      </w:pPr>
      <w:r>
        <w:t xml:space="preserve">Approving or denying through Graph uses the</w:t>
      </w:r>
      <w:r>
        <w:t xml:space="preserve"> </w:t>
      </w:r>
      <w:r>
        <w:rPr>
          <w:rStyle w:val="VerbatimChar"/>
        </w:rPr>
        <w:t xml:space="preserve">roleAssignmentApprovals</w:t>
      </w:r>
      <w:r>
        <w:t xml:space="preserve"> </w:t>
      </w:r>
      <w:r>
        <w:t xml:space="preserve">API, which is available only on</w:t>
      </w:r>
      <w:r>
        <w:t xml:space="preserve"> </w:t>
      </w:r>
      <w:r>
        <w:rPr>
          <w:rStyle w:val="VerbatimChar"/>
        </w:rPr>
        <w:t xml:space="preserve">/beta</w:t>
      </w:r>
      <w:r>
        <w:t xml:space="preserve">.</w:t>
      </w:r>
      <w:r>
        <w:rPr>
          <w:rStyle w:val="FootnoteReference"/>
        </w:rPr>
        <w:footnoteReference w:id="778"/>
      </w:r>
      <w:r>
        <w:t xml:space="preserve"> </w:t>
      </w:r>
      <w:r>
        <w:t xml:space="preserve">Read the approval to get its step ID, then update the step:</w:t>
      </w:r>
    </w:p>
    <w:p>
      <w:pPr>
        <w:pStyle w:val="SourceCode"/>
      </w:pPr>
      <w:r>
        <w:rPr>
          <w:rStyle w:val="VerbatimChar"/>
        </w:rPr>
        <w:t xml:space="preserve">GET https://graph.microsoft.com/beta/roleManagement/directory/roleAssignmentApprovals/{approvalId}</w:t>
      </w:r>
      <w:r>
        <w:br/>
      </w:r>
      <w:r>
        <w:br/>
      </w:r>
      <w:r>
        <w:rPr>
          <w:rStyle w:val="VerbatimChar"/>
        </w:rPr>
        <w:t xml:space="preserve">PATCH https://graph.microsoft.com/beta/roleManagement/directory/roleAssignmentApprovals/{approvalId}/steps/{stepId}</w:t>
      </w:r>
      <w:r>
        <w:br/>
      </w:r>
      <w:r>
        <w:rPr>
          <w:rStyle w:val="VerbatimChar"/>
        </w:rPr>
        <w:t xml:space="preserve">Content-Type: application/json</w:t>
      </w:r>
      <w:r>
        <w:br/>
      </w:r>
      <w:r>
        <w:br/>
      </w:r>
      <w:r>
        <w:rPr>
          <w:rStyle w:val="VerbatimChar"/>
        </w:rPr>
        <w:t xml:space="preserve">{ "reviewResult": "Approve", "justification": "Change CHG0012345 verified against the maintenance window" }</w:t>
      </w:r>
    </w:p>
    <w:p>
      <w:pPr>
        <w:pStyle w:val="FirstParagraph"/>
      </w:pPr>
      <w:r>
        <w:rPr>
          <w:rStyle w:val="VerbatimChar"/>
        </w:rPr>
        <w:t xml:space="preserve">{approvalId}</w:t>
      </w:r>
      <w:r>
        <w:t xml:space="preserve"> </w:t>
      </w:r>
      <w:r>
        <w:t xml:space="preserve">is the request’s approval ID.</w:t>
      </w:r>
      <w:r>
        <w:rPr>
          <w:rStyle w:val="FootnoteReference"/>
        </w:rPr>
        <w:footnoteReference w:id="779"/>
      </w:r>
      <w:r>
        <w:t xml:space="preserve"> </w:t>
      </w:r>
      <w:r>
        <w:t xml:space="preserve">Because the API is beta, the program uses it only in tooling that can tolerate change, and keeps human approval in the admin center as the system of record.</w:t>
      </w:r>
    </w:p>
    <w:bookmarkEnd w:id="780"/>
    <w:bookmarkEnd w:id="781"/>
    <w:bookmarkStart w:id="783" w:name="X6e2f039d575c273da77e7128674c1f90aa630a1"/>
    <w:p>
      <w:pPr>
        <w:pStyle w:val="Heading2"/>
      </w:pPr>
      <w:bookmarkStart w:id="1250" w:name="_Toc00001250"/>
      <w:r>
        <w:t xml:space="preserve">The legacy PIM API stops on October 28, 2026</w:t>
      </w:r>
      <w:bookmarkEnd w:id="1250"/>
    </w:p>
    <w:p>
      <w:pPr>
        <w:pStyle w:val="FirstParagraph"/>
      </w:pPr>
      <w:r>
        <w:t xml:space="preserve">The older</w:t>
      </w:r>
      <w:r>
        <w:t xml:space="preserve"> </w:t>
      </w:r>
      <w:r>
        <w:rPr>
          <w:rStyle w:val="VerbatimChar"/>
        </w:rPr>
        <w:t xml:space="preserve">/beta/privilegedAccess</w:t>
      </w:r>
      <w:r>
        <w:t xml:space="preserve"> </w:t>
      </w:r>
      <w:r>
        <w:t xml:space="preserve">PIM API is deprecated and stops returning data on October 28, 2026.</w:t>
      </w:r>
      <w:r>
        <w:rPr>
          <w:rStyle w:val="FootnoteReference"/>
        </w:rPr>
        <w:footnoteReference w:id="782"/>
      </w:r>
      <w:r>
        <w:t xml:space="preserve"> </w:t>
      </w:r>
      <w:r>
        <w:t xml:space="preserve">Any script, runbook or integration that still calls it, including older ones in the compliance series and vendor connectors, must move to the</w:t>
      </w:r>
      <w:r>
        <w:t xml:space="preserve"> </w:t>
      </w:r>
      <w:r>
        <w:rPr>
          <w:rStyle w:val="VerbatimChar"/>
        </w:rPr>
        <w:t xml:space="preserve">roleManagement</w:t>
      </w:r>
      <w:r>
        <w:t xml:space="preserve"> </w:t>
      </w:r>
      <w:r>
        <w:t xml:space="preserve">APIs used in this chapter before that date.</w:t>
      </w:r>
    </w:p>
    <w:bookmarkEnd w:id="783"/>
    <w:bookmarkStart w:id="785" w:name="the-24-hour-window"/>
    <w:p>
      <w:pPr>
        <w:pStyle w:val="Heading3"/>
      </w:pPr>
      <w:r>
        <w:t xml:space="preserve">The 24-hour window</w:t>
      </w:r>
    </w:p>
    <w:p>
      <w:pPr>
        <w:pStyle w:val="FirstParagraph"/>
      </w:pPr>
      <w:r>
        <w:t xml:space="preserve">Approvers have</w:t>
      </w:r>
      <w:r>
        <w:t xml:space="preserve"> </w:t>
      </w:r>
      <w:r>
        <w:rPr>
          <w:b/>
          <w:bCs/>
        </w:rPr>
        <w:t xml:space="preserve">24 hours</w:t>
      </w:r>
      <w:r>
        <w:t xml:space="preserve"> </w:t>
      </w:r>
      <w:r>
        <w:t xml:space="preserve">to act. A request not approved in that time expires and the user must submit a new one, and the 24-hour window isn’t configurable.</w:t>
      </w:r>
      <w:r>
        <w:rPr>
          <w:rStyle w:val="FootnoteReference"/>
        </w:rPr>
        <w:footnoteReference w:id="784"/>
      </w:r>
      <w:r>
        <w:t xml:space="preserve"> </w:t>
      </w:r>
      <w:r>
        <w:t xml:space="preserve">A Tier 0 approval path staffed by two people in one time zone will strand out-of-hours requests, so size each approver group for the agency’s real operating hours, and make the Step 0 emergency procedure, not an unapproved workaround, the documented answer to</w:t>
      </w:r>
      <w:r>
        <w:t xml:space="preserve"> </w:t>
      </w:r>
      <w:r>
        <w:t xml:space="preserve">“the approvers are unavailable and production is down.”</w:t>
      </w:r>
    </w:p>
    <w:bookmarkEnd w:id="785"/>
    <w:bookmarkStart w:id="790" w:name="extending-and-renewing"/>
    <w:p>
      <w:pPr>
        <w:pStyle w:val="Heading3"/>
      </w:pPr>
      <w:r>
        <w:t xml:space="preserve">Extending and renewing</w:t>
      </w:r>
    </w:p>
    <w:p>
      <w:pPr>
        <w:pStyle w:val="FirstParagraph"/>
      </w:pPr>
      <w:r>
        <w:t xml:space="preserve">Only Global Administrators and Privileged Role Administrators can extend or renew Microsoft Entra role assignments, and a user’s own request to extend or renew is approved by them, not by the approver group configured on the role. Approval of extend and renew requests isn’t supported through Graph.</w:t>
      </w:r>
      <w:r>
        <w:rPr>
          <w:rStyle w:val="FootnoteReference"/>
        </w:rPr>
        <w:footnoteReference w:id="786"/>
      </w:r>
      <w:r>
        <w:rPr>
          <w:rStyle w:val="FootnoteReference"/>
        </w:rPr>
        <w:footnoteReference w:id="788"/>
      </w:r>
      <w:r>
        <w:t xml:space="preserve"> </w:t>
      </w:r>
      <w:r>
        <w:t xml:space="preserve">Users can request an extension within 14 days of an assignment’s expiry.</w:t>
      </w:r>
      <w:r>
        <w:rPr>
          <w:rStyle w:val="FootnoteReference"/>
        </w:rPr>
        <w:footnoteReference w:id="789"/>
      </w:r>
      <w:r>
        <w:t xml:space="preserve"> </w:t>
      </w:r>
      <w:r>
        <w:t xml:space="preserve">The program’s position is that renewal of eligibility goes through the access package and review in Chapter 09, not through ad hoc extensions, and the system security plan describes this second approval path.</w:t>
      </w:r>
    </w:p>
    <w:bookmarkEnd w:id="790"/>
    <w:bookmarkStart w:id="792" w:name="approver-design-and-separation-of-duties"/>
    <w:p>
      <w:pPr>
        <w:pStyle w:val="Heading3"/>
      </w:pPr>
      <w:r>
        <w:t xml:space="preserve">Approver design and separation of duties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Rule</w:t>
            </w:r>
          </w:p>
        </w:tc>
        <w:tc>
          <w:tcPr/>
          <w:p>
            <w:pPr>
              <w:pStyle w:val="Compact"/>
            </w:pPr>
            <w:r>
              <w:t xml:space="preserve">Why</w:t>
            </w:r>
          </w:p>
        </w:tc>
      </w:tr>
      <w:tr>
        <w:tc>
          <w:tcPr/>
          <w:p>
            <w:pPr>
              <w:pStyle w:val="Compact"/>
            </w:pPr>
            <w:r>
              <w:t xml:space="preserve">A tier’s approvers aren’t members of that tier’s eligible population</w:t>
            </w:r>
          </w:p>
        </w:tc>
        <w:tc>
          <w:tcPr/>
          <w:p>
            <w:pPr>
              <w:pStyle w:val="Compact"/>
            </w:pPr>
            <w:r>
              <w:t xml:space="preserve">Otherwise the approver group and the requesters are the same set, and approval degrades to mutual sign-off. The platform blocks self-approval; group design blocks collusion</w:t>
            </w:r>
          </w:p>
        </w:tc>
      </w:tr>
      <w:tr>
        <w:tc>
          <w:tcPr/>
          <w:p>
            <w:pPr>
              <w:pStyle w:val="Compact"/>
            </w:pPr>
            <w:r>
              <w:t xml:space="preserve">At least two approvers per tier</w:t>
            </w:r>
          </w:p>
        </w:tc>
        <w:tc>
          <w:tcPr/>
          <w:p>
            <w:pPr>
              <w:pStyle w:val="Compact"/>
            </w:pPr>
            <w:r>
              <w:t xml:space="preserve">Microsoft’s recommendation, and the minimum that survives one absence</w:t>
            </w:r>
            <w:r>
              <w:rPr>
                <w:rStyle w:val="FootnoteReference"/>
              </w:rPr>
              <w:footnoteReference w:id="791"/>
            </w:r>
          </w:p>
        </w:tc>
      </w:tr>
      <w:tr>
        <w:tc>
          <w:tcPr/>
          <w:p>
            <w:pPr>
              <w:pStyle w:val="Compact"/>
            </w:pPr>
            <w:r>
              <w:t xml:space="preserve">Approvers are groups whose membership is governed</w:t>
            </w:r>
          </w:p>
        </w:tc>
        <w:tc>
          <w:tcPr/>
          <w:p>
            <w:pPr>
              <w:pStyle w:val="Compact"/>
            </w:pPr>
            <w:r>
              <w:t xml:space="preserve">Named individuals break when people leave</w:t>
            </w:r>
          </w:p>
        </w:tc>
      </w:tr>
      <w:tr>
        <w:tc>
          <w:tcPr/>
          <w:p>
            <w:pPr>
              <w:pStyle w:val="Compact"/>
            </w:pPr>
            <w:r>
              <w:t xml:space="preserve">Approver justification required</w:t>
            </w:r>
          </w:p>
        </w:tc>
        <w:tc>
          <w:tcPr/>
          <w:p>
            <w:pPr>
              <w:pStyle w:val="Compact"/>
            </w:pPr>
            <w:r>
              <w:t xml:space="preserve">The record must hold the decision, not only the outcome</w:t>
            </w:r>
          </w:p>
        </w:tc>
      </w:tr>
      <w:tr>
        <w:tc>
          <w:tcPr/>
          <w:p>
            <w:pPr>
              <w:pStyle w:val="Compact"/>
            </w:pPr>
            <w:r>
              <w:t xml:space="preserve">Approver group membership is reviewed</w:t>
            </w:r>
          </w:p>
        </w:tc>
        <w:tc>
          <w:tcPr/>
          <w:p>
            <w:pPr>
              <w:pStyle w:val="Compact"/>
            </w:pPr>
            <w:r>
              <w:t xml:space="preserve">The group holds no role but is a privileged object</w:t>
            </w:r>
          </w:p>
        </w:tc>
      </w:tr>
      <w:tr>
        <w:tc>
          <w:tcPr/>
          <w:p>
            <w:pPr>
              <w:pStyle w:val="Compact"/>
            </w:pPr>
            <w:r>
              <w:t xml:space="preserve">Tier 0 approvers sit outside the Tier 0 role population, for example in the security office</w:t>
            </w:r>
          </w:p>
        </w:tc>
        <w:tc>
          <w:tcPr/>
          <w:p>
            <w:pPr>
              <w:pStyle w:val="Compact"/>
            </w:pPr>
            <w:r>
              <w:t xml:space="preserve">Separation of duties where it matters most</w:t>
            </w:r>
          </w:p>
        </w:tc>
      </w:tr>
    </w:tbl>
    <w:p>
      <w:pPr>
        <w:pStyle w:val="BodyText"/>
      </w:pPr>
      <w:r>
        <w:t xml:space="preserve">Chapter 06 assigns these decision rights; the approver for a Tier 0 activation is a security function, not a peer administrator.</w:t>
      </w:r>
    </w:p>
    <w:bookmarkEnd w:id="792"/>
    <w:bookmarkStart w:id="793" w:name="assessment-evidence"/>
    <w:p>
      <w:pPr>
        <w:pStyle w:val="Heading2"/>
      </w:pPr>
      <w:bookmarkStart w:id="1251" w:name="_Toc00001251"/>
      <w:r>
        <w:t xml:space="preserve">Assessment evidence</w:t>
      </w:r>
      <w:bookmarkEnd w:id="1251"/>
    </w:p>
    <w:p>
      <w:pPr>
        <w:pStyle w:val="FirstParagraph"/>
      </w:pPr>
      <w:r>
        <w:t xml:space="preserve">What an assessor will ask for, and where it comes from: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Evidence</w:t>
            </w:r>
          </w:p>
        </w:tc>
        <w:tc>
          <w:tcPr/>
          <w:p>
            <w:pPr>
              <w:pStyle w:val="Compact"/>
            </w:pPr>
            <w:r>
              <w:t xml:space="preserve">Source</w:t>
            </w:r>
          </w:p>
        </w:tc>
        <w:tc>
          <w:tcPr/>
          <w:p>
            <w:pPr>
              <w:pStyle w:val="Compact"/>
            </w:pPr>
            <w:r>
              <w:t xml:space="preserve">Cadence</w:t>
            </w:r>
          </w:p>
        </w:tc>
      </w:tr>
      <w:tr>
        <w:tc>
          <w:tcPr/>
          <w:p>
            <w:pPr>
              <w:pStyle w:val="Compact"/>
            </w:pPr>
            <w:r>
              <w:t xml:space="preserve">Role settings per role: approval, approvers, authentication context, justification, ticket, durations</w:t>
            </w:r>
          </w:p>
        </w:tc>
        <w:tc>
          <w:tcPr/>
          <w:p>
            <w:pPr>
              <w:pStyle w:val="Compact"/>
            </w:pPr>
            <w:r>
              <w:rPr>
                <w:rStyle w:val="VerbatimChar"/>
              </w:rPr>
              <w:t xml:space="preserve">GET /policies/roleManagementPolicies/{id}?$expand=rules</w:t>
            </w:r>
            <w:r>
              <w:t xml:space="preserve">, or</w:t>
            </w:r>
            <w:r>
              <w:t xml:space="preserve"> </w:t>
            </w:r>
            <w:r>
              <w:rPr>
                <w:b/>
                <w:bCs/>
              </w:rPr>
              <w:t xml:space="preserve">Role settings</w:t>
            </w:r>
            <w:r>
              <w:t xml:space="preserve">; kept as code (Chapter 10)</w:t>
            </w:r>
          </w:p>
        </w:tc>
        <w:tc>
          <w:tcPr/>
          <w:p>
            <w:pPr>
              <w:pStyle w:val="Compact"/>
            </w:pPr>
            <w:r>
              <w:t xml:space="preserve">On change; snapshot at assessment</w:t>
            </w:r>
          </w:p>
        </w:tc>
      </w:tr>
      <w:tr>
        <w:tc>
          <w:tcPr/>
          <w:p>
            <w:pPr>
              <w:pStyle w:val="Compact"/>
            </w:pPr>
            <w:r>
              <w:t xml:space="preserve">Eligible and active assignment inventory</w:t>
            </w:r>
          </w:p>
        </w:tc>
        <w:tc>
          <w:tcPr/>
          <w:p>
            <w:pPr>
              <w:pStyle w:val="Compact"/>
            </w:pPr>
            <w:r>
              <w:rPr>
                <w:rStyle w:val="VerbatimChar"/>
              </w:rPr>
              <w:t xml:space="preserve">GET /roleManagement/directory/roleEligibilitySchedules</w:t>
            </w:r>
            <w:r>
              <w:t xml:space="preserve"> </w:t>
            </w:r>
            <w:r>
              <w:t xml:space="preserve">and</w:t>
            </w:r>
            <w:r>
              <w:t xml:space="preserve"> </w:t>
            </w:r>
            <w:r>
              <w:rPr>
                <w:rStyle w:val="VerbatimChar"/>
              </w:rPr>
              <w:t xml:space="preserve">/roleAssignmentSchedules</w:t>
            </w:r>
          </w:p>
        </w:tc>
        <w:tc>
          <w:tcPr/>
          <w:p>
            <w:pPr>
              <w:pStyle w:val="Compact"/>
            </w:pPr>
            <w:r>
              <w:t xml:space="preserve">Monthly</w:t>
            </w:r>
          </w:p>
        </w:tc>
      </w:tr>
      <w:tr>
        <w:tc>
          <w:tcPr/>
          <w:p>
            <w:pPr>
              <w:pStyle w:val="Compact"/>
            </w:pPr>
            <w:r>
              <w:t xml:space="preserve">Activation requests with requester justification, approver, approver justification, decision and timestamps</w:t>
            </w:r>
          </w:p>
        </w:tc>
        <w:tc>
          <w:tcPr/>
          <w:p>
            <w:pPr>
              <w:pStyle w:val="Compact"/>
            </w:pPr>
            <w:r>
              <w:t xml:space="preserve">Microsoft Entra audit log, exported to the workspace</w:t>
            </w:r>
          </w:p>
        </w:tc>
        <w:tc>
          <w:tcPr/>
          <w:p>
            <w:pPr>
              <w:pStyle w:val="Compact"/>
            </w:pPr>
            <w:r>
              <w:t xml:space="preserve">Continuous</w:t>
            </w:r>
          </w:p>
        </w:tc>
      </w:tr>
      <w:tr>
        <w:tc>
          <w:tcPr/>
          <w:p>
            <w:pPr>
              <w:pStyle w:val="Compact"/>
            </w:pPr>
            <w:r>
              <w:t xml:space="preserve">Approver group membership and its review history</w:t>
            </w:r>
          </w:p>
        </w:tc>
        <w:tc>
          <w:tcPr/>
          <w:p>
            <w:pPr>
              <w:pStyle w:val="Compact"/>
            </w:pPr>
            <w:r>
              <w:t xml:space="preserve">Group object; access review results</w:t>
            </w:r>
          </w:p>
        </w:tc>
        <w:tc>
          <w:tcPr/>
          <w:p>
            <w:pPr>
              <w:pStyle w:val="Compact"/>
            </w:pPr>
            <w:r>
              <w:t xml:space="preserve">Each review cycle</w:t>
            </w:r>
          </w:p>
        </w:tc>
      </w:tr>
      <w:tr>
        <w:tc>
          <w:tcPr/>
          <w:p>
            <w:pPr>
              <w:pStyle w:val="Compact"/>
            </w:pPr>
            <w:r>
              <w:t xml:space="preserve">Role access reviews, outcomes and removals</w:t>
            </w:r>
          </w:p>
        </w:tc>
        <w:tc>
          <w:tcPr/>
          <w:p>
            <w:pPr>
              <w:pStyle w:val="Compact"/>
            </w:pPr>
            <w:r>
              <w:t xml:space="preserve">PIM access review history</w:t>
            </w:r>
          </w:p>
        </w:tc>
        <w:tc>
          <w:tcPr/>
          <w:p>
            <w:pPr>
              <w:pStyle w:val="Compact"/>
            </w:pPr>
            <w:r>
              <w:t xml:space="preserve">Each review cycle</w:t>
            </w:r>
          </w:p>
        </w:tc>
      </w:tr>
      <w:tr>
        <w:tc>
          <w:tcPr/>
          <w:p>
            <w:pPr>
              <w:pStyle w:val="Compact"/>
            </w:pPr>
            <w:r>
              <w:t xml:space="preserve">PIM alert state, especially assignments outside PIM</w:t>
            </w:r>
          </w:p>
        </w:tc>
        <w:tc>
          <w:tcPr/>
          <w:p>
            <w:pPr>
              <w:pStyle w:val="Compact"/>
            </w:pPr>
            <w:r>
              <w:rPr>
                <w:b/>
                <w:bCs/>
              </w:rPr>
              <w:t xml:space="preserve">Microsoft Entra roles</w:t>
            </w:r>
            <w:r>
              <w:t xml:space="preserve"> </w:t>
            </w:r>
            <w:r>
              <w:t xml:space="preserve">&gt;</w:t>
            </w:r>
            <w:r>
              <w:t xml:space="preserve"> </w:t>
            </w:r>
            <w:r>
              <w:rPr>
                <w:b/>
                <w:bCs/>
              </w:rPr>
              <w:t xml:space="preserve">Alerts</w:t>
            </w:r>
            <w:r>
              <w:t xml:space="preserve">; SIEM incidents</w:t>
            </w:r>
          </w:p>
        </w:tc>
        <w:tc>
          <w:tcPr/>
          <w:p>
            <w:pPr>
              <w:pStyle w:val="Compact"/>
            </w:pPr>
            <w:r>
              <w:t xml:space="preserve">Continuous</w:t>
            </w:r>
          </w:p>
        </w:tc>
      </w:tr>
      <w:tr>
        <w:tc>
          <w:tcPr/>
          <w:p>
            <w:pPr>
              <w:pStyle w:val="Compact"/>
            </w:pPr>
            <w:r>
              <w:t xml:space="preserve">Emergency access inventory, exclusions, credential custody, test and use records</w:t>
            </w:r>
          </w:p>
        </w:tc>
        <w:tc>
          <w:tcPr/>
          <w:p>
            <w:pPr>
              <w:pStyle w:val="Compact"/>
            </w:pPr>
            <w:r>
              <w:t xml:space="preserve">Tenant configuration; alert rule; test and post-use records</w:t>
            </w:r>
          </w:p>
        </w:tc>
        <w:tc>
          <w:tcPr/>
          <w:p>
            <w:pPr>
              <w:pStyle w:val="Compact"/>
            </w:pPr>
            <w:r>
              <w:t xml:space="preserve">Each 90-day test</w:t>
            </w:r>
          </w:p>
        </w:tc>
      </w:tr>
      <w:tr>
        <w:tc>
          <w:tcPr/>
          <w:p>
            <w:pPr>
              <w:pStyle w:val="Compact"/>
            </w:pPr>
            <w:r>
              <w:rPr>
                <w:rStyle w:val="VerbatimChar"/>
              </w:rPr>
              <w:t xml:space="preserve">PIM-Activation-c1</w:t>
            </w:r>
            <w:r>
              <w:t xml:space="preserve"> </w:t>
            </w:r>
            <w:r>
              <w:t xml:space="preserve">and protected-action policies, with state</w:t>
            </w:r>
            <w:r>
              <w:t xml:space="preserve"> </w:t>
            </w:r>
            <w:r>
              <w:rPr>
                <w:b/>
                <w:bCs/>
              </w:rPr>
              <w:t xml:space="preserve">On</w:t>
            </w:r>
          </w:p>
        </w:tc>
        <w:tc>
          <w:tcPr/>
          <w:p>
            <w:pPr>
              <w:pStyle w:val="Compact"/>
            </w:pPr>
            <w:r>
              <w:t xml:space="preserve">Conditional Access export</w:t>
            </w:r>
          </w:p>
        </w:tc>
        <w:tc>
          <w:tcPr/>
          <w:p>
            <w:pPr>
              <w:pStyle w:val="Compact"/>
            </w:pPr>
            <w:r>
              <w:t xml:space="preserve">On change</w:t>
            </w:r>
          </w:p>
        </w:tc>
      </w:tr>
      <w:tr>
        <w:tc>
          <w:tcPr/>
          <w:p>
            <w:pPr>
              <w:pStyle w:val="Compact"/>
            </w:pPr>
            <w:r>
              <w:t xml:space="preserve">Audit export configuration and retention</w:t>
            </w:r>
          </w:p>
        </w:tc>
        <w:tc>
          <w:tcPr/>
          <w:p>
            <w:pPr>
              <w:pStyle w:val="Compact"/>
            </w:pPr>
            <w:r>
              <w:t xml:space="preserve">Azure Monitor diagnostic settings; workspace retention</w:t>
            </w:r>
          </w:p>
        </w:tc>
        <w:tc>
          <w:tcPr/>
          <w:p>
            <w:pPr>
              <w:pStyle w:val="Compact"/>
            </w:pPr>
            <w:r>
              <w:t xml:space="preserve">On change</w:t>
            </w:r>
          </w:p>
        </w:tc>
      </w:tr>
    </w:tbl>
    <w:bookmarkEnd w:id="793"/>
    <w:bookmarkStart w:id="794" w:name="Xb0cd91d40418dc5131db6f85cf83b6e90c7d949"/>
    <w:p>
      <w:pPr>
        <w:pStyle w:val="Heading2"/>
      </w:pPr>
      <w:bookmarkStart w:id="1252" w:name="_Toc00001252"/>
      <w:r>
        <w:t xml:space="preserve">Keep tenant artifacts out of the workbook</w:t>
      </w:r>
      <w:bookmarkEnd w:id="1252"/>
    </w:p>
    <w:p>
      <w:pPr>
        <w:pStyle w:val="FirstParagraph"/>
      </w:pPr>
      <w:r>
        <w:t xml:space="preserve">The rows describe where evidence comes from, not content to publish. Real exports, request records and review results belong in the agency’s evidence store under its own handling rules.</w:t>
      </w:r>
    </w:p>
    <w:bookmarkEnd w:id="794"/>
    <w:bookmarkStart w:id="795" w:name="validation-test-plan"/>
    <w:p>
      <w:pPr>
        <w:pStyle w:val="Heading2"/>
      </w:pPr>
      <w:bookmarkStart w:id="1253" w:name="_Toc00001253"/>
      <w:r>
        <w:t xml:space="preserve">Validation test plan</w:t>
      </w:r>
      <w:bookmarkEnd w:id="1253"/>
    </w:p>
    <w:p>
      <w:pPr>
        <w:pStyle w:val="FirstParagraph"/>
      </w:pPr>
      <w:r>
        <w:t xml:space="preserve">Run these after the build, and after any change to role settings, Conditional Access, protected actions or approver group membership.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Test</w:t>
            </w:r>
          </w:p>
        </w:tc>
        <w:tc>
          <w:tcPr/>
          <w:p>
            <w:pPr>
              <w:pStyle w:val="Compact"/>
            </w:pPr>
            <w:r>
              <w:t xml:space="preserve">Expected result</w:t>
            </w:r>
          </w:p>
        </w:tc>
      </w:tr>
      <w:tr>
        <w:tc>
          <w:tcPr/>
          <w:p>
            <w:pPr>
              <w:pStyle w:val="Compact"/>
            </w:pPr>
            <w:r>
              <w:t xml:space="preserve">1</w:t>
            </w:r>
          </w:p>
        </w:tc>
        <w:tc>
          <w:tcPr/>
          <w:p>
            <w:pPr>
              <w:pStyle w:val="Compact"/>
            </w:pPr>
            <w:r>
              <w:t xml:space="preserve">Eligible user requests a Tier 0 role</w:t>
            </w:r>
          </w:p>
        </w:tc>
        <w:tc>
          <w:tcPr/>
          <w:p>
            <w:pPr>
              <w:pStyle w:val="Compact"/>
            </w:pPr>
            <w:r>
              <w:t xml:space="preserve">Prompted for justification and ticket; challenged for</w:t>
            </w:r>
            <w:r>
              <w:t xml:space="preserve"> </w:t>
            </w:r>
            <w:r>
              <w:rPr>
                <w:rStyle w:val="VerbatimChar"/>
              </w:rPr>
              <w:t xml:space="preserve">c1</w:t>
            </w:r>
            <w:r>
              <w:t xml:space="preserve">; request enters</w:t>
            </w:r>
            <w:r>
              <w:t xml:space="preserve"> </w:t>
            </w:r>
            <w:r>
              <w:rPr>
                <w:b/>
                <w:bCs/>
              </w:rPr>
              <w:t xml:space="preserve">PendingApproval</w:t>
            </w:r>
            <w:r>
              <w:t xml:space="preserve"> </w:t>
            </w:r>
            <w:r>
              <w:t xml:space="preserve">and the role isn’t active</w:t>
            </w:r>
          </w:p>
        </w:tc>
      </w:tr>
      <w:tr>
        <w:tc>
          <w:tcPr/>
          <w:p>
            <w:pPr>
              <w:pStyle w:val="Compact"/>
            </w:pPr>
            <w:r>
              <w:t xml:space="preserve">2</w:t>
            </w:r>
          </w:p>
        </w:tc>
        <w:tc>
          <w:tcPr/>
          <w:p>
            <w:pPr>
              <w:pStyle w:val="Compact"/>
            </w:pPr>
            <w:r>
              <w:t xml:space="preserve">Approver approves</w:t>
            </w:r>
          </w:p>
        </w:tc>
        <w:tc>
          <w:tcPr/>
          <w:p>
            <w:pPr>
              <w:pStyle w:val="Compact"/>
            </w:pPr>
            <w:r>
              <w:t xml:space="preserve">Role active for the requested duration; both justifications in the audit log</w:t>
            </w:r>
          </w:p>
        </w:tc>
      </w:tr>
      <w:tr>
        <w:tc>
          <w:tcPr/>
          <w:p>
            <w:pPr>
              <w:pStyle w:val="Compact"/>
            </w:pPr>
            <w:r>
              <w:t xml:space="preserve">3</w:t>
            </w:r>
          </w:p>
        </w:tc>
        <w:tc>
          <w:tcPr/>
          <w:p>
            <w:pPr>
              <w:pStyle w:val="Compact"/>
            </w:pPr>
            <w:r>
              <w:t xml:space="preserve">Approver denies</w:t>
            </w:r>
          </w:p>
        </w:tc>
        <w:tc>
          <w:tcPr/>
          <w:p>
            <w:pPr>
              <w:pStyle w:val="Compact"/>
            </w:pPr>
            <w:r>
              <w:t xml:space="preserve">Role stays eligible; denial and justification recorded</w:t>
            </w:r>
          </w:p>
        </w:tc>
      </w:tr>
      <w:tr>
        <w:tc>
          <w:tcPr/>
          <w:p>
            <w:pPr>
              <w:pStyle w:val="Compact"/>
            </w:pPr>
            <w:r>
              <w:t xml:space="preserve">4</w:t>
            </w:r>
          </w:p>
        </w:tc>
        <w:tc>
          <w:tcPr/>
          <w:p>
            <w:pPr>
              <w:pStyle w:val="Compact"/>
            </w:pPr>
            <w:r>
              <w:t xml:space="preserve">Requester tries to approve their own request</w:t>
            </w:r>
          </w:p>
        </w:tc>
        <w:tc>
          <w:tcPr/>
          <w:p>
            <w:pPr>
              <w:pStyle w:val="Compact"/>
            </w:pPr>
            <w:r>
              <w:t xml:space="preserve">Blocked by the platform</w:t>
            </w:r>
          </w:p>
        </w:tc>
      </w:tr>
      <w:tr>
        <w:tc>
          <w:tcPr/>
          <w:p>
            <w:pPr>
              <w:pStyle w:val="Compact"/>
            </w:pPr>
            <w:r>
              <w:t xml:space="preserve">5</w:t>
            </w:r>
          </w:p>
        </w:tc>
        <w:tc>
          <w:tcPr/>
          <w:p>
            <w:pPr>
              <w:pStyle w:val="Compact"/>
            </w:pPr>
            <w:r>
              <w:t xml:space="preserve">Request left for 24 hours</w:t>
            </w:r>
          </w:p>
        </w:tc>
        <w:tc>
          <w:tcPr/>
          <w:p>
            <w:pPr>
              <w:pStyle w:val="Compact"/>
            </w:pPr>
            <w:r>
              <w:t xml:space="preserve">Request expires; user must resubmit</w:t>
            </w:r>
          </w:p>
        </w:tc>
      </w:tr>
      <w:tr>
        <w:tc>
          <w:tcPr/>
          <w:p>
            <w:pPr>
              <w:pStyle w:val="Compact"/>
            </w:pPr>
            <w:r>
              <w:t xml:space="preserve">6</w:t>
            </w:r>
          </w:p>
        </w:tc>
        <w:tc>
          <w:tcPr/>
          <w:p>
            <w:pPr>
              <w:pStyle w:val="Compact"/>
            </w:pPr>
            <w:r>
              <w:t xml:space="preserve">Activation window ends</w:t>
            </w:r>
          </w:p>
        </w:tc>
        <w:tc>
          <w:tcPr/>
          <w:p>
            <w:pPr>
              <w:pStyle w:val="Compact"/>
            </w:pPr>
            <w:r>
              <w:t xml:space="preserve">Role deactivates with no user action; deactivation in the audit log</w:t>
            </w:r>
          </w:p>
        </w:tc>
      </w:tr>
      <w:tr>
        <w:tc>
          <w:tcPr/>
          <w:p>
            <w:pPr>
              <w:pStyle w:val="Compact"/>
            </w:pPr>
            <w:r>
              <w:t xml:space="preserve">7</w:t>
            </w:r>
          </w:p>
        </w:tc>
        <w:tc>
          <w:tcPr/>
          <w:p>
            <w:pPr>
              <w:pStyle w:val="Compact"/>
            </w:pPr>
            <w:r>
              <w:t xml:space="preserve">User outside the eligible population opens My roles</w:t>
            </w:r>
          </w:p>
        </w:tc>
        <w:tc>
          <w:tcPr/>
          <w:p>
            <w:pPr>
              <w:pStyle w:val="Compact"/>
            </w:pPr>
            <w:r>
              <w:t xml:space="preserve">No eligible assignment shown</w:t>
            </w:r>
          </w:p>
        </w:tc>
      </w:tr>
      <w:tr>
        <w:tc>
          <w:tcPr/>
          <w:p>
            <w:pPr>
              <w:pStyle w:val="Compact"/>
            </w:pPr>
            <w:r>
              <w:t xml:space="preserve">8</w:t>
            </w:r>
          </w:p>
        </w:tc>
        <w:tc>
          <w:tcPr/>
          <w:p>
            <w:pPr>
              <w:pStyle w:val="Compact"/>
            </w:pPr>
            <w:r>
              <w:t xml:space="preserve">Tier 0 role assigned directly, outside PIM</w:t>
            </w:r>
          </w:p>
        </w:tc>
        <w:tc>
          <w:tcPr/>
          <w:p>
            <w:pPr>
              <w:pStyle w:val="Compact"/>
            </w:pPr>
            <w:r>
              <w:t xml:space="preserve">“Roles are being assigned outside of Privileged Identity Management”</w:t>
            </w:r>
            <w:r>
              <w:t xml:space="preserve"> </w:t>
            </w:r>
            <w:r>
              <w:t xml:space="preserve">alert fires; SIEM incident opens</w:t>
            </w:r>
          </w:p>
        </w:tc>
      </w:tr>
      <w:tr>
        <w:tc>
          <w:tcPr/>
          <w:p>
            <w:pPr>
              <w:pStyle w:val="Compact"/>
            </w:pPr>
            <w:r>
              <w:t xml:space="preserve">9</w:t>
            </w:r>
          </w:p>
        </w:tc>
        <w:tc>
          <w:tcPr/>
          <w:p>
            <w:pPr>
              <w:pStyle w:val="Compact"/>
            </w:pPr>
            <w:r>
              <w:t xml:space="preserve">Emergency access account signs in and uses Global Administrator</w:t>
            </w:r>
          </w:p>
        </w:tc>
        <w:tc>
          <w:tcPr/>
          <w:p>
            <w:pPr>
              <w:pStyle w:val="Compact"/>
            </w:pPr>
            <w:r>
              <w:t xml:space="preserve">Succeeds with no activation; alert reaches the post-use review team</w:t>
            </w:r>
          </w:p>
        </w:tc>
      </w:tr>
      <w:tr>
        <w:tc>
          <w:tcPr/>
          <w:p>
            <w:pPr>
              <w:pStyle w:val="Compact"/>
            </w:pPr>
            <w:r>
              <w:t xml:space="preserve">10</w:t>
            </w:r>
          </w:p>
        </w:tc>
        <w:tc>
          <w:tcPr/>
          <w:p>
            <w:pPr>
              <w:pStyle w:val="Compact"/>
            </w:pPr>
            <w:r>
              <w:t xml:space="preserve">Activation queried in the workspace after 31 days</w:t>
            </w:r>
          </w:p>
        </w:tc>
        <w:tc>
          <w:tcPr/>
          <w:p>
            <w:pPr>
              <w:pStyle w:val="Compact"/>
            </w:pPr>
            <w:r>
              <w:t xml:space="preserve">Event present in Log Analytics, not only in the 30-day PIM view</w:t>
            </w:r>
          </w:p>
        </w:tc>
      </w:tr>
      <w:tr>
        <w:tc>
          <w:tcPr/>
          <w:p>
            <w:pPr>
              <w:pStyle w:val="Compact"/>
            </w:pPr>
            <w:r>
              <w:t xml:space="preserve">11</w:t>
            </w:r>
          </w:p>
        </w:tc>
        <w:tc>
          <w:tcPr/>
          <w:p>
            <w:pPr>
              <w:pStyle w:val="Compact"/>
            </w:pPr>
            <w:r>
              <w:rPr>
                <w:rStyle w:val="VerbatimChar"/>
              </w:rPr>
              <w:t xml:space="preserve">PIM-Activation-c1</w:t>
            </w:r>
            <w:r>
              <w:t xml:space="preserve"> </w:t>
            </w:r>
            <w:r>
              <w:t xml:space="preserve">set to report-only in a test tenant</w:t>
            </w:r>
          </w:p>
        </w:tc>
        <w:tc>
          <w:tcPr/>
          <w:p>
            <w:pPr>
              <w:pStyle w:val="Compact"/>
            </w:pPr>
            <w:r>
              <w:t xml:space="preserve">Activation doesn’t fall back to MFA (the fallback doesn’t trigger for report-only); confirm the requirement isn’t silently relaxed, then restore</w:t>
            </w:r>
            <w:r>
              <w:t xml:space="preserve"> </w:t>
            </w:r>
            <w:r>
              <w:rPr>
                <w:b/>
                <w:bCs/>
              </w:rPr>
              <w:t xml:space="preserve">On</w:t>
            </w:r>
          </w:p>
        </w:tc>
      </w:tr>
      <w:tr>
        <w:tc>
          <w:tcPr/>
          <w:p>
            <w:pPr>
              <w:pStyle w:val="Compact"/>
            </w:pPr>
            <w:r>
              <w:t xml:space="preserve">12</w:t>
            </w:r>
          </w:p>
        </w:tc>
        <w:tc>
          <w:tcPr/>
          <w:p>
            <w:pPr>
              <w:pStyle w:val="Compact"/>
            </w:pPr>
            <w:r>
              <w:t xml:space="preserve">Eligible assignment reaches expiry</w:t>
            </w:r>
          </w:p>
        </w:tc>
        <w:tc>
          <w:tcPr/>
          <w:p>
            <w:pPr>
              <w:pStyle w:val="Compact"/>
            </w:pPr>
            <w:r>
              <w:t xml:space="preserve">Assignment removed, except a last-remaining Global Administrator assignment, which Entra keeps by design</w:t>
            </w:r>
          </w:p>
        </w:tc>
      </w:tr>
      <w:tr>
        <w:tc>
          <w:tcPr/>
          <w:p>
            <w:pPr>
              <w:pStyle w:val="Compact"/>
            </w:pPr>
            <w:r>
              <w:t xml:space="preserve">13</w:t>
            </w:r>
          </w:p>
        </w:tc>
        <w:tc>
          <w:tcPr/>
          <w:p>
            <w:pPr>
              <w:pStyle w:val="Compact"/>
            </w:pPr>
            <w:r>
              <w:t xml:space="preserve">Conditional Access policy edited without step-up</w:t>
            </w:r>
          </w:p>
        </w:tc>
        <w:tc>
          <w:tcPr/>
          <w:p>
            <w:pPr>
              <w:pStyle w:val="Compact"/>
            </w:pPr>
            <w:r>
              <w:t xml:space="preserve">Protected action prompts for</w:t>
            </w:r>
            <w:r>
              <w:t xml:space="preserve"> </w:t>
            </w:r>
            <w:r>
              <w:rPr>
                <w:rStyle w:val="VerbatimChar"/>
              </w:rPr>
              <w:t xml:space="preserve">c2</w:t>
            </w:r>
            <w:r>
              <w:t xml:space="preserve">; edit blocked until satisfied</w:t>
            </w:r>
          </w:p>
        </w:tc>
      </w:tr>
      <w:tr>
        <w:tc>
          <w:tcPr/>
          <w:p>
            <w:pPr>
              <w:pStyle w:val="Compact"/>
            </w:pPr>
            <w:r>
              <w:t xml:space="preserve">14</w:t>
            </w:r>
          </w:p>
        </w:tc>
        <w:tc>
          <w:tcPr/>
          <w:p>
            <w:pPr>
              <w:pStyle w:val="Compact"/>
            </w:pPr>
            <w:r>
              <w:t xml:space="preserve">Activation attempted from a non-PAW device</w:t>
            </w:r>
          </w:p>
        </w:tc>
        <w:tc>
          <w:tcPr/>
          <w:p>
            <w:pPr>
              <w:pStyle w:val="Compact"/>
            </w:pPr>
            <w:r>
              <w:t xml:space="preserve">Blocked by CA025 or by the compliant-device grant in</w:t>
            </w:r>
            <w:r>
              <w:t xml:space="preserve"> </w:t>
            </w:r>
            <w:r>
              <w:rPr>
                <w:rStyle w:val="VerbatimChar"/>
              </w:rPr>
              <w:t xml:space="preserve">PIM-Activation-c1</w:t>
            </w:r>
          </w:p>
        </w:tc>
      </w:tr>
    </w:tbl>
    <w:bookmarkEnd w:id="795"/>
    <w:bookmarkStart w:id="796" w:name="control-mapping-fedramp-moderate"/>
    <w:p>
      <w:pPr>
        <w:pStyle w:val="Heading2"/>
      </w:pPr>
      <w:bookmarkStart w:id="1254" w:name="_Toc00001254"/>
      <w:r>
        <w:t xml:space="preserve">Control mapping: FedRAMP Moderate</w:t>
      </w:r>
      <w:bookmarkEnd w:id="1254"/>
    </w:p>
    <w:bookmarkEnd w:id="796"/>
    <w:bookmarkStart w:id="798" w:name="how-to-read-this-mapping"/>
    <w:p>
      <w:pPr>
        <w:pStyle w:val="Heading2"/>
      </w:pPr>
      <w:bookmarkStart w:id="1255" w:name="_Toc00001255"/>
      <w:r>
        <w:t xml:space="preserve">How to read this mapping</w:t>
      </w:r>
      <w:bookmarkEnd w:id="1255"/>
    </w:p>
    <w:p>
      <w:pPr>
        <w:pStyle w:val="FirstParagraph"/>
      </w:pPr>
      <w:r>
        <w:t xml:space="preserve">FedRAMP Rev. 5 baselines derive from NIST SP 800-53 Revision 5 with FedRAMP-specific additions and parameter values. Every control below is in the NIST SP 800-53B Moderate baseline (release 5.2.0), which FedRAMP Moderate builds on.</w:t>
      </w:r>
      <w:r>
        <w:rPr>
          <w:rStyle w:val="FootnoteReference"/>
        </w:rPr>
        <w:footnoteReference w:id="797"/>
      </w:r>
      <w:r>
        <w:t xml:space="preserve"> </w:t>
      </w:r>
      <w:r>
        <w:t xml:space="preserve">Before using the table in a system security plan, confirm control selection and parameter values, especially the AU-11 retention period and the AC-6(7) review frequency, against the agency’s current authorized FedRAMP baseline. This is a design-intent mapping: it says which build steps bear on which controls. It isn’t an implementation statement or an assessment result.</w:t>
      </w:r>
    </w:p>
    <w:bookmarkEnd w:id="798"/>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build bears on it</w:t>
            </w:r>
          </w:p>
        </w:tc>
      </w:tr>
      <w:tr>
        <w:tc>
          <w:tcPr/>
          <w:p>
            <w:pPr>
              <w:pStyle w:val="Compact"/>
            </w:pPr>
            <w:r>
              <w:t xml:space="preserve">AC-2</w:t>
            </w:r>
          </w:p>
        </w:tc>
        <w:tc>
          <w:tcPr/>
          <w:p>
            <w:pPr>
              <w:pStyle w:val="Compact"/>
            </w:pPr>
            <w:r>
              <w:t xml:space="preserve">Account Management</w:t>
            </w:r>
          </w:p>
        </w:tc>
        <w:tc>
          <w:tcPr/>
          <w:p>
            <w:pPr>
              <w:pStyle w:val="Compact"/>
            </w:pPr>
            <w:r>
              <w:t xml:space="preserve">Approval before activation is an enforced approval step; PIM audit and alerts monitor privileged use; role access reviews (Step 8) are the periodic review</w:t>
            </w:r>
            <w:r>
              <w:rPr>
                <w:rStyle w:val="FootnoteReference"/>
              </w:rPr>
              <w:footnoteReference w:id="799"/>
            </w:r>
          </w:p>
        </w:tc>
      </w:tr>
      <w:tr>
        <w:tc>
          <w:tcPr/>
          <w:p>
            <w:pPr>
              <w:pStyle w:val="Compact"/>
            </w:pPr>
            <w:r>
              <w:t xml:space="preserve">AC-2(1)</w:t>
            </w:r>
          </w:p>
        </w:tc>
        <w:tc>
          <w:tcPr/>
          <w:p>
            <w:pPr>
              <w:pStyle w:val="Compact"/>
            </w:pPr>
            <w:r>
              <w:t xml:space="preserve">Automated System Account Management</w:t>
            </w:r>
          </w:p>
        </w:tc>
        <w:tc>
          <w:tcPr/>
          <w:p>
            <w:pPr>
              <w:pStyle w:val="Compact"/>
            </w:pPr>
            <w:r>
              <w:t xml:space="preserve">PIM automates activation, expiry and deactivation; there’s no manual deprovisioning step at the end of an elevation</w:t>
            </w:r>
          </w:p>
        </w:tc>
      </w:tr>
      <w:tr>
        <w:tc>
          <w:tcPr/>
          <w:p>
            <w:pPr>
              <w:pStyle w:val="Compact"/>
            </w:pPr>
            <w:r>
              <w:t xml:space="preserve">AC-2(13)</w:t>
            </w:r>
          </w:p>
        </w:tc>
        <w:tc>
          <w:tcPr/>
          <w:p>
            <w:pPr>
              <w:pStyle w:val="Compact"/>
            </w:pPr>
            <w:r>
              <w:t xml:space="preserve">Disable Accounts for High-risk Individuals</w:t>
            </w:r>
          </w:p>
        </w:tc>
        <w:tc>
          <w:tcPr/>
          <w:p>
            <w:pPr>
              <w:pStyle w:val="Compact"/>
            </w:pPr>
            <w:r>
              <w:t xml:space="preserve">Removing a person from the</w:t>
            </w:r>
            <w:r>
              <w:t xml:space="preserve"> </w:t>
            </w:r>
            <w:r>
              <w:rPr>
                <w:rStyle w:val="VerbatimChar"/>
              </w:rPr>
              <w:t xml:space="preserve">PRV-*</w:t>
            </w:r>
            <w:r>
              <w:t xml:space="preserve"> </w:t>
            </w:r>
            <w:r>
              <w:t xml:space="preserve">group removes every role they could elevate into without touching the account; stale-account alerts surface review candidates</w:t>
            </w:r>
          </w:p>
        </w:tc>
      </w:tr>
      <w:tr>
        <w:tc>
          <w:tcPr/>
          <w:p>
            <w:pPr>
              <w:pStyle w:val="Compact"/>
            </w:pPr>
            <w:r>
              <w:t xml:space="preserve">AC-3</w:t>
            </w:r>
          </w:p>
        </w:tc>
        <w:tc>
          <w:tcPr/>
          <w:p>
            <w:pPr>
              <w:pStyle w:val="Compact"/>
            </w:pPr>
            <w:r>
              <w:t xml:space="preserve">Access Enforcement</w:t>
            </w:r>
          </w:p>
        </w:tc>
        <w:tc>
          <w:tcPr/>
          <w:p>
            <w:pPr>
              <w:pStyle w:val="Compact"/>
            </w:pPr>
            <w:r>
              <w:t xml:space="preserve">Entra enforces approval, authentication context and justification before issuing the active role</w:t>
            </w:r>
          </w:p>
        </w:tc>
      </w:tr>
      <w:tr>
        <w:tc>
          <w:tcPr/>
          <w:p>
            <w:pPr>
              <w:pStyle w:val="Compact"/>
            </w:pPr>
            <w:r>
              <w:t xml:space="preserve">AC-5</w:t>
            </w:r>
          </w:p>
        </w:tc>
        <w:tc>
          <w:tcPr/>
          <w:p>
            <w:pPr>
              <w:pStyle w:val="Compact"/>
            </w:pPr>
            <w:r>
              <w:t xml:space="preserve">Separation of Duties</w:t>
            </w:r>
          </w:p>
        </w:tc>
        <w:tc>
          <w:tcPr/>
          <w:p>
            <w:pPr>
              <w:pStyle w:val="Compact"/>
            </w:pPr>
            <w:r>
              <w:t xml:space="preserve">Approvers come from outside the requesting tier (Step 1); the platform blocks self-approval and approval by service principals</w:t>
            </w:r>
          </w:p>
        </w:tc>
      </w:tr>
      <w:tr>
        <w:tc>
          <w:tcPr/>
          <w:p>
            <w:pPr>
              <w:pStyle w:val="Compact"/>
            </w:pPr>
            <w:r>
              <w:t xml:space="preserve">AC-6</w:t>
            </w:r>
          </w:p>
        </w:tc>
        <w:tc>
          <w:tcPr/>
          <w:p>
            <w:pPr>
              <w:pStyle w:val="Compact"/>
            </w:pPr>
            <w:r>
              <w:t xml:space="preserve">Least Privilege</w:t>
            </w:r>
          </w:p>
        </w:tc>
        <w:tc>
          <w:tcPr/>
          <w:p>
            <w:pPr>
              <w:pStyle w:val="Compact"/>
            </w:pPr>
            <w:r>
              <w:t xml:space="preserve">Between activations an administrator holds no administrative scope</w:t>
            </w:r>
          </w:p>
        </w:tc>
      </w:tr>
      <w:tr>
        <w:tc>
          <w:tcPr/>
          <w:p>
            <w:pPr>
              <w:pStyle w:val="Compact"/>
            </w:pPr>
            <w:r>
              <w:t xml:space="preserve">AC-6(1)</w:t>
            </w:r>
          </w:p>
        </w:tc>
        <w:tc>
          <w:tcPr/>
          <w:p>
            <w:pPr>
              <w:pStyle w:val="Compact"/>
            </w:pPr>
            <w:r>
              <w:t xml:space="preserve">Authorize Access to Security Functions</w:t>
            </w:r>
          </w:p>
        </w:tc>
        <w:tc>
          <w:tcPr/>
          <w:p>
            <w:pPr>
              <w:pStyle w:val="Compact"/>
            </w:pPr>
            <w:r>
              <w:t xml:space="preserve">The eligible-assignment inventory is the enumerable authorization list; the tier sets each role’s gate</w:t>
            </w:r>
          </w:p>
        </w:tc>
      </w:tr>
      <w:tr>
        <w:tc>
          <w:tcPr/>
          <w:p>
            <w:pPr>
              <w:pStyle w:val="Compact"/>
            </w:pPr>
            <w:r>
              <w:t xml:space="preserve">AC-6(2)</w:t>
            </w:r>
          </w:p>
        </w:tc>
        <w:tc>
          <w:tcPr/>
          <w:p>
            <w:pPr>
              <w:pStyle w:val="Compact"/>
            </w:pPr>
            <w:r>
              <w:t xml:space="preserve">Non-privileged Access for Nonsecurity Functions</w:t>
            </w:r>
          </w:p>
        </w:tc>
        <w:tc>
          <w:tcPr/>
          <w:p>
            <w:pPr>
              <w:pStyle w:val="Compact"/>
            </w:pPr>
            <w:r>
              <w:t xml:space="preserve">Administrators work under their standard account and elevate only for the task</w:t>
            </w:r>
          </w:p>
        </w:tc>
      </w:tr>
      <w:tr>
        <w:tc>
          <w:tcPr/>
          <w:p>
            <w:pPr>
              <w:pStyle w:val="Compact"/>
            </w:pPr>
            <w:r>
              <w:t xml:space="preserve">AC-6(5)</w:t>
            </w:r>
          </w:p>
        </w:tc>
        <w:tc>
          <w:tcPr/>
          <w:p>
            <w:pPr>
              <w:pStyle w:val="Compact"/>
            </w:pPr>
            <w:r>
              <w:t xml:space="preserve">Privileged Accounts</w:t>
            </w:r>
          </w:p>
        </w:tc>
        <w:tc>
          <w:tcPr/>
          <w:p>
            <w:pPr>
              <w:pStyle w:val="Compact"/>
            </w:pPr>
            <w:r>
              <w:t xml:space="preserve">Privileged roles are restricted to the eligible population; active assignments are limited to the documented exceptions</w:t>
            </w:r>
          </w:p>
        </w:tc>
      </w:tr>
      <w:tr>
        <w:tc>
          <w:tcPr/>
          <w:p>
            <w:pPr>
              <w:pStyle w:val="Compact"/>
            </w:pPr>
            <w:r>
              <w:t xml:space="preserve">AC-6(7)</w:t>
            </w:r>
          </w:p>
        </w:tc>
        <w:tc>
          <w:tcPr/>
          <w:p>
            <w:pPr>
              <w:pStyle w:val="Compact"/>
            </w:pPr>
            <w:r>
              <w:t xml:space="preserve">Review of User Privileges</w:t>
            </w:r>
          </w:p>
        </w:tc>
        <w:tc>
          <w:tcPr/>
          <w:p>
            <w:pPr>
              <w:pStyle w:val="Compact"/>
            </w:pPr>
            <w:r>
              <w:t xml:space="preserve">Monthly (T0) and quarterly reviews of eligibility with automatic removal on denial or no response</w:t>
            </w:r>
          </w:p>
        </w:tc>
      </w:tr>
      <w:tr>
        <w:tc>
          <w:tcPr/>
          <w:p>
            <w:pPr>
              <w:pStyle w:val="Compact"/>
            </w:pPr>
            <w:r>
              <w:t xml:space="preserve">AC-6(9)</w:t>
            </w:r>
          </w:p>
        </w:tc>
        <w:tc>
          <w:tcPr/>
          <w:p>
            <w:pPr>
              <w:pStyle w:val="Compact"/>
            </w:pPr>
            <w:r>
              <w:t xml:space="preserve">Log Use of Privileged Functions</w:t>
            </w:r>
          </w:p>
        </w:tc>
        <w:tc>
          <w:tcPr/>
          <w:p>
            <w:pPr>
              <w:pStyle w:val="Compact"/>
            </w:pPr>
            <w:r>
              <w:t xml:space="preserve">PIM logs request, approval, activation and deactivation; the audit log carries them (Step 9)</w:t>
            </w:r>
          </w:p>
        </w:tc>
      </w:tr>
      <w:tr>
        <w:tc>
          <w:tcPr/>
          <w:p>
            <w:pPr>
              <w:pStyle w:val="Compact"/>
            </w:pPr>
            <w:r>
              <w:t xml:space="preserve">AC-6(10)</w:t>
            </w:r>
          </w:p>
        </w:tc>
        <w:tc>
          <w:tcPr/>
          <w:p>
            <w:pPr>
              <w:pStyle w:val="Compact"/>
            </w:pPr>
            <w:r>
              <w:t xml:space="preserve">Prohibit Non-privileged Users from Executing Privileged Functions</w:t>
            </w:r>
          </w:p>
        </w:tc>
        <w:tc>
          <w:tcPr/>
          <w:p>
            <w:pPr>
              <w:pStyle w:val="Compact"/>
            </w:pPr>
            <w:r>
              <w:t xml:space="preserve">A user with no active role is non-privileged; the function is unreachable until the gate is passed</w:t>
            </w:r>
          </w:p>
        </w:tc>
      </w:tr>
      <w:tr>
        <w:tc>
          <w:tcPr/>
          <w:p>
            <w:pPr>
              <w:pStyle w:val="Compact"/>
            </w:pPr>
            <w:r>
              <w:t xml:space="preserve">AC-17(4)</w:t>
            </w:r>
          </w:p>
        </w:tc>
        <w:tc>
          <w:tcPr/>
          <w:p>
            <w:pPr>
              <w:pStyle w:val="Compact"/>
            </w:pPr>
            <w:r>
              <w:t xml:space="preserve">Remote Access: Privileged Commands and Access</w:t>
            </w:r>
          </w:p>
        </w:tc>
        <w:tc>
          <w:tcPr/>
          <w:p>
            <w:pPr>
              <w:pStyle w:val="Compact"/>
            </w:pPr>
            <w:r>
              <w:t xml:space="preserve">Remote elevation produces requester justification, approver identity and justification, timestamps and duration</w:t>
            </w:r>
          </w:p>
        </w:tc>
      </w:tr>
      <w:tr>
        <w:tc>
          <w:tcPr/>
          <w:p>
            <w:pPr>
              <w:pStyle w:val="Compact"/>
            </w:pPr>
            <w:r>
              <w:t xml:space="preserve">AU-2</w:t>
            </w:r>
          </w:p>
        </w:tc>
        <w:tc>
          <w:tcPr/>
          <w:p>
            <w:pPr>
              <w:pStyle w:val="Compact"/>
            </w:pPr>
            <w:r>
              <w:t xml:space="preserve">Event Logging</w:t>
            </w:r>
          </w:p>
        </w:tc>
        <w:tc>
          <w:tcPr/>
          <w:p>
            <w:pPr>
              <w:pStyle w:val="Compact"/>
            </w:pPr>
            <w:r>
              <w:t xml:space="preserve">Request, approval, denial, activation, deactivation and settings changes are the selected PIM event types</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Exported records are reviewed in the SIEM; PIM alerts (Step 7) are automated review triggers</w:t>
            </w:r>
          </w:p>
        </w:tc>
      </w:tr>
      <w:tr>
        <w:tc>
          <w:tcPr/>
          <w:p>
            <w:pPr>
              <w:pStyle w:val="Compact"/>
            </w:pPr>
            <w:r>
              <w:t xml:space="preserve">AU-11</w:t>
            </w:r>
          </w:p>
        </w:tc>
        <w:tc>
          <w:tcPr/>
          <w:p>
            <w:pPr>
              <w:pStyle w:val="Compact"/>
            </w:pPr>
            <w:r>
              <w:t xml:space="preserve">Audit Record Retention</w:t>
            </w:r>
          </w:p>
        </w:tc>
        <w:tc>
          <w:tcPr/>
          <w:p>
            <w:pPr>
              <w:pStyle w:val="Compact"/>
            </w:pPr>
            <w:r>
              <w:t xml:space="preserve">Native 30-day retention is insufficient; met only by the Step 9 export</w:t>
            </w:r>
          </w:p>
        </w:tc>
      </w:tr>
      <w:tr>
        <w:tc>
          <w:tcPr/>
          <w:p>
            <w:pPr>
              <w:pStyle w:val="Compact"/>
            </w:pPr>
            <w:r>
              <w:t xml:space="preserve">AU-12</w:t>
            </w:r>
          </w:p>
        </w:tc>
        <w:tc>
          <w:tcPr/>
          <w:p>
            <w:pPr>
              <w:pStyle w:val="Compact"/>
            </w:pPr>
            <w:r>
              <w:t xml:space="preserve">Audit Record Generation</w:t>
            </w:r>
          </w:p>
        </w:tc>
        <w:tc>
          <w:tcPr/>
          <w:p>
            <w:pPr>
              <w:pStyle w:val="Compact"/>
            </w:pPr>
            <w:r>
              <w:t xml:space="preserve">Entra generates the records for every PIM event without extra instrumentation</w:t>
            </w:r>
          </w:p>
        </w:tc>
      </w:tr>
      <w:tr>
        <w:tc>
          <w:tcPr/>
          <w:p>
            <w:pPr>
              <w:pStyle w:val="Compact"/>
            </w:pPr>
            <w:r>
              <w:t xml:space="preserve">CM-5</w:t>
            </w:r>
          </w:p>
        </w:tc>
        <w:tc>
          <w:tcPr/>
          <w:p>
            <w:pPr>
              <w:pStyle w:val="Compact"/>
            </w:pPr>
            <w:r>
              <w:t xml:space="preserve">Access Restrictions for Change</w:t>
            </w:r>
          </w:p>
        </w:tc>
        <w:tc>
          <w:tcPr/>
          <w:p>
            <w:pPr>
              <w:pStyle w:val="Compact"/>
            </w:pPr>
            <w:r>
              <w:t xml:space="preserve">Roles that can change the system are eligible-only and released through approval; protected actions (Step 6) extend the restriction to the permissions that can alter the gate</w:t>
            </w:r>
          </w:p>
        </w:tc>
      </w:tr>
      <w:tr>
        <w:tc>
          <w:tcPr/>
          <w:p>
            <w:pPr>
              <w:pStyle w:val="Compact"/>
            </w:pPr>
            <w:r>
              <w:t xml:space="preserve">IA-2(1)</w:t>
            </w:r>
          </w:p>
        </w:tc>
        <w:tc>
          <w:tcPr/>
          <w:p>
            <w:pPr>
              <w:pStyle w:val="Compact"/>
            </w:pPr>
            <w:r>
              <w:t xml:space="preserve">Multi-factor Authentication to Privileged Accounts</w:t>
            </w:r>
          </w:p>
        </w:tc>
        <w:tc>
          <w:tcPr/>
          <w:p>
            <w:pPr>
              <w:pStyle w:val="Compact"/>
            </w:pPr>
            <w:r>
              <w:t xml:space="preserve">Authentication context</w:t>
            </w:r>
            <w:r>
              <w:t xml:space="preserve"> </w:t>
            </w:r>
            <w:r>
              <w:rPr>
                <w:rStyle w:val="VerbatimChar"/>
              </w:rPr>
              <w:t xml:space="preserve">c1</w:t>
            </w:r>
            <w:r>
              <w:t xml:space="preserve"> </w:t>
            </w:r>
            <w:r>
              <w:t xml:space="preserve">with a phishing-resistant strength and sign-in frequency</w:t>
            </w:r>
            <w:r>
              <w:t xml:space="preserve"> </w:t>
            </w:r>
            <w:r>
              <w:rPr>
                <w:i/>
                <w:iCs/>
              </w:rPr>
              <w:t xml:space="preserve">Every time</w:t>
            </w:r>
            <w:r>
              <w:t xml:space="preserve"> </w:t>
            </w:r>
            <w:r>
              <w:t xml:space="preserve">forces a fresh proof at elevation</w:t>
            </w:r>
          </w:p>
        </w:tc>
      </w:tr>
      <w:tr>
        <w:tc>
          <w:tcPr/>
          <w:p>
            <w:pPr>
              <w:pStyle w:val="Compact"/>
            </w:pPr>
            <w:r>
              <w:t xml:space="preserve">PS-4, PS-5</w:t>
            </w:r>
          </w:p>
        </w:tc>
        <w:tc>
          <w:tcPr/>
          <w:p>
            <w:pPr>
              <w:pStyle w:val="Compact"/>
            </w:pPr>
            <w:r>
              <w:t xml:space="preserve">Personnel Termination; Personnel Transfer</w:t>
            </w:r>
          </w:p>
        </w:tc>
        <w:tc>
          <w:tcPr/>
          <w:p>
            <w:pPr>
              <w:pStyle w:val="Compact"/>
            </w:pPr>
            <w:r>
              <w:t xml:space="preserve">Group removal is a single revocation point for every role a person could elevate into; access reviews catch what offboarding misses (Book 03)</w:t>
            </w:r>
          </w:p>
        </w:tc>
      </w:tr>
    </w:tbl>
    <w:p>
      <w:pPr>
        <w:pStyle w:val="BodyText"/>
      </w:pPr>
      <w:r>
        <w:t xml:space="preserve">The NIST text behind the AC rows is short: AC-6 requires allowing only the accesses necessary for assigned tasks; AC-6(9) requires logging the execution of privileged functions; AC-6(10) requires preventing non-privileged users from executing them; and AC-6(7) requires reviewing privileges at a defined frequency and reassigning or removing them as necessary.</w:t>
      </w:r>
      <w:r>
        <w:rPr>
          <w:rStyle w:val="FootnoteReference"/>
        </w:rPr>
        <w:footnoteReference w:id="800"/>
      </w:r>
    </w:p>
    <w:bookmarkStart w:id="801" w:name="where-this-build-alone-isnt-sufficient"/>
    <w:p>
      <w:pPr>
        <w:pStyle w:val="Heading3"/>
      </w:pPr>
      <w:r>
        <w:t xml:space="preserve">Where this build alone isn’t sufficient</w:t>
      </w:r>
    </w:p>
    <w:p>
      <w:pPr>
        <w:pStyle w:val="Compact"/>
        <w:numPr>
          <w:ilvl w:val="0"/>
          <w:numId w:val="1051"/>
        </w:numPr>
      </w:pPr>
      <w:r>
        <w:rPr>
          <w:b/>
          <w:bCs/>
        </w:rPr>
        <w:t xml:space="preserve">AU-11 isn’t met by PIM configuration at all</w:t>
      </w:r>
      <w:r>
        <w:t xml:space="preserve">, only by the Step 9 export. A build that skips it has a control failure, not a documentation gap.</w:t>
      </w:r>
    </w:p>
    <w:p>
      <w:pPr>
        <w:pStyle w:val="Compact"/>
        <w:numPr>
          <w:ilvl w:val="0"/>
          <w:numId w:val="1051"/>
        </w:numPr>
      </w:pPr>
      <w:r>
        <w:rPr>
          <w:b/>
          <w:bCs/>
        </w:rPr>
        <w:t xml:space="preserve">Ticket information isn’t enforced.</w:t>
      </w:r>
      <w:r>
        <w:t xml:space="preserve"> </w:t>
      </w:r>
      <w:r>
        <w:t xml:space="preserve">If an implementation statement claims ticket correlation, the enforcing control is in the ITSM or SIEM.</w:t>
      </w:r>
    </w:p>
    <w:p>
      <w:pPr>
        <w:pStyle w:val="Compact"/>
        <w:numPr>
          <w:ilvl w:val="0"/>
          <w:numId w:val="1051"/>
        </w:numPr>
      </w:pPr>
      <w:r>
        <w:rPr>
          <w:b/>
          <w:bCs/>
        </w:rPr>
        <w:t xml:space="preserve">AC-5 depends on group design.</w:t>
      </w:r>
      <w:r>
        <w:t xml:space="preserve"> </w:t>
      </w:r>
      <w:r>
        <w:t xml:space="preserve">The platform blocks self-approval; it doesn’t stop an agency from making the approver group and the eligible population the same people. The system security plan must describe the separation, and the assessor will test it.</w:t>
      </w:r>
    </w:p>
    <w:p>
      <w:pPr>
        <w:pStyle w:val="Compact"/>
        <w:numPr>
          <w:ilvl w:val="0"/>
          <w:numId w:val="1051"/>
        </w:numPr>
      </w:pPr>
      <w:r>
        <w:rPr>
          <w:b/>
          <w:bCs/>
        </w:rPr>
        <w:t xml:space="preserve">The gate protects activation, not assignment.</w:t>
      </w:r>
      <w:r>
        <w:t xml:space="preserve"> </w:t>
      </w:r>
      <w:r>
        <w:t xml:space="preserve">A direct assignment outside PIM bypasses it. The compensating control is the</w:t>
      </w:r>
      <w:r>
        <w:t xml:space="preserve"> </w:t>
      </w:r>
      <w:r>
        <w:t xml:space="preserve">“assigned outside”</w:t>
      </w:r>
      <w:r>
        <w:t xml:space="preserve"> </w:t>
      </w:r>
      <w:r>
        <w:t xml:space="preserve">alert, which detects rather than prevents; limiting who holds Privileged Role Administrator, itself Tier 0, is the prevention.</w:t>
      </w:r>
    </w:p>
    <w:p>
      <w:pPr>
        <w:pStyle w:val="Compact"/>
        <w:numPr>
          <w:ilvl w:val="0"/>
          <w:numId w:val="1051"/>
        </w:numPr>
      </w:pPr>
      <w:r>
        <w:rPr>
          <w:b/>
          <w:bCs/>
        </w:rPr>
        <w:t xml:space="preserve">Conditional Access administrators can weaken the gate</w:t>
      </w:r>
      <w:r>
        <w:t xml:space="preserve"> </w:t>
      </w:r>
      <w:r>
        <w:t xml:space="preserve">once the authentication context is in play. Two controls are needed together: Tier 0 placement of those roles (who holds them) and protected actions on the policy permissions (what they must prove to use them).</w:t>
      </w:r>
    </w:p>
    <w:bookmarkEnd w:id="801"/>
    <w:bookmarkStart w:id="819" w:name="known-constraints"/>
    <w:p>
      <w:pPr>
        <w:pStyle w:val="Heading2"/>
      </w:pPr>
      <w:bookmarkStart w:id="1256" w:name="_Toc00001256"/>
      <w:r>
        <w:t xml:space="preserve">Known constraints</w:t>
      </w:r>
      <w:bookmarkEnd w:id="1256"/>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Constraint</w:t>
            </w:r>
          </w:p>
        </w:tc>
        <w:tc>
          <w:tcPr/>
          <w:p>
            <w:pPr>
              <w:pStyle w:val="Compact"/>
            </w:pPr>
            <w:r>
              <w:t xml:space="preserve">Impact</w:t>
            </w:r>
          </w:p>
        </w:tc>
      </w:tr>
      <w:tr>
        <w:tc>
          <w:tcPr/>
          <w:p>
            <w:pPr>
              <w:pStyle w:val="Compact"/>
            </w:pPr>
            <w:r>
              <w:t xml:space="preserve">Approval window is 24 hours and not configurable</w:t>
            </w:r>
            <w:r>
              <w:rPr>
                <w:rStyle w:val="FootnoteReference"/>
              </w:rPr>
              <w:footnoteReference w:id="802"/>
            </w:r>
          </w:p>
        </w:tc>
        <w:tc>
          <w:tcPr/>
          <w:p>
            <w:pPr>
              <w:pStyle w:val="Compact"/>
            </w:pPr>
            <w:r>
              <w:t xml:space="preserve">Out-of-hours requests expire; staff approver groups for real hours</w:t>
            </w:r>
          </w:p>
        </w:tc>
      </w:tr>
      <w:tr>
        <w:tc>
          <w:tcPr/>
          <w:p>
            <w:pPr>
              <w:pStyle w:val="Compact"/>
            </w:pPr>
            <w:r>
              <w:t xml:space="preserve">Multi-step approval isn’t supported</w:t>
            </w:r>
            <w:r>
              <w:rPr>
                <w:rStyle w:val="FootnoteReference"/>
              </w:rPr>
              <w:footnoteReference w:id="803"/>
            </w:r>
          </w:p>
        </w:tc>
        <w:tc>
          <w:tcPr/>
          <w:p>
            <w:pPr>
              <w:pStyle w:val="Compact"/>
            </w:pPr>
            <w:r>
              <w:t xml:space="preserve">A two-level chain can’t be expressed in one policy; put the second level in the ITSM before the request</w:t>
            </w:r>
          </w:p>
        </w:tc>
      </w:tr>
      <w:tr>
        <w:tc>
          <w:tcPr/>
          <w:p>
            <w:pPr>
              <w:pStyle w:val="Compact"/>
            </w:pPr>
            <w:r>
              <w:t xml:space="preserve">Approving through Graph is beta only; approval of extend and renew isn’t supported through Graph</w:t>
            </w:r>
            <w:r>
              <w:rPr>
                <w:rStyle w:val="FootnoteReference"/>
              </w:rPr>
              <w:footnoteReference w:id="804"/>
            </w:r>
            <w:r>
              <w:rPr>
                <w:rStyle w:val="FootnoteReference"/>
              </w:rPr>
              <w:footnoteReference w:id="805"/>
            </w:r>
          </w:p>
        </w:tc>
        <w:tc>
          <w:tcPr/>
          <w:p>
            <w:pPr>
              <w:pStyle w:val="Compact"/>
            </w:pPr>
            <w:r>
              <w:t xml:space="preserve">Automate listing and evidence; keep human approval in the admin center</w:t>
            </w:r>
          </w:p>
        </w:tc>
      </w:tr>
      <w:tr>
        <w:tc>
          <w:tcPr/>
          <w:p>
            <w:pPr>
              <w:pStyle w:val="Compact"/>
            </w:pPr>
            <w:r>
              <w:t xml:space="preserve">Extend and renew are approved by Global or Privileged Role Administrators, not the role’s approvers</w:t>
            </w:r>
            <w:r>
              <w:rPr>
                <w:rStyle w:val="FootnoteReference"/>
              </w:rPr>
              <w:footnoteReference w:id="806"/>
            </w:r>
          </w:p>
        </w:tc>
        <w:tc>
          <w:tcPr/>
          <w:p>
            <w:pPr>
              <w:pStyle w:val="Compact"/>
            </w:pPr>
            <w:r>
              <w:t xml:space="preserve">A second approval path the system security plan must describe</w:t>
            </w:r>
          </w:p>
        </w:tc>
      </w:tr>
      <w:tr>
        <w:tc>
          <w:tcPr/>
          <w:p>
            <w:pPr>
              <w:pStyle w:val="Compact"/>
            </w:pPr>
            <w:r>
              <w:rPr>
                <w:rStyle w:val="VerbatimChar"/>
              </w:rPr>
              <w:t xml:space="preserve">/beta/privilegedAccess</w:t>
            </w:r>
            <w:r>
              <w:t xml:space="preserve"> </w:t>
            </w:r>
            <w:r>
              <w:t xml:space="preserve">stops returning data on October 28, 2026</w:t>
            </w:r>
            <w:r>
              <w:rPr>
                <w:rStyle w:val="FootnoteReference"/>
              </w:rPr>
              <w:footnoteReference w:id="807"/>
            </w:r>
          </w:p>
        </w:tc>
        <w:tc>
          <w:tcPr/>
          <w:p>
            <w:pPr>
              <w:pStyle w:val="Compact"/>
            </w:pPr>
            <w:r>
              <w:t xml:space="preserve">Migrate legacy automation now</w:t>
            </w:r>
          </w:p>
        </w:tc>
      </w:tr>
      <w:tr>
        <w:tc>
          <w:tcPr/>
          <w:p>
            <w:pPr>
              <w:pStyle w:val="Compact"/>
            </w:pPr>
            <w:r>
              <w:t xml:space="preserve">Activation maximum is 1 to 24 hours</w:t>
            </w:r>
            <w:r>
              <w:rPr>
                <w:rStyle w:val="FootnoteReference"/>
              </w:rPr>
              <w:footnoteReference w:id="808"/>
            </w:r>
          </w:p>
        </w:tc>
        <w:tc>
          <w:tcPr/>
          <w:p>
            <w:pPr>
              <w:pStyle w:val="Compact"/>
            </w:pPr>
            <w:r>
              <w:t xml:space="preserve">Longer work needs repeated activations, each recorded</w:t>
            </w:r>
          </w:p>
        </w:tc>
      </w:tr>
      <w:tr>
        <w:tc>
          <w:tcPr/>
          <w:p>
            <w:pPr>
              <w:pStyle w:val="Compact"/>
            </w:pPr>
            <w:r>
              <w:t xml:space="preserve">Assignments can’t be shorter than five minutes or removed within five minutes</w:t>
            </w:r>
            <w:r>
              <w:rPr>
                <w:rStyle w:val="FootnoteReference"/>
              </w:rPr>
              <w:footnoteReference w:id="809"/>
            </w:r>
          </w:p>
        </w:tc>
        <w:tc>
          <w:tcPr/>
          <w:p>
            <w:pPr>
              <w:pStyle w:val="Compact"/>
            </w:pPr>
            <w:r>
              <w:t xml:space="preserve">Affects bulk conversion and rollback timing</w:t>
            </w:r>
          </w:p>
        </w:tc>
      </w:tr>
      <w:tr>
        <w:tc>
          <w:tcPr/>
          <w:p>
            <w:pPr>
              <w:pStyle w:val="Compact"/>
            </w:pPr>
            <w:r>
              <w:t xml:space="preserve">The last Global Administrator assignment survives expiry and can’t be removed</w:t>
            </w:r>
            <w:r>
              <w:rPr>
                <w:rStyle w:val="FootnoteReference"/>
              </w:rPr>
              <w:footnoteReference w:id="810"/>
            </w:r>
          </w:p>
        </w:tc>
        <w:tc>
          <w:tcPr/>
          <w:p>
            <w:pPr>
              <w:pStyle w:val="Compact"/>
            </w:pPr>
            <w:r>
              <w:t xml:space="preserve">Expected behavior, not a failure</w:t>
            </w:r>
          </w:p>
        </w:tc>
      </w:tr>
      <w:tr>
        <w:tc>
          <w:tcPr/>
          <w:p>
            <w:pPr>
              <w:pStyle w:val="Compact"/>
            </w:pPr>
            <w:r>
              <w:t xml:space="preserve">MFA at activation may not prompt within a session</w:t>
            </w:r>
            <w:r>
              <w:rPr>
                <w:rStyle w:val="FootnoteReference"/>
              </w:rPr>
              <w:footnoteReference w:id="811"/>
            </w:r>
          </w:p>
        </w:tc>
        <w:tc>
          <w:tcPr/>
          <w:p>
            <w:pPr>
              <w:pStyle w:val="Compact"/>
            </w:pPr>
            <w:r>
              <w:t xml:space="preserve">Use the authentication context</w:t>
            </w:r>
          </w:p>
        </w:tc>
      </w:tr>
      <w:tr>
        <w:tc>
          <w:tcPr/>
          <w:p>
            <w:pPr>
              <w:pStyle w:val="Compact"/>
            </w:pPr>
            <w:r>
              <w:t xml:space="preserve">10-minute reauthentication window across Entra roles, Azure roles and PIM for Groups</w:t>
            </w:r>
            <w:r>
              <w:rPr>
                <w:rStyle w:val="FootnoteReference"/>
              </w:rPr>
              <w:footnoteReference w:id="812"/>
            </w:r>
          </w:p>
        </w:tc>
        <w:tc>
          <w:tcPr/>
          <w:p>
            <w:pPr>
              <w:pStyle w:val="Compact"/>
            </w:pPr>
            <w:r>
              <w:t xml:space="preserve">A second activation inside it reuses the first proof</w:t>
            </w:r>
          </w:p>
        </w:tc>
      </w:tr>
      <w:tr>
        <w:tc>
          <w:tcPr/>
          <w:p>
            <w:pPr>
              <w:pStyle w:val="Compact"/>
            </w:pPr>
            <w:r>
              <w:t xml:space="preserve">PIM audit history and Entra logs keep 30 days</w:t>
            </w:r>
            <w:r>
              <w:rPr>
                <w:rStyle w:val="FootnoteReference"/>
              </w:rPr>
              <w:footnoteReference w:id="813"/>
            </w:r>
            <w:r>
              <w:rPr>
                <w:rStyle w:val="FootnoteReference"/>
              </w:rPr>
              <w:footnoteReference w:id="814"/>
            </w:r>
          </w:p>
        </w:tc>
        <w:tc>
          <w:tcPr/>
          <w:p>
            <w:pPr>
              <w:pStyle w:val="Compact"/>
            </w:pPr>
            <w:r>
              <w:t xml:space="preserve">Export is mandatory</w:t>
            </w:r>
          </w:p>
        </w:tc>
      </w:tr>
      <w:tr>
        <w:tc>
          <w:tcPr/>
          <w:p>
            <w:pPr>
              <w:pStyle w:val="Compact"/>
            </w:pPr>
            <w:r>
              <w:t xml:space="preserve">At most 1,000 notification recipients per event</w:t>
            </w:r>
            <w:r>
              <w:rPr>
                <w:rStyle w:val="FootnoteReference"/>
              </w:rPr>
              <w:footnoteReference w:id="815"/>
            </w:r>
          </w:p>
        </w:tc>
        <w:tc>
          <w:tcPr/>
          <w:p>
            <w:pPr>
              <w:pStyle w:val="Compact"/>
            </w:pPr>
            <w:r>
              <w:t xml:space="preserve">Keep approver and notification groups small</w:t>
            </w:r>
          </w:p>
        </w:tc>
      </w:tr>
      <w:tr>
        <w:tc>
          <w:tcPr/>
          <w:p>
            <w:pPr>
              <w:pStyle w:val="Compact"/>
            </w:pPr>
            <w:r>
              <w:t xml:space="preserve">License lapse removes eligible assignments and PIM settings</w:t>
            </w:r>
            <w:r>
              <w:rPr>
                <w:rStyle w:val="FootnoteReference"/>
              </w:rPr>
              <w:footnoteReference w:id="816"/>
            </w:r>
          </w:p>
        </w:tc>
        <w:tc>
          <w:tcPr/>
          <w:p>
            <w:pPr>
              <w:pStyle w:val="Compact"/>
            </w:pPr>
            <w:r>
              <w:t xml:space="preserve">Subscription continuity is a control dependency</w:t>
            </w:r>
          </w:p>
        </w:tc>
      </w:tr>
      <w:tr>
        <w:tc>
          <w:tcPr/>
          <w:p>
            <w:pPr>
              <w:pStyle w:val="Compact"/>
            </w:pPr>
            <w:r>
              <w:t xml:space="preserve">Azure PowerShell can’t perform protected actions</w:t>
            </w:r>
            <w:r>
              <w:rPr>
                <w:rStyle w:val="FootnoteReference"/>
              </w:rPr>
              <w:footnoteReference w:id="817"/>
            </w:r>
          </w:p>
        </w:tc>
        <w:tc>
          <w:tcPr/>
          <w:p>
            <w:pPr>
              <w:pStyle w:val="Compact"/>
            </w:pPr>
            <w:r>
              <w:t xml:space="preserve">Use Microsoft Graph PowerShell; audit automation first</w:t>
            </w:r>
          </w:p>
        </w:tc>
      </w:tr>
      <w:tr>
        <w:tc>
          <w:tcPr/>
          <w:p>
            <w:pPr>
              <w:pStyle w:val="Compact"/>
            </w:pPr>
            <w:r>
              <w:t xml:space="preserve">A protected action whose policy is off or report-only can’t be satisfied</w:t>
            </w:r>
            <w:r>
              <w:rPr>
                <w:rStyle w:val="FootnoteReference"/>
              </w:rPr>
              <w:footnoteReference w:id="818"/>
            </w:r>
          </w:p>
        </w:tc>
        <w:tc>
          <w:tcPr/>
          <w:p>
            <w:pPr>
              <w:pStyle w:val="Compact"/>
            </w:pPr>
            <w:r>
              <w:t xml:space="preserve">Recover through</w:t>
            </w:r>
            <w:r>
              <w:t xml:space="preserve"> </w:t>
            </w:r>
            <w:r>
              <w:rPr>
                <w:rStyle w:val="VerbatimChar"/>
              </w:rPr>
              <w:t xml:space="preserve">aka.ms/MSALProtectedActions</w:t>
            </w:r>
          </w:p>
        </w:tc>
      </w:tr>
    </w:tbl>
    <w:bookmarkEnd w:id="819"/>
    <w:bookmarkStart w:id="820" w:name="continue-the-book-7"/>
    <w:p>
      <w:pPr>
        <w:pStyle w:val="Heading2"/>
      </w:pPr>
      <w:bookmarkStart w:id="1257" w:name="_Toc00001257"/>
      <w:r>
        <w:t xml:space="preserve">Continue the book</w:t>
      </w:r>
      <w:bookmarkEnd w:id="1257"/>
    </w:p>
    <w:p>
      <w:pPr>
        <w:pStyle w:val="FirstParagraph"/>
      </w:pPr>
      <w:r>
        <w:t xml:space="preserve">← Previous: Chapter 07 — The Conditional Access Policy Library · Book index · Next: Chapter 09 — Access Governance: Packages, Reviews and Lifecycle →</w:t>
      </w:r>
    </w:p>
    <w:bookmarkEnd w:id="820"/>
    <w:bookmarkEnd w:id="821"/>
    <w:bookmarkStart w:id="954" w:name="X7bfceb026b3c849bc40e8db224c5874abea5316"/>
    <w:p>
      <w:pPr>
        <w:pStyle w:val="Heading1"/>
      </w:pPr>
      <w:bookmarkStart w:id="1258" w:name="_Toc00001258"/>
      <w:r>
        <w:t xml:space="preserve">Chapter 09 — Access Governance: Packages, Reviews and Lifecycle</w:t>
      </w:r>
      <w:bookmarkEnd w:id="1258"/>
    </w:p>
    <w:p>
      <w:pPr>
        <w:pStyle w:val="FirstParagraph"/>
      </w:pPr>
      <w:r>
        <w:rPr>
          <w:i/>
          <w:iCs/>
        </w:rPr>
        <w:t xml:space="preserve">A grant that nobody ever re-confirms is a decision made once and trusted forever; governance is what makes every grant expire, get re-decided, or get removed.</w:t>
      </w:r>
    </w:p>
    <w:bookmarkStart w:id="822" w:name="in-this-chapter-8"/>
    <w:p>
      <w:pPr>
        <w:pStyle w:val="Heading2"/>
      </w:pPr>
      <w:bookmarkStart w:id="1259" w:name="_Toc00001259"/>
      <w:r>
        <w:t xml:space="preserve">In this chapter</w:t>
      </w:r>
      <w:bookmarkEnd w:id="1259"/>
    </w:p>
    <w:p>
      <w:pPr>
        <w:pStyle w:val="FirstParagraph"/>
      </w:pPr>
      <w:r>
        <w:t xml:space="preserve">How access is requested and granted through entitlement management (catalogs, access packages, policies, approval stages, separation of duties, and expiration), how it is re-confirmed through access reviews (scope, reviewers, cadence, auto-apply, and fallback reviewers), how Lifecycle Workflows act on access when a person’s job changes, how guest access is governed from invitation to removal, and what evidence each of these leaves for an assessor.</w:t>
      </w:r>
    </w:p>
    <w:bookmarkEnd w:id="822"/>
    <w:p>
      <w:pPr>
        <w:pStyle w:val="BodyText"/>
      </w:pPr>
      <w:r>
        <w:t xml:space="preserve">A well-configured tenant can still fail an account-management audit. Conditional Access (Chapter 07) decides whether a session may proceed, and PIM (Chapter 08) decides whether a privileged role may be active. Neither decides whether a person should still hold the access they were given last year. NIST SP 800-53 keeps those questions in separate requirements: AC-2 requires the organization to review accounts for compliance with account-management requirements at a defined frequency and to align account management with personnel termination and transfer processes, and AC-6(7) requires a periodic review of the privileges assigned to roles and classes of users, with reassignment or removal where needed.</w:t>
      </w:r>
      <w:r>
        <w:rPr>
          <w:rStyle w:val="FootnoteReference"/>
        </w:rPr>
        <w:footnoteReference w:id="823"/>
      </w:r>
      <w:r>
        <w:t xml:space="preserve"> </w:t>
      </w:r>
      <w:r>
        <w:t xml:space="preserve">A tenant with perfect policies and no reviews has automated its grants and abandoned the reviews.</w:t>
      </w:r>
    </w:p>
    <w:p>
      <w:pPr>
        <w:pStyle w:val="BodyText"/>
      </w:pPr>
      <w:r>
        <w:t xml:space="preserve">The program closes that gap with three mechanisms that run without anyone opening a ticket:</w:t>
      </w:r>
    </w:p>
    <w:p>
      <w:pPr>
        <w:pStyle w:val="Compact"/>
        <w:numPr>
          <w:ilvl w:val="0"/>
          <w:numId w:val="1052"/>
        </w:numPr>
      </w:pPr>
      <w:r>
        <w:rPr>
          <w:b/>
          <w:bCs/>
        </w:rPr>
        <w:t xml:space="preserve">Requests through access packages.</w:t>
      </w:r>
      <w:r>
        <w:t xml:space="preserve"> </w:t>
      </w:r>
      <w:r>
        <w:t xml:space="preserve">People ask for a bundle of access, named approvers decide, and the assignment carries an expiry from the moment it is granted.</w:t>
      </w:r>
    </w:p>
    <w:p>
      <w:pPr>
        <w:pStyle w:val="Compact"/>
        <w:numPr>
          <w:ilvl w:val="0"/>
          <w:numId w:val="1052"/>
        </w:numPr>
      </w:pPr>
      <w:r>
        <w:rPr>
          <w:b/>
          <w:bCs/>
        </w:rPr>
        <w:t xml:space="preserve">Reviews on a calendar.</w:t>
      </w:r>
      <w:r>
        <w:t xml:space="preserve"> </w:t>
      </w:r>
      <w:r>
        <w:t xml:space="preserve">Owners, managers, or sponsors re-confirm each grant at a cadence set by its risk, and denied access is removed automatically.</w:t>
      </w:r>
    </w:p>
    <w:p>
      <w:pPr>
        <w:pStyle w:val="Compact"/>
        <w:numPr>
          <w:ilvl w:val="0"/>
          <w:numId w:val="1052"/>
        </w:numPr>
      </w:pPr>
      <w:r>
        <w:rPr>
          <w:b/>
          <w:bCs/>
        </w:rPr>
        <w:t xml:space="preserve">Lifecycle events.</w:t>
      </w:r>
      <w:r>
        <w:t xml:space="preserve"> </w:t>
      </w:r>
      <w:r>
        <w:t xml:space="preserve">When the HR record says someone moved or left, Lifecycle Workflows remove the old access and request the new. The HR-driven lifecycle itself, from attributes to joiner, mover, and leaver design, belongs to Book 03; this chapter covers only the access tasks.</w:t>
      </w:r>
    </w:p>
    <w:p>
      <w:pPr>
        <w:pStyle w:val="FirstParagraph"/>
      </w:pPr>
      <w:r>
        <w:t xml:space="preserve">The seam with the request queue is simple. Tickets govern things people ask for. This chapter governs grants that expire, decisions that recur, and changes that follow an event. Book 02, Chapter 10 introduced the loop during the migration; this chapter is the operating detail.</w:t>
      </w:r>
    </w:p>
    <w:bookmarkStart w:id="827" w:name="fig-ch09-access-package-anatomy"/>
    <w:p>
      <w:pPr>
        <w:pStyle w:val="CaptionedFigure"/>
      </w:pPr>
      <w:r>
        <w:drawing>
          <wp:inline>
            <wp:extent cx="5334000" cy="1800059"/>
            <wp:effectExtent b="0" l="0" r="0" t="0"/>
            <wp:docPr descr="An access package lives in a catalog, bundles resource roles, and is governed by policies that set who can request, who approves, and when the assignment expires; reviews and expiry remove what is no longer justified." title="" id="825" name="Picture"/>
            <a:graphic>
              <a:graphicData uri="http://schemas.openxmlformats.org/drawingml/2006/picture">
                <pic:pic>
                  <pic:nvPicPr>
                    <pic:cNvPr descr="/home/runner/work/modernization-workbook/modernization-workbook/docs/images/diagrams/b04-access/png/ch09-access-package-anatomy.png" id="826" name="Picture"/>
                    <pic:cNvPicPr>
                      <a:picLocks noChangeArrowheads="1" noChangeAspect="1"/>
                    </pic:cNvPicPr>
                  </pic:nvPicPr>
                  <pic:blipFill>
                    <a:blip r:embed="rId824"/>
                    <a:stretch>
                      <a:fillRect/>
                    </a:stretch>
                  </pic:blipFill>
                  <pic:spPr bwMode="auto">
                    <a:xfrm>
                      <a:off x="0" y="0"/>
                      <a:ext cx="5334000" cy="1800059"/>
                    </a:xfrm>
                    <a:prstGeom prst="rect">
                      <a:avLst/>
                    </a:prstGeom>
                    <a:noFill/>
                    <a:ln w="9525">
                      <a:noFill/>
                      <a:headEnd/>
                      <a:tailEnd/>
                    </a:ln>
                  </pic:spPr>
                </pic:pic>
              </a:graphicData>
            </a:graphic>
          </wp:inline>
        </w:drawing>
      </w:r>
    </w:p>
    <w:p>
      <w:pPr>
        <w:pStyle w:val="ImageCaption"/>
      </w:pPr>
      <w:r>
        <w:t xml:space="preserve">An access package lives in a catalog, bundles resource roles, and is governed by policies that set who can request, who approves, and when the assignment expires; reviews and expiry remove what is no longer justified.</w:t>
      </w:r>
    </w:p>
    <w:bookmarkEnd w:id="827"/>
    <w:bookmarkStart w:id="834" w:name="licensing-what-needs-entra-id-governance"/>
    <w:p>
      <w:pPr>
        <w:pStyle w:val="Heading2"/>
      </w:pPr>
      <w:bookmarkStart w:id="1260" w:name="_Toc00001260"/>
      <w:r>
        <w:t xml:space="preserve">Licensing: what needs Entra ID Governance</w:t>
      </w:r>
      <w:bookmarkEnd w:id="1260"/>
    </w:p>
    <w:p>
      <w:pPr>
        <w:pStyle w:val="FirstParagraph"/>
      </w:pPr>
      <w:r>
        <w:t xml:space="preserve">Book 02 sets out the license tiers (Chapter 09); the access-governance specifics are below. As of October 2026, Microsoft licenses entitlement management and access reviews by Microsoft Entra ID Governance for the member users involved, including everyone who reviews access or has their access reviewed, while some capabilities that were generally available in P2 still operate under P2.</w:t>
      </w:r>
      <w:r>
        <w:rPr>
          <w:rStyle w:val="FootnoteReference"/>
        </w:rPr>
        <w:footnoteReference w:id="828"/>
      </w:r>
      <w:r>
        <w:t xml:space="preserve"> </w:t>
      </w:r>
      <w:r>
        <w:t xml:space="preserve">Microsoft has also said it will add no new identity governance features to the P2 SKU, so anything newer than the original P2 feature set is a Governance feature.</w:t>
      </w:r>
      <w:r>
        <w:rPr>
          <w:rStyle w:val="FootnoteReference"/>
        </w:rPr>
        <w:footnoteReference w:id="829"/>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P2</w:t>
            </w:r>
          </w:p>
        </w:tc>
        <w:tc>
          <w:tcPr/>
          <w:p>
            <w:pPr>
              <w:pStyle w:val="Compact"/>
            </w:pPr>
            <w:r>
              <w:t xml:space="preserve">Entra ID Governance</w:t>
            </w:r>
          </w:p>
        </w:tc>
      </w:tr>
      <w:tr>
        <w:tc>
          <w:tcPr/>
          <w:p>
            <w:pPr>
              <w:pStyle w:val="Compact"/>
            </w:pPr>
            <w:r>
              <w:t xml:space="preserve">Access packages with groups, applications, and SharePoint sites; self-request; admin direct assignment</w:t>
            </w:r>
          </w:p>
        </w:tc>
        <w:tc>
          <w:tcPr/>
          <w:p>
            <w:pPr>
              <w:pStyle w:val="Compact"/>
            </w:pPr>
            <w:r>
              <w:t xml:space="preserve">Yes</w:t>
            </w:r>
          </w:p>
        </w:tc>
        <w:tc>
          <w:tcPr/>
          <w:p>
            <w:pPr>
              <w:pStyle w:val="Compact"/>
            </w:pPr>
            <w:r>
              <w:t xml:space="preserve">Yes</w:t>
            </w:r>
          </w:p>
        </w:tc>
      </w:tr>
      <w:tr>
        <w:tc>
          <w:tcPr/>
          <w:p>
            <w:pPr>
              <w:pStyle w:val="Compact"/>
            </w:pPr>
            <w:r>
              <w:t xml:space="preserve">Multi-stage approval with alternate approvers; manager, sponsor, and specific approvers</w:t>
            </w:r>
          </w:p>
        </w:tc>
        <w:tc>
          <w:tcPr/>
          <w:p>
            <w:pPr>
              <w:pStyle w:val="Compact"/>
            </w:pPr>
            <w:r>
              <w:t xml:space="preserve">Yes</w:t>
            </w:r>
          </w:p>
        </w:tc>
        <w:tc>
          <w:tcPr/>
          <w:p>
            <w:pPr>
              <w:pStyle w:val="Compact"/>
            </w:pPr>
            <w:r>
              <w:t xml:space="preserve">Yes</w:t>
            </w:r>
          </w:p>
        </w:tc>
      </w:tr>
      <w:tr>
        <w:tc>
          <w:tcPr/>
          <w:p>
            <w:pPr>
              <w:pStyle w:val="Compact"/>
            </w:pPr>
            <w:r>
              <w:t xml:space="preserve">Assignment expiration; separation-of-duties checks</w:t>
            </w:r>
          </w:p>
        </w:tc>
        <w:tc>
          <w:tcPr/>
          <w:p>
            <w:pPr>
              <w:pStyle w:val="Compact"/>
            </w:pPr>
            <w:r>
              <w:t xml:space="preserve">Yes</w:t>
            </w:r>
          </w:p>
        </w:tc>
        <w:tc>
          <w:tcPr/>
          <w:p>
            <w:pPr>
              <w:pStyle w:val="Compact"/>
            </w:pPr>
            <w:r>
              <w:t xml:space="preserve">Yes</w:t>
            </w:r>
          </w:p>
        </w:tc>
      </w:tr>
      <w:tr>
        <w:tc>
          <w:tcPr/>
          <w:p>
            <w:pPr>
              <w:pStyle w:val="Compact"/>
            </w:pPr>
            <w:r>
              <w:t xml:space="preserve">Automatic assignment policies; custom extensions; managers requesting on behalf of reports</w:t>
            </w:r>
          </w:p>
        </w:tc>
        <w:tc>
          <w:tcPr/>
          <w:p>
            <w:pPr>
              <w:pStyle w:val="Compact"/>
            </w:pPr>
          </w:p>
        </w:tc>
        <w:tc>
          <w:tcPr/>
          <w:p>
            <w:pPr>
              <w:pStyle w:val="Compact"/>
            </w:pPr>
            <w:r>
              <w:t xml:space="preserve">Yes</w:t>
            </w:r>
          </w:p>
        </w:tc>
      </w:tr>
      <w:tr>
        <w:tc>
          <w:tcPr/>
          <w:p>
            <w:pPr>
              <w:pStyle w:val="Compact"/>
            </w:pPr>
            <w:r>
              <w:t xml:space="preserve">PIM for Groups eligibility and Entra roles (preview) as access package resources</w:t>
            </w:r>
          </w:p>
        </w:tc>
        <w:tc>
          <w:tcPr/>
          <w:p>
            <w:pPr>
              <w:pStyle w:val="Compact"/>
            </w:pPr>
          </w:p>
        </w:tc>
        <w:tc>
          <w:tcPr/>
          <w:p>
            <w:pPr>
              <w:pStyle w:val="Compact"/>
            </w:pPr>
            <w:r>
              <w:t xml:space="preserve">Yes</w:t>
            </w:r>
          </w:p>
        </w:tc>
      </w:tr>
      <w:tr>
        <w:tc>
          <w:tcPr/>
          <w:p>
            <w:pPr>
              <w:pStyle w:val="Compact"/>
            </w:pPr>
            <w:r>
              <w:t xml:space="preserve">Marking existing guests as governed</w:t>
            </w:r>
          </w:p>
        </w:tc>
        <w:tc>
          <w:tcPr/>
          <w:p>
            <w:pPr>
              <w:pStyle w:val="Compact"/>
            </w:pPr>
          </w:p>
        </w:tc>
        <w:tc>
          <w:tcPr/>
          <w:p>
            <w:pPr>
              <w:pStyle w:val="Compact"/>
            </w:pPr>
            <w:r>
              <w:t xml:space="preserve">Yes</w:t>
            </w:r>
          </w:p>
        </w:tc>
      </w:tr>
      <w:tr>
        <w:tc>
          <w:tcPr/>
          <w:p>
            <w:pPr>
              <w:pStyle w:val="Compact"/>
            </w:pPr>
            <w:r>
              <w:t xml:space="preserve">Access reviews of groups, applications, and roles (the original P2 set)</w:t>
            </w:r>
          </w:p>
        </w:tc>
        <w:tc>
          <w:tcPr/>
          <w:p>
            <w:pPr>
              <w:pStyle w:val="Compact"/>
            </w:pPr>
            <w:r>
              <w:t xml:space="preserve">Yes</w:t>
            </w:r>
          </w:p>
        </w:tc>
        <w:tc>
          <w:tcPr/>
          <w:p>
            <w:pPr>
              <w:pStyle w:val="Compact"/>
            </w:pPr>
            <w:r>
              <w:t xml:space="preserve">Yes</w:t>
            </w:r>
          </w:p>
        </w:tc>
      </w:tr>
      <w:tr>
        <w:tc>
          <w:tcPr/>
          <w:p>
            <w:pPr>
              <w:pStyle w:val="Compact"/>
            </w:pPr>
            <w:r>
              <w:t xml:space="preserve">Reviews scoped only to inactive users; machine-learning recommendations; reviews of PIM for Groups (preview)</w:t>
            </w:r>
          </w:p>
        </w:tc>
        <w:tc>
          <w:tcPr/>
          <w:p>
            <w:pPr>
              <w:pStyle w:val="Compact"/>
            </w:pPr>
          </w:p>
        </w:tc>
        <w:tc>
          <w:tcPr/>
          <w:p>
            <w:pPr>
              <w:pStyle w:val="Compact"/>
            </w:pPr>
            <w:r>
              <w:t xml:space="preserve">Yes</w:t>
            </w:r>
          </w:p>
        </w:tc>
      </w:tr>
      <w:tr>
        <w:tc>
          <w:tcPr/>
          <w:p>
            <w:pPr>
              <w:pStyle w:val="Compact"/>
            </w:pPr>
            <w:r>
              <w:t xml:space="preserve">Lifecycle Workflows, including custom task extensions</w:t>
            </w:r>
          </w:p>
        </w:tc>
        <w:tc>
          <w:tcPr/>
          <w:p>
            <w:pPr>
              <w:pStyle w:val="Compact"/>
            </w:pPr>
          </w:p>
        </w:tc>
        <w:tc>
          <w:tcPr/>
          <w:p>
            <w:pPr>
              <w:pStyle w:val="Compact"/>
            </w:pPr>
            <w:r>
              <w:t xml:space="preserve">Yes</w:t>
            </w:r>
          </w:p>
        </w:tc>
      </w:tr>
      <w:tr>
        <w:tc>
          <w:tcPr/>
          <w:p>
            <w:pPr>
              <w:pStyle w:val="Compact"/>
            </w:pPr>
            <w:r>
              <w:t xml:space="preserve">Inactive guest account insights</w:t>
            </w:r>
          </w:p>
        </w:tc>
        <w:tc>
          <w:tcPr/>
          <w:p>
            <w:pPr>
              <w:pStyle w:val="Compact"/>
            </w:pPr>
          </w:p>
        </w:tc>
        <w:tc>
          <w:tcPr/>
          <w:p>
            <w:pPr>
              <w:pStyle w:val="Compact"/>
            </w:pPr>
            <w:r>
              <w:t xml:space="preserve">Yes</w:t>
            </w:r>
          </w:p>
        </w:tc>
      </w:tr>
    </w:tbl>
    <w:p>
      <w:pPr>
        <w:pStyle w:val="BodyText"/>
      </w:pPr>
      <w:r>
        <w:t xml:space="preserve">The table summarizes Microsoft’s feature-by-license reference.</w:t>
      </w:r>
      <w:r>
        <w:rPr>
          <w:rStyle w:val="FootnoteReference"/>
        </w:rPr>
        <w:footnoteReference w:id="830"/>
      </w:r>
      <w:r>
        <w:t xml:space="preserve"> </w:t>
      </w:r>
      <w:r>
        <w:t xml:space="preserve">Three licensing facts shape the design:</w:t>
      </w:r>
    </w:p>
    <w:p>
      <w:pPr>
        <w:pStyle w:val="Compact"/>
        <w:numPr>
          <w:ilvl w:val="0"/>
          <w:numId w:val="1053"/>
        </w:numPr>
      </w:pPr>
      <w:r>
        <w:t xml:space="preserve">Users don’t need a Governance license assigned to them, but the tenant needs enough licenses to cover every member user in scope of, or configuring, the governance features.</w:t>
      </w:r>
      <w:r>
        <w:rPr>
          <w:rStyle w:val="FootnoteReference"/>
        </w:rPr>
        <w:footnoteReference w:id="831"/>
      </w:r>
    </w:p>
    <w:p>
      <w:pPr>
        <w:pStyle w:val="Compact"/>
        <w:numPr>
          <w:ilvl w:val="0"/>
          <w:numId w:val="1053"/>
        </w:numPr>
      </w:pPr>
      <w:r>
        <w:t xml:space="preserve">Guests are billed differently: Governance uses monthly-active-user billing for guests, which requires an Azure subscription linked for guest billing.</w:t>
      </w:r>
      <w:r>
        <w:rPr>
          <w:rStyle w:val="FootnoteReference"/>
        </w:rPr>
        <w:footnoteReference w:id="832"/>
      </w:r>
    </w:p>
    <w:p>
      <w:pPr>
        <w:pStyle w:val="Compact"/>
        <w:numPr>
          <w:ilvl w:val="0"/>
          <w:numId w:val="1053"/>
        </w:numPr>
      </w:pPr>
      <w:r>
        <w:t xml:space="preserve">Microsoft Entra ID Governance for Government, and a Governance add-on for P2 for Government, are available in GCC, GCC High, and DoD.</w:t>
      </w:r>
      <w:r>
        <w:rPr>
          <w:rStyle w:val="FootnoteReference"/>
        </w:rPr>
        <w:footnoteReference w:id="833"/>
      </w:r>
    </w:p>
    <w:p>
      <w:pPr>
        <w:pStyle w:val="FirstParagraph"/>
      </w:pPr>
      <w:r>
        <w:t xml:space="preserve">Plan on Governance licensing for the whole workforce. Partial licensing produces a governance program that covers some people and leaves the rest ungoverned.</w:t>
      </w:r>
    </w:p>
    <w:bookmarkEnd w:id="834"/>
    <w:bookmarkStart w:id="841" w:name="the-group-based-substrate"/>
    <w:p>
      <w:pPr>
        <w:pStyle w:val="Heading2"/>
      </w:pPr>
      <w:bookmarkStart w:id="1261" w:name="_Toc00001261"/>
      <w:r>
        <w:t xml:space="preserve">The group-based substrate</w:t>
      </w:r>
      <w:bookmarkEnd w:id="1261"/>
    </w:p>
    <w:p>
      <w:pPr>
        <w:pStyle w:val="FirstParagraph"/>
      </w:pPr>
      <w:r>
        <w:t xml:space="preserve">Access packages and reviews work best when the thing being granted is a group. The program’s rule is that user access to enterprise applications is assigned through security groups, never to individual users directly. That rule is a design position, and it does three jobs: reviews run against group membership instead of scattered assignments, onboarding and offboarding become membership changes, and the policy (who is in the group) stays separate from the enforcement (the group’s assignment to the application).</w:t>
      </w:r>
    </w:p>
    <w:p>
      <w:pPr>
        <w:pStyle w:val="BodyText"/>
      </w:pPr>
      <w:r>
        <w:t xml:space="preserve">Two platform facts back the rule. Group-based assignment to applications requires Entra ID P1 or P2, and nested group memberships aren’t supported for it: when a group is assigned to an application, only its direct members get access.</w:t>
      </w:r>
      <w:r>
        <w:rPr>
          <w:rStyle w:val="FootnoteReference"/>
        </w:rPr>
        <w:footnoteReference w:id="835"/>
      </w:r>
      <w:r>
        <w:t xml:space="preserve"> </w:t>
      </w:r>
      <w:r>
        <w:t xml:space="preserve">An access review of a group, on the other hand, flattens nested groups and shows their users individually, but a denied user is removed only from direct membership, not from the nested group that gave them access.</w:t>
      </w:r>
      <w:r>
        <w:rPr>
          <w:rStyle w:val="FootnoteReference"/>
        </w:rPr>
        <w:footnoteReference w:id="836"/>
      </w:r>
      <w:r>
        <w:t xml:space="preserve"> </w:t>
      </w:r>
      <w:r>
        <w:t xml:space="preserve">Nesting therefore creates access that reviews can see but can’t remove. The program prohibits nested groups in application access assignments, and any nesting found during a review is remediated as a finding.</w:t>
      </w:r>
    </w:p>
    <w:bookmarkStart w:id="838" w:name="naming-and-membership-type"/>
    <w:p>
      <w:pPr>
        <w:pStyle w:val="Heading3"/>
      </w:pPr>
      <w:r>
        <w:t xml:space="preserve">Naming and membership type</w:t>
      </w:r>
    </w:p>
    <w:p>
      <w:pPr>
        <w:pStyle w:val="FirstParagraph"/>
      </w:pPr>
      <w:r>
        <w:t xml:space="preserve">Every application access group follows one naming convention,</w:t>
      </w:r>
      <w:r>
        <w:t xml:space="preserve"> </w:t>
      </w:r>
      <w:r>
        <w:rPr>
          <w:rStyle w:val="VerbatimChar"/>
        </w:rPr>
        <w:t xml:space="preserve">APP-&lt;AppShortName&gt;-&lt;AccessRole&gt;-&lt;RiskTier&gt;</w:t>
      </w:r>
      <w:r>
        <w:t xml:space="preserve">, so that the group’s purpose and the application’s risk tier can be read from the name: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Token</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APP</w:t>
            </w:r>
          </w:p>
        </w:tc>
        <w:tc>
          <w:tcPr/>
          <w:p>
            <w:pPr>
              <w:pStyle w:val="Compact"/>
            </w:pPr>
            <w:r>
              <w:t xml:space="preserve">Fixed prefix for application access groups</w:t>
            </w:r>
          </w:p>
        </w:tc>
        <w:tc>
          <w:tcPr/>
          <w:p>
            <w:pPr>
              <w:pStyle w:val="Compact"/>
            </w:pPr>
            <w:r>
              <w:rPr>
                <w:rStyle w:val="VerbatimChar"/>
              </w:rPr>
              <w:t xml:space="preserve">APP</w:t>
            </w:r>
          </w:p>
        </w:tc>
      </w:tr>
      <w:tr>
        <w:tc>
          <w:tcPr/>
          <w:p>
            <w:pPr>
              <w:pStyle w:val="Compact"/>
            </w:pPr>
            <w:r>
              <w:rPr>
                <w:rStyle w:val="VerbatimChar"/>
              </w:rPr>
              <w:t xml:space="preserve">&lt;AppShortName&gt;</w:t>
            </w:r>
          </w:p>
        </w:tc>
        <w:tc>
          <w:tcPr/>
          <w:p>
            <w:pPr>
              <w:pStyle w:val="Compact"/>
            </w:pPr>
            <w:r>
              <w:t xml:space="preserve">The application’s short name in the application registry (no spaces)</w:t>
            </w:r>
          </w:p>
        </w:tc>
        <w:tc>
          <w:tcPr/>
          <w:p>
            <w:pPr>
              <w:pStyle w:val="Compact"/>
            </w:pPr>
            <w:r>
              <w:rPr>
                <w:rStyle w:val="VerbatimChar"/>
              </w:rPr>
              <w:t xml:space="preserve">PAYROLL</w:t>
            </w:r>
            <w:r>
              <w:t xml:space="preserve">,</w:t>
            </w:r>
            <w:r>
              <w:t xml:space="preserve"> </w:t>
            </w:r>
            <w:r>
              <w:rPr>
                <w:rStyle w:val="VerbatimChar"/>
              </w:rPr>
              <w:t xml:space="preserve">HRPORTAL</w:t>
            </w:r>
          </w:p>
        </w:tc>
      </w:tr>
      <w:tr>
        <w:tc>
          <w:tcPr/>
          <w:p>
            <w:pPr>
              <w:pStyle w:val="Compact"/>
            </w:pPr>
            <w:r>
              <w:rPr>
                <w:rStyle w:val="VerbatimChar"/>
              </w:rPr>
              <w:t xml:space="preserve">&lt;AccessRole&gt;</w:t>
            </w:r>
          </w:p>
        </w:tc>
        <w:tc>
          <w:tcPr/>
          <w:p>
            <w:pPr>
              <w:pStyle w:val="Compact"/>
            </w:pPr>
            <w:r>
              <w:t xml:space="preserve">The role the group grants in the application</w:t>
            </w:r>
          </w:p>
        </w:tc>
        <w:tc>
          <w:tcPr/>
          <w:p>
            <w:pPr>
              <w:pStyle w:val="Compact"/>
            </w:pPr>
            <w:r>
              <w:rPr>
                <w:rStyle w:val="VerbatimChar"/>
              </w:rPr>
              <w:t xml:space="preserve">USERS</w:t>
            </w:r>
            <w:r>
              <w:t xml:space="preserve">,</w:t>
            </w:r>
            <w:r>
              <w:t xml:space="preserve"> </w:t>
            </w:r>
            <w:r>
              <w:rPr>
                <w:rStyle w:val="VerbatimChar"/>
              </w:rPr>
              <w:t xml:space="preserve">ADMINS</w:t>
            </w:r>
            <w:r>
              <w:t xml:space="preserve">,</w:t>
            </w:r>
            <w:r>
              <w:t xml:space="preserve"> </w:t>
            </w:r>
            <w:r>
              <w:rPr>
                <w:rStyle w:val="VerbatimChar"/>
              </w:rPr>
              <w:t xml:space="preserve">READONLY</w:t>
            </w:r>
          </w:p>
        </w:tc>
      </w:tr>
      <w:tr>
        <w:tc>
          <w:tcPr/>
          <w:p>
            <w:pPr>
              <w:pStyle w:val="Compact"/>
            </w:pPr>
            <w:r>
              <w:rPr>
                <w:rStyle w:val="VerbatimChar"/>
              </w:rPr>
              <w:t xml:space="preserve">&lt;RiskTier&gt;</w:t>
            </w:r>
          </w:p>
        </w:tc>
        <w:tc>
          <w:tcPr/>
          <w:p>
            <w:pPr>
              <w:pStyle w:val="Compact"/>
            </w:pPr>
            <w:r>
              <w:t xml:space="preserve">The application’s risk tier (Chapter 06)</w:t>
            </w:r>
          </w:p>
        </w:tc>
        <w:tc>
          <w:tcPr/>
          <w:p>
            <w:pPr>
              <w:pStyle w:val="Compact"/>
            </w:pPr>
            <w:r>
              <w:rPr>
                <w:rStyle w:val="VerbatimChar"/>
              </w:rPr>
              <w:t xml:space="preserve">T1</w:t>
            </w:r>
            <w:r>
              <w:t xml:space="preserve">,</w:t>
            </w:r>
            <w:r>
              <w:t xml:space="preserve"> </w:t>
            </w:r>
            <w:r>
              <w:rPr>
                <w:rStyle w:val="VerbatimChar"/>
              </w:rPr>
              <w:t xml:space="preserve">T2</w:t>
            </w:r>
            <w:r>
              <w:t xml:space="preserve">,</w:t>
            </w:r>
            <w:r>
              <w:t xml:space="preserve"> </w:t>
            </w:r>
            <w:r>
              <w:rPr>
                <w:rStyle w:val="VerbatimChar"/>
              </w:rPr>
              <w:t xml:space="preserve">T3</w:t>
            </w:r>
          </w:p>
        </w:tc>
      </w:tr>
    </w:tbl>
    <w:p>
      <w:pPr>
        <w:pStyle w:val="BodyText"/>
      </w:pPr>
      <w:r>
        <w:t xml:space="preserve">So</w:t>
      </w:r>
      <w:r>
        <w:t xml:space="preserve"> </w:t>
      </w:r>
      <w:r>
        <w:rPr>
          <w:rStyle w:val="VerbatimChar"/>
        </w:rPr>
        <w:t xml:space="preserve">APP-PAYROLL-ADMINS-T1</w:t>
      </w:r>
      <w:r>
        <w:t xml:space="preserve"> </w:t>
      </w:r>
      <w:r>
        <w:t xml:space="preserve">is the administrators of a Tier 1 payroll application. Names that don’t follow the convention are flagged during reviews and corrected.</w:t>
      </w:r>
    </w:p>
    <w:p>
      <w:pPr>
        <w:pStyle w:val="BodyText"/>
      </w:pPr>
      <w:r>
        <w:t xml:space="preserve">Membership type follows the tier: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Membership type</w:t>
            </w:r>
          </w:p>
        </w:tc>
        <w:tc>
          <w:tcPr/>
          <w:p>
            <w:pPr>
              <w:pStyle w:val="Compact"/>
            </w:pPr>
            <w:r>
              <w:t xml:space="preserve">Appropriate when</w:t>
            </w:r>
          </w:p>
        </w:tc>
        <w:tc>
          <w:tcPr/>
          <w:p>
            <w:pPr>
              <w:pStyle w:val="Compact"/>
            </w:pPr>
            <w:r>
              <w:t xml:space="preserve">Not appropriate when</w:t>
            </w:r>
          </w:p>
        </w:tc>
        <w:tc>
          <w:tcPr/>
          <w:p>
            <w:pPr>
              <w:pStyle w:val="Compact"/>
            </w:pPr>
            <w:r>
              <w:t xml:space="preserve">Tier rule</w:t>
            </w:r>
          </w:p>
        </w:tc>
      </w:tr>
      <w:tr>
        <w:tc>
          <w:tcPr/>
          <w:p>
            <w:pPr>
              <w:pStyle w:val="Compact"/>
            </w:pPr>
            <w:r>
              <w:t xml:space="preserve">Dynamic (rule on user attributes)</w:t>
            </w:r>
          </w:p>
        </w:tc>
        <w:tc>
          <w:tcPr/>
          <w:p>
            <w:pPr>
              <w:pStyle w:val="Compact"/>
            </w:pPr>
            <w:r>
              <w:t xml:space="preserve">Broad role-based access that matches attributes the HR feed keeps accurate</w:t>
            </w:r>
          </w:p>
        </w:tc>
        <w:tc>
          <w:tcPr/>
          <w:p>
            <w:pPr>
              <w:pStyle w:val="Compact"/>
            </w:pPr>
            <w:r>
              <w:t xml:space="preserve">Each member needs individual approval, or the attributes aren’t reliably maintained</w:t>
            </w:r>
          </w:p>
        </w:tc>
        <w:tc>
          <w:tcPr/>
          <w:p>
            <w:pPr>
              <w:pStyle w:val="Compact"/>
            </w:pPr>
            <w:r>
              <w:t xml:space="preserve">Tier 3 preferred; Tier 2 only with governance-office approval; never Tier 1</w:t>
            </w:r>
          </w:p>
        </w:tc>
      </w:tr>
      <w:tr>
        <w:tc>
          <w:tcPr/>
          <w:p>
            <w:pPr>
              <w:pStyle w:val="Compact"/>
            </w:pPr>
            <w:r>
              <w:t xml:space="preserve">Assigned (members added through approved requests or access packages)</w:t>
            </w:r>
          </w:p>
        </w:tc>
        <w:tc>
          <w:tcPr/>
          <w:p>
            <w:pPr>
              <w:pStyle w:val="Compact"/>
            </w:pPr>
            <w:r>
              <w:t xml:space="preserve">Individual approval of each grant; small or specialized populations</w:t>
            </w:r>
          </w:p>
        </w:tc>
        <w:tc>
          <w:tcPr/>
          <w:p>
            <w:pPr>
              <w:pStyle w:val="Compact"/>
            </w:pPr>
            <w:r>
              <w:t xml:space="preserve">Very large populations with reliable attributes</w:t>
            </w:r>
          </w:p>
        </w:tc>
        <w:tc>
          <w:tcPr/>
          <w:p>
            <w:pPr>
              <w:pStyle w:val="Compact"/>
            </w:pPr>
            <w:r>
              <w:t xml:space="preserve">Required for Tier 1 and Tier 2; acceptable for Tier 3</w:t>
            </w:r>
          </w:p>
        </w:tc>
      </w:tr>
    </w:tbl>
    <w:p>
      <w:pPr>
        <w:pStyle w:val="BodyText"/>
      </w:pPr>
      <w:r>
        <w:t xml:space="preserve">A dynamic group is only as good as the attributes behind it. The attribute standard and the HR feed that maintains it are Book 03’s subject; here the rule is that the application owner validates the membership rule at every review, and a change to a rule is an access change that goes through change control (Chapter 10).</w:t>
      </w:r>
    </w:p>
    <w:bookmarkEnd w:id="838"/>
    <w:bookmarkStart w:id="840" w:name="three-parties-three-duties"/>
    <w:p>
      <w:pPr>
        <w:pStyle w:val="Heading3"/>
      </w:pPr>
      <w:r>
        <w:t xml:space="preserve">Three parties, three duties</w:t>
      </w:r>
    </w:p>
    <w:p>
      <w:pPr>
        <w:pStyle w:val="FirstParagraph"/>
      </w:pPr>
      <w:r>
        <w:t xml:space="preserve">To keep any one person from both deciding and doing, each access group has three distinct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Duty</w:t>
            </w:r>
          </w:p>
        </w:tc>
        <w:tc>
          <w:tcPr/>
          <w:p>
            <w:pPr>
              <w:pStyle w:val="Compact"/>
            </w:pPr>
            <w:r>
              <w:t xml:space="preserve">May also be</w:t>
            </w:r>
          </w:p>
        </w:tc>
        <w:tc>
          <w:tcPr/>
          <w:p>
            <w:pPr>
              <w:pStyle w:val="Compact"/>
            </w:pPr>
            <w:r>
              <w:t xml:space="preserve">May not be</w:t>
            </w:r>
          </w:p>
        </w:tc>
      </w:tr>
      <w:tr>
        <w:tc>
          <w:tcPr/>
          <w:p>
            <w:pPr>
              <w:pStyle w:val="Compact"/>
            </w:pPr>
            <w:r>
              <w:t xml:space="preserve">Group owner</w:t>
            </w:r>
          </w:p>
        </w:tc>
        <w:tc>
          <w:tcPr/>
          <w:p>
            <w:pPr>
              <w:pStyle w:val="Compact"/>
            </w:pPr>
            <w:r>
              <w:t xml:space="preserve">Accountable for membership accuracy; reviews membership</w:t>
            </w:r>
          </w:p>
        </w:tc>
        <w:tc>
          <w:tcPr/>
          <w:p>
            <w:pPr>
              <w:pStyle w:val="Compact"/>
            </w:pPr>
            <w:r>
              <w:t xml:space="preserve">The application owner</w:t>
            </w:r>
          </w:p>
        </w:tc>
        <w:tc>
          <w:tcPr/>
          <w:p>
            <w:pPr>
              <w:pStyle w:val="Compact"/>
            </w:pPr>
            <w:r>
              <w:t xml:space="preserve">The person who created the group or executes changes to it</w:t>
            </w:r>
          </w:p>
        </w:tc>
      </w:tr>
      <w:tr>
        <w:tc>
          <w:tcPr/>
          <w:p>
            <w:pPr>
              <w:pStyle w:val="Compact"/>
            </w:pPr>
            <w:r>
              <w:t xml:space="preserve">Group creator</w:t>
            </w:r>
          </w:p>
        </w:tc>
        <w:tc>
          <w:tcPr/>
          <w:p>
            <w:pPr>
              <w:pStyle w:val="Compact"/>
            </w:pPr>
            <w:r>
              <w:t xml:space="preserve">Creates the group in Entra ID from an approved request</w:t>
            </w:r>
          </w:p>
        </w:tc>
        <w:tc>
          <w:tcPr/>
          <w:p>
            <w:pPr>
              <w:pStyle w:val="Compact"/>
            </w:pPr>
            <w:r>
              <w:t xml:space="preserve">A help desk operator (for other groups)</w:t>
            </w:r>
          </w:p>
        </w:tc>
        <w:tc>
          <w:tcPr/>
          <w:p>
            <w:pPr>
              <w:pStyle w:val="Compact"/>
            </w:pPr>
            <w:r>
              <w:t xml:space="preserve">Owner of a group they created, or owner of its application</w:t>
            </w:r>
          </w:p>
        </w:tc>
      </w:tr>
      <w:tr>
        <w:tc>
          <w:tcPr/>
          <w:p>
            <w:pPr>
              <w:pStyle w:val="Compact"/>
            </w:pPr>
            <w:r>
              <w:t xml:space="preserve">Application owner</w:t>
            </w:r>
          </w:p>
        </w:tc>
        <w:tc>
          <w:tcPr/>
          <w:p>
            <w:pPr>
              <w:pStyle w:val="Compact"/>
            </w:pPr>
            <w:r>
              <w:t xml:space="preserve">Authorizes grants and the group’s assignment to the application</w:t>
            </w:r>
          </w:p>
        </w:tc>
        <w:tc>
          <w:tcPr/>
          <w:p>
            <w:pPr>
              <w:pStyle w:val="Compact"/>
            </w:pPr>
            <w:r>
              <w:t xml:space="preserve">Owner of the application’s access groups</w:t>
            </w:r>
          </w:p>
        </w:tc>
        <w:tc>
          <w:tcPr/>
          <w:p>
            <w:pPr>
              <w:pStyle w:val="Compact"/>
            </w:pPr>
            <w:r>
              <w:t xml:space="preserve">The operator who executes changes to their own application’s groups</w:t>
            </w:r>
          </w:p>
        </w:tc>
      </w:tr>
    </w:tbl>
    <w:p>
      <w:pPr>
        <w:pStyle w:val="BodyText"/>
      </w:pPr>
      <w:r>
        <w:t xml:space="preserve">Who holds these roles, and how the decision rights are allocated, is Chapter 06’s subject. The NIST hook is AC-5, which requires the organization to identify and document duties of individuals and define access authorizations to support separation of duties.</w:t>
      </w:r>
      <w:r>
        <w:rPr>
          <w:rStyle w:val="FootnoteReference"/>
        </w:rPr>
        <w:footnoteReference w:id="839"/>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 class</w:t>
            </w:r>
          </w:p>
        </w:tc>
        <w:tc>
          <w:tcPr/>
          <w:p>
            <w:pPr>
              <w:pStyle w:val="Compact"/>
            </w:pPr>
            <w:r>
              <w:t xml:space="preserve">Owner</w:t>
            </w:r>
          </w:p>
        </w:tc>
        <w:tc>
          <w:tcPr/>
          <w:p>
            <w:pPr>
              <w:pStyle w:val="Compact"/>
            </w:pPr>
            <w:r>
              <w:t xml:space="preserve">Review cadence</w:t>
            </w:r>
          </w:p>
        </w:tc>
        <w:tc>
          <w:tcPr/>
          <w:p>
            <w:pPr>
              <w:pStyle w:val="Compact"/>
            </w:pPr>
            <w:r>
              <w:t xml:space="preserve">Nesting</w:t>
            </w:r>
          </w:p>
        </w:tc>
        <w:tc>
          <w:tcPr/>
          <w:p>
            <w:pPr>
              <w:pStyle w:val="Compact"/>
            </w:pPr>
            <w:r>
              <w:t xml:space="preserve">Changes need PIM</w:t>
            </w:r>
          </w:p>
        </w:tc>
      </w:tr>
      <w:tr>
        <w:tc>
          <w:tcPr/>
          <w:p>
            <w:pPr>
              <w:pStyle w:val="Compact"/>
            </w:pPr>
            <w:r>
              <w:t xml:space="preserve">Assigned, Tier 1 application access</w:t>
            </w:r>
          </w:p>
        </w:tc>
        <w:tc>
          <w:tcPr/>
          <w:p>
            <w:pPr>
              <w:pStyle w:val="Compact"/>
            </w:pPr>
            <w:r>
              <w:t xml:space="preserve">Application owner</w:t>
            </w:r>
          </w:p>
        </w:tc>
        <w:tc>
          <w:tcPr/>
          <w:p>
            <w:pPr>
              <w:pStyle w:val="Compact"/>
            </w:pPr>
            <w:r>
              <w:t xml:space="preserve">Quarterly</w:t>
            </w:r>
          </w:p>
        </w:tc>
        <w:tc>
          <w:tcPr/>
          <w:p>
            <w:pPr>
              <w:pStyle w:val="Compact"/>
            </w:pPr>
            <w:r>
              <w:t xml:space="preserve">No</w:t>
            </w:r>
          </w:p>
        </w:tc>
        <w:tc>
          <w:tcPr/>
          <w:p>
            <w:pPr>
              <w:pStyle w:val="Compact"/>
            </w:pPr>
            <w:r>
              <w:t xml:space="preserve">Yes</w:t>
            </w:r>
          </w:p>
        </w:tc>
      </w:tr>
      <w:tr>
        <w:tc>
          <w:tcPr/>
          <w:p>
            <w:pPr>
              <w:pStyle w:val="Compact"/>
            </w:pPr>
            <w:r>
              <w:t xml:space="preserve">Assigned, Tier 2 application access</w:t>
            </w:r>
          </w:p>
        </w:tc>
        <w:tc>
          <w:tcPr/>
          <w:p>
            <w:pPr>
              <w:pStyle w:val="Compact"/>
            </w:pPr>
            <w:r>
              <w:t xml:space="preserve">Application owner</w:t>
            </w:r>
          </w:p>
        </w:tc>
        <w:tc>
          <w:tcPr/>
          <w:p>
            <w:pPr>
              <w:pStyle w:val="Compact"/>
            </w:pPr>
            <w:r>
              <w:t xml:space="preserve">Semiannual</w:t>
            </w:r>
          </w:p>
        </w:tc>
        <w:tc>
          <w:tcPr/>
          <w:p>
            <w:pPr>
              <w:pStyle w:val="Compact"/>
            </w:pPr>
            <w:r>
              <w:t xml:space="preserve">No</w:t>
            </w:r>
          </w:p>
        </w:tc>
        <w:tc>
          <w:tcPr/>
          <w:p>
            <w:pPr>
              <w:pStyle w:val="Compact"/>
            </w:pPr>
            <w:r>
              <w:t xml:space="preserve">Yes</w:t>
            </w:r>
          </w:p>
        </w:tc>
      </w:tr>
      <w:tr>
        <w:tc>
          <w:tcPr/>
          <w:p>
            <w:pPr>
              <w:pStyle w:val="Compact"/>
            </w:pPr>
            <w:r>
              <w:t xml:space="preserve">Assigned, Tier 3 application access</w:t>
            </w:r>
          </w:p>
        </w:tc>
        <w:tc>
          <w:tcPr/>
          <w:p>
            <w:pPr>
              <w:pStyle w:val="Compact"/>
            </w:pPr>
            <w:r>
              <w:t xml:space="preserve">Application owner or department owner</w:t>
            </w:r>
          </w:p>
        </w:tc>
        <w:tc>
          <w:tcPr/>
          <w:p>
            <w:pPr>
              <w:pStyle w:val="Compact"/>
            </w:pPr>
            <w:r>
              <w:t xml:space="preserve">Annual</w:t>
            </w:r>
          </w:p>
        </w:tc>
        <w:tc>
          <w:tcPr/>
          <w:p>
            <w:pPr>
              <w:pStyle w:val="Compact"/>
            </w:pPr>
            <w:r>
              <w:t xml:space="preserve">No</w:t>
            </w:r>
          </w:p>
        </w:tc>
        <w:tc>
          <w:tcPr/>
          <w:p>
            <w:pPr>
              <w:pStyle w:val="Compact"/>
            </w:pPr>
            <w:r>
              <w:t xml:space="preserve">Yes</w:t>
            </w:r>
          </w:p>
        </w:tc>
      </w:tr>
      <w:tr>
        <w:tc>
          <w:tcPr/>
          <w:p>
            <w:pPr>
              <w:pStyle w:val="Compact"/>
            </w:pPr>
            <w:r>
              <w:t xml:space="preserve">Dynamic, Tier 3 only</w:t>
            </w:r>
          </w:p>
        </w:tc>
        <w:tc>
          <w:tcPr/>
          <w:p>
            <w:pPr>
              <w:pStyle w:val="Compact"/>
            </w:pPr>
            <w:r>
              <w:t xml:space="preserve">Application owner</w:t>
            </w:r>
          </w:p>
        </w:tc>
        <w:tc>
          <w:tcPr/>
          <w:p>
            <w:pPr>
              <w:pStyle w:val="Compact"/>
            </w:pPr>
            <w:r>
              <w:t xml:space="preserve">Annual (rule validation)</w:t>
            </w:r>
          </w:p>
        </w:tc>
        <w:tc>
          <w:tcPr/>
          <w:p>
            <w:pPr>
              <w:pStyle w:val="Compact"/>
            </w:pPr>
            <w:r>
              <w:t xml:space="preserve">No</w:t>
            </w:r>
          </w:p>
        </w:tc>
        <w:tc>
          <w:tcPr/>
          <w:p>
            <w:pPr>
              <w:pStyle w:val="Compact"/>
            </w:pPr>
            <w:r>
              <w:t xml:space="preserve">Yes, for rule changes</w:t>
            </w:r>
          </w:p>
        </w:tc>
      </w:tr>
      <w:tr>
        <w:tc>
          <w:tcPr/>
          <w:p>
            <w:pPr>
              <w:pStyle w:val="Compact"/>
            </w:pPr>
            <w:r>
              <w:t xml:space="preserve">PIM-governed privileged access group</w:t>
            </w:r>
          </w:p>
        </w:tc>
        <w:tc>
          <w:tcPr/>
          <w:p>
            <w:pPr>
              <w:pStyle w:val="Compact"/>
            </w:pPr>
            <w:r>
              <w:t xml:space="preserve">Governance office or Privileged Role Administrator</w:t>
            </w:r>
          </w:p>
        </w:tc>
        <w:tc>
          <w:tcPr/>
          <w:p>
            <w:pPr>
              <w:pStyle w:val="Compact"/>
            </w:pPr>
            <w:r>
              <w:t xml:space="preserve">Quarterly</w:t>
            </w:r>
          </w:p>
        </w:tc>
        <w:tc>
          <w:tcPr/>
          <w:p>
            <w:pPr>
              <w:pStyle w:val="Compact"/>
            </w:pPr>
            <w:r>
              <w:t xml:space="preserve">No</w:t>
            </w:r>
          </w:p>
        </w:tc>
        <w:tc>
          <w:tcPr/>
          <w:p>
            <w:pPr>
              <w:pStyle w:val="Compact"/>
            </w:pPr>
            <w:r>
              <w:t xml:space="preserve">Activation required</w:t>
            </w:r>
          </w:p>
        </w:tc>
      </w:tr>
    </w:tbl>
    <w:bookmarkEnd w:id="840"/>
    <w:bookmarkEnd w:id="841"/>
    <w:bookmarkStart w:id="882" w:name="entitlement-management"/>
    <w:p>
      <w:pPr>
        <w:pStyle w:val="Heading2"/>
      </w:pPr>
      <w:bookmarkStart w:id="1262" w:name="_Toc00001262"/>
      <w:r>
        <w:t xml:space="preserve">Entitlement management</w:t>
      </w:r>
      <w:bookmarkEnd w:id="1262"/>
    </w:p>
    <w:p>
      <w:pPr>
        <w:pStyle w:val="FirstParagraph"/>
      </w:pPr>
      <w:r>
        <w:t xml:space="preserve">Entitlement management automates access requests, assignments, reviews, and expiration for groups, applications, and SharePoint Online sites, for both internal users and people outside the organization.</w:t>
      </w:r>
      <w:r>
        <w:rPr>
          <w:rStyle w:val="FootnoteReference"/>
        </w:rPr>
        <w:footnoteReference w:id="842"/>
      </w:r>
      <w:r>
        <w:t xml:space="preserve"> </w:t>
      </w:r>
      <w:r>
        <w:t xml:space="preserve">Its three building blocks are catalogs, access packages, and policies.</w:t>
      </w:r>
    </w:p>
    <w:bookmarkStart w:id="851" w:name="catalogs-and-delegation"/>
    <w:p>
      <w:pPr>
        <w:pStyle w:val="Heading3"/>
      </w:pPr>
      <w:r>
        <w:t xml:space="preserve">Catalogs and delegation</w:t>
      </w:r>
    </w:p>
    <w:p>
      <w:pPr>
        <w:pStyle w:val="FirstParagraph"/>
      </w:pPr>
      <w:r>
        <w:t xml:space="preserve">A catalog is a container of resources and the access packages built from them. Catalogs are how the program delegates: an administrator can add any resource to any catalog, but a non-administrator catalog owner can add only resources they own, and a catalog owner can make others co-owners or access package managers.</w:t>
      </w:r>
      <w:r>
        <w:rPr>
          <w:rStyle w:val="FootnoteReference"/>
        </w:rPr>
        <w:footnoteReference w:id="844"/>
      </w:r>
      <w:r>
        <w:t xml:space="preserve"> </w:t>
      </w:r>
      <w:r>
        <w:t xml:space="preserve">Access package managers can create packages and policies inside the catalog but can’t add resources; catalog readers have view-only access; access package assignment managers can change assignments but not packages or policies.</w:t>
      </w:r>
      <w:r>
        <w:rPr>
          <w:rStyle w:val="FootnoteReference"/>
        </w:rPr>
        <w:footnoteReference w:id="845"/>
      </w:r>
      <w:r>
        <w:t xml:space="preserve"> </w:t>
      </w:r>
      <w:r>
        <w:t xml:space="preserve">An access package can’t be moved to a different catalog after it is created, so choose the catalog first.</w:t>
      </w:r>
      <w:r>
        <w:rPr>
          <w:rStyle w:val="FootnoteReference"/>
        </w:rPr>
        <w:footnoteReference w:id="847"/>
      </w:r>
    </w:p>
    <w:p>
      <w:pPr>
        <w:pStyle w:val="BodyText"/>
      </w:pPr>
      <w:r>
        <w:t xml:space="preserve">The program creates one catalog per business domain that owns resources (for example, finance applications, HR applications, collaboration sites), with the domain’s business owner as catalog owner and application owners as access package managers. Tier 1 resources go into catalogs whose owners are approved by the governance office. The</w:t>
      </w:r>
      <w:r>
        <w:t xml:space="preserve"> </w:t>
      </w:r>
      <w:r>
        <w:rPr>
          <w:rStyle w:val="VerbatimChar"/>
        </w:rPr>
        <w:t xml:space="preserve">General</w:t>
      </w:r>
      <w:r>
        <w:t xml:space="preserve"> </w:t>
      </w:r>
      <w:r>
        <w:t xml:space="preserve">catalog, which entitlement management creates automatically, is not used for program resources.</w:t>
      </w:r>
      <w:r>
        <w:rPr>
          <w:rStyle w:val="FootnoteReference"/>
        </w:rPr>
        <w:footnoteReference w:id="849"/>
      </w:r>
    </w:p>
    <w:bookmarkEnd w:id="851"/>
    <w:bookmarkStart w:id="855" w:name="access-packages"/>
    <w:p>
      <w:pPr>
        <w:pStyle w:val="Heading3"/>
      </w:pPr>
      <w:r>
        <w:t xml:space="preserve">Access packages</w:t>
      </w:r>
    </w:p>
    <w:p>
      <w:pPr>
        <w:pStyle w:val="FirstParagraph"/>
      </w:pPr>
      <w:r>
        <w:t xml:space="preserve">An access package bundles resource roles: membership or ownership of security groups and Microsoft 365 groups (including Teams), assignment to enterprise applications and their app roles, and membership of SharePoint Online sites.</w:t>
      </w:r>
      <w:r>
        <w:rPr>
          <w:rStyle w:val="FootnoteReference"/>
        </w:rPr>
        <w:footnoteReference w:id="852"/>
      </w:r>
      <w:r>
        <w:t xml:space="preserve"> </w:t>
      </w:r>
      <w:r>
        <w:t xml:space="preserve">With Entra ID Governance, a package can also grant eligible PIM for Groups membership, and Entra roles in preview.</w:t>
      </w:r>
      <w:r>
        <w:rPr>
          <w:rStyle w:val="FootnoteReference"/>
        </w:rPr>
        <w:footnoteReference w:id="853"/>
      </w:r>
      <w:r>
        <w:t xml:space="preserve"> </w:t>
      </w:r>
      <w:r>
        <w:t xml:space="preserve">Anything that keys on a security group comes along too: a group in a package can carry group-based licensing or an Azure role assignment.</w:t>
      </w:r>
      <w:r>
        <w:rPr>
          <w:rStyle w:val="FootnoteReference"/>
        </w:rPr>
        <w:footnoteReference w:id="854"/>
      </w:r>
    </w:p>
    <w:p>
      <w:pPr>
        <w:pStyle w:val="BodyText"/>
      </w:pPr>
      <w:r>
        <w:t xml:space="preserve">The program uses the four package categories Book 02 defines (onboarding, department, project, and cross-tenant; see Book 02, Chapter 10), plus one rule from this book: privileged access arrives through PIM eligibility, never through a package that grants an active role (Chapter 04).</w:t>
      </w:r>
    </w:p>
    <w:bookmarkEnd w:id="855"/>
    <w:bookmarkStart w:id="863" w:name="Xae248d43a0fa9a73b07611987bad0753cfa63e3"/>
    <w:p>
      <w:pPr>
        <w:pStyle w:val="Heading3"/>
      </w:pPr>
      <w:r>
        <w:t xml:space="preserve">Policies: who may request, who approves, how long</w:t>
      </w:r>
    </w:p>
    <w:p>
      <w:pPr>
        <w:pStyle w:val="FirstParagraph"/>
      </w:pPr>
      <w:r>
        <w:t xml:space="preserve">Every package needs at least one assignment policy before anyone can be assigned.</w:t>
      </w:r>
      <w:r>
        <w:rPr>
          <w:rStyle w:val="FootnoteReference"/>
        </w:rPr>
        <w:footnoteReference w:id="856"/>
      </w:r>
      <w:r>
        <w:t xml:space="preserve"> </w:t>
      </w:r>
      <w:r>
        <w:t xml:space="preserve">A policy states who may request (users in the directory, specific connected organizations, or administrator direct assignment only), who approves, and when the assignment ends.</w:t>
      </w:r>
      <w:r>
        <w:rPr>
          <w:rStyle w:val="FootnoteReference"/>
        </w:rPr>
        <w:footnoteReference w:id="858"/>
      </w:r>
      <w:r>
        <w:t xml:space="preserve"> </w:t>
      </w:r>
      <w:r>
        <w:t xml:space="preserve">A package can carry several policies, for example one for employees and a second for partner users with a stricter approval chain.</w:t>
      </w:r>
      <w:r>
        <w:rPr>
          <w:rStyle w:val="FootnoteReference"/>
        </w:rPr>
        <w:footnoteReference w:id="859"/>
      </w:r>
    </w:p>
    <w:p>
      <w:pPr>
        <w:pStyle w:val="BodyText"/>
      </w:pPr>
      <w:r>
        <w:t xml:space="preserve">Approval works like this as of October 2026:</w:t>
      </w:r>
      <w:r>
        <w:rPr>
          <w:rStyle w:val="FootnoteReference"/>
        </w:rPr>
        <w:footnoteReference w:id="861"/>
      </w:r>
    </w:p>
    <w:p>
      <w:pPr>
        <w:pStyle w:val="Compact"/>
        <w:numPr>
          <w:ilvl w:val="0"/>
          <w:numId w:val="1054"/>
        </w:numPr>
      </w:pPr>
      <w:r>
        <w:t xml:space="preserve">A policy can require one, two, or three approval stages. In each stage, one approver’s decision is enough; a denial in any stage, or no decision, ends the request.</w:t>
      </w:r>
    </w:p>
    <w:p>
      <w:pPr>
        <w:pStyle w:val="Compact"/>
        <w:numPr>
          <w:ilvl w:val="0"/>
          <w:numId w:val="1054"/>
        </w:numPr>
      </w:pPr>
      <w:r>
        <w:t xml:space="preserve">Approvers can be specific users or groups, the requestor’s manager, or an internal or external sponsor. If the manager is the first-stage approver, add a fallback approver for requestors with no manager in the directory.</w:t>
      </w:r>
    </w:p>
    <w:p>
      <w:pPr>
        <w:pStyle w:val="Compact"/>
        <w:numPr>
          <w:ilvl w:val="0"/>
          <w:numId w:val="1054"/>
        </w:numPr>
      </w:pPr>
      <w:r>
        <w:t xml:space="preserve">Approvers can’t approve their own requests.</w:t>
      </w:r>
    </w:p>
    <w:p>
      <w:pPr>
        <w:pStyle w:val="Compact"/>
        <w:numPr>
          <w:ilvl w:val="0"/>
          <w:numId w:val="1054"/>
        </w:numPr>
      </w:pPr>
      <w:r>
        <w:t xml:space="preserve">Each stage has a decision deadline in days. A request that isn’t decided in time is denied, and the user has to request again.</w:t>
      </w:r>
    </w:p>
    <w:p>
      <w:pPr>
        <w:pStyle w:val="Compact"/>
        <w:numPr>
          <w:ilvl w:val="0"/>
          <w:numId w:val="1054"/>
        </w:numPr>
      </w:pPr>
      <w:r>
        <w:t xml:space="preserve">Alternate approvers receive a pending request on a forwarding schedule. Forwarding can start only a day after the request, and the request timeout must be at least four days to use it.</w:t>
      </w:r>
    </w:p>
    <w:p>
      <w:pPr>
        <w:pStyle w:val="Compact"/>
        <w:numPr>
          <w:ilvl w:val="0"/>
          <w:numId w:val="1054"/>
        </w:numPr>
      </w:pPr>
      <w:r>
        <w:t xml:space="preserve">The policy can require justification from the requestor and from approvers, and can ask the requestor custom questions whose answers approvers see.</w:t>
      </w:r>
    </w:p>
    <w:p>
      <w:pPr>
        <w:pStyle w:val="FirstParagraph"/>
      </w:pPr>
      <w:r>
        <w:t xml:space="preserve">The program’s approval chains follow the application’s risk tier, which Chapter 06 defines along with the people behind each role. The chains below are design positions: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Stage 1</w:t>
            </w:r>
          </w:p>
        </w:tc>
        <w:tc>
          <w:tcPr/>
          <w:p>
            <w:pPr>
              <w:pStyle w:val="Compact"/>
            </w:pPr>
            <w:r>
              <w:t xml:space="preserve">Stage 2</w:t>
            </w:r>
          </w:p>
        </w:tc>
        <w:tc>
          <w:tcPr/>
          <w:p>
            <w:pPr>
              <w:pStyle w:val="Compact"/>
            </w:pPr>
            <w:r>
              <w:t xml:space="preserve">Decision deadline per stage</w:t>
            </w:r>
          </w:p>
        </w:tc>
        <w:tc>
          <w:tcPr/>
          <w:p>
            <w:pPr>
              <w:pStyle w:val="Compact"/>
            </w:pPr>
            <w:r>
              <w:t xml:space="preserve">Justification</w:t>
            </w:r>
          </w:p>
        </w:tc>
      </w:tr>
      <w:tr>
        <w:tc>
          <w:tcPr/>
          <w:p>
            <w:pPr>
              <w:pStyle w:val="Compact"/>
            </w:pPr>
            <w:r>
              <w:t xml:space="preserve">Tier 3</w:t>
            </w:r>
          </w:p>
        </w:tc>
        <w:tc>
          <w:tcPr/>
          <w:p>
            <w:pPr>
              <w:pStyle w:val="Compact"/>
            </w:pPr>
            <w:r>
              <w:t xml:space="preserve">Department owner (the requestor’s manager, with a fallback approver)</w:t>
            </w:r>
          </w:p>
        </w:tc>
        <w:tc>
          <w:tcPr/>
          <w:p>
            <w:pPr>
              <w:pStyle w:val="Compact"/>
            </w:pPr>
          </w:p>
        </w:tc>
        <w:tc>
          <w:tcPr/>
          <w:p>
            <w:pPr>
              <w:pStyle w:val="Compact"/>
            </w:pPr>
            <w:r>
              <w:t xml:space="preserve">7 days</w:t>
            </w:r>
          </w:p>
        </w:tc>
        <w:tc>
          <w:tcPr/>
          <w:p>
            <w:pPr>
              <w:pStyle w:val="Compact"/>
            </w:pPr>
            <w:r>
              <w:t xml:space="preserve">Requestor</w:t>
            </w:r>
          </w:p>
        </w:tc>
      </w:tr>
      <w:tr>
        <w:tc>
          <w:tcPr/>
          <w:p>
            <w:pPr>
              <w:pStyle w:val="Compact"/>
            </w:pPr>
            <w:r>
              <w:t xml:space="preserve">Tier 2</w:t>
            </w:r>
          </w:p>
        </w:tc>
        <w:tc>
          <w:tcPr/>
          <w:p>
            <w:pPr>
              <w:pStyle w:val="Compact"/>
            </w:pPr>
            <w:r>
              <w:t xml:space="preserve">Application owner (alternate: backup application owner)</w:t>
            </w:r>
          </w:p>
        </w:tc>
        <w:tc>
          <w:tcPr/>
          <w:p>
            <w:pPr>
              <w:pStyle w:val="Compact"/>
            </w:pPr>
          </w:p>
        </w:tc>
        <w:tc>
          <w:tcPr/>
          <w:p>
            <w:pPr>
              <w:pStyle w:val="Compact"/>
            </w:pPr>
            <w:r>
              <w:t xml:space="preserve">5 days</w:t>
            </w:r>
          </w:p>
        </w:tc>
        <w:tc>
          <w:tcPr/>
          <w:p>
            <w:pPr>
              <w:pStyle w:val="Compact"/>
            </w:pPr>
            <w:r>
              <w:t xml:space="preserve">Requestor and approver</w:t>
            </w:r>
          </w:p>
        </w:tc>
      </w:tr>
      <w:tr>
        <w:tc>
          <w:tcPr/>
          <w:p>
            <w:pPr>
              <w:pStyle w:val="Compact"/>
            </w:pPr>
            <w:r>
              <w:t xml:space="preserve">Tier 1</w:t>
            </w:r>
          </w:p>
        </w:tc>
        <w:tc>
          <w:tcPr/>
          <w:p>
            <w:pPr>
              <w:pStyle w:val="Compact"/>
            </w:pPr>
            <w:r>
              <w:t xml:space="preserve">Application owner (alternate: backup application owner)</w:t>
            </w:r>
          </w:p>
        </w:tc>
        <w:tc>
          <w:tcPr/>
          <w:p>
            <w:pPr>
              <w:pStyle w:val="Compact"/>
            </w:pPr>
            <w:r>
              <w:t xml:space="preserve">Identity governance office</w:t>
            </w:r>
          </w:p>
        </w:tc>
        <w:tc>
          <w:tcPr/>
          <w:p>
            <w:pPr>
              <w:pStyle w:val="Compact"/>
            </w:pPr>
            <w:r>
              <w:t xml:space="preserve">5 days</w:t>
            </w:r>
          </w:p>
        </w:tc>
        <w:tc>
          <w:tcPr/>
          <w:p>
            <w:pPr>
              <w:pStyle w:val="Compact"/>
            </w:pPr>
            <w:r>
              <w:t xml:space="preserve">Requestor and approvers</w:t>
            </w:r>
          </w:p>
        </w:tc>
      </w:tr>
    </w:tbl>
    <w:p>
      <w:pPr>
        <w:pStyle w:val="BodyText"/>
      </w:pPr>
      <w:r>
        <w:t xml:space="preserve">The program’s earlier request procedure only notified the governance office of Tier 1 grants. Making the office a second approval stage costs a few hours and leaves an approval record instead of an email. For resources more sensitive still, Microsoft describes a three-stage pattern: the manager confirms the business need, the resource owner confirms the access, and a security reviewer can reject on risk criteria the owner doesn’t see.</w:t>
      </w:r>
      <w:r>
        <w:rPr>
          <w:rStyle w:val="FootnoteReference"/>
        </w:rPr>
        <w:footnoteReference w:id="862"/>
      </w:r>
    </w:p>
    <w:bookmarkEnd w:id="863"/>
    <w:bookmarkStart w:id="870" w:name="expiration-and-extension"/>
    <w:p>
      <w:pPr>
        <w:pStyle w:val="Heading3"/>
      </w:pPr>
      <w:r>
        <w:t xml:space="preserve">Expiration and extension</w:t>
      </w:r>
    </w:p>
    <w:p>
      <w:pPr>
        <w:pStyle w:val="FirstParagraph"/>
      </w:pPr>
      <w:r>
        <w:t xml:space="preserve">On the policy’s lifecycle tab, assignments expire on a fixed date, after a number of days (0 to 3660), after a number of hours, or never.</w:t>
      </w:r>
      <w:r>
        <w:rPr>
          <w:rStyle w:val="FootnoteReference"/>
        </w:rPr>
        <w:footnoteReference w:id="864"/>
      </w:r>
      <w:r>
        <w:t xml:space="preserve"> </w:t>
      </w:r>
      <w:r>
        <w:t xml:space="preserve">If the policy allows extension, the user gets an email 14 days and again one day before expiry, must still be in the policy’s scope to extend, and can be required to get approval for the extension through the same approval settings.</w:t>
      </w:r>
      <w:r>
        <w:rPr>
          <w:rStyle w:val="FootnoteReference"/>
        </w:rPr>
        <w:footnoteReference w:id="866"/>
      </w:r>
      <w:r>
        <w:t xml:space="preserve"> </w:t>
      </w:r>
      <w:r>
        <w:t xml:space="preserve">Changing a policy’s expiration doesn’t change the expiry of requests already pending or approved.</w:t>
      </w:r>
      <w:r>
        <w:rPr>
          <w:rStyle w:val="FootnoteReference"/>
        </w:rPr>
        <w:footnoteReference w:id="867"/>
      </w:r>
    </w:p>
    <w:p>
      <w:pPr>
        <w:pStyle w:val="BodyText"/>
      </w:pPr>
      <w:r>
        <w:t xml:space="preserve">The program never uses</w:t>
      </w:r>
      <w:r>
        <w:t xml:space="preserve"> </w:t>
      </w:r>
      <w:r>
        <w:t xml:space="preserve">“never.”</w:t>
      </w:r>
      <w:r>
        <w:t xml:space="preserve"> </w:t>
      </w:r>
      <w:r>
        <w:t xml:space="preserve">Its defaults, as design positions: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Package type</w:t>
            </w:r>
          </w:p>
        </w:tc>
        <w:tc>
          <w:tcPr/>
          <w:p>
            <w:pPr>
              <w:pStyle w:val="Compact"/>
            </w:pPr>
            <w:r>
              <w:t xml:space="preserve">Expiry</w:t>
            </w:r>
          </w:p>
        </w:tc>
        <w:tc>
          <w:tcPr/>
          <w:p>
            <w:pPr>
              <w:pStyle w:val="Compact"/>
            </w:pPr>
            <w:r>
              <w:t xml:space="preserve">Extension</w:t>
            </w:r>
          </w:p>
        </w:tc>
      </w:tr>
      <w:tr>
        <w:tc>
          <w:tcPr/>
          <w:p>
            <w:pPr>
              <w:pStyle w:val="Compact"/>
            </w:pPr>
            <w:r>
              <w:t xml:space="preserve">Tier 1 application access</w:t>
            </w:r>
          </w:p>
        </w:tc>
        <w:tc>
          <w:tcPr/>
          <w:p>
            <w:pPr>
              <w:pStyle w:val="Compact"/>
            </w:pPr>
            <w:r>
              <w:t xml:space="preserve">90 days</w:t>
            </w:r>
          </w:p>
        </w:tc>
        <w:tc>
          <w:tcPr/>
          <w:p>
            <w:pPr>
              <w:pStyle w:val="Compact"/>
            </w:pPr>
            <w:r>
              <w:t xml:space="preserve">Allowed, with approval</w:t>
            </w:r>
          </w:p>
        </w:tc>
      </w:tr>
      <w:tr>
        <w:tc>
          <w:tcPr/>
          <w:p>
            <w:pPr>
              <w:pStyle w:val="Compact"/>
            </w:pPr>
            <w:r>
              <w:t xml:space="preserve">Tier 2 application access</w:t>
            </w:r>
          </w:p>
        </w:tc>
        <w:tc>
          <w:tcPr/>
          <w:p>
            <w:pPr>
              <w:pStyle w:val="Compact"/>
            </w:pPr>
            <w:r>
              <w:t xml:space="preserve">180 days</w:t>
            </w:r>
          </w:p>
        </w:tc>
        <w:tc>
          <w:tcPr/>
          <w:p>
            <w:pPr>
              <w:pStyle w:val="Compact"/>
            </w:pPr>
            <w:r>
              <w:t xml:space="preserve">Allowed, with approval</w:t>
            </w:r>
          </w:p>
        </w:tc>
      </w:tr>
      <w:tr>
        <w:tc>
          <w:tcPr/>
          <w:p>
            <w:pPr>
              <w:pStyle w:val="Compact"/>
            </w:pPr>
            <w:r>
              <w:t xml:space="preserve">Tier 3 application access and department packages</w:t>
            </w:r>
          </w:p>
        </w:tc>
        <w:tc>
          <w:tcPr/>
          <w:p>
            <w:pPr>
              <w:pStyle w:val="Compact"/>
            </w:pPr>
            <w:r>
              <w:t xml:space="preserve">365 days</w:t>
            </w:r>
          </w:p>
        </w:tc>
        <w:tc>
          <w:tcPr/>
          <w:p>
            <w:pPr>
              <w:pStyle w:val="Compact"/>
            </w:pPr>
            <w:r>
              <w:t xml:space="preserve">Allowed without approval while in scope</w:t>
            </w:r>
          </w:p>
        </w:tc>
      </w:tr>
      <w:tr>
        <w:tc>
          <w:tcPr/>
          <w:p>
            <w:pPr>
              <w:pStyle w:val="Compact"/>
            </w:pPr>
            <w:r>
              <w:t xml:space="preserve">Project packages</w:t>
            </w:r>
          </w:p>
        </w:tc>
        <w:tc>
          <w:tcPr/>
          <w:p>
            <w:pPr>
              <w:pStyle w:val="Compact"/>
            </w:pPr>
            <w:r>
              <w:t xml:space="preserve">On the project end date</w:t>
            </w:r>
          </w:p>
        </w:tc>
        <w:tc>
          <w:tcPr/>
          <w:p>
            <w:pPr>
              <w:pStyle w:val="Compact"/>
            </w:pPr>
            <w:r>
              <w:t xml:space="preserve">Allowed, with approval, up to the end date</w:t>
            </w:r>
          </w:p>
        </w:tc>
      </w:tr>
      <w:tr>
        <w:tc>
          <w:tcPr/>
          <w:p>
            <w:pPr>
              <w:pStyle w:val="Compact"/>
            </w:pPr>
            <w:r>
              <w:t xml:space="preserve">Packages for external users</w:t>
            </w:r>
          </w:p>
        </w:tc>
        <w:tc>
          <w:tcPr/>
          <w:p>
            <w:pPr>
              <w:pStyle w:val="Compact"/>
            </w:pPr>
            <w:r>
              <w:t xml:space="preserve">No more than 365 days</w:t>
            </w:r>
          </w:p>
        </w:tc>
        <w:tc>
          <w:tcPr/>
          <w:p>
            <w:pPr>
              <w:pStyle w:val="Compact"/>
            </w:pPr>
            <w:r>
              <w:t xml:space="preserve">Allowed, with sponsor approval</w:t>
            </w:r>
          </w:p>
        </w:tc>
      </w:tr>
    </w:tbl>
    <w:p>
      <w:pPr>
        <w:pStyle w:val="BodyText"/>
      </w:pPr>
      <w:r>
        <w:t xml:space="preserve">Microsoft recommends that external users’ packages expire within 365 days unless the project runs longer, and that any package without expiration get regular access reviews.</w:t>
      </w:r>
      <w:r>
        <w:rPr>
          <w:rStyle w:val="FootnoteReference"/>
        </w:rPr>
        <w:footnoteReference w:id="868"/>
      </w:r>
    </w:p>
    <w:bookmarkEnd w:id="870"/>
    <w:bookmarkStart w:id="878" w:name="separation-of-duties"/>
    <w:p>
      <w:pPr>
        <w:pStyle w:val="Heading3"/>
      </w:pPr>
      <w:r>
        <w:t xml:space="preserve">Separation of duties</w:t>
      </w:r>
    </w:p>
    <w:p>
      <w:pPr>
        <w:pStyle w:val="FirstParagraph"/>
      </w:pPr>
      <w:r>
        <w:t xml:space="preserve">A package can list other access packages, and security groups, as incompatible. A user who already holds an incompatible assignment or membership can’t request the package, and an access package manager can’t assign it to them either.</w:t>
      </w:r>
      <w:r>
        <w:rPr>
          <w:rStyle w:val="FootnoteReference"/>
        </w:rPr>
        <w:footnoteReference w:id="871"/>
      </w:r>
      <w:r>
        <w:t xml:space="preserve"> </w:t>
      </w:r>
      <w:r>
        <w:t xml:space="preserve">The relationship is one-way: to keep users from holding both the</w:t>
      </w:r>
      <w:r>
        <w:t xml:space="preserve"> </w:t>
      </w:r>
      <w:r>
        <w:t xml:space="preserve">“western territory”</w:t>
      </w:r>
      <w:r>
        <w:t xml:space="preserve"> </w:t>
      </w:r>
      <w:r>
        <w:t xml:space="preserve">and</w:t>
      </w:r>
      <w:r>
        <w:t xml:space="preserve"> </w:t>
      </w:r>
      <w:r>
        <w:t xml:space="preserve">“eastern territory”</w:t>
      </w:r>
      <w:r>
        <w:t xml:space="preserve"> </w:t>
      </w:r>
      <w:r>
        <w:t xml:space="preserve">packages, each package must list the other.</w:t>
      </w:r>
      <w:r>
        <w:rPr>
          <w:rStyle w:val="FootnoteReference"/>
        </w:rPr>
        <w:footnoteReference w:id="872"/>
      </w:r>
      <w:r>
        <w:t xml:space="preserve"> </w:t>
      </w:r>
      <w:r>
        <w:t xml:space="preserve">Incompatible groups can be on-premises AD groups synchronized to Entra ID, which lets the check respect access granted in systems outside the cloud.</w:t>
      </w:r>
      <w:r>
        <w:rPr>
          <w:rStyle w:val="FootnoteReference"/>
        </w:rPr>
        <w:footnoteReference w:id="873"/>
      </w:r>
      <w:r>
        <w:t xml:space="preserve"> </w:t>
      </w:r>
      <w:r>
        <w:t xml:space="preserve">The check works with P2.</w:t>
      </w:r>
      <w:r>
        <w:rPr>
          <w:rStyle w:val="FootnoteReference"/>
        </w:rPr>
        <w:footnoteReference w:id="874"/>
      </w:r>
    </w:p>
    <w:p>
      <w:pPr>
        <w:pStyle w:val="BodyText"/>
      </w:pPr>
      <w:r>
        <w:t xml:space="preserve">When the business needs an exception, Microsoft’s pattern is to create a separate combined package for the people who legitimately need both, with a shorter expiry and more frequent reviews, so that the exception is visible to approvers, reviewers, and assessors.</w:t>
      </w:r>
      <w:r>
        <w:rPr>
          <w:rStyle w:val="FootnoteReference"/>
        </w:rPr>
        <w:footnoteReference w:id="875"/>
      </w:r>
      <w:r>
        <w:t xml:space="preserve"> </w:t>
      </w:r>
      <w:r>
        <w:t xml:space="preserve">The program uses that pattern and records each combined package in the exception register. When incompatibility is added to a package that already has assignments, the portal can download the list of users who already hold both, and Microsoft Graph can list that</w:t>
      </w:r>
      <w:r>
        <w:t xml:space="preserve"> </w:t>
      </w:r>
      <w:r>
        <w:t xml:space="preserve">“additional access”</w:t>
      </w:r>
      <w:r>
        <w:t xml:space="preserve"> </w:t>
      </w:r>
      <w:r>
        <w:t xml:space="preserve">too; resolve those before relying on the check.</w:t>
      </w:r>
      <w:r>
        <w:rPr>
          <w:rStyle w:val="FootnoteReference"/>
        </w:rPr>
        <w:footnoteReference w:id="876"/>
      </w:r>
    </w:p>
    <w:p>
      <w:pPr>
        <w:pStyle w:val="BodyText"/>
      </w:pPr>
      <w:r>
        <w:t xml:space="preserve">The</w:t>
      </w:r>
      <w:r>
        <w:t xml:space="preserve"> </w:t>
      </w:r>
      <w:r>
        <w:rPr>
          <w:i/>
          <w:iCs/>
        </w:rPr>
        <w:t xml:space="preserve">Application role assignment activity</w:t>
      </w:r>
      <w:r>
        <w:t xml:space="preserve"> </w:t>
      </w:r>
      <w:r>
        <w:t xml:space="preserve">workbook, with entitlement activity omitted, shows app role assignments made outside entitlement management, for example a direct assignment by an administrator.</w:t>
      </w:r>
      <w:r>
        <w:rPr>
          <w:rStyle w:val="FootnoteReference"/>
        </w:rPr>
        <w:footnoteReference w:id="877"/>
      </w:r>
      <w:r>
        <w:t xml:space="preserve"> </w:t>
      </w:r>
      <w:r>
        <w:t xml:space="preserve">The program runs it monthly as a detective check on the group-based rule.</w:t>
      </w:r>
    </w:p>
    <w:bookmarkEnd w:id="878"/>
    <w:bookmarkStart w:id="881" w:name="automatic-assignment"/>
    <w:p>
      <w:pPr>
        <w:pStyle w:val="Heading3"/>
      </w:pPr>
      <w:r>
        <w:t xml:space="preserve">Automatic assignment</w:t>
      </w:r>
    </w:p>
    <w:p>
      <w:pPr>
        <w:pStyle w:val="FirstParagraph"/>
      </w:pPr>
      <w:r>
        <w:t xml:space="preserve">With Entra ID Governance, an automatic assignment policy assigns a package to everyone who matches a rule on user attributes (such as department or cost center) and removes the assignment when they stop matching.</w:t>
      </w:r>
      <w:r>
        <w:rPr>
          <w:rStyle w:val="FootnoteReference"/>
        </w:rPr>
        <w:footnoteReference w:id="879"/>
      </w:r>
      <w:r>
        <w:rPr>
          <w:rStyle w:val="FootnoteReference"/>
        </w:rPr>
        <w:footnoteReference w:id="880"/>
      </w:r>
      <w:r>
        <w:t xml:space="preserve"> </w:t>
      </w:r>
      <w:r>
        <w:t xml:space="preserve">This is the mechanism for department packages, and it depends on the attributes the HR feed maintains (Book 03). Book 02 notes one time-sensitive caution: don’t build automatic assignment rules on the preview</w:t>
      </w:r>
      <w:r>
        <w:t xml:space="preserve"> </w:t>
      </w:r>
      <w:r>
        <w:rPr>
          <w:rStyle w:val="VerbatimChar"/>
        </w:rPr>
        <w:t xml:space="preserve">memberOf</w:t>
      </w:r>
      <w:r>
        <w:t xml:space="preserve"> </w:t>
      </w:r>
      <w:r>
        <w:t xml:space="preserve">operator (Book 02, Chapter 10).</w:t>
      </w:r>
    </w:p>
    <w:bookmarkEnd w:id="881"/>
    <w:bookmarkEnd w:id="882"/>
    <w:bookmarkStart w:id="914" w:name="access-reviews"/>
    <w:p>
      <w:pPr>
        <w:pStyle w:val="Heading2"/>
      </w:pPr>
      <w:bookmarkStart w:id="1263" w:name="_Toc00001263"/>
      <w:r>
        <w:t xml:space="preserve">Access reviews</w:t>
      </w:r>
      <w:bookmarkEnd w:id="1263"/>
    </w:p>
    <w:p>
      <w:pPr>
        <w:pStyle w:val="FirstParagraph"/>
      </w:pPr>
      <w:r>
        <w:t xml:space="preserve">Access reviews are recurring attestation that each person still needs what they hold. A review captures a snapshot of access when each instance starts; changes made during a review show up in the next cycle.</w:t>
      </w:r>
      <w:r>
        <w:rPr>
          <w:rStyle w:val="FootnoteReference"/>
        </w:rPr>
        <w:footnoteReference w:id="883"/>
      </w:r>
    </w:p>
    <w:bookmarkStart w:id="887" w:name="fig-ch09-review-instance"/>
    <w:p>
      <w:pPr>
        <w:pStyle w:val="CaptionedFigure"/>
      </w:pPr>
      <w:r>
        <w:drawing>
          <wp:inline>
            <wp:extent cx="5334000" cy="1372720"/>
            <wp:effectExtent b="0" l="0" r="0" t="0"/>
            <wp:docPr descr="One review instance: a snapshot of access goes to reviewers, unanswered items fall to the fallback reviewer and then to the no-response default, auto-apply removes denials, and the decisions become evidence." title="" id="885" name="Picture"/>
            <a:graphic>
              <a:graphicData uri="http://schemas.openxmlformats.org/drawingml/2006/picture">
                <pic:pic>
                  <pic:nvPicPr>
                    <pic:cNvPr descr="/home/runner/work/modernization-workbook/modernization-workbook/docs/images/diagrams/b04-access/png/ch09-review-instance.png" id="886" name="Picture"/>
                    <pic:cNvPicPr>
                      <a:picLocks noChangeArrowheads="1" noChangeAspect="1"/>
                    </pic:cNvPicPr>
                  </pic:nvPicPr>
                  <pic:blipFill>
                    <a:blip r:embed="rId884"/>
                    <a:stretch>
                      <a:fillRect/>
                    </a:stretch>
                  </pic:blipFill>
                  <pic:spPr bwMode="auto">
                    <a:xfrm>
                      <a:off x="0" y="0"/>
                      <a:ext cx="5334000" cy="1372720"/>
                    </a:xfrm>
                    <a:prstGeom prst="rect">
                      <a:avLst/>
                    </a:prstGeom>
                    <a:noFill/>
                    <a:ln w="9525">
                      <a:noFill/>
                      <a:headEnd/>
                      <a:tailEnd/>
                    </a:ln>
                  </pic:spPr>
                </pic:pic>
              </a:graphicData>
            </a:graphic>
          </wp:inline>
        </w:drawing>
      </w:r>
    </w:p>
    <w:p>
      <w:pPr>
        <w:pStyle w:val="ImageCaption"/>
      </w:pPr>
      <w:r>
        <w:t xml:space="preserve">One review instance: a snapshot of access goes to reviewers, unanswered items fall to the fallback reviewer and then to the no-response default, auto-apply removes denials, and the decisions become evidence.</w:t>
      </w:r>
    </w:p>
    <w:bookmarkEnd w:id="887"/>
    <w:bookmarkStart w:id="894" w:name="what-can-be-reviewed"/>
    <w:p>
      <w:pPr>
        <w:pStyle w:val="Heading3"/>
      </w:pPr>
      <w:r>
        <w:t xml:space="preserve">What can be reviewed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Review target</w:t>
            </w:r>
          </w:p>
        </w:tc>
        <w:tc>
          <w:tcPr/>
          <w:p>
            <w:pPr>
              <w:pStyle w:val="Compact"/>
            </w:pPr>
            <w:r>
              <w:t xml:space="preserve">Where it’s configured</w:t>
            </w:r>
          </w:p>
        </w:tc>
        <w:tc>
          <w:tcPr/>
          <w:p>
            <w:pPr>
              <w:pStyle w:val="Compact"/>
            </w:pPr>
            <w:r>
              <w:t xml:space="preserve">License note</w:t>
            </w:r>
          </w:p>
        </w:tc>
      </w:tr>
      <w:tr>
        <w:tc>
          <w:tcPr/>
          <w:p>
            <w:pPr>
              <w:pStyle w:val="Compact"/>
            </w:pPr>
            <w:r>
              <w:t xml:space="preserve">Group and Teams membership</w:t>
            </w:r>
          </w:p>
        </w:tc>
        <w:tc>
          <w:tcPr/>
          <w:p>
            <w:pPr>
              <w:pStyle w:val="Compact"/>
            </w:pPr>
            <w:r>
              <w:t xml:space="preserve">Access reviews</w:t>
            </w:r>
          </w:p>
        </w:tc>
        <w:tc>
          <w:tcPr/>
          <w:p>
            <w:pPr>
              <w:pStyle w:val="Compact"/>
            </w:pPr>
            <w:r>
              <w:t xml:space="preserve">P2 set; inactive-only scope needs Governance</w:t>
            </w:r>
          </w:p>
        </w:tc>
      </w:tr>
      <w:tr>
        <w:tc>
          <w:tcPr/>
          <w:p>
            <w:pPr>
              <w:pStyle w:val="Compact"/>
            </w:pPr>
            <w:r>
              <w:t xml:space="preserve">Application assignments</w:t>
            </w:r>
          </w:p>
        </w:tc>
        <w:tc>
          <w:tcPr/>
          <w:p>
            <w:pPr>
              <w:pStyle w:val="Compact"/>
            </w:pPr>
            <w:r>
              <w:t xml:space="preserve">Access reviews</w:t>
            </w:r>
          </w:p>
        </w:tc>
        <w:tc>
          <w:tcPr/>
          <w:p>
            <w:pPr>
              <w:pStyle w:val="Compact"/>
            </w:pPr>
            <w:r>
              <w:t xml:space="preserve">P2 set</w:t>
            </w:r>
          </w:p>
        </w:tc>
      </w:tr>
      <w:tr>
        <w:tc>
          <w:tcPr/>
          <w:p>
            <w:pPr>
              <w:pStyle w:val="Compact"/>
            </w:pPr>
            <w:r>
              <w:t xml:space="preserve">Access package assignments</w:t>
            </w:r>
          </w:p>
        </w:tc>
        <w:tc>
          <w:tcPr/>
          <w:p>
            <w:pPr>
              <w:pStyle w:val="Compact"/>
            </w:pPr>
            <w:r>
              <w:t xml:space="preserve">The package’s policy (lifecycle tab) or access reviews</w:t>
            </w:r>
          </w:p>
        </w:tc>
        <w:tc>
          <w:tcPr/>
          <w:p>
            <w:pPr>
              <w:pStyle w:val="Compact"/>
            </w:pPr>
            <w:r>
              <w:t xml:space="preserve">P2 set</w:t>
            </w:r>
          </w:p>
        </w:tc>
      </w:tr>
      <w:tr>
        <w:tc>
          <w:tcPr/>
          <w:p>
            <w:pPr>
              <w:pStyle w:val="Compact"/>
            </w:pPr>
            <w:r>
              <w:t xml:space="preserve">Entra roles and Azure resource roles</w:t>
            </w:r>
          </w:p>
        </w:tc>
        <w:tc>
          <w:tcPr/>
          <w:p>
            <w:pPr>
              <w:pStyle w:val="Compact"/>
            </w:pPr>
            <w:r>
              <w:t xml:space="preserve">PIM</w:t>
            </w:r>
          </w:p>
        </w:tc>
        <w:tc>
          <w:tcPr/>
          <w:p>
            <w:pPr>
              <w:pStyle w:val="Compact"/>
            </w:pPr>
            <w:r>
              <w:t xml:space="preserve">P2 or Governance</w:t>
            </w:r>
          </w:p>
        </w:tc>
      </w:tr>
      <w:tr>
        <w:tc>
          <w:tcPr/>
          <w:p>
            <w:pPr>
              <w:pStyle w:val="Compact"/>
            </w:pPr>
            <w:r>
              <w:t xml:space="preserve">PIM for Groups membership</w:t>
            </w:r>
          </w:p>
        </w:tc>
        <w:tc>
          <w:tcPr/>
          <w:p>
            <w:pPr>
              <w:pStyle w:val="Compact"/>
            </w:pPr>
            <w:r>
              <w:t xml:space="preserve">Access reviews (preview)</w:t>
            </w:r>
          </w:p>
        </w:tc>
        <w:tc>
          <w:tcPr/>
          <w:p>
            <w:pPr>
              <w:pStyle w:val="Compact"/>
            </w:pPr>
            <w:r>
              <w:t xml:space="preserve">Governance</w:t>
            </w:r>
          </w:p>
        </w:tc>
      </w:tr>
      <w:tr>
        <w:tc>
          <w:tcPr/>
          <w:p>
            <w:pPr>
              <w:pStyle w:val="Compact"/>
            </w:pPr>
            <w:r>
              <w:t xml:space="preserve">Guests across all Microsoft 365 groups</w:t>
            </w:r>
          </w:p>
        </w:tc>
        <w:tc>
          <w:tcPr/>
          <w:p>
            <w:pPr>
              <w:pStyle w:val="Compact"/>
            </w:pPr>
            <w:r>
              <w:t xml:space="preserve">Access reviews,</w:t>
            </w:r>
            <w:r>
              <w:t xml:space="preserve"> </w:t>
            </w:r>
            <w:r>
              <w:t xml:space="preserve">“All Microsoft 365 groups with guest users”</w:t>
            </w:r>
          </w:p>
        </w:tc>
        <w:tc>
          <w:tcPr/>
          <w:p>
            <w:pPr>
              <w:pStyle w:val="Compact"/>
            </w:pPr>
            <w:r>
              <w:t xml:space="preserve">Guest billing applies</w:t>
            </w:r>
          </w:p>
        </w:tc>
      </w:tr>
    </w:tbl>
    <w:p>
      <w:pPr>
        <w:pStyle w:val="BodyText"/>
      </w:pPr>
      <w:r>
        <w:t xml:space="preserve">The table draws on Microsoft’s review-creation guidance and licensing reference.</w:t>
      </w:r>
      <w:r>
        <w:rPr>
          <w:rStyle w:val="FootnoteReference"/>
        </w:rPr>
        <w:footnoteReference w:id="888"/>
      </w:r>
      <w:r>
        <w:rPr>
          <w:rStyle w:val="FootnoteReference"/>
        </w:rPr>
        <w:footnoteReference w:id="889"/>
      </w:r>
      <w:r>
        <w:t xml:space="preserve"> </w:t>
      </w:r>
      <w:r>
        <w:t xml:space="preserve">Note two scoping details. A review of all Microsoft 365 groups with guests covers guests only and excludes dynamic and role-assignable groups.</w:t>
      </w:r>
      <w:r>
        <w:rPr>
          <w:rStyle w:val="FootnoteReference"/>
        </w:rPr>
        <w:footnoteReference w:id="890"/>
      </w:r>
      <w:r>
        <w:t xml:space="preserve"> </w:t>
      </w:r>
      <w:r>
        <w:t xml:space="preserve">A group membership review can be scoped to users inactive for up to 730 days, and users created more recently than the inactivity window are left out so that a new user gets a chance to sign in.</w:t>
      </w:r>
      <w:r>
        <w:rPr>
          <w:rStyle w:val="FootnoteReference"/>
        </w:rPr>
        <w:footnoteReference w:id="891"/>
      </w:r>
    </w:p>
    <w:p>
      <w:pPr>
        <w:pStyle w:val="BodyText"/>
      </w:pPr>
      <w:r>
        <w:t xml:space="preserve">Because the program assigns application access through groups, it reviews the groups, not the applications. Microsoft notes that a review of an application that uses group assignment doesn’t remove the members of those groups, so they keep their access through the group.</w:t>
      </w:r>
      <w:r>
        <w:rPr>
          <w:rStyle w:val="FootnoteReference"/>
        </w:rPr>
        <w:footnoteReference w:id="892"/>
      </w:r>
    </w:p>
    <w:p>
      <w:pPr>
        <w:pStyle w:val="BodyText"/>
      </w:pPr>
      <w:r>
        <w:t xml:space="preserve">Reviews of privileged roles happen in PIM; the role settings that pair with them are in Chapter 08 and Appendix B.</w:t>
      </w:r>
    </w:p>
    <w:bookmarkEnd w:id="894"/>
    <w:bookmarkStart w:id="900" w:name="reviewers-and-fallback-reviewers"/>
    <w:p>
      <w:pPr>
        <w:pStyle w:val="Heading3"/>
      </w:pPr>
      <w:r>
        <w:t xml:space="preserve">Reviewers and fallback reviewers</w:t>
      </w:r>
    </w:p>
    <w:p>
      <w:pPr>
        <w:pStyle w:val="FirstParagraph"/>
      </w:pPr>
      <w:r>
        <w:t xml:space="preserve">Reviewers can be group owners (for group reviews), selected users or groups, the users themselves (self-review), or the users’ managers.</w:t>
      </w:r>
      <w:r>
        <w:rPr>
          <w:rStyle w:val="FootnoteReference"/>
        </w:rPr>
        <w:footnoteReference w:id="895"/>
      </w:r>
      <w:r>
        <w:t xml:space="preserve"> </w:t>
      </w:r>
      <w:r>
        <w:t xml:space="preserve">When the reviewer is a manager or a group owner, add a fallback reviewer: fallback reviewers are asked when a user has no manager in the directory or the group has no owner.</w:t>
      </w:r>
      <w:r>
        <w:rPr>
          <w:rStyle w:val="FootnoteReference"/>
        </w:rPr>
        <w:footnoteReference w:id="896"/>
      </w:r>
      <w:r>
        <w:t xml:space="preserve"> </w:t>
      </w:r>
      <w:r>
        <w:t xml:space="preserve">For reviews of PIM for Groups with owners as reviewers, a fallback reviewer is mandatory, and only active (not eligible) owners count as reviewers.</w:t>
      </w:r>
      <w:r>
        <w:rPr>
          <w:rStyle w:val="FootnoteReference"/>
        </w:rPr>
        <w:footnoteReference w:id="897"/>
      </w:r>
      <w:r>
        <w:t xml:space="preserve"> </w:t>
      </w:r>
      <w:r>
        <w:t xml:space="preserve">Owners are fixed when an instance starts; ownership changes take effect at the next recurrence.</w:t>
      </w:r>
      <w:r>
        <w:rPr>
          <w:rStyle w:val="FootnoteReference"/>
        </w:rPr>
        <w:footnoteReference w:id="898"/>
      </w:r>
    </w:p>
    <w:p>
      <w:pPr>
        <w:pStyle w:val="BodyText"/>
      </w:pPr>
      <w:r>
        <w:t xml:space="preserve">A multi-stage review runs two or three sets of reviewers in sequence, each in its own stage duration, and you choose which reviewees go on to the next stage (approved, denied, not reviewed, marked</w:t>
      </w:r>
      <w:r>
        <w:t xml:space="preserve"> </w:t>
      </w:r>
      <w:r>
        <w:t xml:space="preserve">“don’t know,”</w:t>
      </w:r>
      <w:r>
        <w:t xml:space="preserve"> </w:t>
      </w:r>
      <w:r>
        <w:t xml:space="preserve">or all) and whether later stages see earlier decisions.</w:t>
      </w:r>
      <w:r>
        <w:rPr>
          <w:rStyle w:val="FootnoteReference"/>
        </w:rPr>
        <w:footnoteReference w:id="899"/>
      </w:r>
      <w:r>
        <w:t xml:space="preserve"> </w:t>
      </w:r>
      <w:r>
        <w:t xml:space="preserve">The program uses two stages for Tier 1 applications: the manager first, then the application owner for everyone the manager approved or marked</w:t>
      </w:r>
      <w:r>
        <w:t xml:space="preserve"> </w:t>
      </w:r>
      <w:r>
        <w:t xml:space="preserve">“don’t know.”</w:t>
      </w:r>
      <w:r>
        <w:t xml:space="preserve"> </w:t>
      </w:r>
      <w:r>
        <w:t xml:space="preserve">That replaces the manual</w:t>
      </w:r>
      <w:r>
        <w:t xml:space="preserve"> </w:t>
      </w:r>
      <w:r>
        <w:t xml:space="preserve">“escalate to department owner”</w:t>
      </w:r>
      <w:r>
        <w:t xml:space="preserve"> </w:t>
      </w:r>
      <w:r>
        <w:t xml:space="preserve">step in the program’s older review procedure.</w:t>
      </w:r>
    </w:p>
    <w:bookmarkEnd w:id="900"/>
    <w:bookmarkStart w:id="904" w:name="cadence"/>
    <w:p>
      <w:pPr>
        <w:pStyle w:val="Heading3"/>
      </w:pPr>
      <w:r>
        <w:t xml:space="preserve">Cadence</w:t>
      </w:r>
    </w:p>
    <w:p>
      <w:pPr>
        <w:pStyle w:val="FirstParagraph"/>
      </w:pPr>
      <w:r>
        <w:t xml:space="preserve">A review’s recurrence sets how often it runs, and its duration sets how long reviewers have; the recurrence must be at least as long as the duration.</w:t>
      </w:r>
      <w:r>
        <w:rPr>
          <w:rStyle w:val="FootnoteReference"/>
        </w:rPr>
        <w:footnoteReference w:id="901"/>
      </w:r>
      <w:r>
        <w:t xml:space="preserve"> </w:t>
      </w:r>
      <w:r>
        <w:t xml:space="preserve">Recurrences run from weekly (where the duration can be at most seven days) to monthly, quarterly, semiannual, and annual, and Microsoft recommends quarterly or more frequent reviews of packages that grant external access.</w:t>
      </w:r>
      <w:r>
        <w:rPr>
          <w:rStyle w:val="FootnoteReference"/>
        </w:rPr>
        <w:footnoteReference w:id="902"/>
      </w:r>
      <w:r>
        <w:rPr>
          <w:rStyle w:val="FootnoteReference"/>
        </w:rPr>
        <w:footnoteReference w:id="903"/>
      </w:r>
    </w:p>
    <w:p>
      <w:pPr>
        <w:pStyle w:val="BodyText"/>
      </w:pPr>
      <w:r>
        <w:t xml:space="preserve">The program’s schedule, by target. It refines the review schedule in Book 02, Chapter 10 by application tier; the cadences, reviewers, and no-response defaults are design positions.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Review target</w:t>
            </w:r>
          </w:p>
        </w:tc>
        <w:tc>
          <w:tcPr/>
          <w:p>
            <w:pPr>
              <w:pStyle w:val="Compact"/>
            </w:pPr>
            <w:r>
              <w:t xml:space="preserve">Cadence</w:t>
            </w:r>
          </w:p>
        </w:tc>
        <w:tc>
          <w:tcPr/>
          <w:p>
            <w:pPr>
              <w:pStyle w:val="Compact"/>
            </w:pPr>
            <w:r>
              <w:t xml:space="preserve">Duration</w:t>
            </w:r>
          </w:p>
        </w:tc>
        <w:tc>
          <w:tcPr/>
          <w:p>
            <w:pPr>
              <w:pStyle w:val="Compact"/>
            </w:pPr>
            <w:r>
              <w:t xml:space="preserve">Reviewers</w:t>
            </w:r>
          </w:p>
        </w:tc>
        <w:tc>
          <w:tcPr/>
          <w:p>
            <w:pPr>
              <w:pStyle w:val="Compact"/>
            </w:pPr>
            <w:r>
              <w:t xml:space="preserve">Fallback</w:t>
            </w:r>
          </w:p>
        </w:tc>
        <w:tc>
          <w:tcPr/>
          <w:p>
            <w:pPr>
              <w:pStyle w:val="Compact"/>
            </w:pPr>
            <w:r>
              <w:t xml:space="preserve">If reviewers don’t respond</w:t>
            </w:r>
          </w:p>
        </w:tc>
        <w:tc>
          <w:tcPr/>
          <w:p>
            <w:pPr>
              <w:pStyle w:val="Compact"/>
            </w:pPr>
            <w:r>
              <w:t xml:space="preserve">Auto-apply</w:t>
            </w:r>
          </w:p>
        </w:tc>
      </w:tr>
      <w:tr>
        <w:tc>
          <w:tcPr/>
          <w:p>
            <w:pPr>
              <w:pStyle w:val="Compact"/>
            </w:pPr>
            <w:r>
              <w:t xml:space="preserve">PIM-eligible Entra and Azure roles</w:t>
            </w:r>
          </w:p>
        </w:tc>
        <w:tc>
          <w:tcPr/>
          <w:p>
            <w:pPr>
              <w:pStyle w:val="Compact"/>
            </w:pPr>
            <w:r>
              <w:t xml:space="preserve">Quarterly</w:t>
            </w:r>
          </w:p>
        </w:tc>
        <w:tc>
          <w:tcPr/>
          <w:p>
            <w:pPr>
              <w:pStyle w:val="Compact"/>
            </w:pPr>
            <w:r>
              <w:t xml:space="preserve">14 days</w:t>
            </w:r>
          </w:p>
        </w:tc>
        <w:tc>
          <w:tcPr/>
          <w:p>
            <w:pPr>
              <w:pStyle w:val="Compact"/>
            </w:pPr>
            <w:r>
              <w:t xml:space="preserve">Security team, plus self-attestation</w:t>
            </w:r>
          </w:p>
        </w:tc>
        <w:tc>
          <w:tcPr/>
          <w:p>
            <w:pPr>
              <w:pStyle w:val="Compact"/>
            </w:pPr>
            <w:r>
              <w:t xml:space="preserve">Governance office</w:t>
            </w:r>
          </w:p>
        </w:tc>
        <w:tc>
          <w:tcPr/>
          <w:p>
            <w:pPr>
              <w:pStyle w:val="Compact"/>
            </w:pPr>
            <w:r>
              <w:t xml:space="preserve">Remove access</w:t>
            </w:r>
          </w:p>
        </w:tc>
        <w:tc>
          <w:tcPr/>
          <w:p>
            <w:pPr>
              <w:pStyle w:val="Compact"/>
            </w:pPr>
            <w:r>
              <w:t xml:space="preserve">Yes</w:t>
            </w:r>
          </w:p>
        </w:tc>
      </w:tr>
      <w:tr>
        <w:tc>
          <w:tcPr/>
          <w:p>
            <w:pPr>
              <w:pStyle w:val="Compact"/>
            </w:pPr>
            <w:r>
              <w:t xml:space="preserve">PIM-governed privileged access groups</w:t>
            </w:r>
          </w:p>
        </w:tc>
        <w:tc>
          <w:tcPr/>
          <w:p>
            <w:pPr>
              <w:pStyle w:val="Compact"/>
            </w:pPr>
            <w:r>
              <w:t xml:space="preserve">Quarterly</w:t>
            </w:r>
          </w:p>
        </w:tc>
        <w:tc>
          <w:tcPr/>
          <w:p>
            <w:pPr>
              <w:pStyle w:val="Compact"/>
            </w:pPr>
            <w:r>
              <w:t xml:space="preserve">14 days</w:t>
            </w:r>
          </w:p>
        </w:tc>
        <w:tc>
          <w:tcPr/>
          <w:p>
            <w:pPr>
              <w:pStyle w:val="Compact"/>
            </w:pPr>
            <w:r>
              <w:t xml:space="preserve">Governance office</w:t>
            </w:r>
          </w:p>
        </w:tc>
        <w:tc>
          <w:tcPr/>
          <w:p>
            <w:pPr>
              <w:pStyle w:val="Compact"/>
            </w:pPr>
            <w:r>
              <w:t xml:space="preserve">Privileged Role Administrator</w:t>
            </w:r>
          </w:p>
        </w:tc>
        <w:tc>
          <w:tcPr/>
          <w:p>
            <w:pPr>
              <w:pStyle w:val="Compact"/>
            </w:pPr>
            <w:r>
              <w:t xml:space="preserve">Remove access</w:t>
            </w:r>
          </w:p>
        </w:tc>
        <w:tc>
          <w:tcPr/>
          <w:p>
            <w:pPr>
              <w:pStyle w:val="Compact"/>
            </w:pPr>
            <w:r>
              <w:t xml:space="preserve">Yes</w:t>
            </w:r>
          </w:p>
        </w:tc>
      </w:tr>
      <w:tr>
        <w:tc>
          <w:tcPr/>
          <w:p>
            <w:pPr>
              <w:pStyle w:val="Compact"/>
            </w:pPr>
            <w:r>
              <w:t xml:space="preserve">Tier 1 application access groups</w:t>
            </w:r>
          </w:p>
        </w:tc>
        <w:tc>
          <w:tcPr/>
          <w:p>
            <w:pPr>
              <w:pStyle w:val="Compact"/>
            </w:pPr>
            <w:r>
              <w:t xml:space="preserve">Quarterly</w:t>
            </w:r>
          </w:p>
        </w:tc>
        <w:tc>
          <w:tcPr/>
          <w:p>
            <w:pPr>
              <w:pStyle w:val="Compact"/>
            </w:pPr>
            <w:r>
              <w:t xml:space="preserve">14 days (two stages of 7)</w:t>
            </w:r>
          </w:p>
        </w:tc>
        <w:tc>
          <w:tcPr/>
          <w:p>
            <w:pPr>
              <w:pStyle w:val="Compact"/>
            </w:pPr>
            <w:r>
              <w:t xml:space="preserve">Manager, then application owner</w:t>
            </w:r>
          </w:p>
        </w:tc>
        <w:tc>
          <w:tcPr/>
          <w:p>
            <w:pPr>
              <w:pStyle w:val="Compact"/>
            </w:pPr>
            <w:r>
              <w:t xml:space="preserve">Backup application owner</w:t>
            </w:r>
          </w:p>
        </w:tc>
        <w:tc>
          <w:tcPr/>
          <w:p>
            <w:pPr>
              <w:pStyle w:val="Compact"/>
            </w:pPr>
            <w:r>
              <w:t xml:space="preserve">No change; escalate to the governance office</w:t>
            </w:r>
          </w:p>
        </w:tc>
        <w:tc>
          <w:tcPr/>
          <w:p>
            <w:pPr>
              <w:pStyle w:val="Compact"/>
            </w:pPr>
            <w:r>
              <w:t xml:space="preserve">Yes</w:t>
            </w:r>
          </w:p>
        </w:tc>
      </w:tr>
      <w:tr>
        <w:tc>
          <w:tcPr/>
          <w:p>
            <w:pPr>
              <w:pStyle w:val="Compact"/>
            </w:pPr>
            <w:r>
              <w:t xml:space="preserve">Tier 2 application access groups</w:t>
            </w:r>
          </w:p>
        </w:tc>
        <w:tc>
          <w:tcPr/>
          <w:p>
            <w:pPr>
              <w:pStyle w:val="Compact"/>
            </w:pPr>
            <w:r>
              <w:t xml:space="preserve">Semiannual (January and July)</w:t>
            </w:r>
          </w:p>
        </w:tc>
        <w:tc>
          <w:tcPr/>
          <w:p>
            <w:pPr>
              <w:pStyle w:val="Compact"/>
            </w:pPr>
            <w:r>
              <w:t xml:space="preserve">14 days</w:t>
            </w:r>
          </w:p>
        </w:tc>
        <w:tc>
          <w:tcPr/>
          <w:p>
            <w:pPr>
              <w:pStyle w:val="Compact"/>
            </w:pPr>
            <w:r>
              <w:t xml:space="preserve">Application owner</w:t>
            </w:r>
          </w:p>
        </w:tc>
        <w:tc>
          <w:tcPr/>
          <w:p>
            <w:pPr>
              <w:pStyle w:val="Compact"/>
            </w:pPr>
            <w:r>
              <w:t xml:space="preserve">Backup application owner</w:t>
            </w:r>
          </w:p>
        </w:tc>
        <w:tc>
          <w:tcPr/>
          <w:p>
            <w:pPr>
              <w:pStyle w:val="Compact"/>
            </w:pPr>
            <w:r>
              <w:t xml:space="preserve">No change; escalate</w:t>
            </w:r>
          </w:p>
        </w:tc>
        <w:tc>
          <w:tcPr/>
          <w:p>
            <w:pPr>
              <w:pStyle w:val="Compact"/>
            </w:pPr>
            <w:r>
              <w:t xml:space="preserve">Yes</w:t>
            </w:r>
          </w:p>
        </w:tc>
      </w:tr>
      <w:tr>
        <w:tc>
          <w:tcPr/>
          <w:p>
            <w:pPr>
              <w:pStyle w:val="Compact"/>
            </w:pPr>
            <w:r>
              <w:t xml:space="preserve">Tier 3 application access groups</w:t>
            </w:r>
          </w:p>
        </w:tc>
        <w:tc>
          <w:tcPr/>
          <w:p>
            <w:pPr>
              <w:pStyle w:val="Compact"/>
            </w:pPr>
            <w:r>
              <w:t xml:space="preserve">Annual (January)</w:t>
            </w:r>
          </w:p>
        </w:tc>
        <w:tc>
          <w:tcPr/>
          <w:p>
            <w:pPr>
              <w:pStyle w:val="Compact"/>
            </w:pPr>
            <w:r>
              <w:t xml:space="preserve">21 days</w:t>
            </w:r>
          </w:p>
        </w:tc>
        <w:tc>
          <w:tcPr/>
          <w:p>
            <w:pPr>
              <w:pStyle w:val="Compact"/>
            </w:pPr>
            <w:r>
              <w:t xml:space="preserve">Application or department owner</w:t>
            </w:r>
          </w:p>
        </w:tc>
        <w:tc>
          <w:tcPr/>
          <w:p>
            <w:pPr>
              <w:pStyle w:val="Compact"/>
            </w:pPr>
            <w:r>
              <w:t xml:space="preserve">Department owner</w:t>
            </w:r>
          </w:p>
        </w:tc>
        <w:tc>
          <w:tcPr/>
          <w:p>
            <w:pPr>
              <w:pStyle w:val="Compact"/>
            </w:pPr>
            <w:r>
              <w:t xml:space="preserve">No change</w:t>
            </w:r>
          </w:p>
        </w:tc>
        <w:tc>
          <w:tcPr/>
          <w:p>
            <w:pPr>
              <w:pStyle w:val="Compact"/>
            </w:pPr>
            <w:r>
              <w:t xml:space="preserve">Yes</w:t>
            </w:r>
          </w:p>
        </w:tc>
      </w:tr>
      <w:tr>
        <w:tc>
          <w:tcPr/>
          <w:p>
            <w:pPr>
              <w:pStyle w:val="Compact"/>
            </w:pPr>
            <w:r>
              <w:t xml:space="preserve">Packages and groups with guests</w:t>
            </w:r>
          </w:p>
        </w:tc>
        <w:tc>
          <w:tcPr/>
          <w:p>
            <w:pPr>
              <w:pStyle w:val="Compact"/>
            </w:pPr>
            <w:r>
              <w:t xml:space="preserve">Quarterly</w:t>
            </w:r>
          </w:p>
        </w:tc>
        <w:tc>
          <w:tcPr/>
          <w:p>
            <w:pPr>
              <w:pStyle w:val="Compact"/>
            </w:pPr>
            <w:r>
              <w:t xml:space="preserve">14 days</w:t>
            </w:r>
          </w:p>
        </w:tc>
        <w:tc>
          <w:tcPr/>
          <w:p>
            <w:pPr>
              <w:pStyle w:val="Compact"/>
            </w:pPr>
            <w:r>
              <w:t xml:space="preserve">Sponsors</w:t>
            </w:r>
          </w:p>
        </w:tc>
        <w:tc>
          <w:tcPr/>
          <w:p>
            <w:pPr>
              <w:pStyle w:val="Compact"/>
            </w:pPr>
            <w:r>
              <w:t xml:space="preserve">Governance office</w:t>
            </w:r>
          </w:p>
        </w:tc>
        <w:tc>
          <w:tcPr/>
          <w:p>
            <w:pPr>
              <w:pStyle w:val="Compact"/>
            </w:pPr>
            <w:r>
              <w:t xml:space="preserve">Remove access</w:t>
            </w:r>
          </w:p>
        </w:tc>
        <w:tc>
          <w:tcPr/>
          <w:p>
            <w:pPr>
              <w:pStyle w:val="Compact"/>
            </w:pPr>
            <w:r>
              <w:t xml:space="preserve">Yes</w:t>
            </w:r>
          </w:p>
        </w:tc>
      </w:tr>
      <w:tr>
        <w:tc>
          <w:tcPr/>
          <w:p>
            <w:pPr>
              <w:pStyle w:val="Compact"/>
            </w:pPr>
            <w:r>
              <w:t xml:space="preserve">Microsoft 365 group membership</w:t>
            </w:r>
          </w:p>
        </w:tc>
        <w:tc>
          <w:tcPr/>
          <w:p>
            <w:pPr>
              <w:pStyle w:val="Compact"/>
            </w:pPr>
            <w:r>
              <w:t xml:space="preserve">Semiannual</w:t>
            </w:r>
          </w:p>
        </w:tc>
        <w:tc>
          <w:tcPr/>
          <w:p>
            <w:pPr>
              <w:pStyle w:val="Compact"/>
            </w:pPr>
            <w:r>
              <w:t xml:space="preserve">21 days</w:t>
            </w:r>
          </w:p>
        </w:tc>
        <w:tc>
          <w:tcPr/>
          <w:p>
            <w:pPr>
              <w:pStyle w:val="Compact"/>
            </w:pPr>
            <w:r>
              <w:t xml:space="preserve">Group owners</w:t>
            </w:r>
          </w:p>
        </w:tc>
        <w:tc>
          <w:tcPr/>
          <w:p>
            <w:pPr>
              <w:pStyle w:val="Compact"/>
            </w:pPr>
            <w:r>
              <w:t xml:space="preserve">Governance office</w:t>
            </w:r>
          </w:p>
        </w:tc>
        <w:tc>
          <w:tcPr/>
          <w:p>
            <w:pPr>
              <w:pStyle w:val="Compact"/>
            </w:pPr>
            <w:r>
              <w:t xml:space="preserve">No change</w:t>
            </w:r>
          </w:p>
        </w:tc>
        <w:tc>
          <w:tcPr/>
          <w:p>
            <w:pPr>
              <w:pStyle w:val="Compact"/>
            </w:pPr>
            <w:r>
              <w:t xml:space="preserve">No (recommendations only)</w:t>
            </w:r>
          </w:p>
        </w:tc>
      </w:tr>
    </w:tbl>
    <w:bookmarkEnd w:id="904"/>
    <w:bookmarkStart w:id="912" w:name="X52e60941ceb08e32c9065ab1820bf04445e5a8c"/>
    <w:p>
      <w:pPr>
        <w:pStyle w:val="Heading3"/>
      </w:pPr>
      <w:r>
        <w:t xml:space="preserve">Upon completion: auto-apply and the no-response default</w:t>
      </w:r>
    </w:p>
    <w:p>
      <w:pPr>
        <w:pStyle w:val="FirstParagraph"/>
      </w:pPr>
      <w:r>
        <w:t xml:space="preserve">When a review ends,</w:t>
      </w:r>
      <w:r>
        <w:t xml:space="preserve"> </w:t>
      </w:r>
      <w:r>
        <w:rPr>
          <w:i/>
          <w:iCs/>
        </w:rPr>
        <w:t xml:space="preserve">auto apply results to resource</w:t>
      </w:r>
      <w:r>
        <w:t xml:space="preserve"> </w:t>
      </w:r>
      <w:r>
        <w:t xml:space="preserve">removes denied users automatically; without it, someone has to apply the results by hand.</w:t>
      </w:r>
      <w:r>
        <w:rPr>
          <w:rStyle w:val="FootnoteReference"/>
        </w:rPr>
        <w:footnoteReference w:id="905"/>
      </w:r>
      <w:r>
        <w:t xml:space="preserve"> </w:t>
      </w:r>
      <w:r>
        <w:t xml:space="preserve">The</w:t>
      </w:r>
      <w:r>
        <w:t xml:space="preserve"> </w:t>
      </w:r>
      <w:r>
        <w:rPr>
          <w:i/>
          <w:iCs/>
        </w:rPr>
        <w:t xml:space="preserve">if reviewers don’t respond</w:t>
      </w:r>
      <w:r>
        <w:t xml:space="preserve"> </w:t>
      </w:r>
      <w:r>
        <w:t xml:space="preserve">setting decides what happens to users nobody reviewed: no change, remove access, approve access, or take the system’s recommendations.</w:t>
      </w:r>
      <w:r>
        <w:rPr>
          <w:rStyle w:val="FootnoteReference"/>
        </w:rPr>
        <w:footnoteReference w:id="906"/>
      </w:r>
      <w:r>
        <w:t xml:space="preserve"> </w:t>
      </w:r>
      <w:r>
        <w:t xml:space="preserve">Microsoft warns that combining</w:t>
      </w:r>
      <w:r>
        <w:t xml:space="preserve"> </w:t>
      </w:r>
      <w:r>
        <w:t xml:space="preserve">“remove access”</w:t>
      </w:r>
      <w:r>
        <w:t xml:space="preserve"> </w:t>
      </w:r>
      <w:r>
        <w:t xml:space="preserve">or</w:t>
      </w:r>
      <w:r>
        <w:t xml:space="preserve"> </w:t>
      </w:r>
      <w:r>
        <w:t xml:space="preserve">“take recommendations”</w:t>
      </w:r>
      <w:r>
        <w:t xml:space="preserve"> </w:t>
      </w:r>
      <w:r>
        <w:t xml:space="preserve">with auto-apply can revoke all access to a resource if reviewers don’t respond.</w:t>
      </w:r>
      <w:r>
        <w:rPr>
          <w:rStyle w:val="FootnoteReference"/>
        </w:rPr>
        <w:footnoteReference w:id="907"/>
      </w:r>
      <w:r>
        <w:t xml:space="preserve"> </w:t>
      </w:r>
      <w:r>
        <w:t xml:space="preserve">That is why the program sets</w:t>
      </w:r>
      <w:r>
        <w:t xml:space="preserve"> </w:t>
      </w:r>
      <w:r>
        <w:t xml:space="preserve">“remove access”</w:t>
      </w:r>
      <w:r>
        <w:t xml:space="preserve"> </w:t>
      </w:r>
      <w:r>
        <w:t xml:space="preserve">only where an unreviewed grant is riskier than a lost one (privileged roles and guests), and</w:t>
      </w:r>
      <w:r>
        <w:t xml:space="preserve"> </w:t>
      </w:r>
      <w:r>
        <w:t xml:space="preserve">“no change, escalate”</w:t>
      </w:r>
      <w:r>
        <w:t xml:space="preserve"> </w:t>
      </w:r>
      <w:r>
        <w:t xml:space="preserve">for business applications, where a mass removal would stop work.</w:t>
      </w:r>
    </w:p>
    <w:p>
      <w:pPr>
        <w:pStyle w:val="BodyText"/>
      </w:pPr>
      <w:r>
        <w:t xml:space="preserve">For guest-only reviews, a denied guest can either lose only the reviewed membership, or be blocked from signing in for 30 days and then deleted from the tenant; within those 30 days an administrator can re-enable the account.</w:t>
      </w:r>
      <w:r>
        <w:rPr>
          <w:rStyle w:val="FootnoteReference"/>
        </w:rPr>
        <w:footnoteReference w:id="908"/>
      </w:r>
      <w:r>
        <w:t xml:space="preserve"> </w:t>
      </w:r>
      <w:r>
        <w:t xml:space="preserve">The program blocks and removes denied guests.</w:t>
      </w:r>
    </w:p>
    <w:p>
      <w:pPr>
        <w:pStyle w:val="BodyText"/>
      </w:pPr>
      <w:r>
        <w:t xml:space="preserve">Two review-quality settings matter as much as the cadence:</w:t>
      </w:r>
    </w:p>
    <w:p>
      <w:pPr>
        <w:pStyle w:val="Compact"/>
        <w:numPr>
          <w:ilvl w:val="0"/>
          <w:numId w:val="1055"/>
        </w:numPr>
      </w:pPr>
      <w:r>
        <w:rPr>
          <w:b/>
          <w:bCs/>
        </w:rPr>
        <w:t xml:space="preserve">Decision helpers.</w:t>
      </w:r>
      <w:r>
        <w:t xml:space="preserve"> </w:t>
      </w:r>
      <w:r>
        <w:t xml:space="preserve">“No sign-in within 30 days”</w:t>
      </w:r>
      <w:r>
        <w:t xml:space="preserve"> </w:t>
      </w:r>
      <w:r>
        <w:t xml:space="preserve">recommends denial for users who haven’t signed in during the previous 30 days (for application reviews, sign-in to the application), and</w:t>
      </w:r>
      <w:r>
        <w:t xml:space="preserve"> </w:t>
      </w:r>
      <w:r>
        <w:t xml:space="preserve">“user-to-group affiliation”</w:t>
      </w:r>
      <w:r>
        <w:t xml:space="preserve"> </w:t>
      </w:r>
      <w:r>
        <w:t xml:space="preserve">recommends denial for users far from the rest of the group in the reporting structure.</w:t>
      </w:r>
      <w:r>
        <w:rPr>
          <w:rStyle w:val="FootnoteReference"/>
        </w:rPr>
        <w:footnoteReference w:id="909"/>
      </w:r>
      <w:r>
        <w:t xml:space="preserve"> </w:t>
      </w:r>
      <w:r>
        <w:t xml:space="preserve">The machine-learning affiliation recommendation needs Governance.</w:t>
      </w:r>
      <w:r>
        <w:rPr>
          <w:rStyle w:val="FootnoteReference"/>
        </w:rPr>
        <w:footnoteReference w:id="910"/>
      </w:r>
    </w:p>
    <w:p>
      <w:pPr>
        <w:pStyle w:val="Compact"/>
        <w:numPr>
          <w:ilvl w:val="0"/>
          <w:numId w:val="1055"/>
        </w:numPr>
      </w:pPr>
      <w:r>
        <w:rPr>
          <w:b/>
          <w:bCs/>
        </w:rPr>
        <w:t xml:space="preserve">Justification and reminders.</w:t>
      </w:r>
      <w:r>
        <w:t xml:space="preserve"> </w:t>
      </w:r>
      <w:r>
        <w:t xml:space="preserve">“Justification required”</w:t>
      </w:r>
      <w:r>
        <w:t xml:space="preserve"> </w:t>
      </w:r>
      <w:r>
        <w:t xml:space="preserve">makes reviewers state a reason for each decision; reminders go to all reviewers halfway through the review.</w:t>
      </w:r>
      <w:r>
        <w:rPr>
          <w:rStyle w:val="FootnoteReference"/>
        </w:rPr>
        <w:footnoteReference w:id="911"/>
      </w:r>
    </w:p>
    <w:p>
      <w:pPr>
        <w:pStyle w:val="FirstParagraph"/>
      </w:pPr>
      <w:r>
        <w:t xml:space="preserve">Bulk approval is the efficient and dangerous part of any review. The program requires justification on every review, and for privileged-role reviews it requires a decision per assignment: reviewers don’t accept recommendations in bulk. The service can’t prevent a bulk action, so the review history (below) is checked for privileged reviews where one reviewer recorded many identical decisions within minutes.</w:t>
      </w:r>
    </w:p>
    <w:bookmarkEnd w:id="912"/>
    <w:bookmarkStart w:id="913" w:name="from-a-manual-procedure-to-the-service"/>
    <w:p>
      <w:pPr>
        <w:pStyle w:val="Heading3"/>
      </w:pPr>
      <w:r>
        <w:t xml:space="preserve">From a manual procedure to the service</w:t>
      </w:r>
    </w:p>
    <w:p>
      <w:pPr>
        <w:pStyle w:val="FirstParagraph"/>
      </w:pPr>
      <w:r>
        <w:t xml:space="preserve">The program’s earlier review procedure was a distributed spreadsheet: the governance office sent each owner a membership report on the first business day of the quarter, owners certified approve, remove, or escalate within 10 business days, and the help desk executed removals through tickets within 5 business days. The service replaces each step: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Manual step</w:t>
            </w:r>
          </w:p>
        </w:tc>
        <w:tc>
          <w:tcPr/>
          <w:p>
            <w:pPr>
              <w:pStyle w:val="Compact"/>
            </w:pPr>
            <w:r>
              <w:t xml:space="preserve">In Entra ID</w:t>
            </w:r>
          </w:p>
        </w:tc>
      </w:tr>
      <w:tr>
        <w:tc>
          <w:tcPr/>
          <w:p>
            <w:pPr>
              <w:pStyle w:val="Compact"/>
            </w:pPr>
            <w:r>
              <w:t xml:space="preserve">Distribute the membership report</w:t>
            </w:r>
          </w:p>
        </w:tc>
        <w:tc>
          <w:tcPr/>
          <w:p>
            <w:pPr>
              <w:pStyle w:val="Compact"/>
            </w:pPr>
            <w:r>
              <w:t xml:space="preserve">The review instance starts on schedule and emails reviewers</w:t>
            </w:r>
          </w:p>
        </w:tc>
      </w:tr>
      <w:tr>
        <w:tc>
          <w:tcPr/>
          <w:p>
            <w:pPr>
              <w:pStyle w:val="Compact"/>
            </w:pPr>
            <w:r>
              <w:t xml:space="preserve">Owner certifies each member</w:t>
            </w:r>
          </w:p>
        </w:tc>
        <w:tc>
          <w:tcPr/>
          <w:p>
            <w:pPr>
              <w:pStyle w:val="Compact"/>
            </w:pPr>
            <w:r>
              <w:t xml:space="preserve">Reviewers decide in My Access, with recommendations</w:t>
            </w:r>
          </w:p>
        </w:tc>
      </w:tr>
      <w:tr>
        <w:tc>
          <w:tcPr/>
          <w:p>
            <w:pPr>
              <w:pStyle w:val="Compact"/>
            </w:pPr>
            <w:r>
              <w:t xml:space="preserve">“Escalate”</w:t>
            </w:r>
            <w:r>
              <w:t xml:space="preserve"> </w:t>
            </w:r>
            <w:r>
              <w:t xml:space="preserve">when unsure</w:t>
            </w:r>
          </w:p>
        </w:tc>
        <w:tc>
          <w:tcPr/>
          <w:p>
            <w:pPr>
              <w:pStyle w:val="Compact"/>
            </w:pPr>
            <w:r>
              <w:t xml:space="preserve">“Don’t know”</w:t>
            </w:r>
            <w:r>
              <w:t xml:space="preserve"> </w:t>
            </w:r>
            <w:r>
              <w:t xml:space="preserve">decisions go to a second stage</w:t>
            </w:r>
          </w:p>
        </w:tc>
      </w:tr>
      <w:tr>
        <w:tc>
          <w:tcPr/>
          <w:p>
            <w:pPr>
              <w:pStyle w:val="Compact"/>
            </w:pPr>
            <w:r>
              <w:t xml:space="preserve">Help desk removes within 5 business days</w:t>
            </w:r>
          </w:p>
        </w:tc>
        <w:tc>
          <w:tcPr/>
          <w:p>
            <w:pPr>
              <w:pStyle w:val="Compact"/>
            </w:pPr>
            <w:r>
              <w:t xml:space="preserve">Auto-apply removes denied users when the instance ends</w:t>
            </w:r>
          </w:p>
        </w:tc>
      </w:tr>
      <w:tr>
        <w:tc>
          <w:tcPr/>
          <w:p>
            <w:pPr>
              <w:pStyle w:val="Compact"/>
            </w:pPr>
            <w:r>
              <w:t xml:space="preserve">Owner confirms removals; office archives</w:t>
            </w:r>
          </w:p>
        </w:tc>
        <w:tc>
          <w:tcPr/>
          <w:p>
            <w:pPr>
              <w:pStyle w:val="Compact"/>
            </w:pPr>
            <w:r>
              <w:t xml:space="preserve">Review history and audit records are exported (below)</w:t>
            </w:r>
          </w:p>
        </w:tc>
      </w:tr>
    </w:tbl>
    <w:p>
      <w:pPr>
        <w:pStyle w:val="BodyText"/>
      </w:pPr>
      <w:r>
        <w:t xml:space="preserve">The service-level targets survive as measures. A review is complete when every decision is recorded and applied before the instance closes; denied access still present five business days after close is a finding.</w:t>
      </w:r>
    </w:p>
    <w:bookmarkEnd w:id="913"/>
    <w:bookmarkEnd w:id="914"/>
    <w:bookmarkStart w:id="923" w:name="lifecycle-workflows-at-the-access-level"/>
    <w:p>
      <w:pPr>
        <w:pStyle w:val="Heading2"/>
      </w:pPr>
      <w:bookmarkStart w:id="1264" w:name="_Toc00001264"/>
      <w:r>
        <w:t xml:space="preserve">Lifecycle Workflows at the access level</w:t>
      </w:r>
      <w:bookmarkEnd w:id="1264"/>
    </w:p>
    <w:p>
      <w:pPr>
        <w:pStyle w:val="FirstParagraph"/>
      </w:pPr>
      <w:r>
        <w:t xml:space="preserve">The HR-driven lifecycle (inbound provisioning, joiner, mover, and leaver design, and the attributes that trigger them) is Book 03’s. What this chapter needs is the set of Lifecycle Workflows tasks that change access, because those tasks are where the mover and leaver problems turn into access decisions.</w:t>
      </w:r>
    </w:p>
    <w:p>
      <w:pPr>
        <w:pStyle w:val="BodyText"/>
      </w:pPr>
      <w:r>
        <w:t xml:space="preserve">Lifecycle Workflows run on a schedule when a user meets a workflow’s execution conditions, a trigger plus a scope, or on demand. The scheduled triggers are a time-based attribute, an attribute change, a group membership change, and sign-in inactivity.</w:t>
      </w:r>
      <w:r>
        <w:rPr>
          <w:rStyle w:val="FootnoteReference"/>
        </w:rPr>
        <w:footnoteReference w:id="915"/>
      </w:r>
      <w:r>
        <w:t xml:space="preserve"> </w:t>
      </w:r>
      <w:r>
        <w:t xml:space="preserve">The access-related built-in tasks as of October 2026:</w:t>
      </w:r>
      <w:r>
        <w:rPr>
          <w:rStyle w:val="FootnoteReference"/>
        </w:rPr>
        <w:footnoteReference w:id="917"/>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Task</w:t>
            </w:r>
          </w:p>
        </w:tc>
        <w:tc>
          <w:tcPr/>
          <w:p>
            <w:pPr>
              <w:pStyle w:val="Compact"/>
            </w:pPr>
            <w:r>
              <w:t xml:space="preserve">Category</w:t>
            </w:r>
          </w:p>
        </w:tc>
      </w:tr>
      <w:tr>
        <w:tc>
          <w:tcPr/>
          <w:p>
            <w:pPr>
              <w:pStyle w:val="Compact"/>
            </w:pPr>
            <w:r>
              <w:t xml:space="preserve">Request user access package assignment</w:t>
            </w:r>
          </w:p>
        </w:tc>
        <w:tc>
          <w:tcPr/>
          <w:p>
            <w:pPr>
              <w:pStyle w:val="Compact"/>
            </w:pPr>
            <w:r>
              <w:t xml:space="preserve">Joiner, mover</w:t>
            </w:r>
          </w:p>
        </w:tc>
      </w:tr>
      <w:tr>
        <w:tc>
          <w:tcPr/>
          <w:p>
            <w:pPr>
              <w:pStyle w:val="Compact"/>
            </w:pPr>
            <w:r>
              <w:t xml:space="preserve">Remove access package assignment for user</w:t>
            </w:r>
          </w:p>
        </w:tc>
        <w:tc>
          <w:tcPr/>
          <w:p>
            <w:pPr>
              <w:pStyle w:val="Compact"/>
            </w:pPr>
            <w:r>
              <w:t xml:space="preserve">Leaver, mover</w:t>
            </w:r>
          </w:p>
        </w:tc>
      </w:tr>
      <w:tr>
        <w:tc>
          <w:tcPr/>
          <w:p>
            <w:pPr>
              <w:pStyle w:val="Compact"/>
            </w:pPr>
            <w:r>
              <w:t xml:space="preserve">Remove all access package assignments for user</w:t>
            </w:r>
          </w:p>
        </w:tc>
        <w:tc>
          <w:tcPr/>
          <w:p>
            <w:pPr>
              <w:pStyle w:val="Compact"/>
            </w:pPr>
            <w:r>
              <w:t xml:space="preserve">Leaver, mover</w:t>
            </w:r>
          </w:p>
        </w:tc>
      </w:tr>
      <w:tr>
        <w:tc>
          <w:tcPr/>
          <w:p>
            <w:pPr>
              <w:pStyle w:val="Compact"/>
            </w:pPr>
            <w:r>
              <w:t xml:space="preserve">Cancel all pending access package assignment requests for user</w:t>
            </w:r>
          </w:p>
        </w:tc>
        <w:tc>
          <w:tcPr/>
          <w:p>
            <w:pPr>
              <w:pStyle w:val="Compact"/>
            </w:pPr>
            <w:r>
              <w:t xml:space="preserve">Leaver</w:t>
            </w:r>
          </w:p>
        </w:tc>
      </w:tr>
      <w:tr>
        <w:tc>
          <w:tcPr/>
          <w:p>
            <w:pPr>
              <w:pStyle w:val="Compact"/>
            </w:pPr>
            <w:r>
              <w:t xml:space="preserve">Add user to groups; add user to teams</w:t>
            </w:r>
          </w:p>
        </w:tc>
        <w:tc>
          <w:tcPr/>
          <w:p>
            <w:pPr>
              <w:pStyle w:val="Compact"/>
            </w:pPr>
            <w:r>
              <w:t xml:space="preserve">Joiner, mover, leaver</w:t>
            </w:r>
          </w:p>
        </w:tc>
      </w:tr>
      <w:tr>
        <w:tc>
          <w:tcPr/>
          <w:p>
            <w:pPr>
              <w:pStyle w:val="Compact"/>
            </w:pPr>
            <w:r>
              <w:t xml:space="preserve">Remove user from selected groups; remove user from all groups</w:t>
            </w:r>
          </w:p>
        </w:tc>
        <w:tc>
          <w:tcPr/>
          <w:p>
            <w:pPr>
              <w:pStyle w:val="Compact"/>
            </w:pPr>
            <w:r>
              <w:t xml:space="preserve">Joiner, mover, leaver; leaver</w:t>
            </w:r>
          </w:p>
        </w:tc>
      </w:tr>
      <w:tr>
        <w:tc>
          <w:tcPr/>
          <w:p>
            <w:pPr>
              <w:pStyle w:val="Compact"/>
            </w:pPr>
            <w:r>
              <w:t xml:space="preserve">Remove user from selected teams; remove user from all teams</w:t>
            </w:r>
          </w:p>
        </w:tc>
        <w:tc>
          <w:tcPr/>
          <w:p>
            <w:pPr>
              <w:pStyle w:val="Compact"/>
            </w:pPr>
            <w:r>
              <w:t xml:space="preserve">Leaver</w:t>
            </w:r>
          </w:p>
        </w:tc>
      </w:tr>
      <w:tr>
        <w:tc>
          <w:tcPr/>
          <w:p>
            <w:pPr>
              <w:pStyle w:val="Compact"/>
            </w:pPr>
            <w:r>
              <w:t xml:space="preserve">Revoke all refresh tokens for user</w:t>
            </w:r>
          </w:p>
        </w:tc>
        <w:tc>
          <w:tcPr/>
          <w:p>
            <w:pPr>
              <w:pStyle w:val="Compact"/>
            </w:pPr>
            <w:r>
              <w:t xml:space="preserve">Leaver, mover</w:t>
            </w:r>
          </w:p>
        </w:tc>
      </w:tr>
      <w:tr>
        <w:tc>
          <w:tcPr/>
          <w:p>
            <w:pPr>
              <w:pStyle w:val="Compact"/>
            </w:pPr>
            <w:r>
              <w:t xml:space="preserve">Assign licenses; remove selected or all license assignments</w:t>
            </w:r>
          </w:p>
        </w:tc>
        <w:tc>
          <w:tcPr/>
          <w:p>
            <w:pPr>
              <w:pStyle w:val="Compact"/>
            </w:pPr>
            <w:r>
              <w:t xml:space="preserve">Joiner, mover; leaver, mover; leaver</w:t>
            </w:r>
          </w:p>
        </w:tc>
      </w:tr>
      <w:tr>
        <w:tc>
          <w:tcPr/>
          <w:p>
            <w:pPr>
              <w:pStyle w:val="Compact"/>
            </w:pPr>
            <w:r>
              <w:t xml:space="preserve">Run a custom task extension</w:t>
            </w:r>
          </w:p>
        </w:tc>
        <w:tc>
          <w:tcPr/>
          <w:p>
            <w:pPr>
              <w:pStyle w:val="Compact"/>
            </w:pPr>
            <w:r>
              <w:t xml:space="preserve">Joiner, mover, leaver</w:t>
            </w:r>
          </w:p>
        </w:tc>
      </w:tr>
    </w:tbl>
    <w:p>
      <w:pPr>
        <w:pStyle w:val="BodyText"/>
      </w:pPr>
      <w:r>
        <w:t xml:space="preserve">The program’s access rules for each event, as design positions:</w:t>
      </w:r>
    </w:p>
    <w:p>
      <w:pPr>
        <w:pStyle w:val="Compact"/>
        <w:numPr>
          <w:ilvl w:val="0"/>
          <w:numId w:val="1056"/>
        </w:numPr>
      </w:pPr>
      <w:r>
        <w:rPr>
          <w:b/>
          <w:bCs/>
        </w:rPr>
        <w:t xml:space="preserve">Joiner.</w:t>
      </w:r>
      <w:r>
        <w:t xml:space="preserve"> </w:t>
      </w:r>
      <w:r>
        <w:t xml:space="preserve">Request the onboarding package and the department package. Never add a new hire directly to an application group.</w:t>
      </w:r>
    </w:p>
    <w:p>
      <w:pPr>
        <w:pStyle w:val="Compact"/>
        <w:numPr>
          <w:ilvl w:val="0"/>
          <w:numId w:val="1056"/>
        </w:numPr>
      </w:pPr>
      <w:r>
        <w:rPr>
          <w:b/>
          <w:bCs/>
        </w:rPr>
        <w:t xml:space="preserve">Mover.</w:t>
      </w:r>
      <w:r>
        <w:t xml:space="preserve"> </w:t>
      </w:r>
      <w:r>
        <w:t xml:space="preserve">A move is a re-derivation, not an additional grant. Remove the previous department’s package assignments, request the new department’s package, and send everything the person still holds outside packages to a review. Microsoft’s built-in</w:t>
      </w:r>
      <w:r>
        <w:t xml:space="preserve"> </w:t>
      </w:r>
      <w:r>
        <w:rPr>
          <w:i/>
          <w:iCs/>
        </w:rPr>
        <w:t xml:space="preserve">Employee job profile change</w:t>
      </w:r>
      <w:r>
        <w:t xml:space="preserve"> </w:t>
      </w:r>
      <w:r>
        <w:t xml:space="preserve">template does the first two steps, and its</w:t>
      </w:r>
      <w:r>
        <w:t xml:space="preserve"> </w:t>
      </w:r>
      <w:r>
        <w:rPr>
          <w:i/>
          <w:iCs/>
        </w:rPr>
        <w:t xml:space="preserve">remove all access package assignments</w:t>
      </w:r>
      <w:r>
        <w:t xml:space="preserve"> </w:t>
      </w:r>
      <w:r>
        <w:t xml:space="preserve">task defaults to a scheduled removal 15 days after the trigger, a grace period for handover.</w:t>
      </w:r>
      <w:r>
        <w:rPr>
          <w:rStyle w:val="FootnoteReference"/>
        </w:rPr>
        <w:footnoteReference w:id="919"/>
      </w:r>
      <w:r>
        <w:t xml:space="preserve"> </w:t>
      </w:r>
      <w:r>
        <w:t xml:space="preserve">The program keeps the grace period for standard access and sets it to zero for Tier 1 and privileged access.</w:t>
      </w:r>
    </w:p>
    <w:p>
      <w:pPr>
        <w:pStyle w:val="Compact"/>
        <w:numPr>
          <w:ilvl w:val="0"/>
          <w:numId w:val="1056"/>
        </w:numPr>
      </w:pPr>
      <w:r>
        <w:rPr>
          <w:b/>
          <w:bCs/>
        </w:rPr>
        <w:t xml:space="preserve">Leaver.</w:t>
      </w:r>
      <w:r>
        <w:t xml:space="preserve"> </w:t>
      </w:r>
      <w:r>
        <w:t xml:space="preserve">Cancel pending requests, remove all package assignments, remove the user from all groups and teams, and revoke refresh tokens. The account disable and deletion steps are Book 03’s.</w:t>
      </w:r>
    </w:p>
    <w:p>
      <w:pPr>
        <w:pStyle w:val="Compact"/>
        <w:numPr>
          <w:ilvl w:val="0"/>
          <w:numId w:val="1056"/>
        </w:numPr>
      </w:pPr>
      <w:r>
        <w:rPr>
          <w:b/>
          <w:bCs/>
        </w:rPr>
        <w:t xml:space="preserve">Inactivity.</w:t>
      </w:r>
      <w:r>
        <w:t xml:space="preserve"> </w:t>
      </w:r>
      <w:r>
        <w:t xml:space="preserve">The</w:t>
      </w:r>
      <w:r>
        <w:t xml:space="preserve"> </w:t>
      </w:r>
      <w:r>
        <w:rPr>
          <w:i/>
          <w:iCs/>
        </w:rPr>
        <w:t xml:space="preserve">Offboard inactive users</w:t>
      </w:r>
      <w:r>
        <w:t xml:space="preserve"> </w:t>
      </w:r>
      <w:r>
        <w:t xml:space="preserve">template keys on</w:t>
      </w:r>
      <w:r>
        <w:t xml:space="preserve"> </w:t>
      </w:r>
      <w:r>
        <w:rPr>
          <w:rStyle w:val="VerbatimChar"/>
        </w:rPr>
        <w:t xml:space="preserve">lastSuccessfulSignInDateTime</w:t>
      </w:r>
      <w:r>
        <w:t xml:space="preserve">; Microsoft’s inactive-user templates default to 90 days of inactivity for the pre-offboarding workflow and 120 days for offboarding.</w:t>
      </w:r>
      <w:r>
        <w:rPr>
          <w:rStyle w:val="FootnoteReference"/>
        </w:rPr>
        <w:footnoteReference w:id="921"/>
      </w:r>
      <w:r>
        <w:t xml:space="preserve"> </w:t>
      </w:r>
      <w:r>
        <w:t xml:space="preserve">The program uses it as a backstop for accounts whose HR record didn’t produce a leaver event.</w:t>
      </w:r>
    </w:p>
    <w:p>
      <w:pPr>
        <w:pStyle w:val="FirstParagraph"/>
      </w:pPr>
      <w:r>
        <w:t xml:space="preserve">A tenant can have up to 50 workflows and up to 100 custom task extensions.</w:t>
      </w:r>
      <w:r>
        <w:rPr>
          <w:rStyle w:val="FootnoteReference"/>
        </w:rPr>
        <w:footnoteReference w:id="922"/>
      </w:r>
      <w:r>
        <w:t xml:space="preserve"> </w:t>
      </w:r>
      <w:r>
        <w:t xml:space="preserve">Spend workflows on events, not on individual applications; per-application cleanup belongs in the packages that a single</w:t>
      </w:r>
      <w:r>
        <w:t xml:space="preserve"> </w:t>
      </w:r>
      <w:r>
        <w:t xml:space="preserve">“remove all assignments”</w:t>
      </w:r>
      <w:r>
        <w:t xml:space="preserve"> </w:t>
      </w:r>
      <w:r>
        <w:t xml:space="preserve">task clears.</w:t>
      </w:r>
    </w:p>
    <w:bookmarkEnd w:id="923"/>
    <w:bookmarkStart w:id="935" w:name="guest-access-governance"/>
    <w:p>
      <w:pPr>
        <w:pStyle w:val="Heading2"/>
      </w:pPr>
      <w:bookmarkStart w:id="1265" w:name="_Toc00001265"/>
      <w:r>
        <w:t xml:space="preserve">Guest access governance</w:t>
      </w:r>
      <w:bookmarkEnd w:id="1265"/>
    </w:p>
    <w:p>
      <w:pPr>
        <w:pStyle w:val="FirstParagraph"/>
      </w:pPr>
      <w:r>
        <w:t xml:space="preserve">Guests are where unreviewed access accumulates fastest, because nobody’s HR record ends when a partner project does. Book 02 covers the collaboration model, cross-tenant access settings, and B2B direct connect (Book 02, Chapter 10). Governance of the guest’s access works in four layers.</w:t>
      </w:r>
    </w:p>
    <w:p>
      <w:pPr>
        <w:pStyle w:val="Compact"/>
        <w:numPr>
          <w:ilvl w:val="0"/>
          <w:numId w:val="1057"/>
        </w:numPr>
      </w:pPr>
      <w:r>
        <w:rPr>
          <w:b/>
          <w:bCs/>
        </w:rPr>
        <w:t xml:space="preserve">Invite through a package.</w:t>
      </w:r>
      <w:r>
        <w:t xml:space="preserve"> </w:t>
      </w:r>
      <w:r>
        <w:t xml:space="preserve">When a policy allows users from a connected organization to request a package, an approved request creates the guest account automatically and assigns the access; the B2B allow and block lists still apply.</w:t>
      </w:r>
      <w:r>
        <w:rPr>
          <w:rStyle w:val="FootnoteReference"/>
        </w:rPr>
        <w:footnoteReference w:id="924"/>
      </w:r>
      <w:r>
        <w:t xml:space="preserve"> </w:t>
      </w:r>
      <w:r>
        <w:t xml:space="preserve">Inviting through a package means every guest arrives with an approver, a sponsor, and an expiry.</w:t>
      </w:r>
    </w:p>
    <w:p>
      <w:pPr>
        <w:pStyle w:val="Compact"/>
        <w:numPr>
          <w:ilvl w:val="0"/>
          <w:numId w:val="1057"/>
        </w:numPr>
      </w:pPr>
      <w:r>
        <w:rPr>
          <w:b/>
          <w:bCs/>
        </w:rPr>
        <w:t xml:space="preserve">End the account with the last assignment.</w:t>
      </w:r>
      <w:r>
        <w:t xml:space="preserve"> </w:t>
      </w:r>
      <w:r>
        <w:t xml:space="preserve">By default, when a guest who was invited through entitlement management loses their last package assignment (by expiry or by giving it up), they are blocked from signing in and their account is removed after 30 days; the block, the removal, and the number of days are configurable, and setting the days to zero removes the account immediately.</w:t>
      </w:r>
      <w:r>
        <w:rPr>
          <w:rStyle w:val="FootnoteReference"/>
        </w:rPr>
        <w:footnoteReference w:id="926"/>
      </w:r>
      <w:r>
        <w:t xml:space="preserve"> </w:t>
      </w:r>
      <w:r>
        <w:t xml:space="preserve">This applies only to guests entitlement management invited, or to existing guests an administrator has marked as governed; ungoverned guests stay in the tenant indefinitely after losing their last assignment.</w:t>
      </w:r>
      <w:r>
        <w:rPr>
          <w:rStyle w:val="FootnoteReference"/>
        </w:rPr>
        <w:footnoteReference w:id="927"/>
      </w:r>
      <w:r>
        <w:t xml:space="preserve"> </w:t>
      </w:r>
      <w:r>
        <w:t xml:space="preserve">Blocked guests can’t request access again, so don’t block guests who will return.</w:t>
      </w:r>
      <w:r>
        <w:rPr>
          <w:rStyle w:val="FootnoteReference"/>
        </w:rPr>
        <w:footnoteReference w:id="929"/>
      </w:r>
      <w:r>
        <w:t xml:space="preserve"> </w:t>
      </w:r>
      <w:r>
        <w:t xml:space="preserve">Marking guests as governed needs Entra ID Governance.</w:t>
      </w:r>
      <w:r>
        <w:rPr>
          <w:rStyle w:val="FootnoteReference"/>
        </w:rPr>
        <w:footnoteReference w:id="930"/>
      </w:r>
      <w:r>
        <w:t xml:space="preserve"> </w:t>
      </w:r>
      <w:r>
        <w:t xml:space="preserve">The program marks every existing guest who holds a package assignment as governed, and keeps the default 30-day block before removal.</w:t>
      </w:r>
    </w:p>
    <w:p>
      <w:pPr>
        <w:pStyle w:val="Compact"/>
        <w:numPr>
          <w:ilvl w:val="0"/>
          <w:numId w:val="1057"/>
        </w:numPr>
      </w:pPr>
      <w:r>
        <w:rPr>
          <w:b/>
          <w:bCs/>
        </w:rPr>
        <w:t xml:space="preserve">Review on a quarterly cadence.</w:t>
      </w:r>
      <w:r>
        <w:t xml:space="preserve"> </w:t>
      </w:r>
      <w:r>
        <w:t xml:space="preserve">Packages and groups with guests are reviewed quarterly by sponsors, with denied guests blocked and removed (see the schedule above). Where guests review their own access, remember that a guest who hasn’t accepted their invitation receives no review email, so unredeemed guests fall to the no-response default.</w:t>
      </w:r>
      <w:r>
        <w:rPr>
          <w:rStyle w:val="FootnoteReference"/>
        </w:rPr>
        <w:footnoteReference w:id="931"/>
      </w:r>
    </w:p>
    <w:p>
      <w:pPr>
        <w:pStyle w:val="Compact"/>
        <w:numPr>
          <w:ilvl w:val="0"/>
          <w:numId w:val="1057"/>
        </w:numPr>
      </w:pPr>
      <w:r>
        <w:rPr>
          <w:b/>
          <w:bCs/>
        </w:rPr>
        <w:t xml:space="preserve">Policy for the guest population.</w:t>
      </w:r>
      <w:r>
        <w:t xml:space="preserve"> </w:t>
      </w:r>
      <w:r>
        <w:t xml:space="preserve">Guest lifecycle policies in Lifecycle Workflows, in preview as of October 2026, add tenant-wide rules: sponsor attestation (default 90 days, configurable 30 to 365), an activity requirement (default 90 days, 30 to 730), a minimum number of sponsors (1 to 5), and deletion of invitations not redeemed within a set number of days (default 30, 1 to 30).</w:t>
      </w:r>
      <w:r>
        <w:rPr>
          <w:rStyle w:val="FootnoteReference"/>
        </w:rPr>
        <w:footnoteReference w:id="932"/>
      </w:r>
      <w:r>
        <w:t xml:space="preserve"> </w:t>
      </w:r>
      <w:r>
        <w:t xml:space="preserve">The program will adopt them when they reach general availability; until then the quarterly sponsor review and the inactive-guest insights (a Governance feature) do the same job.</w:t>
      </w:r>
      <w:r>
        <w:rPr>
          <w:rStyle w:val="FootnoteReference"/>
        </w:rPr>
        <w:footnoteReference w:id="934"/>
      </w:r>
    </w:p>
    <w:bookmarkEnd w:id="935"/>
    <w:bookmarkStart w:id="952" w:name="how-the-program-evidences-reviews"/>
    <w:p>
      <w:pPr>
        <w:pStyle w:val="Heading2"/>
      </w:pPr>
      <w:bookmarkStart w:id="1266" w:name="_Toc00001266"/>
      <w:r>
        <w:t xml:space="preserve">How the program evidences reviews</w:t>
      </w:r>
      <w:bookmarkEnd w:id="1266"/>
    </w:p>
    <w:p>
      <w:pPr>
        <w:pStyle w:val="FirstParagraph"/>
      </w:pPr>
      <w:r>
        <w:t xml:space="preserve">An assessor reads governance as records, not as settings. For each mechanism, the program keeps four kinds of evidence: the definition (what was configured), the instance records (what happened), the applied results (what changed), and the exceptions (what was allowed and why). The control mapping that ties these to SP 800-53 is in Chapter 10.</w:t>
      </w:r>
    </w:p>
    <w:bookmarkStart w:id="947" w:name="the-records-entra-id-produces"/>
    <w:p>
      <w:pPr>
        <w:pStyle w:val="Heading3"/>
      </w:pPr>
      <w:r>
        <w:t xml:space="preserve">The records Entra ID produces</w:t>
      </w:r>
    </w:p>
    <w:p>
      <w:pPr>
        <w:pStyle w:val="Compact"/>
        <w:numPr>
          <w:ilvl w:val="0"/>
          <w:numId w:val="1058"/>
        </w:numPr>
      </w:pPr>
      <w:r>
        <w:rPr>
          <w:b/>
          <w:bCs/>
        </w:rPr>
        <w:t xml:space="preserve">Review results.</w:t>
      </w:r>
      <w:r>
        <w:t xml:space="preserve"> </w:t>
      </w:r>
      <w:r>
        <w:t xml:space="preserve">Results of any review, in progress or completed, can be downloaded as a CSV, and recurring reviews keep a history of completed instances.</w:t>
      </w:r>
      <w:r>
        <w:rPr>
          <w:rStyle w:val="FootnoteReference"/>
        </w:rPr>
        <w:footnoteReference w:id="936"/>
      </w:r>
      <w:r>
        <w:t xml:space="preserve"> </w:t>
      </w:r>
      <w:r>
        <w:t xml:space="preserve">Microsoft Graph lists the decisions of each instance (one decision per reviewed identity) through the access reviews API, and the Microsoft Graph PowerShell cmdlet</w:t>
      </w:r>
      <w:r>
        <w:t xml:space="preserve"> </w:t>
      </w:r>
      <w:r>
        <w:rPr>
          <w:rStyle w:val="VerbatimChar"/>
        </w:rPr>
        <w:t xml:space="preserve">Get-MgIdentityGovernanceAccessReviewDefinitionInstanceDecision</w:t>
      </w:r>
      <w:r>
        <w:t xml:space="preserve"> </w:t>
      </w:r>
      <w:r>
        <w:t xml:space="preserve">does the same; the default page size is 100 decisions.</w:t>
      </w:r>
      <w:r>
        <w:rPr>
          <w:rStyle w:val="FootnoteReference"/>
        </w:rPr>
        <w:footnoteReference w:id="938"/>
      </w:r>
    </w:p>
    <w:p>
      <w:pPr>
        <w:pStyle w:val="Compact"/>
        <w:numPr>
          <w:ilvl w:val="0"/>
          <w:numId w:val="1058"/>
        </w:numPr>
      </w:pPr>
      <w:r>
        <w:rPr>
          <w:b/>
          <w:bCs/>
        </w:rPr>
        <w:t xml:space="preserve">Review history reports.</w:t>
      </w:r>
      <w:r>
        <w:t xml:space="preserve"> </w:t>
      </w:r>
      <w:r>
        <w:t xml:space="preserve">A review history report pulls the decisions across reviews for a date range, filtered by review type and result, and records per user the reviewer, decision, justification, recommendation, who applied the result, and when.</w:t>
      </w:r>
      <w:r>
        <w:rPr>
          <w:rStyle w:val="FootnoteReference"/>
        </w:rPr>
        <w:footnoteReference w:id="939"/>
      </w:r>
      <w:r>
        <w:t xml:space="preserve"> </w:t>
      </w:r>
      <w:r>
        <w:t xml:space="preserve">Reports stay downloadable for 30 days, so the program downloads each one into the evidence store when it is generated.</w:t>
      </w:r>
      <w:r>
        <w:rPr>
          <w:rStyle w:val="FootnoteReference"/>
        </w:rPr>
        <w:footnoteReference w:id="941"/>
      </w:r>
    </w:p>
    <w:p>
      <w:pPr>
        <w:pStyle w:val="Compact"/>
        <w:numPr>
          <w:ilvl w:val="0"/>
          <w:numId w:val="1058"/>
        </w:numPr>
      </w:pPr>
      <w:r>
        <w:rPr>
          <w:b/>
          <w:bCs/>
        </w:rPr>
        <w:t xml:space="preserve">Audit log entries.</w:t>
      </w:r>
      <w:r>
        <w:t xml:space="preserve"> </w:t>
      </w:r>
      <w:r>
        <w:t xml:space="preserve">Access review activity is recorded in the Entra audit log, including creating and ending a review and approving, denying, resetting, and applying decisions.</w:t>
      </w:r>
      <w:r>
        <w:rPr>
          <w:rStyle w:val="FootnoteReference"/>
        </w:rPr>
        <w:footnoteReference w:id="942"/>
      </w:r>
      <w:r>
        <w:t xml:space="preserve"> </w:t>
      </w:r>
      <w:r>
        <w:t xml:space="preserve">Entitlement management writes audit records in the</w:t>
      </w:r>
      <w:r>
        <w:t xml:space="preserve"> </w:t>
      </w:r>
      <w:r>
        <w:rPr>
          <w:rStyle w:val="VerbatimChar"/>
        </w:rPr>
        <w:t xml:space="preserve">EntitlementManagement</w:t>
      </w:r>
      <w:r>
        <w:t xml:space="preserve"> </w:t>
      </w:r>
      <w:r>
        <w:t xml:space="preserve">category for each step of a request, from</w:t>
      </w:r>
      <w:r>
        <w:t xml:space="preserve"> </w:t>
      </w:r>
      <w:r>
        <w:t xml:space="preserve">“User requests access package assignment”</w:t>
      </w:r>
      <w:r>
        <w:t xml:space="preserve"> </w:t>
      </w:r>
      <w:r>
        <w:t xml:space="preserve">through approval to</w:t>
      </w:r>
      <w:r>
        <w:t xml:space="preserve"> </w:t>
      </w:r>
      <w:r>
        <w:t xml:space="preserve">“Fulfill access package assignment.”</w:t>
      </w:r>
      <w:r>
        <w:rPr>
          <w:rStyle w:val="FootnoteReference"/>
        </w:rPr>
        <w:footnoteReference w:id="944"/>
      </w:r>
    </w:p>
    <w:p>
      <w:pPr>
        <w:pStyle w:val="Compact"/>
        <w:numPr>
          <w:ilvl w:val="0"/>
          <w:numId w:val="1058"/>
        </w:numPr>
      </w:pPr>
      <w:r>
        <w:rPr>
          <w:b/>
          <w:bCs/>
        </w:rPr>
        <w:t xml:space="preserve">Assignment reports.</w:t>
      </w:r>
      <w:r>
        <w:t xml:space="preserve"> </w:t>
      </w:r>
      <w:r>
        <w:t xml:space="preserve">Each package’s current assignments can be downloaded, and historical analysis of objects and assignments over time needs an export to Azure Data Explorer or a log workspace, because the reports show current state.</w:t>
      </w:r>
      <w:r>
        <w:rPr>
          <w:rStyle w:val="FootnoteReference"/>
        </w:rPr>
        <w:footnoteReference w:id="946"/>
      </w:r>
    </w:p>
    <w:bookmarkEnd w:id="947"/>
    <w:bookmarkStart w:id="949" w:name="retention-the-logs-dont-keep-themselves"/>
    <w:p>
      <w:pPr>
        <w:pStyle w:val="Heading3"/>
      </w:pPr>
      <w:r>
        <w:t xml:space="preserve">Retention: the logs don’t keep themselves</w:t>
      </w:r>
    </w:p>
    <w:p>
      <w:pPr>
        <w:pStyle w:val="FirstParagraph"/>
      </w:pPr>
      <w:r>
        <w:t xml:space="preserve">The program’s older guidance put native Entra retention at 30 days for Free and 90 days for P1 and P2. That was wrong. As of October 2026, Entra ID keeps audit and sign-in logs for 7 days on Free and 30 days on P1 and P2, and upgrading doesn’t recover older data.</w:t>
      </w:r>
      <w:r>
        <w:rPr>
          <w:rStyle w:val="FootnoteReference"/>
        </w:rPr>
        <w:footnoteReference w:id="948"/>
      </w:r>
      <w:r>
        <w:t xml:space="preserve"> </w:t>
      </w:r>
      <w:r>
        <w:t xml:space="preserve">Evidence that has to outlast a 30-day window has to leave the service first: Book 02’s monitoring design streams every log category to a Log Analytics workspace with 365-day retention (Book 02, Chapter 10).</w:t>
      </w:r>
    </w:p>
    <w:p>
      <w:pPr>
        <w:pStyle w:val="BodyText"/>
      </w:pPr>
      <w:r>
        <w:t xml:space="preserve">The program’s retention requirements, as design positions: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Retention</w:t>
            </w:r>
          </w:p>
        </w:tc>
        <w:tc>
          <w:tcPr/>
          <w:p>
            <w:pPr>
              <w:pStyle w:val="Compact"/>
            </w:pPr>
            <w:r>
              <w:t xml:space="preserve">Where</w:t>
            </w:r>
          </w:p>
        </w:tc>
      </w:tr>
      <w:tr>
        <w:tc>
          <w:tcPr/>
          <w:p>
            <w:pPr>
              <w:pStyle w:val="Compact"/>
            </w:pPr>
            <w:r>
              <w:t xml:space="preserve">Entra audit and sign-in logs, including PIM activations and access review activity</w:t>
            </w:r>
          </w:p>
        </w:tc>
        <w:tc>
          <w:tcPr/>
          <w:p>
            <w:pPr>
              <w:pStyle w:val="Compact"/>
            </w:pPr>
            <w:r>
              <w:t xml:space="preserve">At least 1 year</w:t>
            </w:r>
          </w:p>
        </w:tc>
        <w:tc>
          <w:tcPr/>
          <w:p>
            <w:pPr>
              <w:pStyle w:val="Compact"/>
            </w:pPr>
            <w:r>
              <w:t xml:space="preserve">Log Analytics workspace and the SIEM</w:t>
            </w:r>
          </w:p>
        </w:tc>
      </w:tr>
      <w:tr>
        <w:tc>
          <w:tcPr/>
          <w:p>
            <w:pPr>
              <w:pStyle w:val="Compact"/>
            </w:pPr>
            <w:r>
              <w:t xml:space="preserve">Admin consent grants and emergency access account activity</w:t>
            </w:r>
          </w:p>
        </w:tc>
        <w:tc>
          <w:tcPr/>
          <w:p>
            <w:pPr>
              <w:pStyle w:val="Compact"/>
            </w:pPr>
            <w:r>
              <w:t xml:space="preserve">At least 3 years</w:t>
            </w:r>
          </w:p>
        </w:tc>
        <w:tc>
          <w:tcPr/>
          <w:p>
            <w:pPr>
              <w:pStyle w:val="Compact"/>
            </w:pPr>
            <w:r>
              <w:t xml:space="preserve">SIEM plus long-term archive</w:t>
            </w:r>
          </w:p>
        </w:tc>
      </w:tr>
      <w:tr>
        <w:tc>
          <w:tcPr/>
          <w:p>
            <w:pPr>
              <w:pStyle w:val="Compact"/>
            </w:pPr>
            <w:r>
              <w:t xml:space="preserve">Review history reports and per-instance results</w:t>
            </w:r>
          </w:p>
        </w:tc>
        <w:tc>
          <w:tcPr/>
          <w:p>
            <w:pPr>
              <w:pStyle w:val="Compact"/>
            </w:pPr>
            <w:r>
              <w:t xml:space="preserve">3 years</w:t>
            </w:r>
          </w:p>
        </w:tc>
        <w:tc>
          <w:tcPr/>
          <w:p>
            <w:pPr>
              <w:pStyle w:val="Compact"/>
            </w:pPr>
            <w:r>
              <w:t xml:space="preserve">Evidence store</w:t>
            </w:r>
          </w:p>
        </w:tc>
      </w:tr>
      <w:tr>
        <w:tc>
          <w:tcPr/>
          <w:p>
            <w:pPr>
              <w:pStyle w:val="Compact"/>
            </w:pPr>
            <w:r>
              <w:t xml:space="preserve">Access request tickets (where a ticket exists alongside the package request)</w:t>
            </w:r>
          </w:p>
        </w:tc>
        <w:tc>
          <w:tcPr/>
          <w:p>
            <w:pPr>
              <w:pStyle w:val="Compact"/>
            </w:pPr>
            <w:r>
              <w:t xml:space="preserve">3 years active, 7 years archived</w:t>
            </w:r>
          </w:p>
        </w:tc>
        <w:tc>
          <w:tcPr/>
          <w:p>
            <w:pPr>
              <w:pStyle w:val="Compact"/>
            </w:pPr>
            <w:r>
              <w:t xml:space="preserve">ITSM system and archive</w:t>
            </w:r>
          </w:p>
        </w:tc>
      </w:tr>
      <w:tr>
        <w:tc>
          <w:tcPr/>
          <w:p>
            <w:pPr>
              <w:pStyle w:val="Compact"/>
            </w:pPr>
            <w:r>
              <w:t xml:space="preserve">Application registry snapshots</w:t>
            </w:r>
          </w:p>
        </w:tc>
        <w:tc>
          <w:tcPr/>
          <w:p>
            <w:pPr>
              <w:pStyle w:val="Compact"/>
            </w:pPr>
            <w:r>
              <w:t xml:space="preserve">Annual snapshot, kept 3 years</w:t>
            </w:r>
          </w:p>
        </w:tc>
        <w:tc>
          <w:tcPr/>
          <w:p>
            <w:pPr>
              <w:pStyle w:val="Compact"/>
            </w:pPr>
            <w:r>
              <w:t xml:space="preserve">Evidence store</w:t>
            </w:r>
          </w:p>
        </w:tc>
      </w:tr>
    </w:tbl>
    <w:p>
      <w:pPr>
        <w:pStyle w:val="BodyText"/>
      </w:pPr>
      <w:r>
        <w:t xml:space="preserve">A gap in log forwarding is a gap in evidence. The governance office confirms forwarding health quarterly, and a forwarding gap is reported to the CISO as a security incident within 24 hours of discovery.</w:t>
      </w:r>
    </w:p>
    <w:bookmarkEnd w:id="949"/>
    <w:bookmarkStart w:id="950" w:name="governance-alerts"/>
    <w:p>
      <w:pPr>
        <w:pStyle w:val="Heading3"/>
      </w:pPr>
      <w:r>
        <w:t xml:space="preserve">Governance alerts</w:t>
      </w:r>
    </w:p>
    <w:p>
      <w:pPr>
        <w:pStyle w:val="FirstParagraph"/>
      </w:pPr>
      <w:r>
        <w:t xml:space="preserve">Detections that guard the governance process itself run in the SIEM; the detection queries for privileged activity and sign-in coverage are in Book 02, Chapter 10 and the consent and application alerts are Chapter 05’s. Three are specific to this chapter: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Alert</w:t>
            </w:r>
          </w:p>
        </w:tc>
        <w:tc>
          <w:tcPr/>
          <w:p>
            <w:pPr>
              <w:pStyle w:val="Compact"/>
            </w:pPr>
            <w:r>
              <w:t xml:space="preserve">Trigger</w:t>
            </w:r>
          </w:p>
        </w:tc>
        <w:tc>
          <w:tcPr/>
          <w:p>
            <w:pPr>
              <w:pStyle w:val="Compact"/>
            </w:pPr>
            <w:r>
              <w:t xml:space="preserve">Priority</w:t>
            </w:r>
          </w:p>
        </w:tc>
      </w:tr>
      <w:tr>
        <w:tc>
          <w:tcPr/>
          <w:p>
            <w:pPr>
              <w:pStyle w:val="Compact"/>
            </w:pPr>
            <w:r>
              <w:t xml:space="preserve">Access granted outside entitlement management</w:t>
            </w:r>
          </w:p>
        </w:tc>
        <w:tc>
          <w:tcPr/>
          <w:p>
            <w:pPr>
              <w:pStyle w:val="Compact"/>
            </w:pPr>
            <w:r>
              <w:t xml:space="preserve">An app role assignment to a Tier 1 or Tier 2 application not made by entitlement management</w:t>
            </w:r>
          </w:p>
        </w:tc>
        <w:tc>
          <w:tcPr/>
          <w:p>
            <w:pPr>
              <w:pStyle w:val="Compact"/>
            </w:pPr>
            <w:r>
              <w:t xml:space="preserve">High</w:t>
            </w:r>
          </w:p>
        </w:tc>
      </w:tr>
      <w:tr>
        <w:tc>
          <w:tcPr/>
          <w:p>
            <w:pPr>
              <w:pStyle w:val="Compact"/>
            </w:pPr>
            <w:r>
              <w:t xml:space="preserve">Review closed with unapplied denials</w:t>
            </w:r>
          </w:p>
        </w:tc>
        <w:tc>
          <w:tcPr/>
          <w:p>
            <w:pPr>
              <w:pStyle w:val="Compact"/>
            </w:pPr>
            <w:r>
              <w:t xml:space="preserve">A review instance ended with</w:t>
            </w:r>
            <w:r>
              <w:t xml:space="preserve"> </w:t>
            </w:r>
            <w:r>
              <w:t xml:space="preserve">“Deny”</w:t>
            </w:r>
            <w:r>
              <w:t xml:space="preserve"> </w:t>
            </w:r>
            <w:r>
              <w:t xml:space="preserve">decisions not applied</w:t>
            </w:r>
          </w:p>
        </w:tc>
        <w:tc>
          <w:tcPr/>
          <w:p>
            <w:pPr>
              <w:pStyle w:val="Compact"/>
            </w:pPr>
            <w:r>
              <w:t xml:space="preserve">High</w:t>
            </w:r>
          </w:p>
        </w:tc>
      </w:tr>
      <w:tr>
        <w:tc>
          <w:tcPr/>
          <w:p>
            <w:pPr>
              <w:pStyle w:val="Compact"/>
            </w:pPr>
            <w:r>
              <w:t xml:space="preserve">Bulk privileged decisions</w:t>
            </w:r>
          </w:p>
        </w:tc>
        <w:tc>
          <w:tcPr/>
          <w:p>
            <w:pPr>
              <w:pStyle w:val="Compact"/>
            </w:pPr>
            <w:r>
              <w:t xml:space="preserve">One reviewer records many identical decisions in a privileged-role review within minutes</w:t>
            </w:r>
          </w:p>
        </w:tc>
        <w:tc>
          <w:tcPr/>
          <w:p>
            <w:pPr>
              <w:pStyle w:val="Compact"/>
            </w:pPr>
            <w:r>
              <w:t xml:space="preserve">Medium</w:t>
            </w:r>
          </w:p>
        </w:tc>
      </w:tr>
    </w:tbl>
    <w:bookmarkEnd w:id="950"/>
    <w:bookmarkStart w:id="951" w:name="exceptions-1"/>
    <w:p>
      <w:pPr>
        <w:pStyle w:val="Heading3"/>
      </w:pPr>
      <w:r>
        <w:t xml:space="preserve">Exceptions</w:t>
      </w:r>
    </w:p>
    <w:p>
      <w:pPr>
        <w:pStyle w:val="FirstParagraph"/>
      </w:pPr>
      <w:r>
        <w:t xml:space="preserve">Every deviation (a combined package that overrides separation of duties, a review schedule moved, a package without expiry) is recorded in the exception register with its approver, its justification, and an end date. Deviations from the Tier 3 review schedule need the governance office’s approval; deviations for Tier 1 or Tier 2 also need the CISO’s concurrence. The register is reviewed quarterly and is part of the evidence for each cycle.</w:t>
      </w:r>
    </w:p>
    <w:bookmarkEnd w:id="951"/>
    <w:bookmarkEnd w:id="952"/>
    <w:bookmarkStart w:id="953" w:name="continue-the-book-8"/>
    <w:p>
      <w:pPr>
        <w:pStyle w:val="Heading2"/>
      </w:pPr>
      <w:bookmarkStart w:id="1267" w:name="_Toc00001267"/>
      <w:r>
        <w:t xml:space="preserve">Continue the book</w:t>
      </w:r>
      <w:bookmarkEnd w:id="1267"/>
    </w:p>
    <w:p>
      <w:pPr>
        <w:pStyle w:val="FirstParagraph"/>
      </w:pPr>
      <w:r>
        <w:t xml:space="preserve">← Previous: Chapter 08 — PIM Self-Request with Approval · Book index · Next: Chapter 10 — Access as Code, and the Evidence It Produces →</w:t>
      </w:r>
    </w:p>
    <w:bookmarkEnd w:id="953"/>
    <w:bookmarkEnd w:id="954"/>
    <w:bookmarkStart w:id="1044" w:name="X5bd8b94165d4f424bf770e62b72612519490fdf"/>
    <w:p>
      <w:pPr>
        <w:pStyle w:val="Heading1"/>
      </w:pPr>
      <w:bookmarkStart w:id="1268" w:name="_Toc00001268"/>
      <w:r>
        <w:t xml:space="preserve">Chapter 10 — Access as Code, and the Evidence It Produces</w:t>
      </w:r>
      <w:bookmarkEnd w:id="1268"/>
    </w:p>
    <w:p>
      <w:pPr>
        <w:pStyle w:val="FirstParagraph"/>
      </w:pPr>
      <w:r>
        <w:rPr>
          <w:i/>
          <w:iCs/>
        </w:rPr>
        <w:t xml:space="preserve">An access policy that exists only as portal clicks can’t be diffed, reviewed, or replayed, so it can’t be assessed; held as code, every access decision has a source, a history, and an approver.</w:t>
      </w:r>
    </w:p>
    <w:bookmarkStart w:id="955" w:name="in-this-chapter-9"/>
    <w:p>
      <w:pPr>
        <w:pStyle w:val="Heading2"/>
      </w:pPr>
      <w:bookmarkStart w:id="1269" w:name="_Toc00001269"/>
      <w:r>
        <w:t xml:space="preserve">In this chapter</w:t>
      </w:r>
      <w:bookmarkEnd w:id="1269"/>
    </w:p>
    <w:p>
      <w:pPr>
        <w:pStyle w:val="FirstParagraph"/>
      </w:pPr>
      <w:r>
        <w:t xml:space="preserve">Which access objects the program keeps in a repository, and the tools that apply them (Microsoft Graph, the Terraform</w:t>
      </w:r>
      <w:r>
        <w:t xml:space="preserve"> </w:t>
      </w:r>
      <w:r>
        <w:rPr>
          <w:rStyle w:val="VerbatimChar"/>
        </w:rPr>
        <w:t xml:space="preserve">azuread</w:t>
      </w:r>
      <w:r>
        <w:t xml:space="preserve"> </w:t>
      </w:r>
      <w:r>
        <w:t xml:space="preserve">provider, Microsoft365DSC, and Microsoft Entra Tenant Governance configuration management), with each tool’s status as of October 2026. Then the change-control rules that make the repository the only normal path to production, how drift is detected and closed, and the evidence an assessor reads, mapped to NIST SP 800-53 AC-2, AC-3, AC-6, IA-2 and CA-7.</w:t>
      </w:r>
    </w:p>
    <w:bookmarkEnd w:id="955"/>
    <w:p>
      <w:pPr>
        <w:pStyle w:val="BodyText"/>
      </w:pPr>
      <w:r>
        <w:t xml:space="preserve">The earlier chapters decided what the access policies are: the Conditional Access library (Chapter 07), PIM role settings (Chapter 08 and Appendix B), and the governance machinery (Chapter 09). This chapter is about how those decisions are held. A Conditional Access estate that nobody can diff is a control that no assessor can trace: IA-2 and AC-6 become assertions, and drift stays invisible until it becomes a finding.</w:t>
      </w:r>
    </w:p>
    <w:p>
      <w:pPr>
        <w:pStyle w:val="BodyText"/>
      </w:pPr>
      <w:r>
        <w:t xml:space="preserve">The invariant this chapter enforces is that every access decision has a reviewable source of truth, that a pipeline applies that source, and that a monitor checks the tenant against it. Three consequences follow. A change is a pull request with an author and a reviewer, not an edit someone remembers making. The tenant can be compared with intent at any time. And the evidence (who approved what, when it was deployed, whether it is still true) is produced by doing the work, not reconstructed for the assessment.</w:t>
      </w:r>
    </w:p>
    <w:bookmarkStart w:id="959" w:name="fig-ch10-access-as-code-loop"/>
    <w:p>
      <w:pPr>
        <w:pStyle w:val="CaptionedFigure"/>
      </w:pPr>
      <w:r>
        <w:drawing>
          <wp:inline>
            <wp:extent cx="3791648" cy="6759857"/>
            <wp:effectExtent b="0" l="0" r="0" t="0"/>
            <wp:docPr descr="The access-as-code loop: changes go through a pull request and a two-person review, a pipeline applies them in report-only mode first, a monitor compares the tenant with the baseline, and drift opens an issue that is closed in the repository or by reverting the tenant." title="" id="957" name="Picture"/>
            <a:graphic>
              <a:graphicData uri="http://schemas.openxmlformats.org/drawingml/2006/picture">
                <pic:pic>
                  <pic:nvPicPr>
                    <pic:cNvPr descr="/home/runner/work/modernization-workbook/modernization-workbook/docs/images/diagrams/b04-access/png/ch10-access-as-code-loop.png" id="958" name="Picture"/>
                    <pic:cNvPicPr>
                      <a:picLocks noChangeArrowheads="1" noChangeAspect="1"/>
                    </pic:cNvPicPr>
                  </pic:nvPicPr>
                  <pic:blipFill>
                    <a:blip r:embed="rId956"/>
                    <a:stretch>
                      <a:fillRect/>
                    </a:stretch>
                  </pic:blipFill>
                  <pic:spPr bwMode="auto">
                    <a:xfrm>
                      <a:off x="0" y="0"/>
                      <a:ext cx="3791648" cy="6759857"/>
                    </a:xfrm>
                    <a:prstGeom prst="rect">
                      <a:avLst/>
                    </a:prstGeom>
                    <a:noFill/>
                    <a:ln w="9525">
                      <a:noFill/>
                      <a:headEnd/>
                      <a:tailEnd/>
                    </a:ln>
                  </pic:spPr>
                </pic:pic>
              </a:graphicData>
            </a:graphic>
          </wp:inline>
        </w:drawing>
      </w:r>
    </w:p>
    <w:p>
      <w:pPr>
        <w:pStyle w:val="ImageCaption"/>
      </w:pPr>
      <w:r>
        <w:t xml:space="preserve">The access-as-code loop: changes go through a pull request and a two-person review, a pipeline applies them in report-only mode first, a monitor compares the tenant with the baseline, and drift opens an issue that is closed in the repository or by reverting the tenant.</w:t>
      </w:r>
    </w:p>
    <w:bookmarkEnd w:id="959"/>
    <w:bookmarkStart w:id="960" w:name="what-goes-in-the-repository"/>
    <w:p>
      <w:pPr>
        <w:pStyle w:val="Heading2"/>
      </w:pPr>
      <w:bookmarkStart w:id="1270" w:name="_Toc00001270"/>
      <w:r>
        <w:t xml:space="preserve">What goes in the repository</w:t>
      </w:r>
      <w:bookmarkEnd w:id="1270"/>
    </w:p>
    <w:p>
      <w:pPr>
        <w:pStyle w:val="FirstParagraph"/>
      </w:pPr>
      <w:r>
        <w:t xml:space="preserve">Every access object the program governs has a file in the repository, one file per object, named for the object’s display name. The safety rules travel with the files and are checked before merge.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Object class</w:t>
            </w:r>
          </w:p>
        </w:tc>
        <w:tc>
          <w:tcPr/>
          <w:p>
            <w:pPr>
              <w:pStyle w:val="Compact"/>
            </w:pPr>
            <w:r>
              <w:t xml:space="preserve">Held as</w:t>
            </w:r>
          </w:p>
        </w:tc>
        <w:tc>
          <w:tcPr/>
          <w:p>
            <w:pPr>
              <w:pStyle w:val="Compact"/>
            </w:pPr>
            <w:r>
              <w:t xml:space="preserve">Safety rule checked before merge</w:t>
            </w:r>
          </w:p>
        </w:tc>
      </w:tr>
      <w:tr>
        <w:tc>
          <w:tcPr/>
          <w:p>
            <w:pPr>
              <w:pStyle w:val="Compact"/>
            </w:pPr>
            <w:r>
              <w:t xml:space="preserve">Conditional Access policies, named locations, authentication strengths</w:t>
            </w:r>
          </w:p>
        </w:tc>
        <w:tc>
          <w:tcPr/>
          <w:p>
            <w:pPr>
              <w:pStyle w:val="Compact"/>
            </w:pPr>
            <w:r>
              <w:t xml:space="preserve">One JSON or HCL file per object</w:t>
            </w:r>
          </w:p>
        </w:tc>
        <w:tc>
          <w:tcPr/>
          <w:p>
            <w:pPr>
              <w:pStyle w:val="Compact"/>
            </w:pPr>
            <w:r>
              <w:t xml:space="preserve">Every blocking or grant policy excludes the emergency access group (Chapter 07); new and changed policies deploy as report-only</w:t>
            </w:r>
          </w:p>
        </w:tc>
      </w:tr>
      <w:tr>
        <w:tc>
          <w:tcPr/>
          <w:p>
            <w:pPr>
              <w:pStyle w:val="Compact"/>
            </w:pPr>
            <w:r>
              <w:t xml:space="preserve">PIM role settings for Entra roles and PIM for Groups</w:t>
            </w:r>
          </w:p>
        </w:tc>
        <w:tc>
          <w:tcPr/>
          <w:p>
            <w:pPr>
              <w:pStyle w:val="Compact"/>
            </w:pPr>
            <w:r>
              <w:t xml:space="preserve">One file per role policy (the role’s rules)</w:t>
            </w:r>
          </w:p>
        </w:tc>
        <w:tc>
          <w:tcPr/>
          <w:p>
            <w:pPr>
              <w:pStyle w:val="Compact"/>
            </w:pPr>
            <w:r>
              <w:t xml:space="preserve">Activation requires MFA or an authentication context, justification, and approval for Tier 0 roles; no rule permits a permanent active assignment except the documented emergency accounts (Chapter 08)</w:t>
            </w:r>
          </w:p>
        </w:tc>
      </w:tr>
      <w:tr>
        <w:tc>
          <w:tcPr/>
          <w:p>
            <w:pPr>
              <w:pStyle w:val="Compact"/>
            </w:pPr>
            <w:r>
              <w:t xml:space="preserve">Eligible role assignments</w:t>
            </w:r>
          </w:p>
        </w:tc>
        <w:tc>
          <w:tcPr/>
          <w:p>
            <w:pPr>
              <w:pStyle w:val="Compact"/>
            </w:pPr>
            <w:r>
              <w:t xml:space="preserve">One file per role, listing eligible groups</w:t>
            </w:r>
          </w:p>
        </w:tc>
        <w:tc>
          <w:tcPr/>
          <w:p>
            <w:pPr>
              <w:pStyle w:val="Compact"/>
            </w:pPr>
            <w:r>
              <w:t xml:space="preserve">Eligibility goes to role-assignable groups, not individuals (Chapter 04)</w:t>
            </w:r>
          </w:p>
        </w:tc>
      </w:tr>
      <w:tr>
        <w:tc>
          <w:tcPr/>
          <w:p>
            <w:pPr>
              <w:pStyle w:val="Compact"/>
            </w:pPr>
            <w:r>
              <w:t xml:space="preserve">Groups used for access</w:t>
            </w:r>
          </w:p>
        </w:tc>
        <w:tc>
          <w:tcPr/>
          <w:p>
            <w:pPr>
              <w:pStyle w:val="Compact"/>
            </w:pPr>
            <w:r>
              <w:t xml:space="preserve">One file per group</w:t>
            </w:r>
          </w:p>
        </w:tc>
        <w:tc>
          <w:tcPr/>
          <w:p>
            <w:pPr>
              <w:pStyle w:val="Compact"/>
            </w:pPr>
            <w:r>
              <w:t xml:space="preserve">Names follow the</w:t>
            </w:r>
            <w:r>
              <w:t xml:space="preserve"> </w:t>
            </w:r>
            <w:r>
              <w:rPr>
                <w:rStyle w:val="VerbatimChar"/>
              </w:rPr>
              <w:t xml:space="preserve">APP-</w:t>
            </w:r>
            <w:r>
              <w:t xml:space="preserve"> </w:t>
            </w:r>
            <w:r>
              <w:t xml:space="preserve">convention; no nested members; dynamic rules only where the tier allows (Chapter 09)</w:t>
            </w:r>
          </w:p>
        </w:tc>
      </w:tr>
      <w:tr>
        <w:tc>
          <w:tcPr/>
          <w:p>
            <w:pPr>
              <w:pStyle w:val="Compact"/>
            </w:pPr>
            <w:r>
              <w:t xml:space="preserve">Catalogs, access packages, assignment policies</w:t>
            </w:r>
          </w:p>
        </w:tc>
        <w:tc>
          <w:tcPr/>
          <w:p>
            <w:pPr>
              <w:pStyle w:val="Compact"/>
            </w:pPr>
            <w:r>
              <w:t xml:space="preserve">One file per package with its policies</w:t>
            </w:r>
          </w:p>
        </w:tc>
        <w:tc>
          <w:tcPr/>
          <w:p>
            <w:pPr>
              <w:pStyle w:val="Compact"/>
            </w:pPr>
            <w:r>
              <w:t xml:space="preserve">Expiry set (never</w:t>
            </w:r>
            <w:r>
              <w:t xml:space="preserve"> </w:t>
            </w:r>
            <w:r>
              <w:t xml:space="preserve">“never”</w:t>
            </w:r>
            <w:r>
              <w:t xml:space="preserve">); approval chain matches the tier; incompatible packages listed both ways</w:t>
            </w:r>
          </w:p>
        </w:tc>
      </w:tr>
      <w:tr>
        <w:tc>
          <w:tcPr/>
          <w:p>
            <w:pPr>
              <w:pStyle w:val="Compact"/>
            </w:pPr>
            <w:r>
              <w:t xml:space="preserve">Access review definitions</w:t>
            </w:r>
          </w:p>
        </w:tc>
        <w:tc>
          <w:tcPr/>
          <w:p>
            <w:pPr>
              <w:pStyle w:val="Compact"/>
            </w:pPr>
            <w:r>
              <w:t xml:space="preserve">One file per review series</w:t>
            </w:r>
          </w:p>
        </w:tc>
        <w:tc>
          <w:tcPr/>
          <w:p>
            <w:pPr>
              <w:pStyle w:val="Compact"/>
            </w:pPr>
            <w:r>
              <w:t xml:space="preserve">Fallback reviewer present whenever reviewers are managers or owners; auto-apply on; no-response default matches the schedule</w:t>
            </w:r>
          </w:p>
        </w:tc>
      </w:tr>
      <w:tr>
        <w:tc>
          <w:tcPr/>
          <w:p>
            <w:pPr>
              <w:pStyle w:val="Compact"/>
            </w:pPr>
            <w:r>
              <w:t xml:space="preserve">Lifecycle Workflows</w:t>
            </w:r>
          </w:p>
        </w:tc>
        <w:tc>
          <w:tcPr/>
          <w:p>
            <w:pPr>
              <w:pStyle w:val="Compact"/>
            </w:pPr>
            <w:r>
              <w:t xml:space="preserve">One file per workflow</w:t>
            </w:r>
          </w:p>
        </w:tc>
        <w:tc>
          <w:tcPr/>
          <w:p>
            <w:pPr>
              <w:pStyle w:val="Compact"/>
            </w:pPr>
            <w:r>
              <w:t xml:space="preserve">Leaver workflows include</w:t>
            </w:r>
            <w:r>
              <w:t xml:space="preserve"> </w:t>
            </w:r>
            <w:r>
              <w:t xml:space="preserve">“remove all access package assignments”</w:t>
            </w:r>
            <w:r>
              <w:t xml:space="preserve"> </w:t>
            </w:r>
            <w:r>
              <w:t xml:space="preserve">and</w:t>
            </w:r>
            <w:r>
              <w:t xml:space="preserve"> </w:t>
            </w:r>
            <w:r>
              <w:t xml:space="preserve">“revoke all refresh tokens”</w:t>
            </w:r>
          </w:p>
        </w:tc>
      </w:tr>
    </w:tbl>
    <w:p>
      <w:pPr>
        <w:pStyle w:val="BodyText"/>
      </w:pPr>
      <w:r>
        <w:t xml:space="preserve">Port authentication (802.1X) and certificate lifecycle automation are the other half of the identity-as-code work in the program’s compliance series; they are network and PKI subjects and stay there (Vol VI Book 02, with Vol I Book 02 and Vol I Book 03).</w:t>
      </w:r>
    </w:p>
    <w:bookmarkEnd w:id="960"/>
    <w:bookmarkStart w:id="1007" w:name="the-tools-and-where-each-one-stands"/>
    <w:p>
      <w:pPr>
        <w:pStyle w:val="Heading2"/>
      </w:pPr>
      <w:bookmarkStart w:id="1271" w:name="_Toc00001271"/>
      <w:r>
        <w:t xml:space="preserve">The tools, and where each one stands</w:t>
      </w:r>
      <w:bookmarkEnd w:id="1271"/>
    </w:p>
    <w:p>
      <w:pPr>
        <w:pStyle w:val="FirstParagraph"/>
      </w:pPr>
      <w:r>
        <w:t xml:space="preserve">Every tool below ends in Microsoft Graph, which is the only programmatic interface to these objects. The differences are in how much they cover, whether they hold state, and who maintains them.</w:t>
      </w:r>
    </w:p>
    <w:bookmarkStart w:id="967" w:name="X62f92e1e83e3aee763623c0f7ac8815cf401f50"/>
    <w:p>
      <w:pPr>
        <w:pStyle w:val="Heading3"/>
      </w:pPr>
      <w:r>
        <w:t xml:space="preserve">Microsoft Graph and Microsoft Graph PowerShell</w:t>
      </w:r>
    </w:p>
    <w:p>
      <w:pPr>
        <w:pStyle w:val="FirstParagraph"/>
      </w:pPr>
      <w:r>
        <w:t xml:space="preserve">Graph exposes every object class in the table: Conditional Access policies, authentication strength policies, PIM role management policies and their rules, access packages and assignment policies, access review schedule definitions, and Lifecycle Workflows. Creating a Conditional Access policy needs</w:t>
      </w:r>
      <w:r>
        <w:t xml:space="preserve"> </w:t>
      </w:r>
      <w:r>
        <w:rPr>
          <w:rStyle w:val="VerbatimChar"/>
        </w:rPr>
        <w:t xml:space="preserve">Policy.Read.All</w:t>
      </w:r>
      <w:r>
        <w:t xml:space="preserve"> </w:t>
      </w:r>
      <w:r>
        <w:t xml:space="preserve">and</w:t>
      </w:r>
      <w:r>
        <w:t xml:space="preserve"> </w:t>
      </w:r>
      <w:r>
        <w:rPr>
          <w:rStyle w:val="VerbatimChar"/>
        </w:rPr>
        <w:t xml:space="preserve">Policy.ReadWrite.ConditionalAccess</w:t>
      </w:r>
      <w:r>
        <w:t xml:space="preserve">, and Microsoft notes a known issue where the call can require consent to additional permissions.</w:t>
      </w:r>
      <w:r>
        <w:rPr>
          <w:rStyle w:val="FootnoteReference"/>
        </w:rPr>
        <w:footnoteReference w:id="961"/>
      </w:r>
      <w:r>
        <w:t xml:space="preserve"> </w:t>
      </w:r>
      <w:r>
        <w:t xml:space="preserve">PIM role settings are</w:t>
      </w:r>
      <w:r>
        <w:t xml:space="preserve"> </w:t>
      </w:r>
      <w:r>
        <w:rPr>
          <w:rStyle w:val="VerbatimChar"/>
        </w:rPr>
        <w:t xml:space="preserve">unifiedRoleManagementPolicy</w:t>
      </w:r>
      <w:r>
        <w:t xml:space="preserve"> </w:t>
      </w:r>
      <w:r>
        <w:t xml:space="preserve">objects whose rules (approval, enablement, expiration, notification, and authentication context) are updated individually; managing the rules for Entra roles needs</w:t>
      </w:r>
      <w:r>
        <w:t xml:space="preserve"> </w:t>
      </w:r>
      <w:r>
        <w:rPr>
          <w:rStyle w:val="VerbatimChar"/>
        </w:rPr>
        <w:t xml:space="preserve">RoleManagementPolicy.ReadWrite.Directory</w:t>
      </w:r>
      <w:r>
        <w:t xml:space="preserve">, and Privileged Role Administrator is the least-privileged role for the task.</w:t>
      </w:r>
      <w:r>
        <w:rPr>
          <w:rStyle w:val="FootnoteReference"/>
        </w:rPr>
        <w:footnoteReference w:id="963"/>
      </w:r>
      <w:r>
        <w:t xml:space="preserve"> </w:t>
      </w:r>
      <w:r>
        <w:t xml:space="preserve">Access packages and policies need</w:t>
      </w:r>
      <w:r>
        <w:t xml:space="preserve"> </w:t>
      </w:r>
      <w:r>
        <w:rPr>
          <w:rStyle w:val="VerbatimChar"/>
        </w:rPr>
        <w:t xml:space="preserve">EntitlementManagement.ReadWrite.All</w:t>
      </w:r>
      <w:r>
        <w:t xml:space="preserve">, and access review definitions need</w:t>
      </w:r>
      <w:r>
        <w:t xml:space="preserve"> </w:t>
      </w:r>
      <w:r>
        <w:rPr>
          <w:rStyle w:val="VerbatimChar"/>
        </w:rPr>
        <w:t xml:space="preserve">AccessReview.ReadWrite.All</w:t>
      </w:r>
      <w:r>
        <w:t xml:space="preserve">.</w:t>
      </w:r>
      <w:r>
        <w:rPr>
          <w:rStyle w:val="FootnoteReference"/>
        </w:rPr>
        <w:footnoteReference w:id="964"/>
      </w:r>
      <w:r>
        <w:rPr>
          <w:rStyle w:val="FootnoteReference"/>
        </w:rPr>
        <w:footnoteReference w:id="966"/>
      </w:r>
    </w:p>
    <w:p>
      <w:pPr>
        <w:pStyle w:val="BodyText"/>
      </w:pPr>
      <w:r>
        <w:t xml:space="preserve">Graph is the right tool for objects nothing else covers well, and for the read side of every check. It holds no state of its own, so</w:t>
      </w:r>
      <w:r>
        <w:t xml:space="preserve"> </w:t>
      </w:r>
      <w:r>
        <w:t xml:space="preserve">“desired state”</w:t>
      </w:r>
      <w:r>
        <w:t xml:space="preserve"> </w:t>
      </w:r>
      <w:r>
        <w:t xml:space="preserve">has to live in the repository and comparison has to be written.</w:t>
      </w:r>
    </w:p>
    <w:bookmarkEnd w:id="967"/>
    <w:bookmarkStart w:id="977" w:name="the-terraform-azuread-provider"/>
    <w:p>
      <w:pPr>
        <w:pStyle w:val="Heading3"/>
      </w:pPr>
      <w:r>
        <w:t xml:space="preserve">The Terraform</w:t>
      </w:r>
      <w:r>
        <w:t xml:space="preserve"> </w:t>
      </w:r>
      <w:r>
        <w:rPr>
          <w:rStyle w:val="VerbatimChar"/>
        </w:rPr>
        <w:t xml:space="preserve">azuread</w:t>
      </w:r>
      <w:r>
        <w:t xml:space="preserve"> </w:t>
      </w:r>
      <w:r>
        <w:t xml:space="preserve">provider</w:t>
      </w:r>
    </w:p>
    <w:p>
      <w:pPr>
        <w:pStyle w:val="FirstParagraph"/>
      </w:pPr>
      <w:r>
        <w:t xml:space="preserve">HashiCorp’s</w:t>
      </w:r>
      <w:r>
        <w:t xml:space="preserve"> </w:t>
      </w:r>
      <w:r>
        <w:rPr>
          <w:rStyle w:val="VerbatimChar"/>
        </w:rPr>
        <w:t xml:space="preserve">azuread</w:t>
      </w:r>
      <w:r>
        <w:t xml:space="preserve"> </w:t>
      </w:r>
      <w:r>
        <w:t xml:space="preserve">provider was at v3.10.0 (September 24, 2026) as of October 2026.</w:t>
      </w:r>
      <w:r>
        <w:rPr>
          <w:rStyle w:val="FootnoteReference"/>
        </w:rPr>
        <w:footnoteReference w:id="968"/>
      </w:r>
      <w:r>
        <w:t xml:space="preserve"> </w:t>
      </w:r>
      <w:r>
        <w:t xml:space="preserve">Its documented resources cover Conditional Access policies, named locations, authentication strength policies, groups and group members, administrative units, app role assignments, directory role eligibility schedule requests, PIM for Groups eligibility and assignment schedules, PIM for Groups role management policies, and catalogs, access packages, assignment policies, and their resource associations.</w:t>
      </w:r>
      <w:r>
        <w:rPr>
          <w:rStyle w:val="FootnoteReference"/>
        </w:rPr>
        <w:footnoteReference w:id="970"/>
      </w:r>
      <w:r>
        <w:t xml:space="preserve"> </w:t>
      </w:r>
      <w:r>
        <w:t xml:space="preserve">The resource list has no access review definitions, no Lifecycle Workflows, and no role management policy for Entra directory roles (only for groups), so Entra role PIM settings, reviews, and workflows need another tool.</w:t>
      </w:r>
      <w:r>
        <w:rPr>
          <w:rStyle w:val="FootnoteReference"/>
        </w:rPr>
        <w:footnoteReference w:id="972"/>
      </w:r>
      <w:r>
        <w:t xml:space="preserve"> </w:t>
      </w:r>
      <w:r>
        <w:t xml:space="preserve">The Conditional Access resource needs</w:t>
      </w:r>
      <w:r>
        <w:t xml:space="preserve"> </w:t>
      </w:r>
      <w:r>
        <w:rPr>
          <w:rStyle w:val="VerbatimChar"/>
        </w:rPr>
        <w:t xml:space="preserve">Policy.ReadWrite.ConditionalAccess</w:t>
      </w:r>
      <w:r>
        <w:t xml:space="preserve"> </w:t>
      </w:r>
      <w:r>
        <w:t xml:space="preserve">and</w:t>
      </w:r>
      <w:r>
        <w:t xml:space="preserve"> </w:t>
      </w:r>
      <w:r>
        <w:rPr>
          <w:rStyle w:val="VerbatimChar"/>
        </w:rPr>
        <w:t xml:space="preserve">Policy.Read.All</w:t>
      </w:r>
      <w:r>
        <w:t xml:space="preserve"> </w:t>
      </w:r>
      <w:r>
        <w:t xml:space="preserve">for a service principal, or the Conditional Access Administrator role for a user.</w:t>
      </w:r>
      <w:r>
        <w:rPr>
          <w:rStyle w:val="FootnoteReference"/>
        </w:rPr>
        <w:footnoteReference w:id="973"/>
      </w:r>
    </w:p>
    <w:p>
      <w:pPr>
        <w:pStyle w:val="BodyText"/>
      </w:pPr>
      <w:r>
        <w:t xml:space="preserve">Terraform holds state, which is its strength for drift:</w:t>
      </w:r>
      <w:r>
        <w:t xml:space="preserve"> </w:t>
      </w:r>
      <w:r>
        <w:rPr>
          <w:rStyle w:val="VerbatimChar"/>
        </w:rPr>
        <w:t xml:space="preserve">terraform plan -detailed-exitcode</w:t>
      </w:r>
      <w:r>
        <w:t xml:space="preserve"> </w:t>
      </w:r>
      <w:r>
        <w:t xml:space="preserve">returns 0 when nothing differs and 2 when the plan has changes, and</w:t>
      </w:r>
      <w:r>
        <w:t xml:space="preserve"> </w:t>
      </w:r>
      <w:r>
        <w:rPr>
          <w:rStyle w:val="VerbatimChar"/>
        </w:rPr>
        <w:t xml:space="preserve">-refresh-only</w:t>
      </w:r>
      <w:r>
        <w:t xml:space="preserve"> </w:t>
      </w:r>
      <w:r>
        <w:t xml:space="preserve">updates the state to match objects changed outside Terraform without changing them.</w:t>
      </w:r>
      <w:r>
        <w:rPr>
          <w:rStyle w:val="FootnoteReference"/>
        </w:rPr>
        <w:footnoteReference w:id="975"/>
      </w:r>
    </w:p>
    <w:bookmarkEnd w:id="977"/>
    <w:bookmarkStart w:id="986" w:name="microsoft365dsc"/>
    <w:p>
      <w:pPr>
        <w:pStyle w:val="Heading3"/>
      </w:pPr>
      <w:r>
        <w:t xml:space="preserve">Microsoft365DSC</w:t>
      </w:r>
    </w:p>
    <w:p>
      <w:pPr>
        <w:pStyle w:val="FirstParagraph"/>
      </w:pPr>
      <w:r>
        <w:t xml:space="preserve">Microsoft365DSC is an open-source PowerShell Desired State Configuration module for configuring, exporting, and monitoring Microsoft 365 tenants. As of October 2026 its repository lives in the</w:t>
      </w:r>
      <w:r>
        <w:t xml:space="preserve"> </w:t>
      </w:r>
      <w:r>
        <w:rPr>
          <w:rStyle w:val="VerbatimChar"/>
        </w:rPr>
        <w:t xml:space="preserve">Microsoft365DSC</w:t>
      </w:r>
      <w:r>
        <w:t xml:space="preserve"> </w:t>
      </w:r>
      <w:r>
        <w:t xml:space="preserve">GitHub organization, is active, and released version 2.26.1015.1 on October 14, 2026.</w:t>
      </w:r>
      <w:r>
        <w:rPr>
          <w:rStyle w:val="FootnoteReference"/>
        </w:rPr>
        <w:footnoteReference w:id="978"/>
      </w:r>
      <w:r>
        <w:rPr>
          <w:rStyle w:val="FootnoteReference"/>
        </w:rPr>
        <w:footnoteReference w:id="980"/>
      </w:r>
      <w:r>
        <w:t xml:space="preserve"> </w:t>
      </w:r>
      <w:r>
        <w:t xml:space="preserve">Its Entra resources include Conditional Access policies, authentication strength policies, role settings (PIM rules) for Entra roles and for PIM for Groups, role and group eligibility schedules, entitlement management catalogs, packages, assignment policies and connected organizations, access review definitions, and Lifecycle Workflows.</w:t>
      </w:r>
      <w:r>
        <w:rPr>
          <w:rStyle w:val="FootnoteReference"/>
        </w:rPr>
        <w:footnoteReference w:id="982"/>
      </w:r>
      <w:r>
        <w:t xml:space="preserve"> </w:t>
      </w:r>
      <w:r>
        <w:t xml:space="preserve">That makes it the one tool here that covers every object class in the table. The 2.x module expects PowerShell 7.6 or later for everything except compiling and applying configurations from Windows PowerShell.</w:t>
      </w:r>
      <w:r>
        <w:rPr>
          <w:rStyle w:val="FootnoteReference"/>
        </w:rPr>
        <w:footnoteReference w:id="984"/>
      </w:r>
      <w:r>
        <w:t xml:space="preserve"> </w:t>
      </w:r>
      <w:r>
        <w:t xml:space="preserve">Treat it as a community project: check its release notes before every upgrade, and pin the version in the pipeline.</w:t>
      </w:r>
    </w:p>
    <w:bookmarkEnd w:id="986"/>
    <w:bookmarkStart w:id="1000" w:name="Xbc009442296a8abb2645a8293c512714a1fe3f1"/>
    <w:p>
      <w:pPr>
        <w:pStyle w:val="Heading3"/>
      </w:pPr>
      <w:r>
        <w:t xml:space="preserve">Microsoft Entra Tenant Governance configuration management</w:t>
      </w:r>
    </w:p>
    <w:p>
      <w:pPr>
        <w:pStyle w:val="FirstParagraph"/>
      </w:pPr>
      <w:r>
        <w:t xml:space="preserve">Configuration management in Microsoft Entra Tenant Governance is built on the Tenant Configuration Management APIs in Microsoft Graph, which are generally available.</w:t>
      </w:r>
      <w:r>
        <w:rPr>
          <w:rStyle w:val="FootnoteReference"/>
        </w:rPr>
        <w:footnoteReference w:id="987"/>
      </w:r>
      <w:r>
        <w:t xml:space="preserve"> </w:t>
      </w:r>
      <w:r>
        <w:t xml:space="preserve">You write a baseline (a JSON list of resources and their desired property values, up to 200 resource instances each), a monitor checks the tenant against it, and every detected difference is reported as a drift object that lists each property whose value differs.</w:t>
      </w:r>
      <w:r>
        <w:rPr>
          <w:rStyle w:val="FootnoteReference"/>
        </w:rPr>
        <w:footnoteReference w:id="989"/>
      </w:r>
      <w:r>
        <w:rPr>
          <w:rStyle w:val="FootnoteReference"/>
        </w:rPr>
        <w:footnoteReference w:id="990"/>
      </w:r>
      <w:r>
        <w:t xml:space="preserve"> </w:t>
      </w:r>
      <w:r>
        <w:t xml:space="preserve">Its Entra resource types include Conditional Access policies, named locations, authentication strength and authentication method policies, groups, role definitions, role settings, role eligibility schedule requests, and entitlement management catalogs, packages, and assignment policies; access review definitions and Lifecycle Workflows aren’t among them as of October 2026.</w:t>
      </w:r>
      <w:r>
        <w:rPr>
          <w:rStyle w:val="FootnoteReference"/>
        </w:rPr>
        <w:footnoteReference w:id="992"/>
      </w:r>
    </w:p>
    <w:p>
      <w:pPr>
        <w:pStyle w:val="BodyText"/>
      </w:pPr>
      <w:r>
        <w:t xml:space="preserve">The limits shape how it is used:</w:t>
      </w:r>
      <w:r>
        <w:rPr>
          <w:rStyle w:val="FootnoteReference"/>
        </w:rPr>
        <w:footnoteReference w:id="994"/>
      </w:r>
      <w:r>
        <w:rPr>
          <w:rStyle w:val="FootnoteReference"/>
        </w:rPr>
        <w:footnoteReference w:id="996"/>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Limit</w:t>
            </w:r>
          </w:p>
        </w:tc>
        <w:tc>
          <w:tcPr/>
          <w:p>
            <w:pPr>
              <w:pStyle w:val="Compact"/>
            </w:pPr>
            <w:r>
              <w:t xml:space="preserve">Value</w:t>
            </w:r>
          </w:p>
        </w:tc>
      </w:tr>
      <w:tr>
        <w:tc>
          <w:tcPr/>
          <w:p>
            <w:pPr>
              <w:pStyle w:val="Compact"/>
            </w:pPr>
            <w:r>
              <w:t xml:space="preserve">Monitors per tenant</w:t>
            </w:r>
          </w:p>
        </w:tc>
        <w:tc>
          <w:tcPr/>
          <w:p>
            <w:pPr>
              <w:pStyle w:val="Compact"/>
            </w:pPr>
            <w:r>
              <w:t xml:space="preserve">30</w:t>
            </w:r>
          </w:p>
        </w:tc>
      </w:tr>
      <w:tr>
        <w:tc>
          <w:tcPr/>
          <w:p>
            <w:pPr>
              <w:pStyle w:val="Compact"/>
            </w:pPr>
            <w:r>
              <w:t xml:space="preserve">Run interval</w:t>
            </w:r>
          </w:p>
        </w:tc>
        <w:tc>
          <w:tcPr/>
          <w:p>
            <w:pPr>
              <w:pStyle w:val="Compact"/>
            </w:pPr>
            <w:r>
              <w:t xml:space="preserve">Every six hours, fixed</w:t>
            </w:r>
          </w:p>
        </w:tc>
      </w:tr>
      <w:tr>
        <w:tc>
          <w:tcPr/>
          <w:p>
            <w:pPr>
              <w:pStyle w:val="Compact"/>
            </w:pPr>
            <w:r>
              <w:t xml:space="preserve">Resources monitored per day, per tenant</w:t>
            </w:r>
          </w:p>
        </w:tc>
        <w:tc>
          <w:tcPr/>
          <w:p>
            <w:pPr>
              <w:pStyle w:val="Compact"/>
            </w:pPr>
            <w:r>
              <w:t xml:space="preserve">800 with P1 or P2; Entra ID Governance adds 10 a day per license</w:t>
            </w:r>
          </w:p>
        </w:tc>
      </w:tr>
      <w:tr>
        <w:tc>
          <w:tcPr/>
          <w:p>
            <w:pPr>
              <w:pStyle w:val="Compact"/>
            </w:pPr>
            <w:r>
              <w:t xml:space="preserve">Snapshot extraction</w:t>
            </w:r>
          </w:p>
        </w:tc>
        <w:tc>
          <w:tcPr/>
          <w:p>
            <w:pPr>
              <w:pStyle w:val="Compact"/>
            </w:pPr>
            <w:r>
              <w:t xml:space="preserve">20,000 resources a month (Governance adds 35 a month per license); 12 visible snapshot jobs</w:t>
            </w:r>
          </w:p>
        </w:tc>
      </w:tr>
      <w:tr>
        <w:tc>
          <w:tcPr/>
          <w:p>
            <w:pPr>
              <w:pStyle w:val="Compact"/>
            </w:pPr>
            <w:r>
              <w:t xml:space="preserve">Snapshot retention</w:t>
            </w:r>
          </w:p>
        </w:tc>
        <w:tc>
          <w:tcPr/>
          <w:p>
            <w:pPr>
              <w:pStyle w:val="Compact"/>
            </w:pPr>
            <w:r>
              <w:t xml:space="preserve">7 days</w:t>
            </w:r>
          </w:p>
        </w:tc>
      </w:tr>
      <w:tr>
        <w:tc>
          <w:tcPr/>
          <w:p>
            <w:pPr>
              <w:pStyle w:val="Compact"/>
            </w:pPr>
            <w:r>
              <w:t xml:space="preserve">Fixed drift retention</w:t>
            </w:r>
          </w:p>
        </w:tc>
        <w:tc>
          <w:tcPr/>
          <w:p>
            <w:pPr>
              <w:pStyle w:val="Compact"/>
            </w:pPr>
            <w:r>
              <w:t xml:space="preserve">Deleted 30 days after it is resolved</w:t>
            </w:r>
          </w:p>
        </w:tc>
      </w:tr>
      <w:tr>
        <w:tc>
          <w:tcPr/>
          <w:p>
            <w:pPr>
              <w:pStyle w:val="Compact"/>
            </w:pPr>
            <w:r>
              <w:t xml:space="preserve">Baseline update</w:t>
            </w:r>
          </w:p>
        </w:tc>
        <w:tc>
          <w:tcPr/>
          <w:p>
            <w:pPr>
              <w:pStyle w:val="Compact"/>
            </w:pPr>
            <w:r>
              <w:t xml:space="preserve">Deletes that monitor’s earlier results and drifts</w:t>
            </w:r>
          </w:p>
        </w:tc>
      </w:tr>
    </w:tbl>
    <w:p>
      <w:pPr>
        <w:pStyle w:val="BodyText"/>
      </w:pPr>
      <w:r>
        <w:t xml:space="preserve">Two of those rows are evidence rules in disguise. Snapshots and resolved drifts expire, and editing a baseline erases its history, so the pipeline exports every monitoring result and drift to the evidence store before it changes a baseline. Monitors report drift; correcting it is done with whatever tool owns the object, and the next run marks the drift fixed.</w:t>
      </w:r>
      <w:r>
        <w:rPr>
          <w:rStyle w:val="FootnoteReference"/>
        </w:rPr>
        <w:footnoteReference w:id="998"/>
      </w:r>
    </w:p>
    <w:bookmarkEnd w:id="1000"/>
    <w:bookmarkStart w:id="1005" w:name="microsoft-entra-exporter"/>
    <w:p>
      <w:pPr>
        <w:pStyle w:val="Heading3"/>
      </w:pPr>
      <w:r>
        <w:t xml:space="preserve">Microsoft Entra Exporter</w:t>
      </w:r>
    </w:p>
    <w:p>
      <w:pPr>
        <w:pStyle w:val="FirstParagraph"/>
      </w:pPr>
      <w:r>
        <w:t xml:space="preserve">Microsoft’s recoverability guidance recommends keeping known-good tenant states in a versioned repository, using the Tenant Configuration Management snapshot APIs for the resources they cover and Graph exports, for example with the open-source Microsoft Entra Exporter, for the rest. It also advises against merging extracts from different mechanisms, because a snapshot covers only the resources and properties its schema supports.</w:t>
      </w:r>
      <w:r>
        <w:rPr>
          <w:rStyle w:val="FootnoteReference"/>
        </w:rPr>
        <w:footnoteReference w:id="1001"/>
      </w:r>
      <w:r>
        <w:t xml:space="preserve"> </w:t>
      </w:r>
      <w:r>
        <w:t xml:space="preserve">The Exporter’s latest release was v3.0.1 (November 2025) as of October 2026.</w:t>
      </w:r>
      <w:r>
        <w:rPr>
          <w:rStyle w:val="FootnoteReference"/>
        </w:rPr>
        <w:footnoteReference w:id="1003"/>
      </w:r>
    </w:p>
    <w:bookmarkEnd w:id="1005"/>
    <w:bookmarkStart w:id="1006" w:name="coverage-and-the-programs-choice"/>
    <w:p>
      <w:pPr>
        <w:pStyle w:val="Heading3"/>
      </w:pPr>
      <w:r>
        <w:t xml:space="preserve">Coverage, and the program’s choice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Object class</w:t>
            </w:r>
          </w:p>
        </w:tc>
        <w:tc>
          <w:tcPr/>
          <w:p>
            <w:pPr>
              <w:pStyle w:val="Compact"/>
            </w:pPr>
            <w:r>
              <w:t xml:space="preserve">Graph</w:t>
            </w:r>
          </w:p>
        </w:tc>
        <w:tc>
          <w:tcPr/>
          <w:p>
            <w:pPr>
              <w:pStyle w:val="Compact"/>
            </w:pPr>
            <w:r>
              <w:t xml:space="preserve">Terraform</w:t>
            </w:r>
            <w:r>
              <w:t xml:space="preserve"> </w:t>
            </w:r>
            <w:r>
              <w:rPr>
                <w:rStyle w:val="VerbatimChar"/>
              </w:rPr>
              <w:t xml:space="preserve">azuread</w:t>
            </w:r>
          </w:p>
        </w:tc>
        <w:tc>
          <w:tcPr/>
          <w:p>
            <w:pPr>
              <w:pStyle w:val="Compact"/>
            </w:pPr>
            <w:r>
              <w:t xml:space="preserve">Microsoft365DSC</w:t>
            </w:r>
          </w:p>
        </w:tc>
        <w:tc>
          <w:tcPr/>
          <w:p>
            <w:pPr>
              <w:pStyle w:val="Compact"/>
            </w:pPr>
            <w:r>
              <w:t xml:space="preserve">Tenant configuration monitoring</w:t>
            </w:r>
          </w:p>
        </w:tc>
      </w:tr>
      <w:tr>
        <w:tc>
          <w:tcPr/>
          <w:p>
            <w:pPr>
              <w:pStyle w:val="Compact"/>
            </w:pPr>
            <w:r>
              <w:t xml:space="preserve">Conditional Access policies, named locations, authentication strengths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PIM role settings, Entra roles</w:t>
            </w:r>
          </w:p>
        </w:tc>
        <w:tc>
          <w:tcPr/>
          <w:p>
            <w:pPr>
              <w:pStyle w:val="Compact"/>
            </w:pPr>
            <w:r>
              <w:t xml:space="preserve">Yes</w:t>
            </w:r>
          </w:p>
        </w:tc>
        <w:tc>
          <w:tcPr/>
          <w:p>
            <w:pPr>
              <w:pStyle w:val="Compact"/>
            </w:pPr>
            <w:r>
              <w:t xml:space="preserve">No</w:t>
            </w:r>
          </w:p>
        </w:tc>
        <w:tc>
          <w:tcPr/>
          <w:p>
            <w:pPr>
              <w:pStyle w:val="Compact"/>
            </w:pPr>
            <w:r>
              <w:t xml:space="preserve">Yes</w:t>
            </w:r>
          </w:p>
        </w:tc>
        <w:tc>
          <w:tcPr/>
          <w:p>
            <w:pPr>
              <w:pStyle w:val="Compact"/>
            </w:pPr>
            <w:r>
              <w:t xml:space="preserve">Yes</w:t>
            </w:r>
          </w:p>
        </w:tc>
      </w:tr>
      <w:tr>
        <w:tc>
          <w:tcPr/>
          <w:p>
            <w:pPr>
              <w:pStyle w:val="Compact"/>
            </w:pPr>
            <w:r>
              <w:t xml:space="preserve">PIM role settings, PIM for Groups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Not listed</w:t>
            </w:r>
          </w:p>
        </w:tc>
      </w:tr>
      <w:tr>
        <w:tc>
          <w:tcPr/>
          <w:p>
            <w:pPr>
              <w:pStyle w:val="Compact"/>
            </w:pPr>
            <w:r>
              <w:t xml:space="preserve">Role eligibility</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Groups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Catalogs, access packages, assignment policies</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Access review definitions</w:t>
            </w:r>
          </w:p>
        </w:tc>
        <w:tc>
          <w:tcPr/>
          <w:p>
            <w:pPr>
              <w:pStyle w:val="Compact"/>
            </w:pPr>
            <w:r>
              <w:t xml:space="preserve">Yes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Lifecycle Workflows</w:t>
            </w:r>
          </w:p>
        </w:tc>
        <w:tc>
          <w:tcPr/>
          <w:p>
            <w:pPr>
              <w:pStyle w:val="Compact"/>
            </w:pPr>
            <w:r>
              <w:t xml:space="preserve">Yes</w:t>
            </w:r>
          </w:p>
        </w:tc>
        <w:tc>
          <w:tcPr/>
          <w:p>
            <w:pPr>
              <w:pStyle w:val="Compact"/>
            </w:pPr>
            <w:r>
              <w:t xml:space="preserve">No</w:t>
            </w:r>
          </w:p>
        </w:tc>
        <w:tc>
          <w:tcPr/>
          <w:p>
            <w:pPr>
              <w:pStyle w:val="Compact"/>
            </w:pPr>
            <w:r>
              <w:t xml:space="preserve">Yes</w:t>
            </w:r>
          </w:p>
        </w:tc>
        <w:tc>
          <w:tcPr/>
          <w:p>
            <w:pPr>
              <w:pStyle w:val="Compact"/>
            </w:pPr>
            <w:r>
              <w:t xml:space="preserve">No</w:t>
            </w:r>
          </w:p>
        </w:tc>
      </w:tr>
    </w:tbl>
    <w:p>
      <w:pPr>
        <w:pStyle w:val="BodyText"/>
      </w:pPr>
      <w:r>
        <w:t xml:space="preserve">The table summarizes the tool references cited above. The program’s reference choice is a design position, made to minimize the number of write paths while keeping drift detection native:</w:t>
      </w:r>
    </w:p>
    <w:p>
      <w:pPr>
        <w:pStyle w:val="Compact"/>
        <w:numPr>
          <w:ilvl w:val="0"/>
          <w:numId w:val="1059"/>
        </w:numPr>
      </w:pPr>
      <w:r>
        <w:rPr>
          <w:b/>
          <w:bCs/>
        </w:rPr>
        <w:t xml:space="preserve">Write path:</w:t>
      </w:r>
      <w:r>
        <w:t xml:space="preserve"> </w:t>
      </w:r>
      <w:r>
        <w:t xml:space="preserve">Microsoft365DSC, because it is the only declarative tool that covers every object class, so each object has exactly one tool that writes it. A team already invested in Terraform can use the</w:t>
      </w:r>
      <w:r>
        <w:t xml:space="preserve"> </w:t>
      </w:r>
      <w:r>
        <w:rPr>
          <w:rStyle w:val="VerbatimChar"/>
        </w:rPr>
        <w:t xml:space="preserve">azuread</w:t>
      </w:r>
      <w:r>
        <w:t xml:space="preserve"> </w:t>
      </w:r>
      <w:r>
        <w:t xml:space="preserve">provider for the classes it covers and Microsoft Graph PowerShell scripts for PIM role settings, access reviews, and Lifecycle Workflows; the rule that matters is one writer per object class, recorded in the repository.</w:t>
      </w:r>
    </w:p>
    <w:p>
      <w:pPr>
        <w:pStyle w:val="Compact"/>
        <w:numPr>
          <w:ilvl w:val="0"/>
          <w:numId w:val="1059"/>
        </w:numPr>
      </w:pPr>
      <w:r>
        <w:rPr>
          <w:b/>
          <w:bCs/>
        </w:rPr>
        <w:t xml:space="preserve">Drift detection:</w:t>
      </w:r>
      <w:r>
        <w:t xml:space="preserve"> </w:t>
      </w:r>
      <w:r>
        <w:t xml:space="preserve">Tenant configuration monitoring for every class it covers, because it runs inside the service and needs no pipeline to stay healthy; a scheduled read-only comparison (Terraform plan or a Microsoft365DSC export compared with the repository) for access reviews and Lifecycle Workflows.</w:t>
      </w:r>
    </w:p>
    <w:p>
      <w:pPr>
        <w:pStyle w:val="Compact"/>
        <w:numPr>
          <w:ilvl w:val="0"/>
          <w:numId w:val="1059"/>
        </w:numPr>
      </w:pPr>
      <w:r>
        <w:rPr>
          <w:b/>
          <w:bCs/>
        </w:rPr>
        <w:t xml:space="preserve">Backup export:</w:t>
      </w:r>
      <w:r>
        <w:t xml:space="preserve"> </w:t>
      </w:r>
      <w:r>
        <w:t xml:space="preserve">Entra Exporter weekly, stored separately from the baselines, as Microsoft advises.</w:t>
      </w:r>
    </w:p>
    <w:bookmarkEnd w:id="1006"/>
    <w:bookmarkEnd w:id="1007"/>
    <w:bookmarkStart w:id="1020" w:name="illustrative-code-2"/>
    <w:p>
      <w:pPr>
        <w:pStyle w:val="Heading2"/>
      </w:pPr>
      <w:bookmarkStart w:id="1272" w:name="_Toc00001272"/>
      <w:r>
        <w:t xml:space="preserve">Illustrative code</w:t>
      </w:r>
      <w:bookmarkEnd w:id="1272"/>
    </w:p>
    <w:p>
      <w:pPr>
        <w:pStyle w:val="FirstParagraph"/>
      </w:pPr>
      <w:r>
        <w:t xml:space="preserve">The code in this chapter is illustrative. It hasn’t been tested against a production tenant. Review it, replace every placeholder, and run it against a test tenant before you use it.</w:t>
      </w:r>
    </w:p>
    <w:bookmarkStart w:id="1009" w:name="X80828acc0be51b856f384265bc4ef4150718651"/>
    <w:p>
      <w:pPr>
        <w:pStyle w:val="Heading3"/>
      </w:pPr>
      <w:r>
        <w:t xml:space="preserve">A Conditional Access policy as Graph JSON</w:t>
      </w:r>
    </w:p>
    <w:p>
      <w:pPr>
        <w:pStyle w:val="FirstParagraph"/>
      </w:pPr>
      <w:r>
        <w:t xml:space="preserve">The compliance series’ illustrative policy needed three corrections. Graph identifies groups and authentication strengths by ID, not by name: the built-in phishing-resistant MFA strength is</w:t>
      </w:r>
      <w:r>
        <w:t xml:space="preserve"> </w:t>
      </w:r>
      <w:r>
        <w:rPr>
          <w:rStyle w:val="VerbatimChar"/>
        </w:rPr>
        <w:t xml:space="preserve">00000000-0000-0000-0000-000000000004</w:t>
      </w:r>
      <w:r>
        <w:t xml:space="preserve">, and the excluded emergency access group must be its object ID.</w:t>
      </w:r>
      <w:r>
        <w:rPr>
          <w:rStyle w:val="FootnoteReference"/>
        </w:rPr>
        <w:footnoteReference w:id="1008"/>
      </w:r>
      <w:r>
        <w:t xml:space="preserve"> </w:t>
      </w:r>
      <w:r>
        <w:t xml:space="preserve">And a new policy should first deploy as report-only (</w:t>
      </w:r>
      <w:r>
        <w:rPr>
          <w:rStyle w:val="VerbatimChar"/>
        </w:rPr>
        <w:t xml:space="preserve">enabledForReportingButNotEnforced</w:t>
      </w:r>
      <w:r>
        <w:t xml:space="preserve">), not</w:t>
      </w:r>
      <w:r>
        <w:t xml:space="preserve"> </w:t>
      </w:r>
      <w:r>
        <w:rPr>
          <w:rStyle w:val="VerbatimChar"/>
        </w:rPr>
        <w:t xml:space="preserve">enabled</w:t>
      </w:r>
      <w:r>
        <w:t xml:space="preserve">.</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"CA001 - Require phishing-resistant MFA for all resources"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"&lt;emergency-access-group-object-id&gt;"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"00000000-0000-0000-0000-000000000004"</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Held as a file, the exclusion is visible in the pull request, where a reviewer (or the check below) can confirm it is present and points at the right group. A portal screenshot can’t prove that over time. The production templates for the full policy library are in Appendix A.</w:t>
      </w:r>
    </w:p>
    <w:bookmarkEnd w:id="1009"/>
    <w:bookmarkStart w:id="1011" w:name="the-same-policy-in-terraform"/>
    <w:p>
      <w:pPr>
        <w:pStyle w:val="Heading3"/>
      </w:pPr>
      <w:r>
        <w:t xml:space="preserve">The same policy in Terraform</w:t>
      </w:r>
    </w:p>
    <w:p>
      <w:pPr>
        <w:pStyle w:val="FirstParagraph"/>
      </w:pPr>
      <w:r>
        <w:t xml:space="preserve">In the</w:t>
      </w:r>
      <w:r>
        <w:t xml:space="preserve"> </w:t>
      </w:r>
      <w:r>
        <w:rPr>
          <w:rStyle w:val="VerbatimChar"/>
        </w:rPr>
        <w:t xml:space="preserve">azuread</w:t>
      </w:r>
      <w:r>
        <w:t xml:space="preserve"> </w:t>
      </w:r>
      <w:r>
        <w:t xml:space="preserve">provider, a hard-coded authentication strength ID takes the</w:t>
      </w:r>
      <w:r>
        <w:t xml:space="preserve"> </w:t>
      </w:r>
      <w:r>
        <w:rPr>
          <w:rStyle w:val="VerbatimChar"/>
        </w:rPr>
        <w:t xml:space="preserve">/policies/authenticationStrengthPolicies/</w:t>
      </w:r>
      <w:r>
        <w:t xml:space="preserve"> </w:t>
      </w:r>
      <w:r>
        <w:t xml:space="preserve">prefix.</w:t>
      </w:r>
      <w:r>
        <w:rPr>
          <w:rStyle w:val="FootnoteReference"/>
        </w:rPr>
        <w:footnoteReference w:id="1010"/>
      </w:r>
    </w:p>
    <w:p>
      <w:pPr>
        <w:pStyle w:val="SourceCode"/>
      </w:pPr>
      <w:r>
        <w:rPr>
          <w:rStyle w:val="VerbatimChar"/>
        </w:rPr>
        <w:t xml:space="preserve">variable "emergency_access_group_id" {</w:t>
      </w:r>
      <w:r>
        <w:br/>
      </w:r>
      <w:r>
        <w:rPr>
          <w:rStyle w:val="VerbatimChar"/>
        </w:rPr>
        <w:t xml:space="preserve">  type        = string</w:t>
      </w:r>
      <w:r>
        <w:br/>
      </w:r>
      <w:r>
        <w:rPr>
          <w:rStyle w:val="VerbatimChar"/>
        </w:rPr>
        <w:t xml:space="preserve">  description = "Object ID of the emergency access (break-glass) group"</w:t>
      </w:r>
      <w:r>
        <w:br/>
      </w:r>
      <w:r>
        <w:rPr>
          <w:rStyle w:val="VerbatimChar"/>
        </w:rPr>
        <w:t xml:space="preserve">}</w:t>
      </w:r>
      <w:r>
        <w:br/>
      </w:r>
      <w:r>
        <w:br/>
      </w:r>
      <w:r>
        <w:rPr>
          <w:rStyle w:val="VerbatimChar"/>
        </w:rPr>
        <w:t xml:space="preserve">resource "azuread_conditional_access_policy" "ca001" {</w:t>
      </w:r>
      <w:r>
        <w:br/>
      </w:r>
      <w:r>
        <w:rPr>
          <w:rStyle w:val="VerbatimChar"/>
        </w:rPr>
        <w:t xml:space="preserve">  display_name = "CA001 - Require phishing-resistant MFA for all resources"</w:t>
      </w:r>
      <w:r>
        <w:br/>
      </w:r>
      <w:r>
        <w:rPr>
          <w:rStyle w:val="VerbatimChar"/>
        </w:rPr>
        <w:t xml:space="preserve">  state        = "enabledForReportingButNotEnforced"</w:t>
      </w:r>
      <w:r>
        <w:br/>
      </w:r>
      <w:r>
        <w:br/>
      </w:r>
      <w:r>
        <w:rPr>
          <w:rStyle w:val="VerbatimChar"/>
        </w:rPr>
        <w:t xml:space="preserve">  conditions {</w:t>
      </w:r>
      <w:r>
        <w:br/>
      </w:r>
      <w:r>
        <w:rPr>
          <w:rStyle w:val="VerbatimChar"/>
        </w:rPr>
        <w:t xml:space="preserve">    client_app_types = ["all"]</w:t>
      </w:r>
      <w:r>
        <w:br/>
      </w:r>
      <w:r>
        <w:br/>
      </w:r>
      <w:r>
        <w:rPr>
          <w:rStyle w:val="VerbatimChar"/>
        </w:rPr>
        <w:t xml:space="preserve">    applications {</w:t>
      </w:r>
      <w:r>
        <w:br/>
      </w:r>
      <w:r>
        <w:rPr>
          <w:rStyle w:val="VerbatimChar"/>
        </w:rPr>
        <w:t xml:space="preserve">      included_applications = ["All"]</w:t>
      </w:r>
      <w:r>
        <w:br/>
      </w:r>
      <w:r>
        <w:rPr>
          <w:rStyle w:val="VerbatimChar"/>
        </w:rPr>
        <w:t xml:space="preserve">    }</w:t>
      </w:r>
      <w:r>
        <w:br/>
      </w:r>
      <w:r>
        <w:br/>
      </w:r>
      <w:r>
        <w:rPr>
          <w:rStyle w:val="VerbatimChar"/>
        </w:rPr>
        <w:t xml:space="preserve">    users {</w:t>
      </w:r>
      <w:r>
        <w:br/>
      </w:r>
      <w:r>
        <w:rPr>
          <w:rStyle w:val="VerbatimChar"/>
        </w:rPr>
        <w:t xml:space="preserve">      included_users  = ["All"]</w:t>
      </w:r>
      <w:r>
        <w:br/>
      </w:r>
      <w:r>
        <w:rPr>
          <w:rStyle w:val="VerbatimChar"/>
        </w:rPr>
        <w:t xml:space="preserve">      excluded_groups = [var.emergency_access_group_id]</w:t>
      </w:r>
      <w:r>
        <w:br/>
      </w:r>
      <w:r>
        <w:rPr>
          <w:rStyle w:val="VerbatimChar"/>
        </w:rPr>
        <w:t xml:space="preserve">    }</w:t>
      </w:r>
      <w:r>
        <w:br/>
      </w:r>
      <w:r>
        <w:rPr>
          <w:rStyle w:val="VerbatimChar"/>
        </w:rPr>
        <w:t xml:space="preserve">  }</w:t>
      </w:r>
      <w:r>
        <w:br/>
      </w:r>
      <w:r>
        <w:br/>
      </w:r>
      <w:r>
        <w:rPr>
          <w:rStyle w:val="VerbatimChar"/>
        </w:rPr>
        <w:t xml:space="preserve">  grant_controls {</w:t>
      </w:r>
      <w:r>
        <w:br/>
      </w:r>
      <w:r>
        <w:rPr>
          <w:rStyle w:val="VerbatimChar"/>
        </w:rPr>
        <w:t xml:space="preserve">    operator                          = "OR"</w:t>
      </w:r>
      <w:r>
        <w:br/>
      </w:r>
      <w:r>
        <w:rPr>
          <w:rStyle w:val="VerbatimChar"/>
        </w:rPr>
        <w:t xml:space="preserve">    authentication_strength_policy_id = "/policies/authenticationStrengthPolicies/00000000-0000-0000-0000-000000000004"</w:t>
      </w:r>
      <w:r>
        <w:br/>
      </w:r>
      <w:r>
        <w:rPr>
          <w:rStyle w:val="VerbatimChar"/>
        </w:rPr>
        <w:t xml:space="preserve">  }</w:t>
      </w:r>
      <w:r>
        <w:br/>
      </w:r>
      <w:r>
        <w:rPr>
          <w:rStyle w:val="VerbatimChar"/>
        </w:rPr>
        <w:t xml:space="preserve">}</w:t>
      </w:r>
    </w:p>
    <w:bookmarkEnd w:id="1011"/>
    <w:bookmarkStart w:id="1012" w:name="X291ae9455864035de8cf811d53bd7a63b19b860"/>
    <w:p>
      <w:pPr>
        <w:pStyle w:val="Heading3"/>
      </w:pPr>
      <w:r>
        <w:t xml:space="preserve">A pre-merge check for the emergency access exclusion</w:t>
      </w:r>
    </w:p>
    <w:p>
      <w:pPr>
        <w:pStyle w:val="FirstParagraph"/>
      </w:pPr>
      <w:r>
        <w:t xml:space="preserve">This check runs in the pull request pipeline against the JSON files in the repository. It reads files only and changes nothing.</w:t>
      </w:r>
    </w:p>
    <w:p>
      <w:pPr>
        <w:pStyle w:val="SourceCode"/>
      </w:pPr>
      <w:r>
        <w:rPr>
          <w:rStyle w:val="CommentTok"/>
        </w:rPr>
        <w:t xml:space="preserve">#Requires -Version 7.0</w:t>
      </w:r>
      <w:r>
        <w:br/>
      </w:r>
      <w:r>
        <w:rPr>
          <w:rStyle w:val="CommentTok"/>
        </w:rPr>
        <w:t xml:space="preserve"># Federal Modernization Program: fail the build if any enabled or report-only</w:t>
      </w:r>
      <w:r>
        <w:br/>
      </w:r>
      <w:r>
        <w:rPr>
          <w:rStyle w:val="CommentTok"/>
        </w:rPr>
        <w:t xml:space="preserve"># Conditional Access policy in the repository doesn't exclude the emergency access group.</w:t>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$PolicyPath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$EmergencyGroupId</w:t>
      </w:r>
      <w:r>
        <w:br/>
      </w:r>
      <w:r>
        <w:rPr>
          <w:rStyle w:val="OperatorTok"/>
        </w:rPr>
        <w:t xml:space="preserve">)</w:t>
      </w:r>
      <w:r>
        <w:br/>
      </w:r>
      <w:r>
        <w:br/>
      </w:r>
      <w:r>
        <w:rPr>
          <w:rStyle w:val="VariableTok"/>
        </w:rPr>
        <w:t xml:space="preserve">$failures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$PolicyPath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$policy</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$policy</w:t>
      </w:r>
      <w:r>
        <w:rPr>
          <w:rStyle w:val="OperatorTok"/>
        </w:rPr>
        <w:t xml:space="preserve">.</w:t>
      </w:r>
      <w:r>
        <w:rPr>
          <w:rStyle w:val="FunctionTok"/>
        </w:rPr>
        <w:t xml:space="preserve">state</w:t>
      </w:r>
      <w:r>
        <w:rPr>
          <w:rStyle w:val="NormalTok"/>
        </w:rPr>
        <w:t xml:space="preserve"> </w:t>
      </w:r>
      <w:r>
        <w:rPr>
          <w:rStyle w:val="OperatorTok"/>
        </w:rPr>
        <w:t xml:space="preserve">-eq</w:t>
      </w:r>
      <w:r>
        <w:rPr>
          <w:rStyle w:val="NormalTok"/>
        </w:rPr>
        <w:t xml:space="preserve"> </w:t>
      </w:r>
      <w:r>
        <w:rPr>
          <w:rStyle w:val="StringTok"/>
        </w:rPr>
        <w:t xml:space="preserve">'disabled'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br/>
      </w:r>
      <w:r>
        <w:rPr>
          <w:rStyle w:val="NormalTok"/>
        </w:rPr>
        <w:t xml:space="preserve">    </w:t>
      </w:r>
      <w:r>
        <w:rPr>
          <w:rStyle w:val="VariableTok"/>
        </w:rPr>
        <w:t xml:space="preserve">$excluded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$policy</w:t>
      </w:r>
      <w:r>
        <w:rPr>
          <w:rStyle w:val="OperatorTok"/>
        </w:rPr>
        <w:t xml:space="preserve">.</w:t>
      </w:r>
      <w:r>
        <w:rPr>
          <w:rStyle w:val="FunctionTok"/>
        </w:rPr>
        <w:t xml:space="preserve">conditions</w:t>
      </w:r>
      <w:r>
        <w:rPr>
          <w:rStyle w:val="OperatorTok"/>
        </w:rPr>
        <w:t xml:space="preserve">.</w:t>
      </w:r>
      <w:r>
        <w:rPr>
          <w:rStyle w:val="FunctionTok"/>
        </w:rPr>
        <w:t xml:space="preserve">users</w:t>
      </w:r>
      <w:r>
        <w:rPr>
          <w:rStyle w:val="OperatorTok"/>
        </w:rPr>
        <w:t xml:space="preserve">.</w:t>
      </w:r>
      <w:r>
        <w:rPr>
          <w:rStyle w:val="FunctionTok"/>
        </w:rPr>
        <w:t xml:space="preserve">excludeGroups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$excluded</w:t>
      </w:r>
      <w:r>
        <w:rPr>
          <w:rStyle w:val="NormalTok"/>
        </w:rPr>
        <w:t xml:space="preserve"> </w:t>
      </w:r>
      <w:r>
        <w:rPr>
          <w:rStyle w:val="OperatorTok"/>
        </w:rPr>
        <w:t xml:space="preserve">-notcontains</w:t>
      </w:r>
      <w:r>
        <w:rPr>
          <w:rStyle w:val="NormalTok"/>
        </w:rPr>
        <w:t xml:space="preserve"> </w:t>
      </w:r>
      <w:r>
        <w:rPr>
          <w:rStyle w:val="VariableTok"/>
        </w:rPr>
        <w:t xml:space="preserve">$EmergencyGroupId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File   </w:t>
      </w:r>
      <w:r>
        <w:rPr>
          <w:rStyle w:val="OperatorTok"/>
        </w:rPr>
        <w:t xml:space="preserve">=</w:t>
      </w:r>
      <w:r>
        <w:rPr>
          <w:rStyle w:val="NormalTok"/>
        </w:rPr>
        <w:t xml:space="preserve"> </w:t>
      </w:r>
      <w:r>
        <w:rPr>
          <w:rStyle w:val="VariableTok"/>
        </w:rPr>
        <w:t xml:space="preserve">$file</w:t>
      </w:r>
      <w:r>
        <w:rPr>
          <w:rStyle w:val="OperatorTok"/>
        </w:rPr>
        <w:t xml:space="preserve">.</w:t>
      </w:r>
      <w:r>
        <w:rPr>
          <w:rStyle w:val="FunctionTok"/>
        </w:rPr>
        <w:t xml:space="preserve">Name</w:t>
      </w:r>
      <w:r>
        <w:br/>
      </w:r>
      <w:r>
        <w:rPr>
          <w:rStyle w:val="NormalTok"/>
        </w:rPr>
        <w:t xml:space="preserve">            Policy </w:t>
      </w:r>
      <w:r>
        <w:rPr>
          <w:rStyle w:val="OperatorTok"/>
        </w:rPr>
        <w:t xml:space="preserve">=</w:t>
      </w:r>
      <w:r>
        <w:rPr>
          <w:rStyle w:val="NormalTok"/>
        </w:rPr>
        <w:t xml:space="preserve"> </w:t>
      </w:r>
      <w:r>
        <w:rPr>
          <w:rStyle w:val="VariableTok"/>
        </w:rPr>
        <w:t xml:space="preserve">$policy</w:t>
      </w:r>
      <w:r>
        <w:rPr>
          <w:rStyle w:val="OperatorTok"/>
        </w:rPr>
        <w:t xml:space="preserve">.</w:t>
      </w:r>
      <w:r>
        <w:rPr>
          <w:rStyle w:val="FunctionTok"/>
        </w:rPr>
        <w:t xml:space="preserve">displayName</w:t>
      </w:r>
      <w:r>
        <w:br/>
      </w:r>
      <w:r>
        <w:rPr>
          <w:rStyle w:val="NormalTok"/>
        </w:rPr>
        <w:t xml:space="preserve">            Reason </w:t>
      </w:r>
      <w:r>
        <w:rPr>
          <w:rStyle w:val="OperatorTok"/>
        </w:rPr>
        <w:t xml:space="preserve">=</w:t>
      </w:r>
      <w:r>
        <w:rPr>
          <w:rStyle w:val="NormalTok"/>
        </w:rPr>
        <w:t xml:space="preserve"> </w:t>
      </w:r>
      <w:r>
        <w:rPr>
          <w:rStyle w:val="StringTok"/>
        </w:rPr>
        <w:t xml:space="preserve">'Emergency access group is not excluded'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$failures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$failures</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rPr>
          <w:rStyle w:val="NormalTok"/>
        </w:rPr>
        <w:t xml:space="preserve">    </w:t>
      </w:r>
      <w:r>
        <w:rPr>
          <w:rStyle w:val="ControlFlowTok"/>
        </w:rPr>
        <w:t xml:space="preserve">throw</w:t>
      </w:r>
      <w:r>
        <w:rPr>
          <w:rStyle w:val="NormalTok"/>
        </w:rPr>
        <w:t xml:space="preserve"> </w:t>
      </w:r>
      <w:r>
        <w:rPr>
          <w:rStyle w:val="StringTok"/>
        </w:rPr>
        <w:t xml:space="preserve">"</w:t>
      </w:r>
      <w:r>
        <w:rPr>
          <w:rStyle w:val="OperatorTok"/>
        </w:rPr>
        <w:t xml:space="preserve">$(@(</w:t>
      </w:r>
      <w:r>
        <w:rPr>
          <w:rStyle w:val="VariableTok"/>
        </w:rPr>
        <w:t xml:space="preserve">$failures</w:t>
      </w:r>
      <w:r>
        <w:rPr>
          <w:rStyle w:val="OperatorTok"/>
        </w:rPr>
        <w:t xml:space="preserve">)</w:t>
      </w:r>
      <w:r>
        <w:rPr>
          <w:rStyle w:val="StringTok"/>
        </w:rPr>
        <w:t xml:space="preserve">.Count) policy file(s) fail the emergency access exclusion check."</w:t>
      </w:r>
      <w:r>
        <w:br/>
      </w:r>
      <w:r>
        <w:rPr>
          <w:rStyle w:val="OperatorTok"/>
        </w:rPr>
        <w:t xml:space="preserve">}</w:t>
      </w:r>
      <w:r>
        <w:br/>
      </w:r>
      <w:r>
        <w:rPr>
          <w:rStyle w:val="FunctionTok"/>
        </w:rPr>
        <w:t xml:space="preserve">Write-Output</w:t>
      </w:r>
      <w:r>
        <w:rPr>
          <w:rStyle w:val="NormalTok"/>
        </w:rPr>
        <w:t xml:space="preserve"> </w:t>
      </w:r>
      <w:r>
        <w:rPr>
          <w:rStyle w:val="StringTok"/>
        </w:rPr>
        <w:t xml:space="preserve">'All Conditional Access policy files exclude the emergency access group.'</w:t>
      </w:r>
    </w:p>
    <w:bookmarkEnd w:id="1012"/>
    <w:bookmarkStart w:id="1019" w:name="X6c3c0dbabdde8675f808974d1845dfc35856249"/>
    <w:p>
      <w:pPr>
        <w:pStyle w:val="Heading3"/>
      </w:pPr>
      <w:r>
        <w:t xml:space="preserve">An access review definition in Microsoft Graph PowerShell</w:t>
      </w:r>
    </w:p>
    <w:p>
      <w:pPr>
        <w:pStyle w:val="FirstParagraph"/>
      </w:pPr>
      <w:r>
        <w:t xml:space="preserve">A quarterly review of a Tier 1 application access group, reviewed by the group’s owners with a fallback reviewer, that removes denied members and, as the Chapter 09 schedule specifies for business applications, leaves unreviewed members unchanged. The shape follows Microsoft’s examples for</w:t>
      </w:r>
      <w:r>
        <w:t xml:space="preserve"> </w:t>
      </w:r>
      <w:r>
        <w:rPr>
          <w:rStyle w:val="VerbatimChar"/>
        </w:rPr>
        <w:t xml:space="preserve">New-MgIdentityGovernanceAccessReviewDefinition</w:t>
      </w:r>
      <w:r>
        <w:t xml:space="preserve">, and the scope and reviewer queries follow Microsoft’s security group tutorial and reviewer reference.</w:t>
      </w:r>
      <w:r>
        <w:rPr>
          <w:rStyle w:val="FootnoteReference"/>
        </w:rPr>
        <w:footnoteReference w:id="1013"/>
      </w:r>
      <w:r>
        <w:rPr>
          <w:rStyle w:val="FootnoteReference"/>
        </w:rPr>
        <w:footnoteReference w:id="1015"/>
      </w:r>
      <w:r>
        <w:rPr>
          <w:rStyle w:val="FootnoteReference"/>
        </w:rPr>
        <w:footnoteReference w:id="1017"/>
      </w:r>
    </w:p>
    <w:p>
      <w:pPr>
        <w:pStyle w:val="SourceCode"/>
      </w:pPr>
      <w:r>
        <w:rPr>
          <w:rStyle w:val="CommentTok"/>
        </w:rPr>
        <w:t xml:space="preserve">#Requires -Modules Microsoft.Graph.Identity.Governance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'AccessReview.ReadWrite.All'</w:t>
      </w:r>
      <w:r>
        <w:br/>
      </w:r>
      <w:r>
        <w:br/>
      </w:r>
      <w:r>
        <w:rPr>
          <w:rStyle w:val="VariableTok"/>
        </w:rPr>
        <w:t xml:space="preserve">$groupId</w:t>
      </w:r>
      <w:r>
        <w:rPr>
          <w:rStyle w:val="NormalTok"/>
        </w:rPr>
        <w:t xml:space="preserve">    </w:t>
      </w:r>
      <w:r>
        <w:rPr>
          <w:rStyle w:val="OperatorTok"/>
        </w:rPr>
        <w:t xml:space="preserve">=</w:t>
      </w:r>
      <w:r>
        <w:rPr>
          <w:rStyle w:val="NormalTok"/>
        </w:rPr>
        <w:t xml:space="preserve"> </w:t>
      </w:r>
      <w:r>
        <w:rPr>
          <w:rStyle w:val="StringTok"/>
        </w:rPr>
        <w:t xml:space="preserve">'&lt;application-access-group-object-id&gt;'</w:t>
      </w:r>
      <w:r>
        <w:br/>
      </w:r>
      <w:r>
        <w:rPr>
          <w:rStyle w:val="VariableTok"/>
        </w:rPr>
        <w:t xml:space="preserve">$fallbackId</w:t>
      </w:r>
      <w:r>
        <w:rPr>
          <w:rStyle w:val="NormalTok"/>
        </w:rPr>
        <w:t xml:space="preserve"> </w:t>
      </w:r>
      <w:r>
        <w:rPr>
          <w:rStyle w:val="OperatorTok"/>
        </w:rPr>
        <w:t xml:space="preserve">=</w:t>
      </w:r>
      <w:r>
        <w:rPr>
          <w:rStyle w:val="NormalTok"/>
        </w:rPr>
        <w:t xml:space="preserve"> </w:t>
      </w:r>
      <w:r>
        <w:rPr>
          <w:rStyle w:val="StringTok"/>
        </w:rPr>
        <w:t xml:space="preserve">'&lt;backup-application-owner-object-id&gt;'</w:t>
      </w:r>
      <w:r>
        <w:br/>
      </w:r>
      <w:r>
        <w:br/>
      </w:r>
      <w:r>
        <w:rPr>
          <w:rStyle w:val="VariableTok"/>
        </w:rPr>
        <w:t xml:space="preserv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'Quarterly review - APP-PAYROLL-USERS-T1'</w:t>
      </w:r>
      <w:r>
        <w:br/>
      </w:r>
      <w:r>
        <w:rPr>
          <w:rStyle w:val="NormalTok"/>
        </w:rPr>
        <w:t xml:space="preserve">    descriptionForAdmins </w:t>
      </w:r>
      <w:r>
        <w:rPr>
          <w:rStyle w:val="OperatorTok"/>
        </w:rPr>
        <w:t xml:space="preserve">=</w:t>
      </w:r>
      <w:r>
        <w:rPr>
          <w:rStyle w:val="NormalTok"/>
        </w:rPr>
        <w:t xml:space="preserve"> </w:t>
      </w:r>
      <w:r>
        <w:rPr>
          <w:rStyle w:val="StringTok"/>
        </w:rPr>
        <w:t xml:space="preserve">'Tier 1 application access; schedule in Book 04, Chapter 09'</w:t>
      </w:r>
      <w:r>
        <w:br/>
      </w:r>
      <w:r>
        <w:rPr>
          <w:rStyle w:val="NormalTok"/>
        </w:rPr>
        <w:t xml:space="preserve">    scope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'#microsoft.graph.accessReviewQueryScope'</w:t>
      </w:r>
      <w:r>
        <w:br/>
      </w:r>
      <w:r>
        <w:rPr>
          <w:rStyle w:val="NormalTok"/>
        </w:rPr>
        <w:t xml:space="preserve">        query         </w:t>
      </w:r>
      <w:r>
        <w:rPr>
          <w:rStyle w:val="OperatorTok"/>
        </w:rPr>
        <w:t xml:space="preserve">=</w:t>
      </w:r>
      <w:r>
        <w:rPr>
          <w:rStyle w:val="NormalTok"/>
        </w:rPr>
        <w:t xml:space="preserve"> </w:t>
      </w:r>
      <w:r>
        <w:rPr>
          <w:rStyle w:val="StringTok"/>
        </w:rPr>
        <w:t xml:space="preserve">"/groups/</w:t>
      </w:r>
      <w:r>
        <w:rPr>
          <w:rStyle w:val="VariableTok"/>
        </w:rPr>
        <w:t xml:space="preserve">$groupId</w:t>
      </w:r>
      <w:r>
        <w:rPr>
          <w:rStyle w:val="StringTok"/>
        </w:rPr>
        <w:t xml:space="preserve">/transitiveMembers"</w:t>
      </w:r>
      <w:r>
        <w:br/>
      </w:r>
      <w:r>
        <w:rPr>
          <w:rStyle w:val="NormalTok"/>
        </w:rPr>
        <w:t xml:space="preserve">        queryType     </w:t>
      </w:r>
      <w:r>
        <w:rPr>
          <w:rStyle w:val="OperatorTok"/>
        </w:rPr>
        <w:t xml:space="preserve">=</w:t>
      </w:r>
      <w:r>
        <w:rPr>
          <w:rStyle w:val="NormalTok"/>
        </w:rPr>
        <w:t xml:space="preserve"> </w:t>
      </w:r>
      <w:r>
        <w:rPr>
          <w:rStyle w:val="StringTok"/>
        </w:rPr>
        <w:t xml:space="preserve">'MicrosoftGraph'</w:t>
      </w:r>
      <w:r>
        <w:br/>
      </w:r>
      <w:r>
        <w:rPr>
          <w:rStyle w:val="NormalTok"/>
        </w:rPr>
        <w:t xml:space="preserve">    </w:t>
      </w:r>
      <w:r>
        <w:rPr>
          <w:rStyle w:val="OperatorTok"/>
        </w:rPr>
        <w:t xml:space="preserve">}</w:t>
      </w:r>
      <w:r>
        <w:br/>
      </w:r>
      <w:r>
        <w:rPr>
          <w:rStyle w:val="NormalTok"/>
        </w:rPr>
        <w:t xml:space="preserve">    reviewers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query     </w:t>
      </w:r>
      <w:r>
        <w:rPr>
          <w:rStyle w:val="OperatorTok"/>
        </w:rPr>
        <w:t xml:space="preserve">=</w:t>
      </w:r>
      <w:r>
        <w:rPr>
          <w:rStyle w:val="NormalTok"/>
        </w:rPr>
        <w:t xml:space="preserve"> </w:t>
      </w:r>
      <w:r>
        <w:rPr>
          <w:rStyle w:val="StringTok"/>
        </w:rPr>
        <w:t xml:space="preserve">"/groups/</w:t>
      </w:r>
      <w:r>
        <w:rPr>
          <w:rStyle w:val="VariableTok"/>
        </w:rPr>
        <w:t xml:space="preserve">$groupId</w:t>
      </w:r>
      <w:r>
        <w:rPr>
          <w:rStyle w:val="StringTok"/>
        </w:rPr>
        <w:t xml:space="preserve">/owners"</w:t>
      </w:r>
      <w:r>
        <w:br/>
      </w:r>
      <w:r>
        <w:rPr>
          <w:rStyle w:val="NormalTok"/>
        </w:rPr>
        <w:t xml:space="preserve">            queryType </w:t>
      </w:r>
      <w:r>
        <w:rPr>
          <w:rStyle w:val="OperatorTok"/>
        </w:rPr>
        <w:t xml:space="preserve">=</w:t>
      </w:r>
      <w:r>
        <w:rPr>
          <w:rStyle w:val="NormalTok"/>
        </w:rPr>
        <w:t xml:space="preserve"> </w:t>
      </w:r>
      <w:r>
        <w:rPr>
          <w:rStyle w:val="StringTok"/>
        </w:rPr>
        <w:t xml:space="preserve">'MicrosoftGraph'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fallbackReviewers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query     </w:t>
      </w:r>
      <w:r>
        <w:rPr>
          <w:rStyle w:val="OperatorTok"/>
        </w:rPr>
        <w:t xml:space="preserve">=</w:t>
      </w:r>
      <w:r>
        <w:rPr>
          <w:rStyle w:val="NormalTok"/>
        </w:rPr>
        <w:t xml:space="preserve"> </w:t>
      </w:r>
      <w:r>
        <w:rPr>
          <w:rStyle w:val="StringTok"/>
        </w:rPr>
        <w:t xml:space="preserve">"/users/</w:t>
      </w:r>
      <w:r>
        <w:rPr>
          <w:rStyle w:val="VariableTok"/>
        </w:rPr>
        <w:t xml:space="preserve">$fallbackId</w:t>
      </w:r>
      <w:r>
        <w:rPr>
          <w:rStyle w:val="StringTok"/>
        </w:rPr>
        <w:t xml:space="preserve">"</w:t>
      </w:r>
      <w:r>
        <w:br/>
      </w:r>
      <w:r>
        <w:rPr>
          <w:rStyle w:val="NormalTok"/>
        </w:rPr>
        <w:t xml:space="preserve">            queryType </w:t>
      </w:r>
      <w:r>
        <w:rPr>
          <w:rStyle w:val="OperatorTok"/>
        </w:rPr>
        <w:t xml:space="preserve">=</w:t>
      </w:r>
      <w:r>
        <w:rPr>
          <w:rStyle w:val="NormalTok"/>
        </w:rPr>
        <w:t xml:space="preserve"> </w:t>
      </w:r>
      <w:r>
        <w:rPr>
          <w:rStyle w:val="StringTok"/>
        </w:rPr>
        <w:t xml:space="preserve">'MicrosoftGraph'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settings </w:t>
      </w:r>
      <w:r>
        <w:rPr>
          <w:rStyle w:val="OperatorTok"/>
        </w:rPr>
        <w:t xml:space="preserve">=</w:t>
      </w:r>
      <w:r>
        <w:rPr>
          <w:rStyle w:val="NormalTok"/>
        </w:rPr>
        <w:t xml:space="preserve"> @</w:t>
      </w:r>
      <w:r>
        <w:rPr>
          <w:rStyle w:val="OperatorTok"/>
        </w:rPr>
        <w:t xml:space="preserve">{</w:t>
      </w:r>
      <w:r>
        <w:br/>
      </w:r>
      <w:r>
        <w:rPr>
          <w:rStyle w:val="NormalTok"/>
        </w:rPr>
        <w:t xml:space="preserve">        mailNotificationsEnabled        </w:t>
      </w:r>
      <w:r>
        <w:rPr>
          <w:rStyle w:val="OperatorTok"/>
        </w:rPr>
        <w:t xml:space="preserve">=</w:t>
      </w:r>
      <w:r>
        <w:rPr>
          <w:rStyle w:val="NormalTok"/>
        </w:rPr>
        <w:t xml:space="preserve"> </w:t>
      </w:r>
      <w:r>
        <w:rPr>
          <w:rStyle w:val="VariableTok"/>
        </w:rPr>
        <w:t xml:space="preserve">$true</w:t>
      </w:r>
      <w:r>
        <w:br/>
      </w:r>
      <w:r>
        <w:rPr>
          <w:rStyle w:val="NormalTok"/>
        </w:rPr>
        <w:t xml:space="preserve">        reminderNotificationsEnabled    </w:t>
      </w:r>
      <w:r>
        <w:rPr>
          <w:rStyle w:val="OperatorTok"/>
        </w:rPr>
        <w:t xml:space="preserve">=</w:t>
      </w:r>
      <w:r>
        <w:rPr>
          <w:rStyle w:val="NormalTok"/>
        </w:rPr>
        <w:t xml:space="preserve"> </w:t>
      </w:r>
      <w:r>
        <w:rPr>
          <w:rStyle w:val="VariableTok"/>
        </w:rPr>
        <w:t xml:space="preserve">$true</w:t>
      </w:r>
      <w:r>
        <w:br/>
      </w:r>
      <w:r>
        <w:rPr>
          <w:rStyle w:val="NormalTok"/>
        </w:rPr>
        <w:t xml:space="preserve">        justificationRequiredOnApproval </w:t>
      </w:r>
      <w:r>
        <w:rPr>
          <w:rStyle w:val="OperatorTok"/>
        </w:rPr>
        <w:t xml:space="preserve">=</w:t>
      </w:r>
      <w:r>
        <w:rPr>
          <w:rStyle w:val="NormalTok"/>
        </w:rPr>
        <w:t xml:space="preserve"> </w:t>
      </w:r>
      <w:r>
        <w:rPr>
          <w:rStyle w:val="VariableTok"/>
        </w:rPr>
        <w:t xml:space="preserve">$true</w:t>
      </w:r>
      <w:r>
        <w:br/>
      </w:r>
      <w:r>
        <w:rPr>
          <w:rStyle w:val="NormalTok"/>
        </w:rPr>
        <w:t xml:space="preserve">        defaultDecisionEnabled          </w:t>
      </w:r>
      <w:r>
        <w:rPr>
          <w:rStyle w:val="OperatorTok"/>
        </w:rPr>
        <w:t xml:space="preserve">=</w:t>
      </w:r>
      <w:r>
        <w:rPr>
          <w:rStyle w:val="NormalTok"/>
        </w:rPr>
        <w:t xml:space="preserve"> </w:t>
      </w:r>
      <w:r>
        <w:rPr>
          <w:rStyle w:val="VariableTok"/>
        </w:rPr>
        <w:t xml:space="preserve">$false</w:t>
      </w:r>
      <w:r>
        <w:br/>
      </w:r>
      <w:r>
        <w:rPr>
          <w:rStyle w:val="NormalTok"/>
        </w:rPr>
        <w:t xml:space="preserve">        instanceDurationInDays          </w:t>
      </w:r>
      <w:r>
        <w:rPr>
          <w:rStyle w:val="OperatorTok"/>
        </w:rPr>
        <w:t xml:space="preserve">=</w:t>
      </w:r>
      <w:r>
        <w:rPr>
          <w:rStyle w:val="NormalTok"/>
        </w:rPr>
        <w:t xml:space="preserve"> </w:t>
      </w:r>
      <w:r>
        <w:rPr>
          <w:rStyle w:val="DecValTok"/>
        </w:rPr>
        <w:t xml:space="preserve">14</w:t>
      </w:r>
      <w:r>
        <w:br/>
      </w:r>
      <w:r>
        <w:rPr>
          <w:rStyle w:val="NormalTok"/>
        </w:rPr>
        <w:t xml:space="preserve">        autoApplyDecisionsEnabled       </w:t>
      </w:r>
      <w:r>
        <w:rPr>
          <w:rStyle w:val="OperatorTok"/>
        </w:rPr>
        <w:t xml:space="preserve">=</w:t>
      </w:r>
      <w:r>
        <w:rPr>
          <w:rStyle w:val="NormalTok"/>
        </w:rPr>
        <w:t xml:space="preserve"> </w:t>
      </w:r>
      <w:r>
        <w:rPr>
          <w:rStyle w:val="VariableTok"/>
        </w:rPr>
        <w:t xml:space="preserve">$true</w:t>
      </w:r>
      <w:r>
        <w:br/>
      </w:r>
      <w:r>
        <w:rPr>
          <w:rStyle w:val="NormalTok"/>
        </w:rPr>
        <w:t xml:space="preserve">        recommendationsEnabled          </w:t>
      </w:r>
      <w:r>
        <w:rPr>
          <w:rStyle w:val="OperatorTok"/>
        </w:rPr>
        <w:t xml:space="preserve">=</w:t>
      </w:r>
      <w:r>
        <w:rPr>
          <w:rStyle w:val="NormalTok"/>
        </w:rPr>
        <w:t xml:space="preserve"> </w:t>
      </w:r>
      <w:r>
        <w:rPr>
          <w:rStyle w:val="VariableTok"/>
        </w:rPr>
        <w:t xml:space="preserve">$true</w:t>
      </w:r>
      <w:r>
        <w:br/>
      </w:r>
      <w:r>
        <w:rPr>
          <w:rStyle w:val="NormalTok"/>
        </w:rPr>
        <w:t xml:space="preserve">        recurrence </w:t>
      </w:r>
      <w:r>
        <w:rPr>
          <w:rStyle w:val="OperatorTok"/>
        </w:rPr>
        <w:t xml:space="preserve">=</w:t>
      </w:r>
      <w:r>
        <w:rPr>
          <w:rStyle w:val="NormalTok"/>
        </w:rPr>
        <w:t xml:space="preserve"> @</w:t>
      </w:r>
      <w:r>
        <w:rPr>
          <w:rStyle w:val="OperatorTok"/>
        </w:rPr>
        <w:t xml:space="preserve">{</w:t>
      </w:r>
      <w:r>
        <w:br/>
      </w:r>
      <w:r>
        <w:rPr>
          <w:rStyle w:val="NormalTok"/>
        </w:rPr>
        <w:t xml:space="preserve">            pattern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'absoluteMonthly'</w:t>
      </w:r>
      <w:r>
        <w:br/>
      </w:r>
      <w:r>
        <w:rPr>
          <w:rStyle w:val="NormalTok"/>
        </w:rPr>
        <w:t xml:space="preserve">                interval   </w:t>
      </w:r>
      <w:r>
        <w:rPr>
          <w:rStyle w:val="OperatorTok"/>
        </w:rPr>
        <w:t xml:space="preserve">=</w:t>
      </w:r>
      <w:r>
        <w:rPr>
          <w:rStyle w:val="NormalTok"/>
        </w:rPr>
        <w:t xml:space="preserve"> </w:t>
      </w:r>
      <w:r>
        <w:rPr>
          <w:rStyle w:val="DecValTok"/>
        </w:rPr>
        <w:t xml:space="preserve">3</w:t>
      </w:r>
      <w:r>
        <w:br/>
      </w:r>
      <w:r>
        <w:rPr>
          <w:rStyle w:val="NormalTok"/>
        </w:rPr>
        <w:t xml:space="preserve">                dayOfMonth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OperatorTok"/>
        </w:rPr>
        <w:t xml:space="preserve">}</w:t>
      </w:r>
      <w:r>
        <w:br/>
      </w:r>
      <w:r>
        <w:rPr>
          <w:rStyle w:val="NormalTok"/>
        </w:rPr>
        <w:t xml:space="preserve">            range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'noEnd'</w:t>
      </w:r>
      <w:r>
        <w:br/>
      </w:r>
      <w:r>
        <w:rPr>
          <w:rStyle w:val="NormalTok"/>
        </w:rPr>
        <w:t xml:space="preserve">                startDate </w:t>
      </w:r>
      <w:r>
        <w:rPr>
          <w:rStyle w:val="OperatorTok"/>
        </w:rPr>
        <w:t xml:space="preserve">=</w:t>
      </w:r>
      <w:r>
        <w:rPr>
          <w:rStyle w:val="NormalTok"/>
        </w:rPr>
        <w:t xml:space="preserve"> </w:t>
      </w:r>
      <w:r>
        <w:rPr>
          <w:rStyle w:val="StringTok"/>
        </w:rPr>
        <w:t xml:space="preserve">'2027-01-01'</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applyActions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'#microsoft.graph.removeAccessApplyAction'</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New-MgIdentityGovernanceAccessReviewDefinition </w:t>
      </w:r>
      <w:r>
        <w:rPr>
          <w:rStyle w:val="OperatorTok"/>
        </w:rPr>
        <w:t xml:space="preserve">-</w:t>
      </w:r>
      <w:r>
        <w:rPr>
          <w:rStyle w:val="NormalTok"/>
        </w:rPr>
        <w:t xml:space="preserve">BodyParameter </w:t>
      </w:r>
      <w:r>
        <w:rPr>
          <w:rStyle w:val="VariableTok"/>
        </w:rPr>
        <w:t xml:space="preserve">$params</w:t>
      </w:r>
    </w:p>
    <w:p>
      <w:pPr>
        <w:pStyle w:val="FirstParagraph"/>
      </w:pPr>
      <w:r>
        <w:t xml:space="preserve">With</w:t>
      </w:r>
      <w:r>
        <w:t xml:space="preserve"> </w:t>
      </w:r>
      <w:r>
        <w:rPr>
          <w:rStyle w:val="VerbatimChar"/>
        </w:rPr>
        <w:t xml:space="preserve">defaultDecisionEnabled</w:t>
      </w:r>
      <w:r>
        <w:t xml:space="preserve"> </w:t>
      </w:r>
      <w:r>
        <w:t xml:space="preserve">set to</w:t>
      </w:r>
      <w:r>
        <w:t xml:space="preserve"> </w:t>
      </w:r>
      <w:r>
        <w:rPr>
          <w:rStyle w:val="VerbatimChar"/>
        </w:rPr>
        <w:t xml:space="preserve">$false</w:t>
      </w:r>
      <w:r>
        <w:t xml:space="preserve">, members nobody reviewed keep their access, and the escalation to the governance office is a follow-up on the review’s</w:t>
      </w:r>
      <w:r>
        <w:t xml:space="preserve"> </w:t>
      </w:r>
      <w:r>
        <w:t xml:space="preserve">“not reviewed”</w:t>
      </w:r>
      <w:r>
        <w:t xml:space="preserve"> </w:t>
      </w:r>
      <w:r>
        <w:t xml:space="preserve">results. For privileged-role and guest reviews, set</w:t>
      </w:r>
      <w:r>
        <w:t xml:space="preserve"> </w:t>
      </w:r>
      <w:r>
        <w:rPr>
          <w:rStyle w:val="VerbatimChar"/>
        </w:rPr>
        <w:t xml:space="preserve">defaultDecisionEnabled = $true</w:t>
      </w:r>
      <w:r>
        <w:t xml:space="preserve"> </w:t>
      </w:r>
      <w:r>
        <w:t xml:space="preserve">and</w:t>
      </w:r>
      <w:r>
        <w:t xml:space="preserve"> </w:t>
      </w:r>
      <w:r>
        <w:rPr>
          <w:rStyle w:val="VerbatimChar"/>
        </w:rPr>
        <w:t xml:space="preserve">defaultDecision = 'Deny'</w:t>
      </w:r>
      <w:r>
        <w:t xml:space="preserve">.</w:t>
      </w:r>
    </w:p>
    <w:bookmarkEnd w:id="1019"/>
    <w:bookmarkEnd w:id="1020"/>
    <w:bookmarkStart w:id="1023" w:name="change-control"/>
    <w:p>
      <w:pPr>
        <w:pStyle w:val="Heading2"/>
      </w:pPr>
      <w:bookmarkStart w:id="1273" w:name="_Toc00001273"/>
      <w:r>
        <w:t xml:space="preserve">Change control</w:t>
      </w:r>
      <w:bookmarkEnd w:id="1273"/>
    </w:p>
    <w:p>
      <w:pPr>
        <w:pStyle w:val="FirstParagraph"/>
      </w:pPr>
      <w:r>
        <w:t xml:space="preserve">The repository is the only normal path to production. The rules below are design positions; together they are how the program meets CM-3 and CM-5 for the identity plane and the FedRAMP 20x change-management indicators, which ask that changes be logged and monitored, that machine-based resources be changed by redeploying version-controlled definitions rather than by editing in place where reasonable, and that testing and validation during deployment be automated.</w:t>
      </w:r>
      <w:r>
        <w:rPr>
          <w:rStyle w:val="FootnoteReference"/>
        </w:rPr>
        <w:footnoteReference w:id="1021"/>
      </w:r>
    </w:p>
    <w:p>
      <w:pPr>
        <w:pStyle w:val="Compact"/>
        <w:numPr>
          <w:ilvl w:val="0"/>
          <w:numId w:val="1060"/>
        </w:numPr>
      </w:pPr>
      <w:r>
        <w:rPr>
          <w:b/>
          <w:bCs/>
        </w:rPr>
        <w:t xml:space="preserve">Two people per change.</w:t>
      </w:r>
      <w:r>
        <w:t xml:space="preserve"> </w:t>
      </w:r>
      <w:r>
        <w:t xml:space="preserve">The author of a pull request can’t approve it. Changes to Tier 0 objects (emergency access exclusions, PIM settings for Tier 0 roles, the pipeline’s own permissions) need a second approver from the security team.</w:t>
      </w:r>
    </w:p>
    <w:p>
      <w:pPr>
        <w:pStyle w:val="Compact"/>
        <w:numPr>
          <w:ilvl w:val="0"/>
          <w:numId w:val="1060"/>
        </w:numPr>
      </w:pPr>
      <w:r>
        <w:rPr>
          <w:b/>
          <w:bCs/>
        </w:rPr>
        <w:t xml:space="preserve">Checks before merge.</w:t>
      </w:r>
      <w:r>
        <w:t xml:space="preserve"> </w:t>
      </w:r>
      <w:r>
        <w:t xml:space="preserve">Schema validation, the emergency access exclusion check, the safety rules in the object table, and a plan or dry run whose output is attached to the pull request.</w:t>
      </w:r>
    </w:p>
    <w:p>
      <w:pPr>
        <w:pStyle w:val="Compact"/>
        <w:numPr>
          <w:ilvl w:val="0"/>
          <w:numId w:val="1060"/>
        </w:numPr>
      </w:pPr>
      <w:r>
        <w:rPr>
          <w:b/>
          <w:bCs/>
        </w:rPr>
        <w:t xml:space="preserve">Report-only first.</w:t>
      </w:r>
      <w:r>
        <w:t xml:space="preserve"> </w:t>
      </w:r>
      <w:r>
        <w:t xml:space="preserve">New and changed Conditional Access policies deploy as report-only, run at least a week against the sign-in logs (the Conditional Access insights workbook in Book 02, Chapter 10), and are switched to enabled in a second pull request that cites the impact review.</w:t>
      </w:r>
    </w:p>
    <w:p>
      <w:pPr>
        <w:pStyle w:val="Compact"/>
        <w:numPr>
          <w:ilvl w:val="0"/>
          <w:numId w:val="1060"/>
        </w:numPr>
      </w:pPr>
      <w:r>
        <w:rPr>
          <w:b/>
          <w:bCs/>
        </w:rPr>
        <w:t xml:space="preserve">A pipeline identity with no secret.</w:t>
      </w:r>
      <w:r>
        <w:t xml:space="preserve"> </w:t>
      </w:r>
      <w:r>
        <w:t xml:space="preserve">The pipeline signs in as a service principal with workload identity federation (Chapter 05) and holds only the Graph permissions its object classes need. That service principal can change every access policy in the tenant, so it is a Tier 0 asset: it has two owners, its permissions are reviewed quarterly, and a Conditional Access policy for workload identities restricts where it can sign in from.</w:t>
      </w:r>
    </w:p>
    <w:p>
      <w:pPr>
        <w:pStyle w:val="Compact"/>
        <w:numPr>
          <w:ilvl w:val="0"/>
          <w:numId w:val="1060"/>
        </w:numPr>
      </w:pPr>
      <w:r>
        <w:rPr>
          <w:b/>
          <w:bCs/>
        </w:rPr>
        <w:t xml:space="preserve">Emergency changes.</w:t>
      </w:r>
      <w:r>
        <w:t xml:space="preserve"> </w:t>
      </w:r>
      <w:r>
        <w:t xml:space="preserve">During an incident, an administrator may change a policy in the portal under a PIM activation with a ticket number as justification. The change is back-ported to the repository within one business day. Until then the drift monitor reports it, which is the point: an emergency change that never reaches the repository stays visible.</w:t>
      </w:r>
    </w:p>
    <w:p>
      <w:pPr>
        <w:pStyle w:val="Compact"/>
        <w:numPr>
          <w:ilvl w:val="0"/>
          <w:numId w:val="1060"/>
        </w:numPr>
      </w:pPr>
      <w:r>
        <w:rPr>
          <w:b/>
          <w:bCs/>
        </w:rPr>
        <w:t xml:space="preserve">Rollback is a revert.</w:t>
      </w:r>
      <w:r>
        <w:t xml:space="preserve"> </w:t>
      </w:r>
      <w:r>
        <w:t xml:space="preserve">Undoing a change means reverting its commit and redeploying, so the rollback has the same record as the change.</w:t>
      </w:r>
    </w:p>
    <w:bookmarkEnd w:id="1023"/>
    <w:bookmarkStart w:id="1024" w:name="drift-detection-and-closure"/>
    <w:p>
      <w:pPr>
        <w:pStyle w:val="Heading2"/>
      </w:pPr>
      <w:bookmarkStart w:id="1274" w:name="_Toc00001274"/>
      <w:r>
        <w:t xml:space="preserve">Drift detection and closure</w:t>
      </w:r>
      <w:bookmarkEnd w:id="1274"/>
    </w:p>
    <w:p>
      <w:pPr>
        <w:pStyle w:val="FirstParagraph"/>
      </w:pPr>
      <w:r>
        <w:t xml:space="preserve">Code governs the policy, but a Global Administrator can still change the tenant directly. Drift detection is the control that catches those changes, and the design rule is the one Book 03, Chapter 11 uses: close each finding at the source, never by editing the copy.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Object classes</w:t>
            </w:r>
          </w:p>
        </w:tc>
        <w:tc>
          <w:tcPr/>
          <w:p>
            <w:pPr>
              <w:pStyle w:val="Compact"/>
            </w:pPr>
            <w:r>
              <w:t xml:space="preserve">Detector</w:t>
            </w:r>
          </w:p>
        </w:tc>
        <w:tc>
          <w:tcPr/>
          <w:p>
            <w:pPr>
              <w:pStyle w:val="Compact"/>
            </w:pPr>
            <w:r>
              <w:t xml:space="preserve">Cadence</w:t>
            </w:r>
          </w:p>
        </w:tc>
        <w:tc>
          <w:tcPr/>
          <w:p>
            <w:pPr>
              <w:pStyle w:val="Compact"/>
            </w:pPr>
            <w:r>
              <w:t xml:space="preserve">Output</w:t>
            </w:r>
          </w:p>
        </w:tc>
      </w:tr>
      <w:tr>
        <w:tc>
          <w:tcPr/>
          <w:p>
            <w:pPr>
              <w:pStyle w:val="Compact"/>
            </w:pPr>
            <w:r>
              <w:t xml:space="preserve">Conditional Access, authentication strengths, named locations, role settings, role eligibility, groups, access packages and policies</w:t>
            </w:r>
          </w:p>
        </w:tc>
        <w:tc>
          <w:tcPr/>
          <w:p>
            <w:pPr>
              <w:pStyle w:val="Compact"/>
            </w:pPr>
            <w:r>
              <w:t xml:space="preserve">Tenant configuration monitor against the repository’s baseline</w:t>
            </w:r>
          </w:p>
        </w:tc>
        <w:tc>
          <w:tcPr/>
          <w:p>
            <w:pPr>
              <w:pStyle w:val="Compact"/>
            </w:pPr>
            <w:r>
              <w:t xml:space="preserve">Every six hours (fixed)</w:t>
            </w:r>
          </w:p>
        </w:tc>
        <w:tc>
          <w:tcPr/>
          <w:p>
            <w:pPr>
              <w:pStyle w:val="Compact"/>
            </w:pPr>
            <w:r>
              <w:t xml:space="preserve">Drift objects with the differing properties, exported to the evidence store</w:t>
            </w:r>
          </w:p>
        </w:tc>
      </w:tr>
      <w:tr>
        <w:tc>
          <w:tcPr/>
          <w:p>
            <w:pPr>
              <w:pStyle w:val="Compact"/>
            </w:pPr>
            <w:r>
              <w:t xml:space="preserve">Access review definitions, Lifecycle Workflows</w:t>
            </w:r>
          </w:p>
        </w:tc>
        <w:tc>
          <w:tcPr/>
          <w:p>
            <w:pPr>
              <w:pStyle w:val="Compact"/>
            </w:pPr>
            <w:r>
              <w:t xml:space="preserve">Scheduled read-only comparison (Microsoft365DSC export, or</w:t>
            </w:r>
            <w:r>
              <w:t xml:space="preserve"> </w:t>
            </w:r>
            <w:r>
              <w:rPr>
                <w:rStyle w:val="VerbatimChar"/>
              </w:rPr>
              <w:t xml:space="preserve">terraform plan -detailed-exitcode</w:t>
            </w:r>
            <w:r>
              <w:t xml:space="preserve"> </w:t>
            </w:r>
            <w:r>
              <w:t xml:space="preserve">where Terraform owns the object)</w:t>
            </w:r>
          </w:p>
        </w:tc>
        <w:tc>
          <w:tcPr/>
          <w:p>
            <w:pPr>
              <w:pStyle w:val="Compact"/>
            </w:pPr>
            <w:r>
              <w:t xml:space="preserve">Daily</w:t>
            </w:r>
          </w:p>
        </w:tc>
        <w:tc>
          <w:tcPr/>
          <w:p>
            <w:pPr>
              <w:pStyle w:val="Compact"/>
            </w:pPr>
            <w:r>
              <w:t xml:space="preserve">Diff attached to an issue when anything differs</w:t>
            </w:r>
          </w:p>
        </w:tc>
      </w:tr>
      <w:tr>
        <w:tc>
          <w:tcPr/>
          <w:p>
            <w:pPr>
              <w:pStyle w:val="Compact"/>
            </w:pPr>
            <w:r>
              <w:t xml:space="preserve">Directory objects outside both</w:t>
            </w:r>
          </w:p>
        </w:tc>
        <w:tc>
          <w:tcPr/>
          <w:p>
            <w:pPr>
              <w:pStyle w:val="Compact"/>
            </w:pPr>
            <w:r>
              <w:t xml:space="preserve">Identity assessment baseline in Git (Book 02, Chapter 10)</w:t>
            </w:r>
          </w:p>
        </w:tc>
        <w:tc>
          <w:tcPr/>
          <w:p>
            <w:pPr>
              <w:pStyle w:val="Compact"/>
            </w:pPr>
            <w:r>
              <w:t xml:space="preserve">Weekly</w:t>
            </w:r>
          </w:p>
        </w:tc>
        <w:tc>
          <w:tcPr/>
          <w:p>
            <w:pPr>
              <w:pStyle w:val="Compact"/>
            </w:pPr>
            <w:r>
              <w:t xml:space="preserve">Drift report and an issue</w:t>
            </w:r>
          </w:p>
        </w:tc>
      </w:tr>
      <w:tr>
        <w:tc>
          <w:tcPr/>
          <w:p>
            <w:pPr>
              <w:pStyle w:val="Compact"/>
            </w:pPr>
            <w:r>
              <w:t xml:space="preserve">Whole tenant, for recovery</w:t>
            </w:r>
          </w:p>
        </w:tc>
        <w:tc>
          <w:tcPr/>
          <w:p>
            <w:pPr>
              <w:pStyle w:val="Compact"/>
            </w:pPr>
            <w:r>
              <w:t xml:space="preserve">Entra Exporter</w:t>
            </w:r>
          </w:p>
        </w:tc>
        <w:tc>
          <w:tcPr/>
          <w:p>
            <w:pPr>
              <w:pStyle w:val="Compact"/>
            </w:pPr>
            <w:r>
              <w:t xml:space="preserve">Weekly</w:t>
            </w:r>
          </w:p>
        </w:tc>
        <w:tc>
          <w:tcPr/>
          <w:p>
            <w:pPr>
              <w:pStyle w:val="Compact"/>
            </w:pPr>
            <w:r>
              <w:t xml:space="preserve">Export kept separately from baselines</w:t>
            </w:r>
          </w:p>
        </w:tc>
      </w:tr>
    </w:tbl>
    <w:p>
      <w:pPr>
        <w:pStyle w:val="BodyText"/>
      </w:pPr>
      <w:r>
        <w:t xml:space="preserve">Every drift is one of two things, and the issue records which:</w:t>
      </w:r>
    </w:p>
    <w:p>
      <w:pPr>
        <w:pStyle w:val="Compact"/>
        <w:numPr>
          <w:ilvl w:val="0"/>
          <w:numId w:val="1061"/>
        </w:numPr>
      </w:pPr>
      <w:r>
        <w:rPr>
          <w:b/>
          <w:bCs/>
        </w:rPr>
        <w:t xml:space="preserve">Unauthorized or accidental.</w:t>
      </w:r>
      <w:r>
        <w:t xml:space="preserve"> </w:t>
      </w:r>
      <w:r>
        <w:t xml:space="preserve">Redeploy the repository’s version, which closes the drift on the next monitor run, and investigate who made the change from the audit log.</w:t>
      </w:r>
    </w:p>
    <w:p>
      <w:pPr>
        <w:pStyle w:val="Compact"/>
        <w:numPr>
          <w:ilvl w:val="0"/>
          <w:numId w:val="1061"/>
        </w:numPr>
      </w:pPr>
      <w:r>
        <w:rPr>
          <w:b/>
          <w:bCs/>
        </w:rPr>
        <w:t xml:space="preserve">Intended but not yet in code.</w:t>
      </w:r>
      <w:r>
        <w:t xml:space="preserve"> </w:t>
      </w:r>
      <w:r>
        <w:t xml:space="preserve">Usually an emergency change. Back-port it through a pull request, which updates the baseline. Export the monitor’s results first, because a baseline update deletes them.</w:t>
      </w:r>
    </w:p>
    <w:p>
      <w:pPr>
        <w:pStyle w:val="FirstParagraph"/>
      </w:pPr>
      <w:r>
        <w:t xml:space="preserve">A drift open for more than one business day is reported to the governance office. A drift on a Tier 0 object (an emergency access exclusion removed, a PIM approval rule relaxed) is a security incident.</w:t>
      </w:r>
    </w:p>
    <w:bookmarkEnd w:id="1024"/>
    <w:bookmarkStart w:id="1041" w:name="what-the-assessor-reads"/>
    <w:p>
      <w:pPr>
        <w:pStyle w:val="Heading2"/>
      </w:pPr>
      <w:bookmarkStart w:id="1275" w:name="_Toc00001275"/>
      <w:r>
        <w:t xml:space="preserve">What the assessor reads</w:t>
      </w:r>
      <w:bookmarkEnd w:id="1275"/>
    </w:p>
    <w:p>
      <w:pPr>
        <w:pStyle w:val="FirstParagraph"/>
      </w:pPr>
      <w:r>
        <w:t xml:space="preserve">Configuration evidence proves a setting existed. Operational evidence proves the setting did its job. An assessor needs both, and needs them for the whole assessment period, not just the day of the visit.</w:t>
      </w:r>
    </w:p>
    <w:bookmarkStart w:id="1028" w:name="fig-ch10-control-evidence-map"/>
    <w:p>
      <w:pPr>
        <w:pStyle w:val="CaptionedFigure"/>
      </w:pPr>
      <w:r>
        <w:drawing>
          <wp:inline>
            <wp:extent cx="3753348" cy="4710835"/>
            <wp:effectExtent b="0" l="0" r="0" t="0"/>
            <wp:docPr descr="Three kinds of record support the access controls: configuration files support enforcement controls, records of use support account-management and review controls, and drift and change records support continuous monitoring." title="" id="1026" name="Picture"/>
            <a:graphic>
              <a:graphicData uri="http://schemas.openxmlformats.org/drawingml/2006/picture">
                <pic:pic>
                  <pic:nvPicPr>
                    <pic:cNvPr descr="/home/runner/work/modernization-workbook/modernization-workbook/docs/images/diagrams/b04-access/png/ch10-control-evidence-map.png" id="1027" name="Picture"/>
                    <pic:cNvPicPr>
                      <a:picLocks noChangeArrowheads="1" noChangeAspect="1"/>
                    </pic:cNvPicPr>
                  </pic:nvPicPr>
                  <pic:blipFill>
                    <a:blip r:embed="rId1025"/>
                    <a:stretch>
                      <a:fillRect/>
                    </a:stretch>
                  </pic:blipFill>
                  <pic:spPr bwMode="auto">
                    <a:xfrm>
                      <a:off x="0" y="0"/>
                      <a:ext cx="3753348" cy="4710835"/>
                    </a:xfrm>
                    <a:prstGeom prst="rect">
                      <a:avLst/>
                    </a:prstGeom>
                    <a:noFill/>
                    <a:ln w="9525">
                      <a:noFill/>
                      <a:headEnd/>
                      <a:tailEnd/>
                    </a:ln>
                  </pic:spPr>
                </pic:pic>
              </a:graphicData>
            </a:graphic>
          </wp:inline>
        </w:drawing>
      </w:r>
    </w:p>
    <w:p>
      <w:pPr>
        <w:pStyle w:val="ImageCaption"/>
      </w:pPr>
      <w:r>
        <w:t xml:space="preserve">Three kinds of record support the access controls: configuration files support enforcement controls, records of use support account-management and review controls, and drift and change records support continuous monitoring.</w:t>
      </w:r>
    </w:p>
    <w:bookmarkEnd w:id="1028"/>
    <w:bookmarkStart w:id="1035" w:name="control-mapping"/>
    <w:p>
      <w:pPr>
        <w:pStyle w:val="Heading3"/>
      </w:pPr>
      <w:r>
        <w:t xml:space="preserve">Control mapping</w:t>
      </w:r>
    </w:p>
    <w:p>
      <w:pPr>
        <w:pStyle w:val="FirstParagraph"/>
      </w:pPr>
      <w:r>
        <w:t xml:space="preserve">The control statements are summarized from the NIST SP 800-53 Rev. 5 catalog (release 5.2.0) as FedRAMP publishes it.</w:t>
      </w:r>
      <w:r>
        <w:rPr>
          <w:rStyle w:val="FootnoteReference"/>
        </w:rPr>
        <w:footnoteReference w:id="1029"/>
      </w:r>
      <w:r>
        <w:rPr>
          <w:rStyle w:val="FootnoteReference"/>
        </w:rPr>
        <w:footnoteReference w:id="1030"/>
      </w:r>
      <w:r>
        <w:rPr>
          <w:rStyle w:val="FootnoteReference"/>
        </w:rPr>
        <w:footnoteReference w:id="1031"/>
      </w:r>
      <w:r>
        <w:rPr>
          <w:rStyle w:val="FootnoteReference"/>
        </w:rPr>
        <w:footnoteReference w:id="1032"/>
      </w:r>
      <w:r>
        <w:t xml:space="preserve"> </w:t>
      </w:r>
      <w:r>
        <w:t xml:space="preserve">FedRAMP doesn’t set the AC-2 account-review frequency or the AC-6(7) privilege-review frequency; both stay organization-defined, so the system security plan states the program’s schedule from Chapter 09.</w:t>
      </w:r>
      <w:r>
        <w:rPr>
          <w:rStyle w:val="FootnoteReference"/>
        </w:rPr>
        <w:footnoteReference w:id="1034"/>
      </w:r>
      <w:r>
        <w:t xml:space="preserve"> </w:t>
      </w:r>
      <w:r>
        <w:t xml:space="preserve">The mechanisms and evidence are the program’s.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it requires (summary)</w:t>
            </w:r>
          </w:p>
        </w:tc>
        <w:tc>
          <w:tcPr/>
          <w:p>
            <w:pPr>
              <w:pStyle w:val="Compact"/>
            </w:pPr>
            <w:r>
              <w:t xml:space="preserve">How the program meets it</w:t>
            </w:r>
          </w:p>
        </w:tc>
        <w:tc>
          <w:tcPr/>
          <w:p>
            <w:pPr>
              <w:pStyle w:val="Compact"/>
            </w:pPr>
            <w:r>
              <w:t xml:space="preserve">Evidence the assessor reads</w:t>
            </w:r>
          </w:p>
        </w:tc>
      </w:tr>
      <w:tr>
        <w:tc>
          <w:tcPr/>
          <w:p>
            <w:pPr>
              <w:pStyle w:val="Compact"/>
            </w:pPr>
            <w:r>
              <w:t xml:space="preserve">AC-2 Account Management</w:t>
            </w:r>
          </w:p>
        </w:tc>
        <w:tc>
          <w:tcPr/>
          <w:p>
            <w:pPr>
              <w:pStyle w:val="Compact"/>
            </w:pPr>
            <w:r>
              <w:t xml:space="preserve">Define account types, require approvals for account and group membership, create, modify, disable, and remove accounts per policy, monitor use, review accounts at a defined frequency, and align account management with personnel termination and transfer</w:t>
            </w:r>
          </w:p>
        </w:tc>
        <w:tc>
          <w:tcPr/>
          <w:p>
            <w:pPr>
              <w:pStyle w:val="Compact"/>
            </w:pPr>
            <w:r>
              <w:t xml:space="preserve">HR-driven provisioning and Lifecycle Workflows (Book 03); access packages with approval and expiry; scheduled access reviews</w:t>
            </w:r>
          </w:p>
        </w:tc>
        <w:tc>
          <w:tcPr/>
          <w:p>
            <w:pPr>
              <w:pStyle w:val="Compact"/>
            </w:pPr>
            <w:r>
              <w:t xml:space="preserve">Package policies in the repository; entitlement management audit records per request; review history reports; Lifecycle Workflows run history</w:t>
            </w:r>
          </w:p>
        </w:tc>
      </w:tr>
      <w:tr>
        <w:tc>
          <w:tcPr/>
          <w:p>
            <w:pPr>
              <w:pStyle w:val="Compact"/>
            </w:pPr>
            <w:r>
              <w:t xml:space="preserve">AC-2(4) Automated Audit Actions</w:t>
            </w:r>
          </w:p>
        </w:tc>
        <w:tc>
          <w:tcPr/>
          <w:p>
            <w:pPr>
              <w:pStyle w:val="Compact"/>
            </w:pPr>
            <w:r>
              <w:t xml:space="preserve">Automatically audit account creation, modification, enabling, disabling, and removal</w:t>
            </w:r>
          </w:p>
        </w:tc>
        <w:tc>
          <w:tcPr/>
          <w:p>
            <w:pPr>
              <w:pStyle w:val="Compact"/>
            </w:pPr>
            <w:r>
              <w:t xml:space="preserve">Entra audit log streamed to the workspace with one-year retention</w:t>
            </w:r>
          </w:p>
        </w:tc>
        <w:tc>
          <w:tcPr/>
          <w:p>
            <w:pPr>
              <w:pStyle w:val="Compact"/>
            </w:pPr>
            <w:r>
              <w:t xml:space="preserve">Workspace retention setting; sample audit queries for each action</w:t>
            </w:r>
          </w:p>
        </w:tc>
      </w:tr>
      <w:tr>
        <w:tc>
          <w:tcPr/>
          <w:p>
            <w:pPr>
              <w:pStyle w:val="Compact"/>
            </w:pPr>
            <w:r>
              <w:t xml:space="preserve">AC-3 Access Enforcement</w:t>
            </w:r>
          </w:p>
        </w:tc>
        <w:tc>
          <w:tcPr/>
          <w:p>
            <w:pPr>
              <w:pStyle w:val="Compact"/>
            </w:pPr>
            <w:r>
              <w:t xml:space="preserve">Enforce approved authorizations for logical access</w:t>
            </w:r>
          </w:p>
        </w:tc>
        <w:tc>
          <w:tcPr/>
          <w:p>
            <w:pPr>
              <w:pStyle w:val="Compact"/>
            </w:pPr>
            <w:r>
              <w:t xml:space="preserve">Conditional Access policies and group-based application assignment</w:t>
            </w:r>
          </w:p>
        </w:tc>
        <w:tc>
          <w:tcPr/>
          <w:p>
            <w:pPr>
              <w:pStyle w:val="Compact"/>
            </w:pPr>
            <w:r>
              <w:t xml:space="preserve">Policy files and their deployment history; tenant configuration monitor results showing no unresolved drift; sign-in logs showing policies applied</w:t>
            </w:r>
          </w:p>
        </w:tc>
      </w:tr>
      <w:tr>
        <w:tc>
          <w:tcPr/>
          <w:p>
            <w:pPr>
              <w:pStyle w:val="Compact"/>
            </w:pPr>
            <w:r>
              <w:t xml:space="preserve">AC-5 Separation of Duties</w:t>
            </w:r>
          </w:p>
        </w:tc>
        <w:tc>
          <w:tcPr/>
          <w:p>
            <w:pPr>
              <w:pStyle w:val="Compact"/>
            </w:pPr>
            <w:r>
              <w:t xml:space="preserve">Document duties and define access authorizations that support separating them</w:t>
            </w:r>
          </w:p>
        </w:tc>
        <w:tc>
          <w:tcPr/>
          <w:p>
            <w:pPr>
              <w:pStyle w:val="Compact"/>
            </w:pPr>
            <w:r>
              <w:t xml:space="preserve">Three-party group model; incompatible access packages; two-person pull requests</w:t>
            </w:r>
          </w:p>
        </w:tc>
        <w:tc>
          <w:tcPr/>
          <w:p>
            <w:pPr>
              <w:pStyle w:val="Compact"/>
            </w:pPr>
            <w:r>
              <w:t xml:space="preserve">Incompatibility settings in package files; pull request approvals showing author and approver differ</w:t>
            </w:r>
          </w:p>
        </w:tc>
      </w:tr>
      <w:tr>
        <w:tc>
          <w:tcPr/>
          <w:p>
            <w:pPr>
              <w:pStyle w:val="Compact"/>
            </w:pPr>
            <w:r>
              <w:t xml:space="preserve">AC-6 Least Privilege</w:t>
            </w:r>
          </w:p>
        </w:tc>
        <w:tc>
          <w:tcPr/>
          <w:p>
            <w:pPr>
              <w:pStyle w:val="Compact"/>
            </w:pPr>
            <w:r>
              <w:t xml:space="preserve">Allow only the access users need for assigned tasks</w:t>
            </w:r>
          </w:p>
        </w:tc>
        <w:tc>
          <w:tcPr/>
          <w:p>
            <w:pPr>
              <w:pStyle w:val="Compact"/>
            </w:pPr>
            <w:r>
              <w:t xml:space="preserve">PIM eligibility instead of standing roles; tiered packages with expiry</w:t>
            </w:r>
          </w:p>
        </w:tc>
        <w:tc>
          <w:tcPr/>
          <w:p>
            <w:pPr>
              <w:pStyle w:val="Compact"/>
            </w:pPr>
            <w:r>
              <w:t xml:space="preserve">PIM role settings files; eligible and active assignment reports; package expiry settings</w:t>
            </w:r>
          </w:p>
        </w:tc>
      </w:tr>
      <w:tr>
        <w:tc>
          <w:tcPr/>
          <w:p>
            <w:pPr>
              <w:pStyle w:val="Compact"/>
            </w:pPr>
            <w:r>
              <w:t xml:space="preserve">AC-6(7) Review of User Privileges</w:t>
            </w:r>
          </w:p>
        </w:tc>
        <w:tc>
          <w:tcPr/>
          <w:p>
            <w:pPr>
              <w:pStyle w:val="Compact"/>
            </w:pPr>
            <w:r>
              <w:t xml:space="preserve">Review privileges assigned to roles and classes of users at a defined frequency; reassign or remove as needed</w:t>
            </w:r>
          </w:p>
        </w:tc>
        <w:tc>
          <w:tcPr/>
          <w:p>
            <w:pPr>
              <w:pStyle w:val="Compact"/>
            </w:pPr>
            <w:r>
              <w:t xml:space="preserve">Quarterly PIM role reviews with auto-apply</w:t>
            </w:r>
          </w:p>
        </w:tc>
        <w:tc>
          <w:tcPr/>
          <w:p>
            <w:pPr>
              <w:pStyle w:val="Compact"/>
            </w:pPr>
            <w:r>
              <w:t xml:space="preserve">PIM review results and applied removals for each quarter</w:t>
            </w:r>
          </w:p>
        </w:tc>
      </w:tr>
      <w:tr>
        <w:tc>
          <w:tcPr/>
          <w:p>
            <w:pPr>
              <w:pStyle w:val="Compact"/>
            </w:pPr>
            <w:r>
              <w:t xml:space="preserve">IA-2, IA-2(1), IA-2(2) Identification and Authentication</w:t>
            </w:r>
          </w:p>
        </w:tc>
        <w:tc>
          <w:tcPr/>
          <w:p>
            <w:pPr>
              <w:pStyle w:val="Compact"/>
            </w:pPr>
            <w:r>
              <w:t xml:space="preserve">Uniquely identify and authenticate users; MFA for privileged and non-privileged accounts, which FedRAMP’s guidance says must be phishing-resistant per current CISA guidance</w:t>
            </w:r>
          </w:p>
        </w:tc>
        <w:tc>
          <w:tcPr/>
          <w:p>
            <w:pPr>
              <w:pStyle w:val="Compact"/>
            </w:pPr>
            <w:r>
              <w:t xml:space="preserve">Conditional Access with the phishing-resistant authentication strength (Chapter 07)</w:t>
            </w:r>
          </w:p>
        </w:tc>
        <w:tc>
          <w:tcPr/>
          <w:p>
            <w:pPr>
              <w:pStyle w:val="Compact"/>
            </w:pPr>
            <w:r>
              <w:t xml:space="preserve">Policy files; sign-in logs showing the authentication strength satisfied; the authentication methods registration report</w:t>
            </w:r>
          </w:p>
        </w:tc>
      </w:tr>
      <w:tr>
        <w:tc>
          <w:tcPr/>
          <w:p>
            <w:pPr>
              <w:pStyle w:val="Compact"/>
            </w:pPr>
            <w:r>
              <w:t xml:space="preserve">CA-7 Continuous Monitoring</w:t>
            </w:r>
          </w:p>
        </w:tc>
        <w:tc>
          <w:tcPr/>
          <w:p>
            <w:pPr>
              <w:pStyle w:val="Compact"/>
            </w:pPr>
            <w:r>
              <w:t xml:space="preserve">A system-level continuous monitoring strategy: defined metrics, monitoring and assessment frequencies, ongoing assessment and monitoring, correlation and analysis, response actions, and status reporting</w:t>
            </w:r>
          </w:p>
        </w:tc>
        <w:tc>
          <w:tcPr/>
          <w:p>
            <w:pPr>
              <w:pStyle w:val="Compact"/>
            </w:pPr>
            <w:r>
              <w:t xml:space="preserve">Six-hourly configuration monitoring; daily comparisons for the rest; drift issues with resolution records; review completion metrics</w:t>
            </w:r>
          </w:p>
        </w:tc>
        <w:tc>
          <w:tcPr/>
          <w:p>
            <w:pPr>
              <w:pStyle w:val="Compact"/>
            </w:pPr>
            <w:r>
              <w:t xml:space="preserve">Exported monitoring results and drift objects; issue history; the monthly governance metrics below</w:t>
            </w:r>
          </w:p>
        </w:tc>
      </w:tr>
    </w:tbl>
    <w:bookmarkEnd w:id="1035"/>
    <w:bookmarkStart w:id="1038" w:name="fedramp-20x-indicators"/>
    <w:p>
      <w:pPr>
        <w:pStyle w:val="Heading3"/>
      </w:pPr>
      <w:r>
        <w:t xml:space="preserve">FedRAMP 20x indicators</w:t>
      </w:r>
    </w:p>
    <w:p>
      <w:pPr>
        <w:pStyle w:val="FirstParagraph"/>
      </w:pPr>
      <w:r>
        <w:t xml:space="preserve">Under FedRAMP 20x the same records support Key Security Indicators. The indicator IDs, titles, and statements are from FedRAMP’s published pages; which records support which indicator is the program’s mapping.</w:t>
      </w:r>
      <w:r>
        <w:rPr>
          <w:rStyle w:val="FootnoteReference"/>
        </w:rPr>
        <w:footnoteReference w:id="1036"/>
      </w:r>
      <w:r>
        <w:rPr>
          <w:rStyle w:val="FootnoteReference"/>
        </w:rPr>
        <w:footnoteReference w:id="1037"/>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Indicator</w:t>
            </w:r>
          </w:p>
        </w:tc>
        <w:tc>
          <w:tcPr/>
          <w:p>
            <w:pPr>
              <w:pStyle w:val="Compact"/>
            </w:pPr>
            <w:r>
              <w:t xml:space="preserve">What it asks</w:t>
            </w:r>
          </w:p>
        </w:tc>
        <w:tc>
          <w:tcPr/>
          <w:p>
            <w:pPr>
              <w:pStyle w:val="Compact"/>
            </w:pPr>
            <w:r>
              <w:t xml:space="preserve">Records from this book</w:t>
            </w:r>
          </w:p>
        </w:tc>
      </w:tr>
      <w:tr>
        <w:tc>
          <w:tcPr/>
          <w:p>
            <w:pPr>
              <w:pStyle w:val="Compact"/>
            </w:pPr>
            <w:r>
              <w:rPr>
                <w:rStyle w:val="VerbatimChar"/>
              </w:rPr>
              <w:t xml:space="preserve">KSI-IAM-AAM</w:t>
            </w:r>
            <w:r>
              <w:t xml:space="preserve"> </w:t>
            </w:r>
            <w:r>
              <w:t xml:space="preserve">Automating Account Management</w:t>
            </w:r>
          </w:p>
        </w:tc>
        <w:tc>
          <w:tcPr/>
          <w:p>
            <w:pPr>
              <w:pStyle w:val="Compact"/>
            </w:pPr>
            <w:r>
              <w:t xml:space="preserve">Account, role, and group lifecycles and privileges are managed through automation</w:t>
            </w:r>
          </w:p>
        </w:tc>
        <w:tc>
          <w:tcPr/>
          <w:p>
            <w:pPr>
              <w:pStyle w:val="Compact"/>
            </w:pPr>
            <w:r>
              <w:t xml:space="preserve">Lifecycle Workflows runs; package assignment and expiry records; review auto-apply results</w:t>
            </w:r>
          </w:p>
        </w:tc>
      </w:tr>
      <w:tr>
        <w:tc>
          <w:tcPr/>
          <w:p>
            <w:pPr>
              <w:pStyle w:val="Compact"/>
            </w:pPr>
            <w:r>
              <w:rPr>
                <w:rStyle w:val="VerbatimChar"/>
              </w:rPr>
              <w:t xml:space="preserve">KSI-IAM-ELP</w:t>
            </w:r>
            <w:r>
              <w:t xml:space="preserve"> </w:t>
            </w:r>
            <w:r>
              <w:t xml:space="preserve">Ensuring Least Privilege</w:t>
            </w:r>
          </w:p>
        </w:tc>
        <w:tc>
          <w:tcPr/>
          <w:p>
            <w:pPr>
              <w:pStyle w:val="Compact"/>
            </w:pPr>
            <w:r>
              <w:t xml:space="preserve">Access is limited to what each user or device needs, and continuously reviewed</w:t>
            </w:r>
          </w:p>
        </w:tc>
        <w:tc>
          <w:tcPr/>
          <w:p>
            <w:pPr>
              <w:pStyle w:val="Compact"/>
            </w:pPr>
            <w:r>
              <w:t xml:space="preserve">Tiered packages; review history; separation-of-duties settings</w:t>
            </w:r>
          </w:p>
        </w:tc>
      </w:tr>
      <w:tr>
        <w:tc>
          <w:tcPr/>
          <w:p>
            <w:pPr>
              <w:pStyle w:val="Compact"/>
            </w:pPr>
            <w:r>
              <w:rPr>
                <w:rStyle w:val="VerbatimChar"/>
              </w:rPr>
              <w:t xml:space="preserve">KSI-IAM-JIT</w:t>
            </w:r>
            <w:r>
              <w:t xml:space="preserve"> </w:t>
            </w:r>
            <w:r>
              <w:t xml:space="preserve">Authorizing Just-in-Time</w:t>
            </w:r>
          </w:p>
        </w:tc>
        <w:tc>
          <w:tcPr/>
          <w:p>
            <w:pPr>
              <w:pStyle w:val="Compact"/>
            </w:pPr>
            <w:r>
              <w:t xml:space="preserve">A least-privilege, just-in-time authorization model, continuously reviewed</w:t>
            </w:r>
          </w:p>
        </w:tc>
        <w:tc>
          <w:tcPr/>
          <w:p>
            <w:pPr>
              <w:pStyle w:val="Compact"/>
            </w:pPr>
            <w:r>
              <w:t xml:space="preserve">PIM settings files; activation audit records; quarterly PIM reviews</w:t>
            </w:r>
          </w:p>
        </w:tc>
      </w:tr>
      <w:tr>
        <w:tc>
          <w:tcPr/>
          <w:p>
            <w:pPr>
              <w:pStyle w:val="Compact"/>
            </w:pPr>
            <w:r>
              <w:rPr>
                <w:rStyle w:val="VerbatimChar"/>
              </w:rPr>
              <w:t xml:space="preserve">KSI-IAM-APM</w:t>
            </w:r>
            <w:r>
              <w:t xml:space="preserve"> </w:t>
            </w:r>
            <w:r>
              <w:t xml:space="preserve">Adopting Passwordless Methods</w:t>
            </w:r>
          </w:p>
        </w:tc>
        <w:tc>
          <w:tcPr/>
          <w:p>
            <w:pPr>
              <w:pStyle w:val="Compact"/>
            </w:pPr>
            <w:r>
              <w:t xml:space="preserve">Passwordless where feasible, otherwise phishing-resistant MFA</w:t>
            </w:r>
          </w:p>
        </w:tc>
        <w:tc>
          <w:tcPr/>
          <w:p>
            <w:pPr>
              <w:pStyle w:val="Compact"/>
            </w:pPr>
            <w:r>
              <w:t xml:space="preserve">Conditional Access authentication strength policies and sign-in evidence</w:t>
            </w:r>
          </w:p>
        </w:tc>
      </w:tr>
      <w:tr>
        <w:tc>
          <w:tcPr/>
          <w:p>
            <w:pPr>
              <w:pStyle w:val="Compact"/>
            </w:pPr>
            <w:r>
              <w:rPr>
                <w:rStyle w:val="VerbatimChar"/>
              </w:rPr>
              <w:t xml:space="preserve">KSI-CMT-LMC</w:t>
            </w:r>
            <w:r>
              <w:t xml:space="preserve"> </w:t>
            </w:r>
            <w:r>
              <w:t xml:space="preserve">Logging Changes</w:t>
            </w:r>
          </w:p>
        </w:tc>
        <w:tc>
          <w:tcPr/>
          <w:p>
            <w:pPr>
              <w:pStyle w:val="Compact"/>
            </w:pPr>
            <w:r>
              <w:t xml:space="preserve">Changes to the offering are logged and monitored</w:t>
            </w:r>
          </w:p>
        </w:tc>
        <w:tc>
          <w:tcPr/>
          <w:p>
            <w:pPr>
              <w:pStyle w:val="Compact"/>
            </w:pPr>
            <w:r>
              <w:t xml:space="preserve">Pull requests, pipeline runs, Entra audit records, drift monitoring</w:t>
            </w:r>
          </w:p>
        </w:tc>
      </w:tr>
      <w:tr>
        <w:tc>
          <w:tcPr/>
          <w:p>
            <w:pPr>
              <w:pStyle w:val="Compact"/>
            </w:pPr>
            <w:r>
              <w:rPr>
                <w:rStyle w:val="VerbatimChar"/>
              </w:rPr>
              <w:t xml:space="preserve">KSI-CMT-RMV</w:t>
            </w:r>
            <w:r>
              <w:t xml:space="preserve"> </w:t>
            </w:r>
            <w:r>
              <w:t xml:space="preserve">Redeploying vs Modifying</w:t>
            </w:r>
          </w:p>
        </w:tc>
        <w:tc>
          <w:tcPr/>
          <w:p>
            <w:pPr>
              <w:pStyle w:val="Compact"/>
            </w:pPr>
            <w:r>
              <w:t xml:space="preserve">Changes go through redeploying version-controlled resources where reasonable</w:t>
            </w:r>
          </w:p>
        </w:tc>
        <w:tc>
          <w:tcPr/>
          <w:p>
            <w:pPr>
              <w:pStyle w:val="Compact"/>
            </w:pPr>
            <w:r>
              <w:t xml:space="preserve">The repository as the only normal path; emergency changes back-ported</w:t>
            </w:r>
          </w:p>
        </w:tc>
      </w:tr>
      <w:tr>
        <w:tc>
          <w:tcPr/>
          <w:p>
            <w:pPr>
              <w:pStyle w:val="Compact"/>
            </w:pPr>
            <w:r>
              <w:rPr>
                <w:rStyle w:val="VerbatimChar"/>
              </w:rPr>
              <w:t xml:space="preserve">KSI-CMT-VTD</w:t>
            </w:r>
            <w:r>
              <w:t xml:space="preserve"> </w:t>
            </w:r>
            <w:r>
              <w:t xml:space="preserve">Validating Throughout Deployment</w:t>
            </w:r>
          </w:p>
        </w:tc>
        <w:tc>
          <w:tcPr/>
          <w:p>
            <w:pPr>
              <w:pStyle w:val="Compact"/>
            </w:pPr>
            <w:r>
              <w:t xml:space="preserve">Testing and validation of changes during deployment is automated</w:t>
            </w:r>
          </w:p>
        </w:tc>
        <w:tc>
          <w:tcPr/>
          <w:p>
            <w:pPr>
              <w:pStyle w:val="Compact"/>
            </w:pPr>
            <w:r>
              <w:t xml:space="preserve">Pre-merge checks; report-only stage; plan output attached to each pull request</w:t>
            </w:r>
          </w:p>
        </w:tc>
      </w:tr>
    </w:tbl>
    <w:p>
      <w:pPr>
        <w:pStyle w:val="BodyText"/>
      </w:pPr>
      <w:r>
        <w:t xml:space="preserve">The compliance series takes these records further, into the evidence contract and the attestation loop (Vol VI Book 07, Vol VII Book 04), and its governance book carries the program’s control contract for lifecycle automation and certification campaigns (Vol IX Book 06).</w:t>
      </w:r>
    </w:p>
    <w:bookmarkEnd w:id="1038"/>
    <w:bookmarkStart w:id="1039" w:name="the-evidence-package-for-a-period"/>
    <w:p>
      <w:pPr>
        <w:pStyle w:val="Heading3"/>
      </w:pPr>
      <w:r>
        <w:t xml:space="preserve">The evidence package for a period</w:t>
      </w:r>
    </w:p>
    <w:p>
      <w:pPr>
        <w:pStyle w:val="FirstParagraph"/>
      </w:pPr>
      <w:r>
        <w:t xml:space="preserve">For each month, the pipeline assembles the period’s records in the evidence store, and the governance office signs off the monthly metrics: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Source</w:t>
            </w:r>
          </w:p>
        </w:tc>
      </w:tr>
      <w:tr>
        <w:tc>
          <w:tcPr/>
          <w:p>
            <w:pPr>
              <w:pStyle w:val="Compact"/>
            </w:pPr>
            <w:r>
              <w:t xml:space="preserve">The repository’s state at period end, and every merged pull request with its approvals</w:t>
            </w:r>
          </w:p>
        </w:tc>
        <w:tc>
          <w:tcPr/>
          <w:p>
            <w:pPr>
              <w:pStyle w:val="Compact"/>
            </w:pPr>
            <w:r>
              <w:t xml:space="preserve">Git host</w:t>
            </w:r>
          </w:p>
        </w:tc>
      </w:tr>
      <w:tr>
        <w:tc>
          <w:tcPr/>
          <w:p>
            <w:pPr>
              <w:pStyle w:val="Compact"/>
            </w:pPr>
            <w:r>
              <w:t xml:space="preserve">Pipeline runs, with plan or dry-run output</w:t>
            </w:r>
          </w:p>
        </w:tc>
        <w:tc>
          <w:tcPr/>
          <w:p>
            <w:pPr>
              <w:pStyle w:val="Compact"/>
            </w:pPr>
            <w:r>
              <w:t xml:space="preserve">Pipeline logs</w:t>
            </w:r>
          </w:p>
        </w:tc>
      </w:tr>
      <w:tr>
        <w:tc>
          <w:tcPr/>
          <w:p>
            <w:pPr>
              <w:pStyle w:val="Compact"/>
            </w:pPr>
            <w:r>
              <w:t xml:space="preserve">Monitoring results and drift objects, with each drift’s resolution</w:t>
            </w:r>
          </w:p>
        </w:tc>
        <w:tc>
          <w:tcPr/>
          <w:p>
            <w:pPr>
              <w:pStyle w:val="Compact"/>
            </w:pPr>
            <w:r>
              <w:t xml:space="preserve">Tenant configuration monitoring, exported</w:t>
            </w:r>
          </w:p>
        </w:tc>
      </w:tr>
      <w:tr>
        <w:tc>
          <w:tcPr/>
          <w:p>
            <w:pPr>
              <w:pStyle w:val="Compact"/>
            </w:pPr>
            <w:r>
              <w:t xml:space="preserve">Review history reports and per-instance results for reviews that closed in the period</w:t>
            </w:r>
          </w:p>
        </w:tc>
        <w:tc>
          <w:tcPr/>
          <w:p>
            <w:pPr>
              <w:pStyle w:val="Compact"/>
            </w:pPr>
            <w:r>
              <w:t xml:space="preserve">Access reviews, exported (Chapter 09)</w:t>
            </w:r>
          </w:p>
        </w:tc>
      </w:tr>
      <w:tr>
        <w:tc>
          <w:tcPr/>
          <w:p>
            <w:pPr>
              <w:pStyle w:val="Compact"/>
            </w:pPr>
            <w:r>
              <w:t xml:space="preserve">Entitlement management and PIM audit records</w:t>
            </w:r>
          </w:p>
        </w:tc>
        <w:tc>
          <w:tcPr/>
          <w:p>
            <w:pPr>
              <w:pStyle w:val="Compact"/>
            </w:pPr>
            <w:r>
              <w:t xml:space="preserve">Log Analytics workspace</w:t>
            </w:r>
          </w:p>
        </w:tc>
      </w:tr>
      <w:tr>
        <w:tc>
          <w:tcPr/>
          <w:p>
            <w:pPr>
              <w:pStyle w:val="Compact"/>
            </w:pPr>
            <w:r>
              <w:t xml:space="preserve">The exception register, with changes in the period</w:t>
            </w:r>
          </w:p>
        </w:tc>
        <w:tc>
          <w:tcPr/>
          <w:p>
            <w:pPr>
              <w:pStyle w:val="Compact"/>
            </w:pPr>
            <w:r>
              <w:t xml:space="preserve">Governance office</w:t>
            </w:r>
          </w:p>
        </w:tc>
      </w:tr>
      <w:tr>
        <w:tc>
          <w:tcPr/>
          <w:p>
            <w:pPr>
              <w:pStyle w:val="Compact"/>
            </w:pPr>
            <w:r>
              <w:t xml:space="preserve">Metrics: reviews completed on time; denials applied within five business days; packages without expiry (target zero); drift open more than one business day; emergency changes back-ported within one business day</w:t>
            </w:r>
          </w:p>
        </w:tc>
        <w:tc>
          <w:tcPr/>
          <w:p>
            <w:pPr>
              <w:pStyle w:val="Compact"/>
            </w:pPr>
            <w:r>
              <w:t xml:space="preserve">Computed from the records above</w:t>
            </w:r>
          </w:p>
        </w:tc>
      </w:tr>
    </w:tbl>
    <w:bookmarkEnd w:id="1039"/>
    <w:bookmarkStart w:id="1040" w:name="honest-limits"/>
    <w:p>
      <w:pPr>
        <w:pStyle w:val="Heading3"/>
      </w:pPr>
      <w:r>
        <w:t xml:space="preserve">Honest limits</w:t>
      </w:r>
    </w:p>
    <w:p>
      <w:pPr>
        <w:pStyle w:val="Compact"/>
        <w:numPr>
          <w:ilvl w:val="0"/>
          <w:numId w:val="1062"/>
        </w:numPr>
      </w:pPr>
      <w:r>
        <w:t xml:space="preserve">Code governs the definition, not the use. A correct policy file says nothing about whether reviewers read what they approved; the review history and the bulk-decision check in Chapter 09 carry that part.</w:t>
      </w:r>
    </w:p>
    <w:p>
      <w:pPr>
        <w:pStyle w:val="Compact"/>
        <w:numPr>
          <w:ilvl w:val="0"/>
          <w:numId w:val="1062"/>
        </w:numPr>
      </w:pPr>
      <w:r>
        <w:t xml:space="preserve">The emergency access exclusion is a deliberate hole in every policy. Its use is a critical detection (Book 02, Chapter 10), and its accounts are documented in the system security plan (Chapter 02).</w:t>
      </w:r>
    </w:p>
    <w:p>
      <w:pPr>
        <w:pStyle w:val="Compact"/>
        <w:numPr>
          <w:ilvl w:val="0"/>
          <w:numId w:val="1062"/>
        </w:numPr>
      </w:pPr>
      <w:r>
        <w:t xml:space="preserve">Tool coverage moves. Each tool’s resource list changes with its releases; re-check the coverage table at every upgrade and whenever Microsoft adds an object class.</w:t>
      </w:r>
    </w:p>
    <w:p>
      <w:pPr>
        <w:pStyle w:val="Compact"/>
        <w:numPr>
          <w:ilvl w:val="0"/>
          <w:numId w:val="1062"/>
        </w:numPr>
      </w:pPr>
      <w:r>
        <w:t xml:space="preserve">Native retention is short. Everything in the evidence package that comes from Entra ID has to be exported before Microsoft’s retention window closes, or it is gone.</w:t>
      </w:r>
    </w:p>
    <w:bookmarkEnd w:id="1040"/>
    <w:bookmarkEnd w:id="1041"/>
    <w:bookmarkStart w:id="1042" w:name="where-to-go-next"/>
    <w:p>
      <w:pPr>
        <w:pStyle w:val="Heading2"/>
      </w:pPr>
      <w:bookmarkStart w:id="1276" w:name="_Toc00001276"/>
      <w:r>
        <w:t xml:space="preserve">Where to go next</w:t>
      </w:r>
      <w:bookmarkEnd w:id="1276"/>
    </w:p>
    <w:p>
      <w:pPr>
        <w:pStyle w:val="Compact"/>
        <w:numPr>
          <w:ilvl w:val="0"/>
          <w:numId w:val="1063"/>
        </w:numPr>
      </w:pPr>
      <w:r>
        <w:rPr>
          <w:b/>
          <w:bCs/>
        </w:rPr>
        <w:t xml:space="preserve">Book 02 — Identity &amp; Directory</w:t>
      </w:r>
      <w:r>
        <w:t xml:space="preserve"> </w:t>
      </w:r>
      <w:r>
        <w:t xml:space="preserve">builds the tenant this book governs: the Conditional Access framework and PIM baseline (Chapter 09), and monitoring, log retention, and Git-based drift detection (Chapter 10).</w:t>
      </w:r>
    </w:p>
    <w:p>
      <w:pPr>
        <w:pStyle w:val="Compact"/>
        <w:numPr>
          <w:ilvl w:val="0"/>
          <w:numId w:val="1063"/>
        </w:numPr>
      </w:pPr>
      <w:r>
        <w:rPr>
          <w:b/>
          <w:bCs/>
        </w:rPr>
        <w:t xml:space="preserve">Book 03 — HR-Driven Identity</w:t>
      </w:r>
      <w:r>
        <w:t xml:space="preserve"> </w:t>
      </w:r>
      <w:r>
        <w:t xml:space="preserve">owns the attributes and the joiner, mover, and leaver lifecycle that access packages, automatic assignment, and Lifecycle Workflows depend on.</w:t>
      </w:r>
    </w:p>
    <w:bookmarkEnd w:id="1042"/>
    <w:bookmarkStart w:id="1043" w:name="continue-the-book-9"/>
    <w:p>
      <w:pPr>
        <w:pStyle w:val="Heading2"/>
      </w:pPr>
      <w:bookmarkStart w:id="1277" w:name="_Toc00001277"/>
      <w:r>
        <w:t xml:space="preserve">Continue the book</w:t>
      </w:r>
      <w:bookmarkEnd w:id="1277"/>
    </w:p>
    <w:p>
      <w:pPr>
        <w:pStyle w:val="FirstParagraph"/>
      </w:pPr>
      <w:r>
        <w:t xml:space="preserve">← Previous: Chapter 09 — Access Governance: Packages, Reviews and Lifecycle · Book index · Next: Appendix A — Conditional Access Policy Templates →</w:t>
      </w:r>
    </w:p>
    <w:bookmarkEnd w:id="1043"/>
    <w:bookmarkEnd w:id="1044"/>
    <w:bookmarkStart w:id="1119" w:name="X388b73396afb67f1cf99e1175fbc13c107167b1"/>
    <w:p>
      <w:pPr>
        <w:pStyle w:val="Heading1"/>
      </w:pPr>
      <w:bookmarkStart w:id="1278" w:name="_Toc00001278"/>
      <w:r>
        <w:t xml:space="preserve">Appendix A — Conditional Access Policy Templates</w:t>
      </w:r>
      <w:bookmarkEnd w:id="1278"/>
    </w:p>
    <w:p>
      <w:pPr>
        <w:pStyle w:val="FirstParagraph"/>
      </w:pPr>
      <w:r>
        <w:rPr>
          <w:i/>
          <w:iCs/>
        </w:rPr>
        <w:t xml:space="preserve">Templates are the library in a form a pipeline can deploy, review and diff; the chapter says why each policy exists, and this appendix says exactly what it is.</w:t>
      </w:r>
    </w:p>
    <w:bookmarkStart w:id="1045" w:name="in-this-appendix"/>
    <w:p>
      <w:pPr>
        <w:pStyle w:val="Heading2"/>
      </w:pPr>
      <w:bookmarkStart w:id="1279" w:name="_Toc00001279"/>
      <w:r>
        <w:t xml:space="preserve">In this appendix</w:t>
      </w:r>
      <w:bookmarkEnd w:id="1279"/>
    </w:p>
    <w:p>
      <w:pPr>
        <w:pStyle w:val="FirstParagraph"/>
      </w:pPr>
      <w:r>
        <w:t xml:space="preserve">How to read and fill the templates, a reference for the Graph properties they use, an illustrative PowerShell deployment script, the named locations and custom authentication strength the library depends on, and a JSON template for each policy shape in Chapter 07. Policies that differ from a template only in scope are listed in a table at the end.</w:t>
      </w:r>
    </w:p>
    <w:bookmarkEnd w:id="1045"/>
    <w:bookmarkStart w:id="1055" w:name="how-to-use-the-templates"/>
    <w:p>
      <w:pPr>
        <w:pStyle w:val="Heading2"/>
      </w:pPr>
      <w:bookmarkStart w:id="1280" w:name="_Toc00001280"/>
      <w:r>
        <w:t xml:space="preserve">How to use the templates</w:t>
      </w:r>
      <w:bookmarkEnd w:id="1280"/>
    </w:p>
    <w:p>
      <w:pPr>
        <w:pStyle w:val="FirstParagraph"/>
      </w:pPr>
      <w:r>
        <w:t xml:space="preserve">Each template is the request body for</w:t>
      </w:r>
      <w:r>
        <w:t xml:space="preserve"> </w:t>
      </w:r>
      <w:r>
        <w:rPr>
          <w:rStyle w:val="VerbatimChar"/>
        </w:rPr>
        <w:t xml:space="preserve">POST /identity/conditionalAccess/policies</w:t>
      </w:r>
      <w:r>
        <w:t xml:space="preserve"> </w:t>
      </w:r>
      <w:r>
        <w:t xml:space="preserve">on Microsoft Graph v1.0. Creating policies needs the</w:t>
      </w:r>
      <w:r>
        <w:t xml:space="preserve"> </w:t>
      </w:r>
      <w:r>
        <w:rPr>
          <w:rStyle w:val="VerbatimChar"/>
        </w:rPr>
        <w:t xml:space="preserve">Policy.Read.All</w:t>
      </w:r>
      <w:r>
        <w:t xml:space="preserve"> </w:t>
      </w:r>
      <w:r>
        <w:t xml:space="preserve">and</w:t>
      </w:r>
      <w:r>
        <w:t xml:space="preserve"> </w:t>
      </w:r>
      <w:r>
        <w:rPr>
          <w:rStyle w:val="VerbatimChar"/>
        </w:rPr>
        <w:t xml:space="preserve">Policy.ReadWrite.ConditionalAccess</w:t>
      </w:r>
      <w:r>
        <w:t xml:space="preserve"> </w:t>
      </w:r>
      <w:r>
        <w:t xml:space="preserve">permissions; policies that reference applications also need</w:t>
      </w:r>
      <w:r>
        <w:t xml:space="preserve"> </w:t>
      </w:r>
      <w:r>
        <w:rPr>
          <w:rStyle w:val="VerbatimChar"/>
        </w:rPr>
        <w:t xml:space="preserve">Application.Read.All</w:t>
      </w:r>
      <w:r>
        <w:t xml:space="preserve">.</w:t>
      </w:r>
      <w:r>
        <w:rPr>
          <w:rStyle w:val="FootnoteReference"/>
        </w:rPr>
        <w:footnoteReference w:id="1046"/>
      </w:r>
      <w:r>
        <w:t xml:space="preserve"> </w:t>
      </w:r>
      <w:r>
        <w:t xml:space="preserve">Microsoft 365 GCC tenants use the worldwide endpoint,</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w:t>
      </w:r>
      <w:r>
        <w:rPr>
          <w:rStyle w:val="FootnoteReference"/>
        </w:rPr>
        <w:footnoteReference w:id="1047"/>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Operation</w:t>
            </w:r>
          </w:p>
        </w:tc>
        <w:tc>
          <w:tcPr/>
          <w:p>
            <w:pPr>
              <w:pStyle w:val="Compact"/>
            </w:pPr>
            <w:r>
              <w:t xml:space="preserve">Method and path</w:t>
            </w:r>
          </w:p>
        </w:tc>
      </w:tr>
      <w:tr>
        <w:tc>
          <w:tcPr/>
          <w:p>
            <w:pPr>
              <w:pStyle w:val="Compact"/>
            </w:pPr>
            <w:r>
              <w:t xml:space="preserve">List policies</w:t>
            </w:r>
          </w:p>
        </w:tc>
        <w:tc>
          <w:tcPr/>
          <w:p>
            <w:pPr>
              <w:pStyle w:val="Compact"/>
            </w:pPr>
            <w:r>
              <w:rPr>
                <w:rStyle w:val="VerbatimChar"/>
              </w:rPr>
              <w:t xml:space="preserve">GET /identity/conditionalAccess/policies</w:t>
            </w:r>
          </w:p>
        </w:tc>
      </w:tr>
      <w:tr>
        <w:tc>
          <w:tcPr/>
          <w:p>
            <w:pPr>
              <w:pStyle w:val="Compact"/>
            </w:pPr>
            <w:r>
              <w:t xml:space="preserve">Get one policy</w:t>
            </w:r>
          </w:p>
        </w:tc>
        <w:tc>
          <w:tcPr/>
          <w:p>
            <w:pPr>
              <w:pStyle w:val="Compact"/>
            </w:pPr>
            <w:r>
              <w:rPr>
                <w:rStyle w:val="VerbatimChar"/>
              </w:rPr>
              <w:t xml:space="preserve">GET /identity/conditionalAccess/policies/{id}</w:t>
            </w:r>
          </w:p>
        </w:tc>
      </w:tr>
      <w:tr>
        <w:tc>
          <w:tcPr/>
          <w:p>
            <w:pPr>
              <w:pStyle w:val="Compact"/>
            </w:pPr>
            <w:r>
              <w:t xml:space="preserve">Create</w:t>
            </w:r>
          </w:p>
        </w:tc>
        <w:tc>
          <w:tcPr/>
          <w:p>
            <w:pPr>
              <w:pStyle w:val="Compact"/>
            </w:pPr>
            <w:r>
              <w:rPr>
                <w:rStyle w:val="VerbatimChar"/>
              </w:rPr>
              <w:t xml:space="preserve">POST /identity/conditionalAccess/policies</w:t>
            </w:r>
          </w:p>
        </w:tc>
      </w:tr>
      <w:tr>
        <w:tc>
          <w:tcPr/>
          <w:p>
            <w:pPr>
              <w:pStyle w:val="Compact"/>
            </w:pPr>
            <w:r>
              <w:t xml:space="preserve">Update</w:t>
            </w:r>
          </w:p>
        </w:tc>
        <w:tc>
          <w:tcPr/>
          <w:p>
            <w:pPr>
              <w:pStyle w:val="Compact"/>
            </w:pPr>
            <w:r>
              <w:rPr>
                <w:rStyle w:val="VerbatimChar"/>
              </w:rPr>
              <w:t xml:space="preserve">PATCH /identity/conditionalAccess/policies/{id}</w:t>
            </w:r>
          </w:p>
        </w:tc>
      </w:tr>
      <w:tr>
        <w:tc>
          <w:tcPr/>
          <w:p>
            <w:pPr>
              <w:pStyle w:val="Compact"/>
            </w:pPr>
            <w:r>
              <w:t xml:space="preserve">Delete</w:t>
            </w:r>
          </w:p>
        </w:tc>
        <w:tc>
          <w:tcPr/>
          <w:p>
            <w:pPr>
              <w:pStyle w:val="Compact"/>
            </w:pPr>
            <w:r>
              <w:rPr>
                <w:rStyle w:val="VerbatimChar"/>
              </w:rPr>
              <w:t xml:space="preserve">DELETE /identity/conditionalAccess/policies/{id}</w:t>
            </w:r>
            <w:r>
              <w:t xml:space="preserve"> </w:t>
            </w:r>
            <w:r>
              <w:t xml:space="preserve">(the program disables instead)</w:t>
            </w:r>
          </w:p>
        </w:tc>
      </w:tr>
      <w:tr>
        <w:tc>
          <w:tcPr/>
          <w:p>
            <w:pPr>
              <w:pStyle w:val="Compact"/>
            </w:pPr>
            <w:r>
              <w:t xml:space="preserve">Named locations</w:t>
            </w:r>
          </w:p>
        </w:tc>
        <w:tc>
          <w:tcPr/>
          <w:p>
            <w:pPr>
              <w:pStyle w:val="Compact"/>
            </w:pPr>
            <w:r>
              <w:rPr>
                <w:rStyle w:val="VerbatimChar"/>
              </w:rPr>
              <w:t xml:space="preserve">/identity/conditionalAccess/namedLocations</w:t>
            </w:r>
          </w:p>
        </w:tc>
      </w:tr>
      <w:tr>
        <w:tc>
          <w:tcPr/>
          <w:p>
            <w:pPr>
              <w:pStyle w:val="Compact"/>
            </w:pPr>
            <w:r>
              <w:t xml:space="preserve">Authentication strengths</w:t>
            </w:r>
          </w:p>
        </w:tc>
        <w:tc>
          <w:tcPr/>
          <w:p>
            <w:pPr>
              <w:pStyle w:val="Compact"/>
            </w:pPr>
            <w:r>
              <w:rPr>
                <w:rStyle w:val="VerbatimChar"/>
              </w:rPr>
              <w:t xml:space="preserve">/policies/authenticationStrengthPolicies</w:t>
            </w:r>
          </w:p>
        </w:tc>
      </w:tr>
    </w:tbl>
    <w:p>
      <w:pPr>
        <w:pStyle w:val="BodyText"/>
      </w:pPr>
      <w:r>
        <w:t xml:space="preserve">The methods are those of the</w:t>
      </w:r>
      <w:r>
        <w:t xml:space="preserve"> </w:t>
      </w:r>
      <w:r>
        <w:rPr>
          <w:rStyle w:val="VerbatimChar"/>
        </w:rPr>
        <w:t xml:space="preserve">conditionalAccessPolicy</w:t>
      </w:r>
      <w:r>
        <w:t xml:space="preserve"> </w:t>
      </w:r>
      <w:r>
        <w:t xml:space="preserve">resource.</w:t>
      </w:r>
      <w:r>
        <w:rPr>
          <w:rStyle w:val="FootnoteReference"/>
        </w:rPr>
        <w:footnoteReference w:id="1048"/>
      </w:r>
      <w:r>
        <w:t xml:space="preserve"> </w:t>
      </w:r>
      <w:r>
        <w:t xml:space="preserve">The program’s conventions:</w:t>
      </w:r>
    </w:p>
    <w:p>
      <w:pPr>
        <w:pStyle w:val="Compact"/>
        <w:numPr>
          <w:ilvl w:val="0"/>
          <w:numId w:val="1064"/>
        </w:numPr>
      </w:pPr>
      <w:r>
        <w:rPr>
          <w:b/>
          <w:bCs/>
        </w:rPr>
        <w:t xml:space="preserve">State is always</w:t>
      </w:r>
      <w:r>
        <w:rPr>
          <w:b/>
          <w:bCs/>
        </w:rPr>
        <w:t xml:space="preserve"> </w:t>
      </w:r>
      <w:r>
        <w:rPr>
          <w:rStyle w:val="VerbatimChar"/>
          <w:b/>
          <w:bCs/>
        </w:rPr>
        <w:t xml:space="preserve">enabledForReportingButNotEnforced</w:t>
      </w:r>
      <w:r>
        <w:t xml:space="preserve"> </w:t>
      </w:r>
      <w:r>
        <w:t xml:space="preserve">(report-only) in source control. Enforcement is a separate, reviewed change that sets</w:t>
      </w:r>
      <w:r>
        <w:t xml:space="preserve"> </w:t>
      </w:r>
      <w:r>
        <w:rPr>
          <w:rStyle w:val="VerbatimChar"/>
        </w:rPr>
        <w:t xml:space="preserve">enabled</w:t>
      </w:r>
      <w:r>
        <w:t xml:space="preserve"> </w:t>
      </w:r>
      <w:r>
        <w:t xml:space="preserve">(Chapter 07). The other value is</w:t>
      </w:r>
      <w:r>
        <w:t xml:space="preserve"> </w:t>
      </w:r>
      <w:r>
        <w:rPr>
          <w:rStyle w:val="VerbatimChar"/>
        </w:rPr>
        <w:t xml:space="preserve">disabled</w:t>
      </w:r>
      <w:r>
        <w:t xml:space="preserve">.</w:t>
      </w:r>
      <w:r>
        <w:rPr>
          <w:rStyle w:val="FootnoteReference"/>
        </w:rPr>
        <w:footnoteReference w:id="1050"/>
      </w:r>
    </w:p>
    <w:p>
      <w:pPr>
        <w:pStyle w:val="Compact"/>
        <w:numPr>
          <w:ilvl w:val="0"/>
          <w:numId w:val="1064"/>
        </w:numPr>
      </w:pPr>
      <w:r>
        <w:rPr>
          <w:b/>
          <w:bCs/>
        </w:rPr>
        <w:t xml:space="preserve">Placeholders are in braces.</w:t>
      </w:r>
      <w:r>
        <w:t xml:space="preserve"> </w:t>
      </w:r>
      <w:r>
        <w:rPr>
          <w:rStyle w:val="VerbatimChar"/>
        </w:rPr>
        <w:t xml:space="preserve">{group:CA-Exclude-EmergencyAccess}</w:t>
      </w:r>
      <w:r>
        <w:t xml:space="preserve"> </w:t>
      </w:r>
      <w:r>
        <w:t xml:space="preserve">is the object ID of that group;</w:t>
      </w:r>
      <w:r>
        <w:t xml:space="preserve"> </w:t>
      </w:r>
      <w:r>
        <w:rPr>
          <w:rStyle w:val="VerbatimChar"/>
        </w:rPr>
        <w:t xml:space="preserve">{location:NL-TrustedNetworks}</w:t>
      </w:r>
      <w:r>
        <w:t xml:space="preserve"> </w:t>
      </w:r>
      <w:r>
        <w:t xml:space="preserve">is a named location ID;</w:t>
      </w:r>
      <w:r>
        <w:t xml:space="preserve"> </w:t>
      </w:r>
      <w:r>
        <w:rPr>
          <w:rStyle w:val="VerbatimChar"/>
        </w:rPr>
        <w:t xml:space="preserve">{tenant:partners}</w:t>
      </w:r>
      <w:r>
        <w:t xml:space="preserve"> </w:t>
      </w:r>
      <w:r>
        <w:t xml:space="preserve">is a list of partner tenant IDs. The deployment script substitutes them from a per-tenant map, so the same templates serve every tenant.</w:t>
      </w:r>
    </w:p>
    <w:p>
      <w:pPr>
        <w:pStyle w:val="Compact"/>
        <w:numPr>
          <w:ilvl w:val="0"/>
          <w:numId w:val="1064"/>
        </w:numPr>
      </w:pPr>
      <w:r>
        <w:rPr>
          <w:b/>
          <w:bCs/>
        </w:rPr>
        <w:t xml:space="preserve">Role IDs are role template IDs,</w:t>
      </w:r>
      <w:r>
        <w:t xml:space="preserve"> </w:t>
      </w:r>
      <w:r>
        <w:t xml:space="preserve">which are the same in every tenant. The admin role list used below is the fourteen roles in Microsoft’s managed admin-MFA policy plus Hybrid Identity Administrator.</w:t>
      </w:r>
      <w:r>
        <w:rPr>
          <w:rStyle w:val="FootnoteReference"/>
        </w:rPr>
        <w:footnoteReference w:id="1051"/>
      </w:r>
      <w:r>
        <w:rPr>
          <w:rStyle w:val="FootnoteReference"/>
        </w:rPr>
        <w:footnoteReference w:id="1052"/>
      </w:r>
    </w:p>
    <w:p>
      <w:pPr>
        <w:pStyle w:val="Compact"/>
        <w:numPr>
          <w:ilvl w:val="0"/>
          <w:numId w:val="1064"/>
        </w:numPr>
      </w:pPr>
      <w:r>
        <w:rPr>
          <w:b/>
          <w:bCs/>
        </w:rPr>
        <w:t xml:space="preserve">Built-in authentication strength IDs</w:t>
      </w:r>
      <w:r>
        <w:t xml:space="preserve"> </w:t>
      </w:r>
      <w:r>
        <w:t xml:space="preserve">are fixed:</w:t>
      </w:r>
      <w:r>
        <w:t xml:space="preserve"> </w:t>
      </w:r>
      <w:r>
        <w:rPr>
          <w:rStyle w:val="VerbatimChar"/>
        </w:rPr>
        <w:t xml:space="preserve">…0002</w:t>
      </w:r>
      <w:r>
        <w:t xml:space="preserve"> </w:t>
      </w:r>
      <w:r>
        <w:t xml:space="preserve">multifactor authentication,</w:t>
      </w:r>
      <w:r>
        <w:t xml:space="preserve"> </w:t>
      </w:r>
      <w:r>
        <w:rPr>
          <w:rStyle w:val="VerbatimChar"/>
        </w:rPr>
        <w:t xml:space="preserve">…0003</w:t>
      </w:r>
      <w:r>
        <w:t xml:space="preserve"> </w:t>
      </w:r>
      <w:r>
        <w:t xml:space="preserve">passwordless MFA,</w:t>
      </w:r>
      <w:r>
        <w:t xml:space="preserve"> </w:t>
      </w:r>
      <w:r>
        <w:rPr>
          <w:rStyle w:val="VerbatimChar"/>
        </w:rPr>
        <w:t xml:space="preserve">…0004</w:t>
      </w:r>
      <w:r>
        <w:t xml:space="preserve"> </w:t>
      </w:r>
      <w:r>
        <w:t xml:space="preserve">phishing-resistant MFA.</w:t>
      </w:r>
      <w:r>
        <w:rPr>
          <w:rStyle w:val="FootnoteReference"/>
        </w:rPr>
        <w:footnoteReference w:id="1053"/>
      </w:r>
    </w:p>
    <w:p>
      <w:pPr>
        <w:pStyle w:val="Compact"/>
        <w:numPr>
          <w:ilvl w:val="0"/>
          <w:numId w:val="1064"/>
        </w:numPr>
      </w:pPr>
      <w:r>
        <w:rPr>
          <w:b/>
          <w:bCs/>
        </w:rPr>
        <w:t xml:space="preserve">No template uses</w:t>
      </w:r>
      <w:r>
        <w:rPr>
          <w:b/>
          <w:bCs/>
        </w:rPr>
        <w:t xml:space="preserve"> </w:t>
      </w:r>
      <w:r>
        <w:rPr>
          <w:rStyle w:val="VerbatimChar"/>
          <w:b/>
          <w:bCs/>
        </w:rPr>
        <w:t xml:space="preserve">approvedApplication</w:t>
      </w:r>
      <w:r>
        <w:rPr>
          <w:b/>
          <w:bCs/>
        </w:rPr>
        <w:t xml:space="preserve">.</w:t>
      </w:r>
      <w:r>
        <w:t xml:space="preserve"> </w:t>
      </w:r>
      <w:r>
        <w:t xml:space="preserve">That grant became read-only on June 30, 2026.</w:t>
      </w:r>
      <w:r>
        <w:rPr>
          <w:rStyle w:val="FootnoteReference"/>
        </w:rPr>
        <w:footnoteReference w:id="1054"/>
      </w:r>
    </w:p>
    <w:bookmarkEnd w:id="1055"/>
    <w:bookmarkStart w:id="1086" w:name="schema-reference"/>
    <w:p>
      <w:pPr>
        <w:pStyle w:val="Heading2"/>
      </w:pPr>
      <w:bookmarkStart w:id="1281" w:name="_Toc00001281"/>
      <w:r>
        <w:t xml:space="preserve">Schema reference</w:t>
      </w:r>
      <w:bookmarkEnd w:id="1281"/>
    </w:p>
    <w:p>
      <w:pPr>
        <w:pStyle w:val="FirstParagraph"/>
      </w:pPr>
      <w:r>
        <w:t xml:space="preserve">The values the templates use, from the Graph v1.0 resource definitions.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Property</w:t>
            </w:r>
          </w:p>
        </w:tc>
        <w:tc>
          <w:tcPr/>
          <w:p>
            <w:pPr>
              <w:pStyle w:val="Compact"/>
            </w:pPr>
            <w:r>
              <w:t xml:space="preserve">Values used</w:t>
            </w:r>
          </w:p>
        </w:tc>
        <w:tc>
          <w:tcPr/>
          <w:p>
            <w:pPr>
              <w:pStyle w:val="Compact"/>
            </w:pPr>
            <w:r>
              <w:t xml:space="preserve">Source</w:t>
            </w:r>
          </w:p>
        </w:tc>
      </w:tr>
      <w:tr>
        <w:tc>
          <w:tcPr/>
          <w:p>
            <w:pPr>
              <w:pStyle w:val="Compact"/>
            </w:pPr>
            <w:r>
              <w:rPr>
                <w:rStyle w:val="VerbatimChar"/>
              </w:rPr>
              <w:t xml:space="preserve">state</w:t>
            </w:r>
          </w:p>
        </w:tc>
        <w:tc>
          <w:tcPr/>
          <w:p>
            <w:pPr>
              <w:pStyle w:val="Compact"/>
            </w:pPr>
            <w:r>
              <w:rPr>
                <w:rStyle w:val="VerbatimChar"/>
              </w:rPr>
              <w:t xml:space="preserve">enabled</w:t>
            </w:r>
            <w:r>
              <w:t xml:space="preserve">,</w:t>
            </w:r>
            <w:r>
              <w:t xml:space="preserve"> </w:t>
            </w:r>
            <w:r>
              <w:rPr>
                <w:rStyle w:val="VerbatimChar"/>
              </w:rPr>
              <w:t xml:space="preserve">disabled</w:t>
            </w:r>
            <w:r>
              <w:t xml:space="preserve">,</w:t>
            </w:r>
            <w:r>
              <w:t xml:space="preserve"> </w:t>
            </w:r>
            <w:r>
              <w:rPr>
                <w:rStyle w:val="VerbatimChar"/>
              </w:rPr>
              <w:t xml:space="preserve">enabledForReportingButNotEnforced</w:t>
            </w:r>
          </w:p>
        </w:tc>
        <w:tc>
          <w:tcPr/>
          <w:p>
            <w:pPr>
              <w:pStyle w:val="Compact"/>
            </w:pPr>
            <w:r>
              <w:rPr>
                <w:rStyle w:val="FootnoteReference"/>
              </w:rPr>
              <w:footnoteReference w:id="1056"/>
            </w:r>
          </w:p>
        </w:tc>
      </w:tr>
      <w:tr>
        <w:tc>
          <w:tcPr/>
          <w:p>
            <w:pPr>
              <w:pStyle w:val="Compact"/>
            </w:pPr>
            <w:r>
              <w:rPr>
                <w:rStyle w:val="VerbatimChar"/>
              </w:rPr>
              <w:t xml:space="preserve">conditions.users</w:t>
            </w:r>
          </w:p>
        </w:tc>
        <w:tc>
          <w:tcPr/>
          <w:p>
            <w:pPr>
              <w:pStyle w:val="Compact"/>
            </w:pPr>
            <w:r>
              <w:rPr>
                <w:rStyle w:val="VerbatimChar"/>
              </w:rPr>
              <w:t xml:space="preserve">includeUsers</w:t>
            </w:r>
            <w:r>
              <w:t xml:space="preserve"> </w:t>
            </w:r>
            <w:r>
              <w:t xml:space="preserve">(</w:t>
            </w:r>
            <w:r>
              <w:rPr>
                <w:rStyle w:val="VerbatimChar"/>
              </w:rPr>
              <w:t xml:space="preserve">All</w:t>
            </w:r>
            <w:r>
              <w:t xml:space="preserve">,</w:t>
            </w:r>
            <w:r>
              <w:t xml:space="preserve"> </w:t>
            </w:r>
            <w:r>
              <w:rPr>
                <w:rStyle w:val="VerbatimChar"/>
              </w:rPr>
              <w:t xml:space="preserve">None</w:t>
            </w:r>
            <w:r>
              <w:t xml:space="preserve">,</w:t>
            </w:r>
            <w:r>
              <w:t xml:space="preserve"> </w:t>
            </w:r>
            <w:r>
              <w:rPr>
                <w:rStyle w:val="VerbatimChar"/>
              </w:rPr>
              <w:t xml:space="preserve">GuestsOrExternalUsers</w:t>
            </w:r>
            <w:r>
              <w:t xml:space="preserve">, or IDs),</w:t>
            </w:r>
            <w:r>
              <w:t xml:space="preserve"> </w:t>
            </w:r>
            <w:r>
              <w:rPr>
                <w:rStyle w:val="VerbatimChar"/>
              </w:rPr>
              <w:t xml:space="preserve">excludeUsers</w:t>
            </w:r>
            <w:r>
              <w:t xml:space="preserve">,</w:t>
            </w:r>
            <w:r>
              <w:t xml:space="preserve"> </w:t>
            </w:r>
            <w:r>
              <w:rPr>
                <w:rStyle w:val="VerbatimChar"/>
              </w:rPr>
              <w:t xml:space="preserve">include/excludeGroups</w:t>
            </w:r>
            <w:r>
              <w:t xml:space="preserve">,</w:t>
            </w:r>
            <w:r>
              <w:t xml:space="preserve"> </w:t>
            </w:r>
            <w:r>
              <w:rPr>
                <w:rStyle w:val="VerbatimChar"/>
              </w:rPr>
              <w:t xml:space="preserve">include/excludeRoles</w:t>
            </w:r>
            <w:r>
              <w:t xml:space="preserve">,</w:t>
            </w:r>
            <w:r>
              <w:t xml:space="preserve"> </w:t>
            </w:r>
            <w:r>
              <w:rPr>
                <w:rStyle w:val="VerbatimChar"/>
              </w:rPr>
              <w:t xml:space="preserve">include/excludeGuestsOrExternalUsers</w:t>
            </w:r>
          </w:p>
        </w:tc>
        <w:tc>
          <w:tcPr/>
          <w:p>
            <w:pPr>
              <w:pStyle w:val="Compact"/>
            </w:pPr>
            <w:r>
              <w:rPr>
                <w:rStyle w:val="FootnoteReference"/>
              </w:rPr>
              <w:footnoteReference w:id="1057"/>
            </w:r>
          </w:p>
        </w:tc>
      </w:tr>
      <w:tr>
        <w:tc>
          <w:tcPr/>
          <w:p>
            <w:pPr>
              <w:pStyle w:val="Compact"/>
            </w:pPr>
            <w:r>
              <w:rPr>
                <w:rStyle w:val="VerbatimChar"/>
              </w:rPr>
              <w:t xml:space="preserve">guestOrExternalUserTypes</w:t>
            </w:r>
          </w:p>
        </w:tc>
        <w:tc>
          <w:tcPr/>
          <w:p>
            <w:pPr>
              <w:pStyle w:val="Compact"/>
            </w:pPr>
            <w:r>
              <w:t xml:space="preserve">Comma-separated:</w:t>
            </w:r>
            <w:r>
              <w:t xml:space="preserve"> </w:t>
            </w:r>
            <w:r>
              <w:rPr>
                <w:rStyle w:val="VerbatimChar"/>
              </w:rPr>
              <w:t xml:space="preserve">internalGuest</w:t>
            </w:r>
            <w:r>
              <w:t xml:space="preserve">,</w:t>
            </w:r>
            <w:r>
              <w:t xml:space="preserve"> </w:t>
            </w:r>
            <w:r>
              <w:rPr>
                <w:rStyle w:val="VerbatimChar"/>
              </w:rPr>
              <w:t xml:space="preserve">b2bCollaborationGuest</w:t>
            </w:r>
            <w:r>
              <w:t xml:space="preserve">,</w:t>
            </w:r>
            <w:r>
              <w:t xml:space="preserve"> </w:t>
            </w:r>
            <w:r>
              <w:rPr>
                <w:rStyle w:val="VerbatimChar"/>
              </w:rPr>
              <w:t xml:space="preserve">b2bCollaborationMember</w:t>
            </w:r>
            <w:r>
              <w:t xml:space="preserve">,</w:t>
            </w:r>
            <w:r>
              <w:t xml:space="preserve"> </w:t>
            </w:r>
            <w:r>
              <w:rPr>
                <w:rStyle w:val="VerbatimChar"/>
              </w:rPr>
              <w:t xml:space="preserve">b2bDirectConnectUser</w:t>
            </w:r>
            <w:r>
              <w:t xml:space="preserve">,</w:t>
            </w:r>
            <w:r>
              <w:t xml:space="preserve"> </w:t>
            </w:r>
            <w:r>
              <w:rPr>
                <w:rStyle w:val="VerbatimChar"/>
              </w:rPr>
              <w:t xml:space="preserve">otherExternalUser</w:t>
            </w:r>
            <w:r>
              <w:t xml:space="preserve">,</w:t>
            </w:r>
            <w:r>
              <w:t xml:space="preserve"> </w:t>
            </w:r>
            <w:r>
              <w:rPr>
                <w:rStyle w:val="VerbatimChar"/>
              </w:rPr>
              <w:t xml:space="preserve">serviceProvider</w:t>
            </w:r>
          </w:p>
        </w:tc>
        <w:tc>
          <w:tcPr/>
          <w:p>
            <w:pPr>
              <w:pStyle w:val="Compact"/>
            </w:pPr>
            <w:r>
              <w:rPr>
                <w:rStyle w:val="FootnoteReference"/>
              </w:rPr>
              <w:footnoteReference w:id="1059"/>
            </w:r>
          </w:p>
        </w:tc>
      </w:tr>
      <w:tr>
        <w:tc>
          <w:tcPr/>
          <w:p>
            <w:pPr>
              <w:pStyle w:val="Compact"/>
            </w:pPr>
            <w:r>
              <w:rPr>
                <w:rStyle w:val="VerbatimChar"/>
              </w:rPr>
              <w:t xml:space="preserve">externalTenants</w:t>
            </w:r>
          </w:p>
        </w:tc>
        <w:tc>
          <w:tcPr/>
          <w:p>
            <w:pPr>
              <w:pStyle w:val="Compact"/>
            </w:pPr>
            <w:r>
              <w:rPr>
                <w:rStyle w:val="VerbatimChar"/>
              </w:rPr>
              <w:t xml:space="preserve">conditionalAccessAllExternalTenants</w:t>
            </w:r>
            <w:r>
              <w:t xml:space="preserve"> </w:t>
            </w:r>
            <w:r>
              <w:t xml:space="preserve">with</w:t>
            </w:r>
            <w:r>
              <w:t xml:space="preserve"> </w:t>
            </w:r>
            <w:r>
              <w:rPr>
                <w:rStyle w:val="VerbatimChar"/>
              </w:rPr>
              <w:t xml:space="preserve">membershipKind: all</w:t>
            </w:r>
            <w:r>
              <w:t xml:space="preserve">, or</w:t>
            </w:r>
            <w:r>
              <w:t xml:space="preserve"> </w:t>
            </w:r>
            <w:r>
              <w:rPr>
                <w:rStyle w:val="VerbatimChar"/>
              </w:rPr>
              <w:t xml:space="preserve">conditionalAccessEnumeratedExternalTenants</w:t>
            </w:r>
            <w:r>
              <w:t xml:space="preserve"> </w:t>
            </w:r>
            <w:r>
              <w:t xml:space="preserve">with</w:t>
            </w:r>
            <w:r>
              <w:t xml:space="preserve"> </w:t>
            </w:r>
            <w:r>
              <w:rPr>
                <w:rStyle w:val="VerbatimChar"/>
              </w:rPr>
              <w:t xml:space="preserve">membershipKind: enumerated</w:t>
            </w:r>
            <w:r>
              <w:t xml:space="preserve"> </w:t>
            </w:r>
            <w:r>
              <w:t xml:space="preserve">and</w:t>
            </w:r>
            <w:r>
              <w:t xml:space="preserve"> </w:t>
            </w:r>
            <w:r>
              <w:rPr>
                <w:rStyle w:val="VerbatimChar"/>
              </w:rPr>
              <w:t xml:space="preserve">members</w:t>
            </w:r>
          </w:p>
        </w:tc>
        <w:tc>
          <w:tcPr/>
          <w:p>
            <w:pPr>
              <w:pStyle w:val="Compact"/>
            </w:pPr>
            <w:r>
              <w:rPr>
                <w:rStyle w:val="FootnoteReference"/>
              </w:rPr>
              <w:footnoteReference w:id="1061"/>
            </w:r>
            <w:r>
              <w:rPr>
                <w:rStyle w:val="FootnoteReference"/>
              </w:rPr>
              <w:footnoteReference w:id="1063"/>
            </w:r>
          </w:p>
        </w:tc>
      </w:tr>
      <w:tr>
        <w:tc>
          <w:tcPr/>
          <w:p>
            <w:pPr>
              <w:pStyle w:val="Compact"/>
            </w:pPr>
            <w:r>
              <w:rPr>
                <w:rStyle w:val="VerbatimChar"/>
              </w:rPr>
              <w:t xml:space="preserve">conditions.applications</w:t>
            </w:r>
          </w:p>
        </w:tc>
        <w:tc>
          <w:tcPr/>
          <w:p>
            <w:pPr>
              <w:pStyle w:val="Compact"/>
            </w:pPr>
            <w:r>
              <w:rPr>
                <w:rStyle w:val="VerbatimChar"/>
              </w:rPr>
              <w:t xml:space="preserve">includeApplications</w:t>
            </w:r>
            <w:r>
              <w:t xml:space="preserve"> </w:t>
            </w:r>
            <w:r>
              <w:t xml:space="preserve">(</w:t>
            </w:r>
            <w:r>
              <w:rPr>
                <w:rStyle w:val="VerbatimChar"/>
              </w:rPr>
              <w:t xml:space="preserve">All</w:t>
            </w:r>
            <w:r>
              <w:t xml:space="preserve">,</w:t>
            </w:r>
            <w:r>
              <w:t xml:space="preserve"> </w:t>
            </w:r>
            <w:r>
              <w:rPr>
                <w:rStyle w:val="VerbatimChar"/>
              </w:rPr>
              <w:t xml:space="preserve">Office365</w:t>
            </w:r>
            <w:r>
              <w:t xml:space="preserve">,</w:t>
            </w:r>
            <w:r>
              <w:t xml:space="preserve"> </w:t>
            </w:r>
            <w:r>
              <w:rPr>
                <w:rStyle w:val="VerbatimChar"/>
              </w:rPr>
              <w:t xml:space="preserve">MicrosoftAdminPortals</w:t>
            </w:r>
            <w:r>
              <w:t xml:space="preserve">, or app IDs),</w:t>
            </w:r>
            <w:r>
              <w:t xml:space="preserve"> </w:t>
            </w:r>
            <w:r>
              <w:rPr>
                <w:rStyle w:val="VerbatimChar"/>
              </w:rPr>
              <w:t xml:space="preserve">excludeApplications</w:t>
            </w:r>
            <w:r>
              <w:t xml:space="preserve">,</w:t>
            </w:r>
            <w:r>
              <w:t xml:space="preserve"> </w:t>
            </w:r>
            <w:r>
              <w:rPr>
                <w:rStyle w:val="VerbatimChar"/>
              </w:rPr>
              <w:t xml:space="preserve">includeUserActions</w:t>
            </w:r>
            <w:r>
              <w:t xml:space="preserve"> </w:t>
            </w:r>
            <w:r>
              <w:t xml:space="preserve">(</w:t>
            </w:r>
            <w:r>
              <w:rPr>
                <w:rStyle w:val="VerbatimChar"/>
              </w:rPr>
              <w:t xml:space="preserve">urn:user:registersecurityinfo</w:t>
            </w:r>
            <w:r>
              <w:t xml:space="preserve">,</w:t>
            </w:r>
            <w:r>
              <w:t xml:space="preserve"> </w:t>
            </w:r>
            <w:r>
              <w:rPr>
                <w:rStyle w:val="VerbatimChar"/>
              </w:rPr>
              <w:t xml:space="preserve">urn:user:registerdevice</w:t>
            </w:r>
            <w:r>
              <w:t xml:space="preserve">),</w:t>
            </w:r>
            <w:r>
              <w:t xml:space="preserve"> </w:t>
            </w:r>
            <w:r>
              <w:rPr>
                <w:rStyle w:val="VerbatimChar"/>
              </w:rPr>
              <w:t xml:space="preserve">applicationFilter</w:t>
            </w:r>
          </w:p>
        </w:tc>
        <w:tc>
          <w:tcPr/>
          <w:p>
            <w:pPr>
              <w:pStyle w:val="Compact"/>
            </w:pPr>
            <w:r>
              <w:rPr>
                <w:rStyle w:val="FootnoteReference"/>
              </w:rPr>
              <w:footnoteReference w:id="1065"/>
            </w:r>
          </w:p>
        </w:tc>
      </w:tr>
      <w:tr>
        <w:tc>
          <w:tcPr/>
          <w:p>
            <w:pPr>
              <w:pStyle w:val="Compact"/>
            </w:pPr>
            <w:r>
              <w:rPr>
                <w:rStyle w:val="VerbatimChar"/>
              </w:rPr>
              <w:t xml:space="preserve">conditions.clientApplications</w:t>
            </w:r>
          </w:p>
        </w:tc>
        <w:tc>
          <w:tcPr/>
          <w:p>
            <w:pPr>
              <w:pStyle w:val="Compact"/>
            </w:pPr>
            <w:r>
              <w:rPr>
                <w:rStyle w:val="VerbatimChar"/>
              </w:rPr>
              <w:t xml:space="preserve">includeServicePrincipals</w:t>
            </w:r>
            <w:r>
              <w:t xml:space="preserve"> </w:t>
            </w:r>
            <w:r>
              <w:t xml:space="preserve">(IDs or</w:t>
            </w:r>
            <w:r>
              <w:t xml:space="preserve"> </w:t>
            </w:r>
            <w:r>
              <w:rPr>
                <w:rStyle w:val="VerbatimChar"/>
              </w:rPr>
              <w:t xml:space="preserve">ServicePrincipalsInMyTenant</w:t>
            </w:r>
            <w:r>
              <w:t xml:space="preserve">),</w:t>
            </w:r>
            <w:r>
              <w:t xml:space="preserve"> </w:t>
            </w:r>
            <w:r>
              <w:rPr>
                <w:rStyle w:val="VerbatimChar"/>
              </w:rPr>
              <w:t xml:space="preserve">excludeServicePrincipals</w:t>
            </w:r>
          </w:p>
        </w:tc>
        <w:tc>
          <w:tcPr/>
          <w:p>
            <w:pPr>
              <w:pStyle w:val="Compact"/>
            </w:pPr>
            <w:r>
              <w:rPr>
                <w:rStyle w:val="FootnoteReference"/>
              </w:rPr>
              <w:footnoteReference w:id="1067"/>
            </w:r>
          </w:p>
        </w:tc>
      </w:tr>
      <w:tr>
        <w:tc>
          <w:tcPr/>
          <w:p>
            <w:pPr>
              <w:pStyle w:val="Compact"/>
            </w:pPr>
            <w:r>
              <w:rPr>
                <w:rStyle w:val="VerbatimChar"/>
              </w:rPr>
              <w:t xml:space="preserve">conditions.clientAppTypes</w:t>
            </w:r>
          </w:p>
        </w:tc>
        <w:tc>
          <w:tcPr/>
          <w:p>
            <w:pPr>
              <w:pStyle w:val="Compact"/>
            </w:pPr>
            <w:r>
              <w:rPr>
                <w:rStyle w:val="VerbatimChar"/>
              </w:rPr>
              <w:t xml:space="preserve">all</w:t>
            </w:r>
            <w:r>
              <w:t xml:space="preserve">,</w:t>
            </w:r>
            <w:r>
              <w:t xml:space="preserve"> </w:t>
            </w:r>
            <w:r>
              <w:rPr>
                <w:rStyle w:val="VerbatimChar"/>
              </w:rPr>
              <w:t xml:space="preserve">browser</w:t>
            </w:r>
            <w:r>
              <w:t xml:space="preserve">,</w:t>
            </w:r>
            <w:r>
              <w:t xml:space="preserve"> </w:t>
            </w:r>
            <w:r>
              <w:rPr>
                <w:rStyle w:val="VerbatimChar"/>
              </w:rPr>
              <w:t xml:space="preserve">mobileAppsAndDesktopClients</w:t>
            </w:r>
            <w:r>
              <w:t xml:space="preserve">,</w:t>
            </w:r>
            <w:r>
              <w:t xml:space="preserve"> </w:t>
            </w:r>
            <w:r>
              <w:rPr>
                <w:rStyle w:val="VerbatimChar"/>
              </w:rPr>
              <w:t xml:space="preserve">exchangeActiveSync</w:t>
            </w:r>
            <w:r>
              <w:t xml:space="preserve">,</w:t>
            </w:r>
            <w:r>
              <w:t xml:space="preserve"> </w:t>
            </w:r>
            <w:r>
              <w:rPr>
                <w:rStyle w:val="VerbatimChar"/>
              </w:rPr>
              <w:t xml:space="preserve">other</w:t>
            </w:r>
          </w:p>
        </w:tc>
        <w:tc>
          <w:tcPr/>
          <w:p>
            <w:pPr>
              <w:pStyle w:val="Compact"/>
            </w:pPr>
            <w:r>
              <w:rPr>
                <w:rStyle w:val="FootnoteReference"/>
              </w:rPr>
              <w:footnoteReference w:id="1069"/>
            </w:r>
          </w:p>
        </w:tc>
      </w:tr>
      <w:tr>
        <w:tc>
          <w:tcPr/>
          <w:p>
            <w:pPr>
              <w:pStyle w:val="Compact"/>
            </w:pPr>
            <w:r>
              <w:rPr>
                <w:rStyle w:val="VerbatimChar"/>
              </w:rPr>
              <w:t xml:space="preserve">conditions.locations</w:t>
            </w:r>
          </w:p>
        </w:tc>
        <w:tc>
          <w:tcPr/>
          <w:p>
            <w:pPr>
              <w:pStyle w:val="Compact"/>
            </w:pPr>
            <w:r>
              <w:rPr>
                <w:rStyle w:val="VerbatimChar"/>
              </w:rPr>
              <w:t xml:space="preserve">includeLocations</w:t>
            </w:r>
            <w:r>
              <w:t xml:space="preserve"> </w:t>
            </w:r>
            <w:r>
              <w:t xml:space="preserve">(</w:t>
            </w:r>
            <w:r>
              <w:rPr>
                <w:rStyle w:val="VerbatimChar"/>
              </w:rPr>
              <w:t xml:space="preserve">All</w:t>
            </w:r>
            <w:r>
              <w:t xml:space="preserve">,</w:t>
            </w:r>
            <w:r>
              <w:t xml:space="preserve"> </w:t>
            </w:r>
            <w:r>
              <w:rPr>
                <w:rStyle w:val="VerbatimChar"/>
              </w:rPr>
              <w:t xml:space="preserve">AllTrusted</w:t>
            </w:r>
            <w:r>
              <w:t xml:space="preserve">, or IDs),</w:t>
            </w:r>
            <w:r>
              <w:t xml:space="preserve"> </w:t>
            </w:r>
            <w:r>
              <w:rPr>
                <w:rStyle w:val="VerbatimChar"/>
              </w:rPr>
              <w:t xml:space="preserve">excludeLocations</w:t>
            </w:r>
          </w:p>
        </w:tc>
        <w:tc>
          <w:tcPr/>
          <w:p>
            <w:pPr>
              <w:pStyle w:val="Compact"/>
            </w:pPr>
            <w:r>
              <w:rPr>
                <w:rStyle w:val="FootnoteReference"/>
              </w:rPr>
              <w:footnoteReference w:id="1071"/>
            </w:r>
          </w:p>
        </w:tc>
      </w:tr>
      <w:tr>
        <w:tc>
          <w:tcPr/>
          <w:p>
            <w:pPr>
              <w:pStyle w:val="Compact"/>
            </w:pPr>
            <w:r>
              <w:rPr>
                <w:rStyle w:val="VerbatimChar"/>
              </w:rPr>
              <w:t xml:space="preserve">conditions.platforms</w:t>
            </w:r>
          </w:p>
        </w:tc>
        <w:tc>
          <w:tcPr/>
          <w:p>
            <w:pPr>
              <w:pStyle w:val="Compact"/>
            </w:pPr>
            <w:r>
              <w:rPr>
                <w:rStyle w:val="VerbatimChar"/>
              </w:rPr>
              <w:t xml:space="preserve">android</w:t>
            </w:r>
            <w:r>
              <w:t xml:space="preserve">,</w:t>
            </w:r>
            <w:r>
              <w:t xml:space="preserve"> </w:t>
            </w:r>
            <w:r>
              <w:rPr>
                <w:rStyle w:val="VerbatimChar"/>
              </w:rPr>
              <w:t xml:space="preserve">iOS</w:t>
            </w:r>
            <w:r>
              <w:t xml:space="preserve">,</w:t>
            </w:r>
            <w:r>
              <w:t xml:space="preserve"> </w:t>
            </w:r>
            <w:r>
              <w:rPr>
                <w:rStyle w:val="VerbatimChar"/>
              </w:rPr>
              <w:t xml:space="preserve">windows</w:t>
            </w:r>
            <w:r>
              <w:t xml:space="preserve">,</w:t>
            </w:r>
            <w:r>
              <w:t xml:space="preserve"> </w:t>
            </w:r>
            <w:r>
              <w:rPr>
                <w:rStyle w:val="VerbatimChar"/>
              </w:rPr>
              <w:t xml:space="preserve">macOS</w:t>
            </w:r>
            <w:r>
              <w:t xml:space="preserve">,</w:t>
            </w:r>
            <w:r>
              <w:t xml:space="preserve"> </w:t>
            </w:r>
            <w:r>
              <w:rPr>
                <w:rStyle w:val="VerbatimChar"/>
              </w:rPr>
              <w:t xml:space="preserve">linux</w:t>
            </w:r>
            <w:r>
              <w:t xml:space="preserve">,</w:t>
            </w:r>
            <w:r>
              <w:t xml:space="preserve"> </w:t>
            </w:r>
            <w:r>
              <w:rPr>
                <w:rStyle w:val="VerbatimChar"/>
              </w:rPr>
              <w:t xml:space="preserve">all</w:t>
            </w:r>
          </w:p>
        </w:tc>
        <w:tc>
          <w:tcPr/>
          <w:p>
            <w:pPr>
              <w:pStyle w:val="Compact"/>
            </w:pPr>
            <w:r>
              <w:rPr>
                <w:rStyle w:val="FootnoteReference"/>
              </w:rPr>
              <w:footnoteReference w:id="1073"/>
            </w:r>
          </w:p>
        </w:tc>
      </w:tr>
      <w:tr>
        <w:tc>
          <w:tcPr/>
          <w:p>
            <w:pPr>
              <w:pStyle w:val="Compact"/>
            </w:pPr>
            <w:r>
              <w:rPr>
                <w:rStyle w:val="VerbatimChar"/>
              </w:rPr>
              <w:t xml:space="preserve">conditions.devices.deviceFilter</w:t>
            </w:r>
          </w:p>
        </w:tc>
        <w:tc>
          <w:tcPr/>
          <w:p>
            <w:pPr>
              <w:pStyle w:val="Compact"/>
            </w:pPr>
            <w:r>
              <w:rPr>
                <w:rStyle w:val="VerbatimChar"/>
              </w:rPr>
              <w:t xml:space="preserve">mode</w:t>
            </w:r>
            <w:r>
              <w:t xml:space="preserve"> </w:t>
            </w:r>
            <w:r>
              <w:rPr>
                <w:rStyle w:val="VerbatimChar"/>
              </w:rPr>
              <w:t xml:space="preserve">include</w:t>
            </w:r>
            <w:r>
              <w:t xml:space="preserve"> </w:t>
            </w:r>
            <w:r>
              <w:t xml:space="preserve">or</w:t>
            </w:r>
            <w:r>
              <w:t xml:space="preserve"> </w:t>
            </w:r>
            <w:r>
              <w:rPr>
                <w:rStyle w:val="VerbatimChar"/>
              </w:rPr>
              <w:t xml:space="preserve">exclude</w:t>
            </w:r>
            <w:r>
              <w:t xml:space="preserve">;</w:t>
            </w:r>
            <w:r>
              <w:t xml:space="preserve"> </w:t>
            </w:r>
            <w:r>
              <w:rPr>
                <w:rStyle w:val="VerbatimChar"/>
              </w:rPr>
              <w:t xml:space="preserve">rule</w:t>
            </w:r>
            <w:r>
              <w:t xml:space="preserve"> </w:t>
            </w:r>
            <w:r>
              <w:t xml:space="preserve">in dynamic-group syntax</w:t>
            </w:r>
          </w:p>
        </w:tc>
        <w:tc>
          <w:tcPr/>
          <w:p>
            <w:pPr>
              <w:pStyle w:val="Compact"/>
            </w:pPr>
            <w:r>
              <w:rPr>
                <w:rStyle w:val="FootnoteReference"/>
              </w:rPr>
              <w:footnoteReference w:id="1075"/>
            </w:r>
          </w:p>
        </w:tc>
      </w:tr>
      <w:tr>
        <w:tc>
          <w:tcPr/>
          <w:p>
            <w:pPr>
              <w:pStyle w:val="Compact"/>
            </w:pPr>
            <w:r>
              <w:t xml:space="preserve">Risk levels</w:t>
            </w:r>
          </w:p>
        </w:tc>
        <w:tc>
          <w:tcPr/>
          <w:p>
            <w:pPr>
              <w:pStyle w:val="Compact"/>
            </w:pPr>
            <w:r>
              <w:rPr>
                <w:rStyle w:val="VerbatimChar"/>
              </w:rPr>
              <w:t xml:space="preserve">signInRiskLevels</w:t>
            </w:r>
            <w:r>
              <w:t xml:space="preserve">,</w:t>
            </w:r>
            <w:r>
              <w:t xml:space="preserve"> </w:t>
            </w:r>
            <w:r>
              <w:rPr>
                <w:rStyle w:val="VerbatimChar"/>
              </w:rPr>
              <w:t xml:space="preserve">userRiskLevels</w:t>
            </w:r>
            <w:r>
              <w:t xml:space="preserve">,</w:t>
            </w:r>
            <w:r>
              <w:t xml:space="preserve"> </w:t>
            </w:r>
            <w:r>
              <w:rPr>
                <w:rStyle w:val="VerbatimChar"/>
              </w:rPr>
              <w:t xml:space="preserve">servicePrincipalRiskLevels</w:t>
            </w:r>
            <w:r>
              <w:t xml:space="preserve">:</w:t>
            </w:r>
            <w:r>
              <w:t xml:space="preserve"> </w:t>
            </w:r>
            <w:r>
              <w:rPr>
                <w:rStyle w:val="VerbatimChar"/>
              </w:rPr>
              <w:t xml:space="preserve">low</w:t>
            </w:r>
            <w:r>
              <w:t xml:space="preserve">,</w:t>
            </w:r>
            <w:r>
              <w:t xml:space="preserve"> </w:t>
            </w:r>
            <w:r>
              <w:rPr>
                <w:rStyle w:val="VerbatimChar"/>
              </w:rPr>
              <w:t xml:space="preserve">medium</w:t>
            </w:r>
            <w:r>
              <w:t xml:space="preserve">,</w:t>
            </w:r>
            <w:r>
              <w:t xml:space="preserve"> </w:t>
            </w:r>
            <w:r>
              <w:rPr>
                <w:rStyle w:val="VerbatimChar"/>
              </w:rPr>
              <w:t xml:space="preserve">high</w:t>
            </w:r>
            <w:r>
              <w:t xml:space="preserve">;</w:t>
            </w:r>
            <w:r>
              <w:t xml:space="preserve"> </w:t>
            </w:r>
            <w:r>
              <w:rPr>
                <w:rStyle w:val="VerbatimChar"/>
              </w:rPr>
              <w:t xml:space="preserve">insiderRiskLevels</w:t>
            </w:r>
            <w:r>
              <w:t xml:space="preserve">:</w:t>
            </w:r>
            <w:r>
              <w:t xml:space="preserve"> </w:t>
            </w:r>
            <w:r>
              <w:rPr>
                <w:rStyle w:val="VerbatimChar"/>
              </w:rPr>
              <w:t xml:space="preserve">minor</w:t>
            </w:r>
            <w:r>
              <w:t xml:space="preserve">,</w:t>
            </w:r>
            <w:r>
              <w:t xml:space="preserve"> </w:t>
            </w:r>
            <w:r>
              <w:rPr>
                <w:rStyle w:val="VerbatimChar"/>
              </w:rPr>
              <w:t xml:space="preserve">moderate</w:t>
            </w:r>
            <w:r>
              <w:t xml:space="preserve">,</w:t>
            </w:r>
            <w:r>
              <w:t xml:space="preserve"> </w:t>
            </w:r>
            <w:r>
              <w:rPr>
                <w:rStyle w:val="VerbatimChar"/>
              </w:rPr>
              <w:t xml:space="preserve">elevated</w:t>
            </w:r>
          </w:p>
        </w:tc>
        <w:tc>
          <w:tcPr/>
          <w:p>
            <w:pPr>
              <w:pStyle w:val="Compact"/>
            </w:pPr>
            <w:r>
              <w:rPr>
                <w:rStyle w:val="FootnoteReference"/>
              </w:rPr>
              <w:footnoteReference w:id="1077"/>
            </w:r>
          </w:p>
        </w:tc>
      </w:tr>
      <w:tr>
        <w:tc>
          <w:tcPr/>
          <w:p>
            <w:pPr>
              <w:pStyle w:val="Compact"/>
            </w:pPr>
            <w:r>
              <w:rPr>
                <w:rStyle w:val="VerbatimChar"/>
              </w:rPr>
              <w:t xml:space="preserve">conditions.authenticationFlows</w:t>
            </w:r>
          </w:p>
        </w:tc>
        <w:tc>
          <w:tcPr/>
          <w:p>
            <w:pPr>
              <w:pStyle w:val="Compact"/>
            </w:pPr>
            <w:r>
              <w:rPr>
                <w:rStyle w:val="VerbatimChar"/>
              </w:rPr>
              <w:t xml:space="preserve">transferMethods</w:t>
            </w:r>
            <w:r>
              <w:t xml:space="preserve">:</w:t>
            </w:r>
            <w:r>
              <w:t xml:space="preserve"> </w:t>
            </w:r>
            <w:r>
              <w:rPr>
                <w:rStyle w:val="VerbatimChar"/>
              </w:rPr>
              <w:t xml:space="preserve">deviceCodeFlow</w:t>
            </w:r>
            <w:r>
              <w:t xml:space="preserve">,</w:t>
            </w:r>
            <w:r>
              <w:t xml:space="preserve"> </w:t>
            </w:r>
            <w:r>
              <w:rPr>
                <w:rStyle w:val="VerbatimChar"/>
              </w:rPr>
              <w:t xml:space="preserve">authenticationTransfer</w:t>
            </w:r>
          </w:p>
        </w:tc>
        <w:tc>
          <w:tcPr/>
          <w:p>
            <w:pPr>
              <w:pStyle w:val="Compact"/>
            </w:pPr>
            <w:r>
              <w:rPr>
                <w:rStyle w:val="FootnoteReference"/>
              </w:rPr>
              <w:footnoteReference w:id="1078"/>
            </w:r>
          </w:p>
        </w:tc>
      </w:tr>
      <w:tr>
        <w:tc>
          <w:tcPr/>
          <w:p>
            <w:pPr>
              <w:pStyle w:val="Compact"/>
            </w:pPr>
            <w:r>
              <w:rPr>
                <w:rStyle w:val="VerbatimChar"/>
              </w:rPr>
              <w:t xml:space="preserve">grantControls</w:t>
            </w:r>
          </w:p>
        </w:tc>
        <w:tc>
          <w:tcPr/>
          <w:p>
            <w:pPr>
              <w:pStyle w:val="Compact"/>
            </w:pPr>
            <w:r>
              <w:rPr>
                <w:rStyle w:val="VerbatimChar"/>
              </w:rPr>
              <w:t xml:space="preserve">operator</w:t>
            </w:r>
            <w:r>
              <w:t xml:space="preserve"> </w:t>
            </w:r>
            <w:r>
              <w:rPr>
                <w:rStyle w:val="VerbatimChar"/>
              </w:rPr>
              <w:t xml:space="preserve">AND</w:t>
            </w:r>
            <w:r>
              <w:t xml:space="preserve"> </w:t>
            </w:r>
            <w:r>
              <w:t xml:space="preserve">or</w:t>
            </w:r>
            <w:r>
              <w:t xml:space="preserve"> </w:t>
            </w:r>
            <w:r>
              <w:rPr>
                <w:rStyle w:val="VerbatimChar"/>
              </w:rPr>
              <w:t xml:space="preserve">OR</w:t>
            </w:r>
            <w:r>
              <w:t xml:space="preserve">;</w:t>
            </w:r>
            <w:r>
              <w:t xml:space="preserve"> </w:t>
            </w:r>
            <w:r>
              <w:rPr>
                <w:rStyle w:val="VerbatimChar"/>
              </w:rPr>
              <w:t xml:space="preserve">builtInControls</w:t>
            </w:r>
            <w:r>
              <w:t xml:space="preserve"> </w:t>
            </w:r>
            <w:r>
              <w:rPr>
                <w:rStyle w:val="VerbatimChar"/>
              </w:rPr>
              <w:t xml:space="preserve">block</w:t>
            </w:r>
            <w:r>
              <w:t xml:space="preserve">,</w:t>
            </w:r>
            <w:r>
              <w:t xml:space="preserve"> </w:t>
            </w:r>
            <w:r>
              <w:rPr>
                <w:rStyle w:val="VerbatimChar"/>
              </w:rPr>
              <w:t xml:space="preserve">mfa</w:t>
            </w:r>
            <w:r>
              <w:t xml:space="preserve">,</w:t>
            </w:r>
            <w:r>
              <w:t xml:space="preserve"> </w:t>
            </w:r>
            <w:r>
              <w:rPr>
                <w:rStyle w:val="VerbatimChar"/>
              </w:rPr>
              <w:t xml:space="preserve">compliantDevice</w:t>
            </w:r>
            <w:r>
              <w:t xml:space="preserve">,</w:t>
            </w:r>
            <w:r>
              <w:t xml:space="preserve"> </w:t>
            </w:r>
            <w:r>
              <w:rPr>
                <w:rStyle w:val="VerbatimChar"/>
              </w:rPr>
              <w:t xml:space="preserve">domainJoinedDevice</w:t>
            </w:r>
            <w:r>
              <w:t xml:space="preserve">,</w:t>
            </w:r>
            <w:r>
              <w:t xml:space="preserve"> </w:t>
            </w:r>
            <w:r>
              <w:rPr>
                <w:rStyle w:val="VerbatimChar"/>
              </w:rPr>
              <w:t xml:space="preserve">compliantApplication</w:t>
            </w:r>
            <w:r>
              <w:t xml:space="preserve">,</w:t>
            </w:r>
            <w:r>
              <w:t xml:space="preserve"> </w:t>
            </w:r>
            <w:r>
              <w:rPr>
                <w:rStyle w:val="VerbatimChar"/>
              </w:rPr>
              <w:t xml:space="preserve">passwordChange</w:t>
            </w:r>
            <w:r>
              <w:t xml:space="preserve">,</w:t>
            </w:r>
            <w:r>
              <w:t xml:space="preserve"> </w:t>
            </w:r>
            <w:r>
              <w:rPr>
                <w:rStyle w:val="VerbatimChar"/>
              </w:rPr>
              <w:t xml:space="preserve">riskRemediation</w:t>
            </w:r>
            <w:r>
              <w:t xml:space="preserve">;</w:t>
            </w:r>
            <w:r>
              <w:t xml:space="preserve"> </w:t>
            </w:r>
            <w:r>
              <w:rPr>
                <w:rStyle w:val="VerbatimChar"/>
              </w:rPr>
              <w:t xml:space="preserve">termsOfUse</w:t>
            </w:r>
            <w:r>
              <w:t xml:space="preserve">;</w:t>
            </w:r>
            <w:r>
              <w:t xml:space="preserve"> </w:t>
            </w:r>
            <w:r>
              <w:rPr>
                <w:rStyle w:val="VerbatimChar"/>
              </w:rPr>
              <w:t xml:space="preserve">authenticationStrength</w:t>
            </w:r>
          </w:p>
        </w:tc>
        <w:tc>
          <w:tcPr/>
          <w:p>
            <w:pPr>
              <w:pStyle w:val="Compact"/>
            </w:pPr>
            <w:r>
              <w:rPr>
                <w:rStyle w:val="FootnoteReference"/>
              </w:rPr>
              <w:footnoteReference w:id="1079"/>
            </w:r>
          </w:p>
        </w:tc>
      </w:tr>
      <w:tr>
        <w:tc>
          <w:tcPr/>
          <w:p>
            <w:pPr>
              <w:pStyle w:val="Compact"/>
            </w:pPr>
            <w:r>
              <w:rPr>
                <w:rStyle w:val="VerbatimChar"/>
              </w:rPr>
              <w:t xml:space="preserve">sessionControls</w:t>
            </w:r>
          </w:p>
        </w:tc>
        <w:tc>
          <w:tcPr/>
          <w:p>
            <w:pPr>
              <w:pStyle w:val="Compact"/>
            </w:pPr>
            <w:r>
              <w:rPr>
                <w:rStyle w:val="VerbatimChar"/>
              </w:rPr>
              <w:t xml:space="preserve">applicationEnforcedRestrictions</w:t>
            </w:r>
            <w:r>
              <w:t xml:space="preserve">,</w:t>
            </w:r>
            <w:r>
              <w:t xml:space="preserve"> </w:t>
            </w:r>
            <w:r>
              <w:rPr>
                <w:rStyle w:val="VerbatimChar"/>
              </w:rPr>
              <w:t xml:space="preserve">cloudAppSecurity</w:t>
            </w:r>
            <w:r>
              <w:t xml:space="preserve">,</w:t>
            </w:r>
            <w:r>
              <w:t xml:space="preserve"> </w:t>
            </w:r>
            <w:r>
              <w:rPr>
                <w:rStyle w:val="VerbatimChar"/>
              </w:rPr>
              <w:t xml:space="preserve">signInFrequency</w:t>
            </w:r>
            <w:r>
              <w:t xml:space="preserve">,</w:t>
            </w:r>
            <w:r>
              <w:t xml:space="preserve"> </w:t>
            </w:r>
            <w:r>
              <w:rPr>
                <w:rStyle w:val="VerbatimChar"/>
              </w:rPr>
              <w:t xml:space="preserve">persistentBrowser</w:t>
            </w:r>
            <w:r>
              <w:t xml:space="preserve">,</w:t>
            </w:r>
            <w:r>
              <w:t xml:space="preserve"> </w:t>
            </w:r>
            <w:r>
              <w:rPr>
                <w:rStyle w:val="VerbatimChar"/>
              </w:rPr>
              <w:t xml:space="preserve">disableResilienceDefaults</w:t>
            </w:r>
          </w:p>
        </w:tc>
        <w:tc>
          <w:tcPr/>
          <w:p>
            <w:pPr>
              <w:pStyle w:val="Compact"/>
            </w:pPr>
            <w:r>
              <w:rPr>
                <w:rStyle w:val="FootnoteReference"/>
              </w:rPr>
              <w:footnoteReference w:id="1080"/>
            </w:r>
          </w:p>
        </w:tc>
      </w:tr>
      <w:tr>
        <w:tc>
          <w:tcPr/>
          <w:p>
            <w:pPr>
              <w:pStyle w:val="Compact"/>
            </w:pPr>
            <w:r>
              <w:rPr>
                <w:rStyle w:val="VerbatimChar"/>
              </w:rPr>
              <w:t xml:space="preserve">signInFrequency</w:t>
            </w:r>
          </w:p>
        </w:tc>
        <w:tc>
          <w:tcPr/>
          <w:p>
            <w:pPr>
              <w:pStyle w:val="Compact"/>
            </w:pPr>
            <w:r>
              <w:rPr>
                <w:rStyle w:val="VerbatimChar"/>
              </w:rPr>
              <w:t xml:space="preserve">isEnabled</w:t>
            </w:r>
            <w:r>
              <w:t xml:space="preserve">;</w:t>
            </w:r>
            <w:r>
              <w:t xml:space="preserve"> </w:t>
            </w:r>
            <w:r>
              <w:rPr>
                <w:rStyle w:val="VerbatimChar"/>
              </w:rPr>
              <w:t xml:space="preserve">type</w:t>
            </w:r>
            <w:r>
              <w:t xml:space="preserve"> </w:t>
            </w:r>
            <w:r>
              <w:rPr>
                <w:rStyle w:val="VerbatimChar"/>
              </w:rPr>
              <w:t xml:space="preserve">hours</w:t>
            </w:r>
            <w:r>
              <w:t xml:space="preserve"> </w:t>
            </w:r>
            <w:r>
              <w:t xml:space="preserve">or</w:t>
            </w:r>
            <w:r>
              <w:t xml:space="preserve"> </w:t>
            </w:r>
            <w:r>
              <w:rPr>
                <w:rStyle w:val="VerbatimChar"/>
              </w:rPr>
              <w:t xml:space="preserve">days</w:t>
            </w:r>
            <w:r>
              <w:t xml:space="preserve"> </w:t>
            </w:r>
            <w:r>
              <w:t xml:space="preserve">with</w:t>
            </w:r>
            <w:r>
              <w:t xml:space="preserve"> </w:t>
            </w:r>
            <w:r>
              <w:rPr>
                <w:rStyle w:val="VerbatimChar"/>
              </w:rPr>
              <w:t xml:space="preserve">value</w:t>
            </w:r>
            <w:r>
              <w:t xml:space="preserve">;</w:t>
            </w:r>
            <w:r>
              <w:t xml:space="preserve"> </w:t>
            </w:r>
            <w:r>
              <w:rPr>
                <w:rStyle w:val="VerbatimChar"/>
              </w:rPr>
              <w:t xml:space="preserve">frequencyInterval</w:t>
            </w:r>
            <w:r>
              <w:t xml:space="preserve"> </w:t>
            </w:r>
            <w:r>
              <w:rPr>
                <w:rStyle w:val="VerbatimChar"/>
              </w:rPr>
              <w:t xml:space="preserve">timeBased</w:t>
            </w:r>
            <w:r>
              <w:t xml:space="preserve"> </w:t>
            </w:r>
            <w:r>
              <w:t xml:space="preserve">or</w:t>
            </w:r>
            <w:r>
              <w:t xml:space="preserve"> </w:t>
            </w:r>
            <w:r>
              <w:rPr>
                <w:rStyle w:val="VerbatimChar"/>
              </w:rPr>
              <w:t xml:space="preserve">everyTime</w:t>
            </w:r>
            <w:r>
              <w:t xml:space="preserve">;</w:t>
            </w:r>
            <w:r>
              <w:t xml:space="preserve"> </w:t>
            </w:r>
            <w:r>
              <w:rPr>
                <w:rStyle w:val="VerbatimChar"/>
              </w:rPr>
              <w:t xml:space="preserve">authenticationType</w:t>
            </w:r>
          </w:p>
        </w:tc>
        <w:tc>
          <w:tcPr/>
          <w:p>
            <w:pPr>
              <w:pStyle w:val="Compact"/>
            </w:pPr>
            <w:r>
              <w:rPr>
                <w:rStyle w:val="FootnoteReference"/>
              </w:rPr>
              <w:footnoteReference w:id="1081"/>
            </w:r>
          </w:p>
        </w:tc>
      </w:tr>
      <w:tr>
        <w:tc>
          <w:tcPr/>
          <w:p>
            <w:pPr>
              <w:pStyle w:val="Compact"/>
            </w:pPr>
            <w:r>
              <w:rPr>
                <w:rStyle w:val="VerbatimChar"/>
              </w:rPr>
              <w:t xml:space="preserve">persistentBrowser</w:t>
            </w:r>
          </w:p>
        </w:tc>
        <w:tc>
          <w:tcPr/>
          <w:p>
            <w:pPr>
              <w:pStyle w:val="Compact"/>
            </w:pPr>
            <w:r>
              <w:rPr>
                <w:rStyle w:val="VerbatimChar"/>
              </w:rPr>
              <w:t xml:space="preserve">isEnabled</w:t>
            </w:r>
            <w:r>
              <w:t xml:space="preserve">;</w:t>
            </w:r>
            <w:r>
              <w:t xml:space="preserve"> </w:t>
            </w:r>
            <w:r>
              <w:rPr>
                <w:rStyle w:val="VerbatimChar"/>
              </w:rPr>
              <w:t xml:space="preserve">mode</w:t>
            </w:r>
            <w:r>
              <w:t xml:space="preserve"> </w:t>
            </w:r>
            <w:r>
              <w:rPr>
                <w:rStyle w:val="VerbatimChar"/>
              </w:rPr>
              <w:t xml:space="preserve">always</w:t>
            </w:r>
            <w:r>
              <w:t xml:space="preserve"> </w:t>
            </w:r>
            <w:r>
              <w:t xml:space="preserve">or</w:t>
            </w:r>
            <w:r>
              <w:t xml:space="preserve"> </w:t>
            </w:r>
            <w:r>
              <w:rPr>
                <w:rStyle w:val="VerbatimChar"/>
              </w:rPr>
              <w:t xml:space="preserve">never</w:t>
            </w:r>
          </w:p>
        </w:tc>
        <w:tc>
          <w:tcPr/>
          <w:p>
            <w:pPr>
              <w:pStyle w:val="Compact"/>
            </w:pPr>
            <w:r>
              <w:rPr>
                <w:rStyle w:val="FootnoteReference"/>
              </w:rPr>
              <w:footnoteReference w:id="1082"/>
            </w:r>
          </w:p>
        </w:tc>
      </w:tr>
    </w:tbl>
    <w:p>
      <w:pPr>
        <w:pStyle w:val="BodyText"/>
      </w:pPr>
      <w:r>
        <w:t xml:space="preserve">Three constraints from the Graph documentation shape the risk templates.</w:t>
      </w:r>
      <w:r>
        <w:t xml:space="preserve"> </w:t>
      </w:r>
      <w:r>
        <w:rPr>
          <w:rStyle w:val="VerbatimChar"/>
        </w:rPr>
        <w:t xml:space="preserve">riskRemediation</w:t>
      </w:r>
      <w:r>
        <w:t xml:space="preserve"> </w:t>
      </w:r>
      <w:r>
        <w:t xml:space="preserve">must be combined with</w:t>
      </w:r>
      <w:r>
        <w:t xml:space="preserve"> </w:t>
      </w:r>
      <w:r>
        <w:rPr>
          <w:rStyle w:val="VerbatimChar"/>
        </w:rPr>
        <w:t xml:space="preserve">authenticationStrength</w:t>
      </w:r>
      <w:r>
        <w:t xml:space="preserve"> </w:t>
      </w:r>
      <w:r>
        <w:t xml:space="preserve">using</w:t>
      </w:r>
      <w:r>
        <w:t xml:space="preserve"> </w:t>
      </w:r>
      <w:r>
        <w:rPr>
          <w:rStyle w:val="VerbatimChar"/>
        </w:rPr>
        <w:t xml:space="preserve">AND</w:t>
      </w:r>
      <w:r>
        <w:t xml:space="preserve">;</w:t>
      </w:r>
      <w:r>
        <w:t xml:space="preserve"> </w:t>
      </w:r>
      <w:r>
        <w:rPr>
          <w:rStyle w:val="VerbatimChar"/>
        </w:rPr>
        <w:t xml:space="preserve">passwordChange</w:t>
      </w:r>
      <w:r>
        <w:t xml:space="preserve"> </w:t>
      </w:r>
      <w:r>
        <w:t xml:space="preserve">must be combined with</w:t>
      </w:r>
      <w:r>
        <w:t xml:space="preserve"> </w:t>
      </w:r>
      <w:r>
        <w:rPr>
          <w:rStyle w:val="VerbatimChar"/>
        </w:rPr>
        <w:t xml:space="preserve">mfa</w:t>
      </w:r>
      <w:r>
        <w:t xml:space="preserve"> </w:t>
      </w:r>
      <w:r>
        <w:t xml:space="preserve">using</w:t>
      </w:r>
      <w:r>
        <w:t xml:space="preserve"> </w:t>
      </w:r>
      <w:r>
        <w:rPr>
          <w:rStyle w:val="VerbatimChar"/>
        </w:rPr>
        <w:t xml:space="preserve">AND</w:t>
      </w:r>
      <w:r>
        <w:t xml:space="preserve">; and either one needs a</w:t>
      </w:r>
      <w:r>
        <w:t xml:space="preserve"> </w:t>
      </w:r>
      <w:r>
        <w:rPr>
          <w:rStyle w:val="VerbatimChar"/>
        </w:rPr>
        <w:t xml:space="preserve">userRiskLevels</w:t>
      </w:r>
      <w:r>
        <w:t xml:space="preserve"> </w:t>
      </w:r>
      <w:r>
        <w:t xml:space="preserve">condition, all applications, and no conditions other than users, applications and user risk.</w:t>
      </w:r>
      <w:r>
        <w:t xml:space="preserve"> </w:t>
      </w:r>
      <w:r>
        <w:rPr>
          <w:rStyle w:val="VerbatimChar"/>
        </w:rPr>
        <w:t xml:space="preserve">riskRemediation</w:t>
      </w:r>
      <w:r>
        <w:t xml:space="preserve"> </w:t>
      </w:r>
      <w:r>
        <w:t xml:space="preserve">is an evolvable enum member, so requests that read it back need the</w:t>
      </w:r>
      <w:r>
        <w:t xml:space="preserve"> </w:t>
      </w:r>
      <w:r>
        <w:rPr>
          <w:rStyle w:val="VerbatimChar"/>
        </w:rPr>
        <w:t xml:space="preserve">Prefer: include-unknown-enum-members</w:t>
      </w:r>
      <w:r>
        <w:t xml:space="preserve"> </w:t>
      </w:r>
      <w:r>
        <w:t xml:space="preserve">header.</w:t>
      </w:r>
      <w:r>
        <w:rPr>
          <w:rStyle w:val="FootnoteReference"/>
        </w:rPr>
        <w:footnoteReference w:id="1084"/>
      </w:r>
      <w:r>
        <w:t xml:space="preserve"> </w:t>
      </w:r>
      <w:r>
        <w:t xml:space="preserve">“Require MFA”</w:t>
      </w:r>
      <w:r>
        <w:t xml:space="preserve"> </w:t>
      </w:r>
      <w:r>
        <w:t xml:space="preserve">(</w:t>
      </w:r>
      <w:r>
        <w:rPr>
          <w:rStyle w:val="VerbatimChar"/>
        </w:rPr>
        <w:t xml:space="preserve">mfa</w:t>
      </w:r>
      <w:r>
        <w:t xml:space="preserve">) and an authentication strength can’t be used in the same policy.</w:t>
      </w:r>
      <w:r>
        <w:rPr>
          <w:rStyle w:val="FootnoteReference"/>
        </w:rPr>
        <w:footnoteReference w:id="1085"/>
      </w:r>
    </w:p>
    <w:bookmarkEnd w:id="1086"/>
    <w:bookmarkStart w:id="1087" w:name="deploying-the-templates"/>
    <w:p>
      <w:pPr>
        <w:pStyle w:val="Heading2"/>
      </w:pPr>
      <w:bookmarkStart w:id="1282" w:name="_Toc00001282"/>
      <w:r>
        <w:t xml:space="preserve">Deploying the templates</w:t>
      </w:r>
      <w:bookmarkEnd w:id="1282"/>
    </w:p>
    <w:p>
      <w:pPr>
        <w:pStyle w:val="FirstParagraph"/>
      </w:pPr>
      <w:r>
        <w:t xml:space="preserve">The script is illustrative and hasn’t been tested against a production tenant. Review it before running it. It only creates or updates policies in report-only state, but it changes tenant configuration, so run it from the pipeline identity the program approves for policy changes, not from an administrator’s desktop.</w:t>
      </w:r>
    </w:p>
    <w:p>
      <w:pPr>
        <w:pStyle w:val="SourceCode"/>
      </w:pPr>
      <w:r>
        <w:rPr>
          <w:rStyle w:val="CommentTok"/>
        </w:rPr>
        <w:t xml:space="preserve">#Requires -Modules Microsoft.Graph.Identity.SignIns</w:t>
      </w:r>
      <w:r>
        <w:br/>
      </w:r>
      <w:r>
        <w:rPr>
          <w:rStyle w:val="CommentTok"/>
        </w:rPr>
        <w:t xml:space="preserve"># Federal Modernization Program: deploy Conditional Access templates in report-only state.</w:t>
      </w:r>
      <w:r>
        <w:br/>
      </w:r>
      <w:r>
        <w:rPr>
          <w:rStyle w:val="CommentTok"/>
        </w:rPr>
        <w:t xml:space="preserve"># Templates live in .\templates\*.json; placeholders are resolved from .\tenant-map.json.</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$TemplatePath</w:t>
      </w:r>
      <w:r>
        <w:rPr>
          <w:rStyle w:val="NormalTok"/>
        </w:rPr>
        <w:t xml:space="preserve"> </w:t>
      </w:r>
      <w:r>
        <w:rPr>
          <w:rStyle w:val="OperatorTok"/>
        </w:rPr>
        <w:t xml:space="preserve">=</w:t>
      </w:r>
      <w:r>
        <w:rPr>
          <w:rStyle w:val="NormalTok"/>
        </w:rPr>
        <w:t xml:space="preserve"> </w:t>
      </w:r>
      <w:r>
        <w:rPr>
          <w:rStyle w:val="StringTok"/>
        </w:rPr>
        <w:t xml:space="preserve">'.\templates'</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$MapPath</w:t>
      </w:r>
      <w:r>
        <w:rPr>
          <w:rStyle w:val="NormalTok"/>
        </w:rPr>
        <w:t xml:space="preserve">      </w:t>
      </w:r>
      <w:r>
        <w:rPr>
          <w:rStyle w:val="OperatorTok"/>
        </w:rPr>
        <w:t xml:space="preserve">=</w:t>
      </w:r>
      <w:r>
        <w:rPr>
          <w:rStyle w:val="NormalTok"/>
        </w:rPr>
        <w:t xml:space="preserve"> </w:t>
      </w:r>
      <w:r>
        <w:rPr>
          <w:rStyle w:val="StringTok"/>
        </w:rPr>
        <w:t xml:space="preserve">'.\tenant-map.json'</w:t>
      </w:r>
      <w:r>
        <w:br/>
      </w:r>
      <w:r>
        <w:rPr>
          <w:rStyle w:val="OperatorTok"/>
        </w:rPr>
        <w:t xml:space="preserve">)</w:t>
      </w:r>
      <w:r>
        <w:br/>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'Policy.Read.All'</w:t>
      </w:r>
      <w:r>
        <w:rPr>
          <w:rStyle w:val="OperatorTok"/>
        </w:rPr>
        <w:t xml:space="preserve">,</w:t>
      </w:r>
      <w:r>
        <w:rPr>
          <w:rStyle w:val="NormalTok"/>
        </w:rPr>
        <w:t xml:space="preserve"> </w:t>
      </w:r>
      <w:r>
        <w:rPr>
          <w:rStyle w:val="StringTok"/>
        </w:rPr>
        <w:t xml:space="preserve">'Policy.ReadWrite.ConditionalAccess'</w:t>
      </w:r>
      <w:r>
        <w:rPr>
          <w:rStyle w:val="OperatorTok"/>
        </w:rPr>
        <w:t xml:space="preserve">,</w:t>
      </w:r>
      <w:r>
        <w:rPr>
          <w:rStyle w:val="NormalTok"/>
        </w:rPr>
        <w:t xml:space="preserve"> </w:t>
      </w:r>
      <w:r>
        <w:rPr>
          <w:rStyle w:val="StringTok"/>
        </w:rPr>
        <w:t xml:space="preserve">'Application.Read.All'</w:t>
      </w:r>
      <w:r>
        <w:br/>
      </w:r>
      <w:r>
        <w:br/>
      </w:r>
      <w:r>
        <w:rPr>
          <w:rStyle w:val="CommentTok"/>
        </w:rPr>
        <w:t xml:space="preserve"># The map holds placeholder -&gt; value pairs, for example</w:t>
      </w:r>
      <w:r>
        <w:br/>
      </w:r>
      <w:r>
        <w:rPr>
          <w:rStyle w:val="CommentTok"/>
        </w:rPr>
        <w:t xml:space="preserve"># { "{group:CA-Exclude-EmergencyAccess}": "00000000-...", "{location:NL-TrustedNetworks}": "..." }</w:t>
      </w:r>
      <w:r>
        <w:br/>
      </w:r>
      <w:r>
        <w:rPr>
          <w:rStyle w:val="VariableTok"/>
        </w:rPr>
        <w:t xml:space="preserve">$map</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Path </w:t>
      </w:r>
      <w:r>
        <w:rPr>
          <w:rStyle w:val="VariableTok"/>
        </w:rPr>
        <w:t xml:space="preserve">$MapPath</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AsHashtable</w:t>
      </w:r>
      <w:r>
        <w:br/>
      </w:r>
      <w:r>
        <w:br/>
      </w:r>
      <w:r>
        <w:rPr>
          <w:rStyle w:val="VariableTok"/>
        </w:rPr>
        <w:t xml:space="preserve">$existing</w:t>
      </w:r>
      <w:r>
        <w:rPr>
          <w:rStyle w:val="NormalTok"/>
        </w:rPr>
        <w:t xml:space="preserve"> </w:t>
      </w:r>
      <w:r>
        <w:rPr>
          <w:rStyle w:val="OperatorTok"/>
        </w:rPr>
        <w:t xml:space="preserve">=</w:t>
      </w:r>
      <w:r>
        <w:rPr>
          <w:rStyle w:val="NormalTok"/>
        </w:rPr>
        <w:t xml:space="preserve"> Get-MgIdentityConditionalAccessPolicy </w:t>
      </w:r>
      <w:r>
        <w:rPr>
          <w:rStyle w:val="OperatorTok"/>
        </w:rPr>
        <w:t xml:space="preserve">-</w:t>
      </w:r>
      <w:r>
        <w:rPr>
          <w:rStyle w:val="NormalTok"/>
        </w:rPr>
        <w:t xml:space="preserve">All</w:t>
      </w:r>
      <w:r>
        <w:br/>
      </w:r>
      <w:r>
        <w:br/>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$TemplatePath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$json</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$key</w:t>
      </w:r>
      <w:r>
        <w:rPr>
          <w:rStyle w:val="NormalTok"/>
        </w:rPr>
        <w:t xml:space="preserve"> </w:t>
      </w:r>
      <w:r>
        <w:rPr>
          <w:rStyle w:val="KeywordTok"/>
        </w:rPr>
        <w:t xml:space="preserve">in</w:t>
      </w:r>
      <w:r>
        <w:rPr>
          <w:rStyle w:val="NormalTok"/>
        </w:rPr>
        <w:t xml:space="preserve"> </w:t>
      </w:r>
      <w:r>
        <w:rPr>
          <w:rStyle w:val="VariableTok"/>
        </w:rPr>
        <w:t xml:space="preserve">$map</w:t>
      </w:r>
      <w:r>
        <w:rPr>
          <w:rStyle w:val="OperatorTok"/>
        </w:rPr>
        <w:t xml:space="preserve">.</w:t>
      </w:r>
      <w:r>
        <w:rPr>
          <w:rStyle w:val="FunctionTok"/>
        </w:rPr>
        <w:t xml:space="preserve">Keys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$json</w:t>
      </w:r>
      <w:r>
        <w:rPr>
          <w:rStyle w:val="NormalTok"/>
        </w:rPr>
        <w:t xml:space="preserve"> </w:t>
      </w:r>
      <w:r>
        <w:rPr>
          <w:rStyle w:val="OperatorTok"/>
        </w:rPr>
        <w:t xml:space="preserve">=</w:t>
      </w:r>
      <w:r>
        <w:rPr>
          <w:rStyle w:val="NormalTok"/>
        </w:rPr>
        <w:t xml:space="preserve"> </w:t>
      </w:r>
      <w:r>
        <w:rPr>
          <w:rStyle w:val="VariableTok"/>
        </w:rPr>
        <w:t xml:space="preserve">$json</w:t>
      </w:r>
      <w:r>
        <w:rPr>
          <w:rStyle w:val="OperatorTok"/>
        </w:rPr>
        <w:t xml:space="preserve">.</w:t>
      </w:r>
      <w:r>
        <w:rPr>
          <w:rStyle w:val="FunctionTok"/>
        </w:rPr>
        <w:t xml:space="preserve">Replace</w:t>
      </w:r>
      <w:r>
        <w:rPr>
          <w:rStyle w:val="OperatorTok"/>
        </w:rPr>
        <w:t xml:space="preserve">(</w:t>
      </w:r>
      <w:r>
        <w:rPr>
          <w:rStyle w:val="VariableTok"/>
        </w:rPr>
        <w:t xml:space="preserve">$key</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$json</w:t>
      </w:r>
      <w:r>
        <w:rPr>
          <w:rStyle w:val="NormalTok"/>
        </w:rPr>
        <w:t xml:space="preserve"> </w:t>
      </w:r>
      <w:r>
        <w:rPr>
          <w:rStyle w:val="OperatorTok"/>
        </w:rPr>
        <w:t xml:space="preserve">-match</w:t>
      </w:r>
      <w:r>
        <w:rPr>
          <w:rStyle w:val="NormalTok"/>
        </w:rPr>
        <w:t xml:space="preserve"> </w:t>
      </w:r>
      <w:r>
        <w:rPr>
          <w:rStyle w:val="StringTok"/>
        </w:rPr>
        <w:t xml:space="preserve">'\{(group|location|tenant|app|strength|terms|sp):'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"Unresolved placeholder in </w:t>
      </w:r>
      <w:r>
        <w:rPr>
          <w:rStyle w:val="OperatorTok"/>
        </w:rPr>
        <w:t xml:space="preserve">$(</w:t>
      </w:r>
      <w:r>
        <w:rPr>
          <w:rStyle w:val="VariableTok"/>
        </w:rPr>
        <w:t xml:space="preserve">$file</w:t>
      </w:r>
      <w:r>
        <w:rPr>
          <w:rStyle w:val="OperatorTok"/>
        </w:rPr>
        <w:t xml:space="preserve">.</w:t>
      </w:r>
      <w:r>
        <w:rPr>
          <w:rStyle w:val="FunctionTok"/>
        </w:rPr>
        <w:t xml:space="preserve">Name</w:t>
      </w:r>
      <w:r>
        <w:rPr>
          <w:rStyle w:val="OperatorTok"/>
        </w:rPr>
        <w:t xml:space="preserve">)</w:t>
      </w:r>
      <w:r>
        <w:rPr>
          <w:rStyle w:val="StringTok"/>
        </w:rPr>
        <w:t xml:space="preserve">; skipped."</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VariableTok"/>
        </w:rPr>
        <w:t xml:space="preserve">$json</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AsHashtable</w:t>
      </w:r>
      <w:r>
        <w:br/>
      </w:r>
      <w:r>
        <w:rPr>
          <w:rStyle w:val="NormalTok"/>
        </w:rPr>
        <w:t xml:space="preserve">    </w:t>
      </w:r>
      <w:r>
        <w:rPr>
          <w:rStyle w:val="VariableTok"/>
        </w:rPr>
        <w:t xml:space="preserve">$body</w:t>
      </w:r>
      <w:r>
        <w:rPr>
          <w:rStyle w:val="OperatorTok"/>
        </w:rPr>
        <w:t xml:space="preserve">[</w:t>
      </w:r>
      <w:r>
        <w:rPr>
          <w:rStyle w:val="StringTok"/>
        </w:rPr>
        <w:t xml:space="preserve">'state'</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'enabledForReportingButNotEnforced'</w:t>
      </w:r>
      <w:r>
        <w:rPr>
          <w:rStyle w:val="NormalTok"/>
        </w:rPr>
        <w:t xml:space="preserve">   </w:t>
      </w:r>
      <w:r>
        <w:rPr>
          <w:rStyle w:val="CommentTok"/>
        </w:rPr>
        <w:t xml:space="preserve"># never enforce from the pipeline</w:t>
      </w:r>
      <w:r>
        <w:br/>
      </w:r>
      <w:r>
        <w:br/>
      </w:r>
      <w:r>
        <w:rPr>
          <w:rStyle w:val="NormalTok"/>
        </w:rPr>
        <w:t xml:space="preserve">    </w:t>
      </w:r>
      <w:r>
        <w:rPr>
          <w:rStyle w:val="VariableTok"/>
        </w:rPr>
        <w:t xml:space="preserve">$match</w:t>
      </w:r>
      <w:r>
        <w:rPr>
          <w:rStyle w:val="NormalTok"/>
        </w:rPr>
        <w:t xml:space="preserve"> </w:t>
      </w:r>
      <w:r>
        <w:rPr>
          <w:rStyle w:val="OperatorTok"/>
        </w:rPr>
        <w:t xml:space="preserve">=</w:t>
      </w:r>
      <w:r>
        <w:rPr>
          <w:rStyle w:val="NormalTok"/>
        </w:rPr>
        <w:t xml:space="preserve"> </w:t>
      </w:r>
      <w:r>
        <w:rPr>
          <w:rStyle w:val="VariableTok"/>
        </w:rPr>
        <w:t xml:space="preserve">$existing</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NormalTok"/>
        </w:rPr>
        <w:t xml:space="preserve"> </w:t>
      </w:r>
      <w:r>
        <w:rPr>
          <w:rStyle w:val="OperatorTok"/>
        </w:rPr>
        <w:t xml:space="preserve">-eq</w:t>
      </w:r>
      <w:r>
        <w:rPr>
          <w:rStyle w:val="NormalTok"/>
        </w:rPr>
        <w:t xml:space="preserve"> </w:t>
      </w:r>
      <w:r>
        <w:rPr>
          <w:rStyle w:val="VariableTok"/>
        </w:rPr>
        <w:t xml:space="preserve">$body</w:t>
      </w:r>
      <w:r>
        <w:rPr>
          <w:rStyle w:val="OperatorTok"/>
        </w:rPr>
        <w:t xml:space="preserve">[</w:t>
      </w:r>
      <w:r>
        <w:rPr>
          <w:rStyle w:val="StringTok"/>
        </w:rPr>
        <w:t xml:space="preserve">'displayName'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$match</w:t>
      </w:r>
      <w:r>
        <w:rPr>
          <w:rStyle w:val="OperatorTok"/>
        </w:rPr>
        <w:t xml:space="preserve">)</w:t>
      </w:r>
      <w:r>
        <w:rPr>
          <w:rStyle w:val="NormalTok"/>
        </w:rPr>
        <w:t xml:space="preserve"> </w:t>
      </w:r>
      <w:r>
        <w:rPr>
          <w:rStyle w:val="OperatorTok"/>
        </w:rPr>
        <w:t xml:space="preserve">{</w:t>
      </w:r>
      <w:r>
        <w:br/>
      </w:r>
      <w:r>
        <w:rPr>
          <w:rStyle w:val="NormalTok"/>
        </w:rPr>
        <w:t xml:space="preserve">        Update-MgIdentityConditionalAccessPolicy </w:t>
      </w:r>
      <w:r>
        <w:rPr>
          <w:rStyle w:val="OperatorTok"/>
        </w:rPr>
        <w:t xml:space="preserve">-</w:t>
      </w:r>
      <w:r>
        <w:rPr>
          <w:rStyle w:val="NormalTok"/>
        </w:rPr>
        <w:t xml:space="preserve">ConditionalAccessPolicyId </w:t>
      </w:r>
      <w:r>
        <w:rPr>
          <w:rStyle w:val="VariableTok"/>
        </w:rPr>
        <w:t xml:space="preserve">$match</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BodyParameter </w:t>
      </w:r>
      <w:r>
        <w:rPr>
          <w:rStyle w:val="VariableTok"/>
        </w:rPr>
        <w:t xml:space="preserve">$body</w:t>
      </w:r>
      <w:r>
        <w:br/>
      </w:r>
      <w:r>
        <w:rPr>
          <w:rStyle w:val="NormalTok"/>
        </w:rPr>
        <w:t xml:space="preserve">        </w:t>
      </w:r>
      <w:r>
        <w:rPr>
          <w:rStyle w:val="FunctionTok"/>
        </w:rPr>
        <w:t xml:space="preserve">Write-Output</w:t>
      </w:r>
      <w:r>
        <w:rPr>
          <w:rStyle w:val="NormalTok"/>
        </w:rPr>
        <w:t xml:space="preserve"> </w:t>
      </w:r>
      <w:r>
        <w:rPr>
          <w:rStyle w:val="StringTok"/>
        </w:rPr>
        <w:t xml:space="preserve">"Updated (report-only): </w:t>
      </w:r>
      <w:r>
        <w:rPr>
          <w:rStyle w:val="OperatorTok"/>
        </w:rPr>
        <w:t xml:space="preserve">$(</w:t>
      </w:r>
      <w:r>
        <w:rPr>
          <w:rStyle w:val="VariableTok"/>
        </w:rPr>
        <w:t xml:space="preserve">$body</w:t>
      </w:r>
      <w:r>
        <w:rPr>
          <w:rStyle w:val="OperatorTok"/>
        </w:rPr>
        <w:t xml:space="preserve">[</w:t>
      </w:r>
      <w:r>
        <w:rPr>
          <w:rStyle w:val="StringTok"/>
        </w:rPr>
        <w:t xml:space="preserve">'displayName'</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$body</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FunctionTok"/>
        </w:rPr>
        <w:t xml:space="preserve">Write-Output</w:t>
      </w:r>
      <w:r>
        <w:rPr>
          <w:rStyle w:val="NormalTok"/>
        </w:rPr>
        <w:t xml:space="preserve"> </w:t>
      </w:r>
      <w:r>
        <w:rPr>
          <w:rStyle w:val="StringTok"/>
        </w:rPr>
        <w:t xml:space="preserve">"Created (report-only): </w:t>
      </w:r>
      <w:r>
        <w:rPr>
          <w:rStyle w:val="OperatorTok"/>
        </w:rPr>
        <w:t xml:space="preserve">$(</w:t>
      </w:r>
      <w:r>
        <w:rPr>
          <w:rStyle w:val="VariableTok"/>
        </w:rPr>
        <w:t xml:space="preserve">$body</w:t>
      </w:r>
      <w:r>
        <w:rPr>
          <w:rStyle w:val="OperatorTok"/>
        </w:rPr>
        <w:t xml:space="preserve">[</w:t>
      </w:r>
      <w:r>
        <w:rPr>
          <w:rStyle w:val="StringTok"/>
        </w:rPr>
        <w:t xml:space="preserve">'displayName'</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Two cautions. The update branch sets a policy that is already enforced back to report-only, which is intended for the pipeline’s review loop but means the pipeline must never run against production policies without the change process that re-enforces them (Chapter 10). And protected actions, if enabled for Conditional Access, require the pipeline identity to satisfy their authentication context (Book 02, Chapter 09). To export the live set for comparison,</w:t>
      </w:r>
      <w:r>
        <w:t xml:space="preserve"> </w:t>
      </w:r>
      <w:r>
        <w:rPr>
          <w:rStyle w:val="VerbatimChar"/>
        </w:rPr>
        <w:t xml:space="preserve">Get-MgIdentityConditionalAccessPolicy -All | ConvertTo-Json -Depth 10</w:t>
      </w:r>
      <w:r>
        <w:t xml:space="preserve"> </w:t>
      </w:r>
      <w:r>
        <w:t xml:space="preserve">produces the same shape.</w:t>
      </w:r>
    </w:p>
    <w:bookmarkEnd w:id="1087"/>
    <w:bookmarkStart w:id="1094" w:name="supporting-objects"/>
    <w:p>
      <w:pPr>
        <w:pStyle w:val="Heading2"/>
      </w:pPr>
      <w:bookmarkStart w:id="1283" w:name="_Toc00001283"/>
      <w:r>
        <w:t xml:space="preserve">Supporting objects</w:t>
      </w:r>
      <w:bookmarkEnd w:id="1283"/>
    </w:p>
    <w:bookmarkStart w:id="1091" w:name="named-locations"/>
    <w:p>
      <w:pPr>
        <w:pStyle w:val="Heading3"/>
      </w:pPr>
      <w:r>
        <w:t xml:space="preserve">Named locations</w:t>
      </w:r>
    </w:p>
    <w:p>
      <w:pPr>
        <w:pStyle w:val="FirstParagraph"/>
      </w:pPr>
      <w:r>
        <w:t xml:space="preserve">An IP location, marked trusted. CIDR masks must be longer than /8, with up to 2,000 ranges per location.</w:t>
      </w:r>
      <w:r>
        <w:rPr>
          <w:rStyle w:val="FootnoteReference"/>
        </w:rPr>
        <w:footnoteReference w:id="1088"/>
      </w:r>
      <w:r>
        <w:t xml:space="preserve"> </w:t>
      </w:r>
      <w:r>
        <w:t xml:space="preserve">The ranges are documentation examples.</w:t>
      </w:r>
    </w:p>
    <w:p>
      <w:pPr>
        <w:pStyle w:val="SourceCode"/>
      </w:pP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"#microsoft.graph.ipNamedLocation"</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"NL-TrustedNetworks"</w:t>
      </w:r>
      <w:r>
        <w:rPr>
          <w:rStyle w:val="FunctionTok"/>
        </w:rPr>
        <w:t xml:space="preserve">,</w:t>
      </w:r>
      <w:r>
        <w:br/>
      </w:r>
      <w:r>
        <w:rPr>
          <w:rStyle w:val="NormalTok"/>
        </w:rPr>
        <w:t xml:space="preserve">  </w:t>
      </w:r>
      <w:r>
        <w:rPr>
          <w:rStyle w:val="DataTypeTok"/>
        </w:rPr>
        <w:t xml:space="preserve">"isTrusted"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"ipRanges"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"#microsoft.graph.iPv4CidrRange"</w:t>
      </w:r>
      <w:r>
        <w:rPr>
          <w:rStyle w:val="FunctionTok"/>
        </w:rPr>
        <w:t xml:space="preserve">,</w:t>
      </w:r>
      <w:r>
        <w:rPr>
          <w:rStyle w:val="NormalTok"/>
        </w:rPr>
        <w:t xml:space="preserve"> </w:t>
      </w:r>
      <w:r>
        <w:rPr>
          <w:rStyle w:val="DataTypeTok"/>
        </w:rPr>
        <w:t xml:space="preserve">"cidrAddress"</w:t>
      </w:r>
      <w:r>
        <w:rPr>
          <w:rStyle w:val="FunctionTok"/>
        </w:rPr>
        <w:t xml:space="preserve">:</w:t>
      </w:r>
      <w:r>
        <w:rPr>
          <w:rStyle w:val="NormalTok"/>
        </w:rPr>
        <w:t xml:space="preserve"> </w:t>
      </w:r>
      <w:r>
        <w:rPr>
          <w:rStyle w:val="StringTok"/>
        </w:rPr>
        <w:t xml:space="preserve">"203.0.113.0/24"</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"#microsoft.graph.iPv4CidrRange"</w:t>
      </w:r>
      <w:r>
        <w:rPr>
          <w:rStyle w:val="FunctionTok"/>
        </w:rPr>
        <w:t xml:space="preserve">,</w:t>
      </w:r>
      <w:r>
        <w:rPr>
          <w:rStyle w:val="NormalTok"/>
        </w:rPr>
        <w:t xml:space="preserve"> </w:t>
      </w:r>
      <w:r>
        <w:rPr>
          <w:rStyle w:val="DataTypeTok"/>
        </w:rPr>
        <w:t xml:space="preserve">"cidrAddress"</w:t>
      </w:r>
      <w:r>
        <w:rPr>
          <w:rStyle w:val="FunctionTok"/>
        </w:rPr>
        <w:t xml:space="preserve">:</w:t>
      </w:r>
      <w:r>
        <w:rPr>
          <w:rStyle w:val="NormalTok"/>
        </w:rPr>
        <w:t xml:space="preserve"> </w:t>
      </w:r>
      <w:r>
        <w:rPr>
          <w:rStyle w:val="StringTok"/>
        </w:rPr>
        <w:t xml:space="preserve">"198.51.100.0/24"</w:t>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p>
      <w:pPr>
        <w:pStyle w:val="FirstParagraph"/>
      </w:pPr>
      <w:r>
        <w:t xml:space="preserve">A country location. The source library listed six countries; the program’s standard is the United States only, with travel handled by an exclusion group (Chapter 07).</w:t>
      </w:r>
    </w:p>
    <w:p>
      <w:pPr>
        <w:pStyle w:val="SourceCode"/>
      </w:pP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"#microsoft.graph.countryNamedLocation"</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"NL-TrustedCountries"</w:t>
      </w:r>
      <w:r>
        <w:rPr>
          <w:rStyle w:val="FunctionTok"/>
        </w:rPr>
        <w:t xml:space="preserve">,</w:t>
      </w:r>
      <w:r>
        <w:br/>
      </w:r>
      <w:r>
        <w:rPr>
          <w:rStyle w:val="NormalTok"/>
        </w:rPr>
        <w:t xml:space="preserve">  </w:t>
      </w:r>
      <w:r>
        <w:rPr>
          <w:rStyle w:val="DataTypeTok"/>
        </w:rPr>
        <w:t xml:space="preserve">"countriesAndRegions"</w:t>
      </w:r>
      <w:r>
        <w:rPr>
          <w:rStyle w:val="FunctionTok"/>
        </w:rPr>
        <w:t xml:space="preserve">:</w:t>
      </w:r>
      <w:r>
        <w:rPr>
          <w:rStyle w:val="NormalTok"/>
        </w:rPr>
        <w:t xml:space="preserve"> </w:t>
      </w:r>
      <w:r>
        <w:rPr>
          <w:rStyle w:val="OtherTok"/>
        </w:rPr>
        <w:t xml:space="preserve">[</w:t>
      </w:r>
      <w:r>
        <w:rPr>
          <w:rStyle w:val="StringTok"/>
        </w:rPr>
        <w:t xml:space="preserve">"US"</w:t>
      </w:r>
      <w:r>
        <w:rPr>
          <w:rStyle w:val="OtherTok"/>
        </w:rPr>
        <w:t xml:space="preserve">]</w:t>
      </w:r>
      <w:r>
        <w:rPr>
          <w:rStyle w:val="FunctionTok"/>
        </w:rPr>
        <w:t xml:space="preserve">,</w:t>
      </w:r>
      <w:r>
        <w:br/>
      </w:r>
      <w:r>
        <w:rPr>
          <w:rStyle w:val="NormalTok"/>
        </w:rPr>
        <w:t xml:space="preserve">  </w:t>
      </w:r>
      <w:r>
        <w:rPr>
          <w:rStyle w:val="DataTypeTok"/>
        </w:rPr>
        <w:t xml:space="preserve">"includeUnknownCountriesAndRegions"</w:t>
      </w:r>
      <w:r>
        <w:rPr>
          <w:rStyle w:val="FunctionTok"/>
        </w:rPr>
        <w:t xml:space="preserve">:</w:t>
      </w:r>
      <w:r>
        <w:rPr>
          <w:rStyle w:val="NormalTok"/>
        </w:rPr>
        <w:t xml:space="preserve"> </w:t>
      </w:r>
      <w:r>
        <w:rPr>
          <w:rStyle w:val="KeywordTok"/>
        </w:rPr>
        <w:t xml:space="preserve">false</w:t>
      </w:r>
      <w:r>
        <w:br/>
      </w:r>
      <w:r>
        <w:rPr>
          <w:rStyle w:val="FunctionTok"/>
        </w:rPr>
        <w:t xml:space="preserve">}</w:t>
      </w:r>
    </w:p>
    <w:p>
      <w:pPr>
        <w:pStyle w:val="FirstParagraph"/>
      </w:pPr>
      <w:r>
        <w:t xml:space="preserve">Both are created with</w:t>
      </w:r>
      <w:r>
        <w:t xml:space="preserve"> </w:t>
      </w:r>
      <w:r>
        <w:rPr>
          <w:rStyle w:val="VerbatimChar"/>
        </w:rPr>
        <w:t xml:space="preserve">New-MgIdentityConditionalAccessNamedLocation -BodyParameter</w:t>
      </w:r>
      <w:r>
        <w:t xml:space="preserve">.</w:t>
      </w:r>
      <w:r>
        <w:rPr>
          <w:rStyle w:val="FootnoteReference"/>
        </w:rPr>
        <w:footnoteReference w:id="1089"/>
      </w:r>
      <w:r>
        <w:t xml:space="preserve"> </w:t>
      </w:r>
      <w:r>
        <w:rPr>
          <w:rStyle w:val="VerbatimChar"/>
        </w:rPr>
        <w:t xml:space="preserve">NL-WorkloadEgress</w:t>
      </w:r>
      <w:r>
        <w:t xml:space="preserve"> </w:t>
      </w:r>
      <w:r>
        <w:t xml:space="preserve">has the same shape as</w:t>
      </w:r>
      <w:r>
        <w:t xml:space="preserve"> </w:t>
      </w:r>
      <w:r>
        <w:rPr>
          <w:rStyle w:val="VerbatimChar"/>
        </w:rPr>
        <w:t xml:space="preserve">NL-TrustedNetworks</w:t>
      </w:r>
      <w:r>
        <w:t xml:space="preserve">, holding only the ranges workloads call from.</w:t>
      </w:r>
    </w:p>
    <w:bookmarkEnd w:id="1091"/>
    <w:bookmarkStart w:id="1093" w:name="custom-authentication-strength"/>
    <w:p>
      <w:pPr>
        <w:pStyle w:val="Heading3"/>
      </w:pPr>
      <w:r>
        <w:t xml:space="preserve">Custom authentication strength</w:t>
      </w:r>
    </w:p>
    <w:p>
      <w:pPr>
        <w:pStyle w:val="FirstParagraph"/>
      </w:pPr>
      <w:r>
        <w:rPr>
          <w:rStyle w:val="VerbatimChar"/>
        </w:rPr>
        <w:t xml:space="preserve">FMP-Privileged-SeparateDevice</w:t>
      </w:r>
      <w:r>
        <w:t xml:space="preserve">, for CA003 and CA026: FIDO2 security keys from an approved list of models, or certificate-based authentication configured as multifactor. Windows Hello for Business is left out by design (Chapter 07). The AAGUIDs are placeholders for the key models the agency approves.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"FMP-Privileged-SeparateDevice"</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"Approved FIDO2 security keys or multifactor certificate-based authentication (PIV/CAC). For privileged roles."</w:t>
      </w:r>
      <w:r>
        <w:rPr>
          <w:rStyle w:val="FunctionTok"/>
        </w:rPr>
        <w:t xml:space="preserve">,</w:t>
      </w:r>
      <w:r>
        <w:br/>
      </w:r>
      <w:r>
        <w:rPr>
          <w:rStyle w:val="NormalTok"/>
        </w:rPr>
        <w:t xml:space="preserve">  </w:t>
      </w:r>
      <w:r>
        <w:rPr>
          <w:rStyle w:val="DataTypeTok"/>
        </w:rPr>
        <w:t xml:space="preserve">"requirementsSatisfied"</w:t>
      </w:r>
      <w:r>
        <w:rPr>
          <w:rStyle w:val="FunctionTok"/>
        </w:rPr>
        <w:t xml:space="preserve">:</w:t>
      </w:r>
      <w:r>
        <w:rPr>
          <w:rStyle w:val="NormalTok"/>
        </w:rPr>
        <w:t xml:space="preserve"> </w:t>
      </w:r>
      <w:r>
        <w:rPr>
          <w:rStyle w:val="StringTok"/>
        </w:rPr>
        <w:t xml:space="preserve">"mfa"</w:t>
      </w:r>
      <w:r>
        <w:rPr>
          <w:rStyle w:val="FunctionTok"/>
        </w:rPr>
        <w:t xml:space="preserve">,</w:t>
      </w:r>
      <w:r>
        <w:br/>
      </w:r>
      <w:r>
        <w:rPr>
          <w:rStyle w:val="NormalTok"/>
        </w:rPr>
        <w:t xml:space="preserve">  </w:t>
      </w:r>
      <w:r>
        <w:rPr>
          <w:rStyle w:val="DataTypeTok"/>
        </w:rPr>
        <w:t xml:space="preserve">"allowedCombinations"</w:t>
      </w:r>
      <w:r>
        <w:rPr>
          <w:rStyle w:val="FunctionTok"/>
        </w:rPr>
        <w:t xml:space="preserve">:</w:t>
      </w:r>
      <w:r>
        <w:rPr>
          <w:rStyle w:val="NormalTok"/>
        </w:rPr>
        <w:t xml:space="preserve"> </w:t>
      </w:r>
      <w:r>
        <w:rPr>
          <w:rStyle w:val="OtherTok"/>
        </w:rPr>
        <w:t xml:space="preserve">[</w:t>
      </w:r>
      <w:r>
        <w:rPr>
          <w:rStyle w:val="StringTok"/>
        </w:rPr>
        <w:t xml:space="preserve">"fido2"</w:t>
      </w:r>
      <w:r>
        <w:rPr>
          <w:rStyle w:val="OtherTok"/>
        </w:rPr>
        <w:t xml:space="preserve">,</w:t>
      </w:r>
      <w:r>
        <w:rPr>
          <w:rStyle w:val="NormalTok"/>
        </w:rPr>
        <w:t xml:space="preserve"> </w:t>
      </w:r>
      <w:r>
        <w:rPr>
          <w:rStyle w:val="StringTok"/>
        </w:rPr>
        <w:t xml:space="preserve">"x509CertificateMultiFactor"</w:t>
      </w:r>
      <w:r>
        <w:rPr>
          <w:rStyle w:val="OtherTok"/>
        </w:rPr>
        <w:t xml:space="preserve">]</w:t>
      </w:r>
      <w:r>
        <w:rPr>
          <w:rStyle w:val="FunctionTok"/>
        </w:rPr>
        <w:t xml:space="preserve">,</w:t>
      </w:r>
      <w:r>
        <w:br/>
      </w:r>
      <w:r>
        <w:rPr>
          <w:rStyle w:val="NormalTok"/>
        </w:rPr>
        <w:t xml:space="preserve">  </w:t>
      </w:r>
      <w:r>
        <w:rPr>
          <w:rStyle w:val="DataTypeTok"/>
        </w:rPr>
        <w:t xml:space="preserve">"combinationConfigurations"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"#microsoft.graph.fido2CombinationConfiguration"</w:t>
      </w:r>
      <w:r>
        <w:rPr>
          <w:rStyle w:val="FunctionTok"/>
        </w:rPr>
        <w:t xml:space="preserve">,</w:t>
      </w:r>
      <w:r>
        <w:br/>
      </w:r>
      <w:r>
        <w:rPr>
          <w:rStyle w:val="NormalTok"/>
        </w:rPr>
        <w:t xml:space="preserve">      </w:t>
      </w:r>
      <w:r>
        <w:rPr>
          <w:rStyle w:val="DataTypeTok"/>
        </w:rPr>
        <w:t xml:space="preserve">"appliesToCombinations"</w:t>
      </w:r>
      <w:r>
        <w:rPr>
          <w:rStyle w:val="FunctionTok"/>
        </w:rPr>
        <w:t xml:space="preserve">:</w:t>
      </w:r>
      <w:r>
        <w:rPr>
          <w:rStyle w:val="NormalTok"/>
        </w:rPr>
        <w:t xml:space="preserve"> </w:t>
      </w:r>
      <w:r>
        <w:rPr>
          <w:rStyle w:val="OtherTok"/>
        </w:rPr>
        <w:t xml:space="preserve">[</w:t>
      </w:r>
      <w:r>
        <w:rPr>
          <w:rStyle w:val="StringTok"/>
        </w:rPr>
        <w:t xml:space="preserve">"fido2"</w:t>
      </w:r>
      <w:r>
        <w:rPr>
          <w:rStyle w:val="OtherTok"/>
        </w:rPr>
        <w:t xml:space="preserve">]</w:t>
      </w:r>
      <w:r>
        <w:rPr>
          <w:rStyle w:val="FunctionTok"/>
        </w:rPr>
        <w:t xml:space="preserve">,</w:t>
      </w:r>
      <w:r>
        <w:br/>
      </w:r>
      <w:r>
        <w:rPr>
          <w:rStyle w:val="NormalTok"/>
        </w:rPr>
        <w:t xml:space="preserve">      </w:t>
      </w:r>
      <w:r>
        <w:rPr>
          <w:rStyle w:val="DataTypeTok"/>
        </w:rPr>
        <w:t xml:space="preserve">"allowedAAGUIDs"</w:t>
      </w:r>
      <w:r>
        <w:rPr>
          <w:rStyle w:val="FunctionTok"/>
        </w:rPr>
        <w:t xml:space="preserve">:</w:t>
      </w:r>
      <w:r>
        <w:rPr>
          <w:rStyle w:val="NormalTok"/>
        </w:rPr>
        <w:t xml:space="preserve"> </w:t>
      </w:r>
      <w:r>
        <w:rPr>
          <w:rStyle w:val="OtherTok"/>
        </w:rPr>
        <w:t xml:space="preserve">[</w:t>
      </w:r>
      <w:r>
        <w:rPr>
          <w:rStyle w:val="StringTok"/>
        </w:rPr>
        <w:t xml:space="preserve">"{aaguid:approved-key-model-1}"</w:t>
      </w:r>
      <w:r>
        <w:rPr>
          <w:rStyle w:val="OtherTok"/>
        </w:rPr>
        <w:t xml:space="preserve">,</w:t>
      </w:r>
      <w:r>
        <w:rPr>
          <w:rStyle w:val="NormalTok"/>
        </w:rPr>
        <w:t xml:space="preserve"> </w:t>
      </w:r>
      <w:r>
        <w:rPr>
          <w:rStyle w:val="StringTok"/>
        </w:rPr>
        <w:t xml:space="preserve">"{aaguid:approved-key-model-2}"</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p>
      <w:pPr>
        <w:pStyle w:val="FirstParagraph"/>
      </w:pPr>
      <w:r>
        <w:t xml:space="preserve">It is created with</w:t>
      </w:r>
      <w:r>
        <w:t xml:space="preserve"> </w:t>
      </w:r>
      <w:r>
        <w:rPr>
          <w:rStyle w:val="VerbatimChar"/>
        </w:rPr>
        <w:t xml:space="preserve">New-MgPolicyAuthenticationStrengthPolicy -BodyParameter</w:t>
      </w:r>
      <w:r>
        <w:t xml:space="preserve">, which accepts this shape including the FIDO2 combination configuration.</w:t>
      </w:r>
      <w:r>
        <w:rPr>
          <w:rStyle w:val="FootnoteReference"/>
        </w:rPr>
        <w:footnoteReference w:id="1092"/>
      </w:r>
      <w:r>
        <w:t xml:space="preserve"> </w:t>
      </w:r>
      <w:r>
        <w:t xml:space="preserve">The policies reference it as</w:t>
      </w:r>
      <w:r>
        <w:t xml:space="preserve"> </w:t>
      </w:r>
      <w:r>
        <w:rPr>
          <w:rStyle w:val="VerbatimChar"/>
        </w:rPr>
        <w:t xml:space="preserve">{strength:FMP-Privileged-SeparateDevice}</w:t>
      </w:r>
      <w:r>
        <w:t xml:space="preserve">. The source library’s custom strength allowed FIDO2 only, which would have locked PIV holders out of privileged roles.</w:t>
      </w:r>
    </w:p>
    <w:bookmarkEnd w:id="1093"/>
    <w:bookmarkEnd w:id="1094"/>
    <w:bookmarkStart w:id="1117" w:name="policy-templates"/>
    <w:p>
      <w:pPr>
        <w:pStyle w:val="Heading2"/>
      </w:pPr>
      <w:bookmarkStart w:id="1284" w:name="_Toc00001284"/>
      <w:r>
        <w:t xml:space="preserve">Policy templates</w:t>
      </w:r>
      <w:bookmarkEnd w:id="1284"/>
    </w:p>
    <w:p>
      <w:pPr>
        <w:pStyle w:val="FirstParagraph"/>
      </w:pPr>
      <w:r>
        <w:t xml:space="preserve">Every template excludes the emergency access group. Templates are grouped by the wave in Chapter 07.</w:t>
      </w:r>
    </w:p>
    <w:bookmarkStart w:id="1096" w:name="wave-1-foundation-1"/>
    <w:p>
      <w:pPr>
        <w:pStyle w:val="Heading3"/>
      </w:pPr>
      <w:r>
        <w:t xml:space="preserve">Wave 1: foundation</w:t>
      </w:r>
    </w:p>
    <w:p>
      <w:pPr>
        <w:pStyle w:val="FirstParagraph"/>
      </w:pPr>
      <w:r>
        <w:t xml:space="preserve">CA001, block legacy authentication (MS.AAD.1.1):</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"CA001-AllUsers-BlockLegacyAuth"</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"exchangeActiveSync"</w:t>
      </w:r>
      <w:r>
        <w:rPr>
          <w:rStyle w:val="OtherTok"/>
        </w:rPr>
        <w:t xml:space="preserve">,</w:t>
      </w:r>
      <w:r>
        <w:rPr>
          <w:rStyle w:val="NormalTok"/>
        </w:rPr>
        <w:t xml:space="preserve"> </w:t>
      </w:r>
      <w:r>
        <w:rPr>
          <w:rStyle w:val="StringTok"/>
        </w:rPr>
        <w:t xml:space="preserve">"other"</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CA020, managed device to register security information. The</w:t>
      </w:r>
      <w:r>
        <w:t xml:space="preserve"> </w:t>
      </w:r>
      <w:r>
        <w:rPr>
          <w:rStyle w:val="VerbatimChar"/>
        </w:rPr>
        <w:t xml:space="preserve">excludeGuestsOrExternalUsers</w:t>
      </w:r>
      <w:r>
        <w:t xml:space="preserve"> </w:t>
      </w:r>
      <w:r>
        <w:t xml:space="preserve">block is the</w:t>
      </w:r>
      <w:r>
        <w:t xml:space="preserve"> </w:t>
      </w:r>
      <w:r>
        <w:t xml:space="preserve">“Members”</w:t>
      </w:r>
      <w:r>
        <w:t xml:space="preserve"> </w:t>
      </w:r>
      <w:r>
        <w:t xml:space="preserve">scope used throughout: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"CA020-Members-SecurityInfoRegistration-RequireManagedDevice"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"{group:CA-Exclude-RegistrationOnboarding}"</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"includeUserActions"</w:t>
      </w:r>
      <w:r>
        <w:rPr>
          <w:rStyle w:val="FunctionTok"/>
        </w:rPr>
        <w:t xml:space="preserve">:</w:t>
      </w:r>
      <w:r>
        <w:rPr>
          <w:rStyle w:val="NormalTok"/>
        </w:rPr>
        <w:t xml:space="preserve"> </w:t>
      </w:r>
      <w:r>
        <w:rPr>
          <w:rStyle w:val="OtherTok"/>
        </w:rPr>
        <w:t xml:space="preserve">[</w:t>
      </w:r>
      <w:r>
        <w:rPr>
          <w:rStyle w:val="StringTok"/>
        </w:rPr>
        <w:t xml:space="preserve">"urn:user:registersecurityinfo"</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StringTok"/>
        </w:rPr>
        <w:t xml:space="preserve">"domainJoinedDevice"</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CA021, block device code flow and authentication transfer. If devices register through device code flow, add the Device Registration Service,</w:t>
      </w:r>
      <w:r>
        <w:t xml:space="preserve"> </w:t>
      </w:r>
      <w:r>
        <w:rPr>
          <w:rStyle w:val="VerbatimChar"/>
        </w:rPr>
        <w:t xml:space="preserve">01cb2876-7ebd-4aa4-9cc9-d28bd4d359a9</w:t>
      </w:r>
      <w:r>
        <w:t xml:space="preserve">, to</w:t>
      </w:r>
      <w:r>
        <w:t xml:space="preserve"> </w:t>
      </w:r>
      <w:r>
        <w:rPr>
          <w:rStyle w:val="VerbatimChar"/>
        </w:rPr>
        <w:t xml:space="preserve">excludeApplications</w:t>
      </w:r>
      <w:r>
        <w:t xml:space="preserve">.</w:t>
      </w:r>
      <w:r>
        <w:rPr>
          <w:rStyle w:val="FootnoteReference"/>
        </w:rPr>
        <w:footnoteReference w:id="1095"/>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"CA021-AllUsers-BlockDeviceCodeFlowAndAuthTransfer"</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"{group:CA-Exclude-DeviceCodeFlow}"</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"authenticationFlows"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"transferMethods"</w:t>
      </w:r>
      <w:r>
        <w:rPr>
          <w:rStyle w:val="FunctionTok"/>
        </w:rPr>
        <w:t xml:space="preserve">:</w:t>
      </w:r>
      <w:r>
        <w:rPr>
          <w:rStyle w:val="NormalTok"/>
        </w:rPr>
        <w:t xml:space="preserve"> </w:t>
      </w:r>
      <w:r>
        <w:rPr>
          <w:rStyle w:val="StringTok"/>
        </w:rPr>
        <w:t xml:space="preserve">"deviceCodeFlow,authenticationTransfer"</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CA090, the permanent report-only coverage probe. It excludes no one, and the program’s pipeline rejects any change that sets its state to</w:t>
      </w:r>
      <w:r>
        <w:t xml:space="preserve"> </w:t>
      </w:r>
      <w:r>
        <w:rPr>
          <w:rStyle w:val="VerbatimChar"/>
        </w:rPr>
        <w:t xml:space="preserve">enabled</w:t>
      </w:r>
      <w:r>
        <w:t xml:space="preserve">. (The admin center insists on at least one exclusion for some all-users policies; if the tenant rejects the policy without one, exclude a non-privileged test account and record it.)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"CA090-AllUsers-ReportOnly-CoverageProbe"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"00000000-0000-0000-0000-000000000004"</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bookmarkEnd w:id="1096"/>
    <w:bookmarkStart w:id="1102" w:name="wave-2-administrators-1"/>
    <w:p>
      <w:pPr>
        <w:pStyle w:val="Heading3"/>
      </w:pPr>
      <w:r>
        <w:t xml:space="preserve">Wave 2: administrators</w:t>
      </w:r>
    </w:p>
    <w:p>
      <w:pPr>
        <w:pStyle w:val="FirstParagraph"/>
      </w:pPr>
      <w:r>
        <w:t xml:space="preserve">CA003, phishing-resistant separate-device MFA for administrators, by group and by role (MS.AAD.3.6):</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"CA003-Admins-RequirePhishResistantMFA"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br/>
      </w:r>
      <w:r>
        <w:rPr>
          <w:rStyle w:val="NormalTok"/>
        </w:rPr>
        <w:t xml:space="preserve">      </w:t>
      </w:r>
      <w:r>
        <w:rPr>
          <w:rStyle w:val="DataTypeTok"/>
        </w:rPr>
        <w:t xml:space="preserve">"includeRoles"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"62e90394-69f5-4237-9190-012177145e10"</w:t>
      </w:r>
      <w:r>
        <w:rPr>
          <w:rStyle w:val="OtherTok"/>
        </w:rPr>
        <w:t xml:space="preserve">,</w:t>
      </w:r>
      <w:r>
        <w:br/>
      </w:r>
      <w:r>
        <w:rPr>
          <w:rStyle w:val="NormalTok"/>
        </w:rPr>
        <w:t xml:space="preserve">        </w:t>
      </w:r>
      <w:r>
        <w:rPr>
          <w:rStyle w:val="StringTok"/>
        </w:rPr>
        <w:t xml:space="preserve">"e8611ab8-c189-46e8-94e1-60213ab1f814"</w:t>
      </w:r>
      <w:r>
        <w:rPr>
          <w:rStyle w:val="OtherTok"/>
        </w:rPr>
        <w:t xml:space="preserve">,</w:t>
      </w:r>
      <w:r>
        <w:br/>
      </w:r>
      <w:r>
        <w:rPr>
          <w:rStyle w:val="NormalTok"/>
        </w:rPr>
        <w:t xml:space="preserve">        </w:t>
      </w:r>
      <w:r>
        <w:rPr>
          <w:rStyle w:val="StringTok"/>
        </w:rPr>
        <w:t xml:space="preserve">"7be44c8a-adaf-4e2a-84d6-ab2649e08a13"</w:t>
      </w:r>
      <w:r>
        <w:rPr>
          <w:rStyle w:val="OtherTok"/>
        </w:rPr>
        <w:t xml:space="preserve">,</w:t>
      </w:r>
      <w:r>
        <w:br/>
      </w:r>
      <w:r>
        <w:rPr>
          <w:rStyle w:val="NormalTok"/>
        </w:rPr>
        <w:t xml:space="preserve">        </w:t>
      </w:r>
      <w:r>
        <w:rPr>
          <w:rStyle w:val="StringTok"/>
        </w:rPr>
        <w:t xml:space="preserve">"194ae4cb-b126-40b2-bd5b-6091b380977d"</w:t>
      </w:r>
      <w:r>
        <w:rPr>
          <w:rStyle w:val="OtherTok"/>
        </w:rPr>
        <w:t xml:space="preserve">,</w:t>
      </w:r>
      <w:r>
        <w:br/>
      </w:r>
      <w:r>
        <w:rPr>
          <w:rStyle w:val="NormalTok"/>
        </w:rPr>
        <w:t xml:space="preserve">        </w:t>
      </w:r>
      <w:r>
        <w:rPr>
          <w:rStyle w:val="StringTok"/>
        </w:rPr>
        <w:t xml:space="preserve">"b1be1c3e-b65d-4f19-8427-f6fa0d97feb9"</w:t>
      </w:r>
      <w:r>
        <w:rPr>
          <w:rStyle w:val="OtherTok"/>
        </w:rPr>
        <w:t xml:space="preserve">,</w:t>
      </w:r>
      <w:r>
        <w:br/>
      </w:r>
      <w:r>
        <w:rPr>
          <w:rStyle w:val="NormalTok"/>
        </w:rPr>
        <w:t xml:space="preserve">        </w:t>
      </w:r>
      <w:r>
        <w:rPr>
          <w:rStyle w:val="StringTok"/>
        </w:rPr>
        <w:t xml:space="preserve">"fe930be7-5e62-47db-91af-98c3a49a38b1"</w:t>
      </w:r>
      <w:r>
        <w:rPr>
          <w:rStyle w:val="OtherTok"/>
        </w:rPr>
        <w:t xml:space="preserve">,</w:t>
      </w:r>
      <w:r>
        <w:br/>
      </w:r>
      <w:r>
        <w:rPr>
          <w:rStyle w:val="NormalTok"/>
        </w:rPr>
        <w:t xml:space="preserve">        </w:t>
      </w:r>
      <w:r>
        <w:rPr>
          <w:rStyle w:val="StringTok"/>
        </w:rPr>
        <w:t xml:space="preserve">"9b895d92-2cd3-44c7-9d02-a6ac2d5ea5c3"</w:t>
      </w:r>
      <w:r>
        <w:rPr>
          <w:rStyle w:val="OtherTok"/>
        </w:rPr>
        <w:t xml:space="preserve">,</w:t>
      </w:r>
      <w:r>
        <w:br/>
      </w:r>
      <w:r>
        <w:rPr>
          <w:rStyle w:val="NormalTok"/>
        </w:rPr>
        <w:t xml:space="preserve">        </w:t>
      </w:r>
      <w:r>
        <w:rPr>
          <w:rStyle w:val="StringTok"/>
        </w:rPr>
        <w:t xml:space="preserve">"158c047a-c907-4556-b7ef-446551a6b5f7"</w:t>
      </w:r>
      <w:r>
        <w:rPr>
          <w:rStyle w:val="OtherTok"/>
        </w:rPr>
        <w:t xml:space="preserve">,</w:t>
      </w:r>
      <w:r>
        <w:br/>
      </w:r>
      <w:r>
        <w:rPr>
          <w:rStyle w:val="NormalTok"/>
        </w:rPr>
        <w:t xml:space="preserve">        </w:t>
      </w:r>
      <w:r>
        <w:rPr>
          <w:rStyle w:val="StringTok"/>
        </w:rPr>
        <w:t xml:space="preserve">"8ac3fc64-6eca-42ea-9e69-59f4c7b60eb2"</w:t>
      </w:r>
      <w:r>
        <w:rPr>
          <w:rStyle w:val="OtherTok"/>
        </w:rPr>
        <w:t xml:space="preserve">,</w:t>
      </w:r>
      <w:r>
        <w:br/>
      </w:r>
      <w:r>
        <w:rPr>
          <w:rStyle w:val="NormalTok"/>
        </w:rPr>
        <w:t xml:space="preserve">        </w:t>
      </w:r>
      <w:r>
        <w:rPr>
          <w:rStyle w:val="StringTok"/>
        </w:rPr>
        <w:t xml:space="preserve">"29232cdf-9323-42fd-ade2-1d097af3e4de"</w:t>
      </w:r>
      <w:r>
        <w:rPr>
          <w:rStyle w:val="OtherTok"/>
        </w:rPr>
        <w:t xml:space="preserve">,</w:t>
      </w:r>
      <w:r>
        <w:br/>
      </w:r>
      <w:r>
        <w:rPr>
          <w:rStyle w:val="NormalTok"/>
        </w:rPr>
        <w:t xml:space="preserve">        </w:t>
      </w:r>
      <w:r>
        <w:rPr>
          <w:rStyle w:val="StringTok"/>
        </w:rPr>
        <w:t xml:space="preserve">"f28a1f50-f6e7-4571-818b-6a12f2af6b6c"</w:t>
      </w:r>
      <w:r>
        <w:rPr>
          <w:rStyle w:val="OtherTok"/>
        </w:rPr>
        <w:t xml:space="preserve">,</w:t>
      </w:r>
      <w:r>
        <w:br/>
      </w:r>
      <w:r>
        <w:rPr>
          <w:rStyle w:val="NormalTok"/>
        </w:rPr>
        <w:t xml:space="preserve">        </w:t>
      </w:r>
      <w:r>
        <w:rPr>
          <w:rStyle w:val="StringTok"/>
        </w:rPr>
        <w:t xml:space="preserve">"c4e39bd9-1100-46d3-8c65-fb160da0071f"</w:t>
      </w:r>
      <w:r>
        <w:rPr>
          <w:rStyle w:val="OtherTok"/>
        </w:rPr>
        <w:t xml:space="preserve">,</w:t>
      </w:r>
      <w:r>
        <w:br/>
      </w:r>
      <w:r>
        <w:rPr>
          <w:rStyle w:val="NormalTok"/>
        </w:rPr>
        <w:t xml:space="preserve">        </w:t>
      </w:r>
      <w:r>
        <w:rPr>
          <w:rStyle w:val="StringTok"/>
        </w:rPr>
        <w:t xml:space="preserve">"729827e3-9c14-49f7-bb1b-9608f156bbb8"</w:t>
      </w:r>
      <w:r>
        <w:rPr>
          <w:rStyle w:val="OtherTok"/>
        </w:rPr>
        <w:t xml:space="preserve">,</w:t>
      </w:r>
      <w:r>
        <w:br/>
      </w:r>
      <w:r>
        <w:rPr>
          <w:rStyle w:val="NormalTok"/>
        </w:rPr>
        <w:t xml:space="preserve">        </w:t>
      </w:r>
      <w:r>
        <w:rPr>
          <w:rStyle w:val="StringTok"/>
        </w:rPr>
        <w:t xml:space="preserve">"b0f54661-2d74-4c50-afa3-1ec803f12efe"</w:t>
      </w:r>
      <w:r>
        <w:rPr>
          <w:rStyle w:val="OtherTok"/>
        </w:rPr>
        <w:t xml:space="preserve">,</w:t>
      </w:r>
      <w:r>
        <w:br/>
      </w:r>
      <w:r>
        <w:rPr>
          <w:rStyle w:val="NormalTok"/>
        </w:rPr>
        <w:t xml:space="preserve">        </w:t>
      </w:r>
      <w:r>
        <w:rPr>
          <w:rStyle w:val="StringTok"/>
        </w:rPr>
        <w:t xml:space="preserve">"966707d0-3269-4727-9be2-8c3a10f19b9d"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"{strength:FMP-Privileged-SeparateDevice}"</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4</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The role IDs, in order: Global Administrator, Privileged Role Administrator, Privileged Authentication Administrator, Security Administrator, Conditional Access Administrator, User Administrator, Application Administrator, Cloud Application Administrator, Hybrid Identity Administrator, Exchange Administrator, SharePoint Administrator, Authentication Administrator, Helpdesk Administrator, Billing Administrator and Password Administrator.</w:t>
      </w:r>
      <w:r>
        <w:rPr>
          <w:rStyle w:val="FootnoteReference"/>
        </w:rPr>
        <w:footnoteReference w:id="1097"/>
      </w:r>
      <w:r>
        <w:t xml:space="preserve"> </w:t>
      </w:r>
      <w:r>
        <w:t xml:space="preserve">Role targeting applies to active assignments of built-in roles only.</w:t>
      </w:r>
      <w:r>
        <w:rPr>
          <w:rStyle w:val="FootnoteReference"/>
        </w:rPr>
        <w:footnoteReference w:id="1098"/>
      </w:r>
    </w:p>
    <w:p>
      <w:pPr>
        <w:pStyle w:val="BodyText"/>
      </w:pPr>
      <w:r>
        <w:t xml:space="preserve">CA004, compliant device for administrators. Persistent browser control needs all resources:</w:t>
      </w:r>
      <w:r>
        <w:rPr>
          <w:rStyle w:val="FootnoteReference"/>
        </w:rPr>
        <w:footnoteReference w:id="1099"/>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"CA004-Admins-RequireCompliantDevice"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"persistentBrowser"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"never"</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CA005, administrators only from trusted networks: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"CA005-Admins-BlockUntrustedLocations"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"{location:NL-TrustedNetworks}"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CA025, block administration from anything that isn’t a PAW.</w:t>
      </w:r>
      <w:r>
        <w:t xml:space="preserve"> </w:t>
      </w:r>
      <w:r>
        <w:rPr>
          <w:rStyle w:val="VerbatimChar"/>
        </w:rPr>
        <w:t xml:space="preserve">797f4846-ba00-4fd7-ba43-dac1f8f63013</w:t>
      </w:r>
      <w:r>
        <w:t xml:space="preserve"> </w:t>
      </w:r>
      <w:r>
        <w:t xml:space="preserve">is the Windows Azure Service Management API.</w:t>
      </w:r>
      <w:r>
        <w:rPr>
          <w:rStyle w:val="FootnoteReference"/>
        </w:rPr>
        <w:footnoteReference w:id="1100"/>
      </w:r>
      <w:r>
        <w:t xml:space="preserve"> </w:t>
      </w:r>
      <w:r>
        <w:t xml:space="preserve">The filter excludes PAWs with a positive operator, so unregistered and unlabeled devices are blocked.</w:t>
      </w:r>
      <w:r>
        <w:rPr>
          <w:rStyle w:val="FootnoteReference"/>
        </w:rPr>
        <w:footnoteReference w:id="1101"/>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"CA025-Admins-BlockNonPAW"</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"MicrosoftAdminPortals"</w:t>
      </w:r>
      <w:r>
        <w:rPr>
          <w:rStyle w:val="OtherTok"/>
        </w:rPr>
        <w:t xml:space="preserve">,</w:t>
      </w:r>
      <w:r>
        <w:rPr>
          <w:rStyle w:val="NormalTok"/>
        </w:rPr>
        <w:t xml:space="preserve"> </w:t>
      </w:r>
      <w:r>
        <w:rPr>
          <w:rStyle w:val="StringTok"/>
        </w:rPr>
        <w:t xml:space="preserve">"797f4846-ba00-4fd7-ba43-dac1f8f63013"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"devices"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"deviceFilter"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"exclude"</w:t>
      </w:r>
      <w:r>
        <w:rPr>
          <w:rStyle w:val="FunctionTok"/>
        </w:rPr>
        <w:t xml:space="preserve">,</w:t>
      </w:r>
      <w:r>
        <w:rPr>
          <w:rStyle w:val="NormalTok"/>
        </w:rPr>
        <w:t xml:space="preserve"> </w:t>
      </w:r>
      <w:r>
        <w:rPr>
          <w:rStyle w:val="DataTypeTok"/>
        </w:rPr>
        <w:t xml:space="preserve">"rule"</w:t>
      </w:r>
      <w:r>
        <w:rPr>
          <w:rStyle w:val="FunctionTok"/>
        </w:rPr>
        <w:t xml:space="preserve">:</w:t>
      </w:r>
      <w:r>
        <w:rPr>
          <w:rStyle w:val="NormalTok"/>
        </w:rPr>
        <w:t xml:space="preserve"> </w:t>
      </w:r>
      <w:r>
        <w:rPr>
          <w:rStyle w:val="StringTok"/>
        </w:rPr>
        <w:t xml:space="preserve">"device.extensionAttribute1 -eq </w:t>
      </w:r>
      <w:r>
        <w:rPr>
          <w:rStyle w:val="CharTok"/>
        </w:rPr>
        <w:t xml:space="preserve">\"</w:t>
      </w:r>
      <w:r>
        <w:rPr>
          <w:rStyle w:val="StringTok"/>
        </w:rPr>
        <w:t xml:space="preserve">PAW</w:t>
      </w:r>
      <w:r>
        <w:rPr>
          <w:rStyle w:val="CharTok"/>
        </w:rPr>
        <w:t xml:space="preserve">\"</w:t>
      </w:r>
      <w:r>
        <w:rPr>
          <w:rStyle w:val="StringTok"/>
        </w:rPr>
        <w:t xml:space="preserve">"</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CA027, block the Azure management plane for everyone who doesn’t manage Azure or the tenant: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"CA027-AllUsers-AzureManagement-BlockNonOperators"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"{group:CA-Persona-Admins}"</w:t>
      </w:r>
      <w:r>
        <w:rPr>
          <w:rStyle w:val="OtherTok"/>
        </w:rPr>
        <w:t xml:space="preserve">,</w:t>
      </w:r>
      <w:r>
        <w:rPr>
          <w:rStyle w:val="NormalTok"/>
        </w:rPr>
        <w:t xml:space="preserve"> </w:t>
      </w:r>
      <w:r>
        <w:rPr>
          <w:rStyle w:val="StringTok"/>
        </w:rPr>
        <w:t xml:space="preserve">"{group:CA-Access-AzureOperators}"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"797f4846-ba00-4fd7-ba43-dac1f8f63013"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bookmarkEnd w:id="1102"/>
    <w:bookmarkStart w:id="1108" w:name="wave-3-everyone-1"/>
    <w:p>
      <w:pPr>
        <w:pStyle w:val="Heading3"/>
      </w:pPr>
      <w:r>
        <w:t xml:space="preserve">Wave 3: everyone</w:t>
      </w:r>
    </w:p>
    <w:p>
      <w:pPr>
        <w:pStyle w:val="FirstParagraph"/>
      </w:pPr>
      <w:r>
        <w:t xml:space="preserve">CA006, MFA for Internals during the transition (the shape also serves CA009 with the Externals scope shown below):</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"CA006-Internals-RequireMFA"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12</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CA007, compliant or hybrid joined device, with the web-only exception:</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"CA007-Internals-RequireCompliantOrHybridDevice"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"{group:CA-Persona-WebOnly}"</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StringTok"/>
        </w:rPr>
        <w:t xml:space="preserve">"domainJoinedDevice"</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CA008, United States only, with the travel exception:</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"CA008-Internals-BlockNonUSLocations"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"{group:CA-Exclude-ApprovedTravel}"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"{location:NL-TrustedCountries}"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CA009, MFA for partner users. The Externals scope is guest and member B2B users from enumerated partner tenants: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"CA009-Externals-RequireMFA"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"b2bCollaborationGuest,b2bCollaborationMember"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"#microsoft.graph.conditionalAccessEnumeratedExternalTenants"</w:t>
      </w:r>
      <w:r>
        <w:rPr>
          <w:rStyle w:val="FunctionTok"/>
        </w:rPr>
        <w:t xml:space="preserve">,</w:t>
      </w:r>
      <w:r>
        <w:br/>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"enumerated"</w:t>
      </w:r>
      <w:r>
        <w:rPr>
          <w:rStyle w:val="FunctionTok"/>
        </w:rPr>
        <w:t xml:space="preserve">,</w:t>
      </w:r>
      <w:r>
        <w:br/>
      </w:r>
      <w:r>
        <w:rPr>
          <w:rStyle w:val="NormalTok"/>
        </w:rPr>
        <w:t xml:space="preserve">          </w:t>
      </w:r>
      <w:r>
        <w:rPr>
          <w:rStyle w:val="DataTypeTok"/>
        </w:rPr>
        <w:t xml:space="preserve">"members"</w:t>
      </w:r>
      <w:r>
        <w:rPr>
          <w:rStyle w:val="FunctionTok"/>
        </w:rPr>
        <w:t xml:space="preserve">:</w:t>
      </w:r>
      <w:r>
        <w:rPr>
          <w:rStyle w:val="NormalTok"/>
        </w:rPr>
        <w:t xml:space="preserve"> </w:t>
      </w:r>
      <w:r>
        <w:rPr>
          <w:rStyle w:val="OtherTok"/>
        </w:rPr>
        <w:t xml:space="preserve">[</w:t>
      </w:r>
      <w:r>
        <w:rPr>
          <w:rStyle w:val="StringTok"/>
        </w:rPr>
        <w:t xml:space="preserve">"{tenant:partners}"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8</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CA011, limited guest access. The Guests scope includes guest and other external users from all tenants and excludes the same types from the partner tenants in CA009’s list, so Guests means</w:t>
      </w:r>
      <w:r>
        <w:t xml:space="preserve"> </w:t>
      </w:r>
      <w:r>
        <w:t xml:space="preserve">“not from a partner.”</w:t>
      </w:r>
      <w:r>
        <w:t xml:space="preserve"> </w:t>
      </w:r>
      <w:r>
        <w:t xml:space="preserve">Guests who use email one-time passcode can’t satisfy an authentication strength, so this policy uses</w:t>
      </w:r>
      <w:r>
        <w:t xml:space="preserve"> </w:t>
      </w:r>
      <w:r>
        <w:rPr>
          <w:rStyle w:val="VerbatimChar"/>
        </w:rPr>
        <w:t xml:space="preserve">mfa</w:t>
      </w:r>
      <w:r>
        <w:t xml:space="preserve">.</w:t>
      </w:r>
      <w:r>
        <w:rPr>
          <w:rStyle w:val="FootnoteReference"/>
        </w:rPr>
        <w:footnoteReference w:id="1103"/>
      </w:r>
      <w:r>
        <w:t xml:space="preserve"> </w:t>
      </w:r>
      <w:r>
        <w:rPr>
          <w:rStyle w:val="VerbatimChar"/>
        </w:rPr>
        <w:t xml:space="preserve">00000003-0000-0ff1-ce00-000000000000</w:t>
      </w:r>
      <w:r>
        <w:t xml:space="preserve"> </w:t>
      </w:r>
      <w:r>
        <w:t xml:space="preserve">is SharePoint Online.</w:t>
      </w:r>
      <w:r>
        <w:rPr>
          <w:rStyle w:val="FootnoteReference"/>
        </w:rPr>
        <w:footnoteReference w:id="1104"/>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"CA011-Guests-LimitedAppAccess"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"b2bCollaborationGuest,otherExternalUser"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"b2bCollaborationGuest,otherExternalUser"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"#microsoft.graph.conditionalAccessEnumeratedExternalTenants"</w:t>
      </w:r>
      <w:r>
        <w:rPr>
          <w:rStyle w:val="FunctionTok"/>
        </w:rPr>
        <w:t xml:space="preserve">,</w:t>
      </w:r>
      <w:r>
        <w:br/>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"enumerated"</w:t>
      </w:r>
      <w:r>
        <w:rPr>
          <w:rStyle w:val="FunctionTok"/>
        </w:rPr>
        <w:t xml:space="preserve">,</w:t>
      </w:r>
      <w:r>
        <w:br/>
      </w:r>
      <w:r>
        <w:rPr>
          <w:rStyle w:val="NormalTok"/>
        </w:rPr>
        <w:t xml:space="preserve">          </w:t>
      </w:r>
      <w:r>
        <w:rPr>
          <w:rStyle w:val="DataTypeTok"/>
        </w:rPr>
        <w:t xml:space="preserve">"members"</w:t>
      </w:r>
      <w:r>
        <w:rPr>
          <w:rStyle w:val="FunctionTok"/>
        </w:rPr>
        <w:t xml:space="preserve">:</w:t>
      </w:r>
      <w:r>
        <w:rPr>
          <w:rStyle w:val="NormalTok"/>
        </w:rPr>
        <w:t xml:space="preserve"> </w:t>
      </w:r>
      <w:r>
        <w:rPr>
          <w:rStyle w:val="OtherTok"/>
        </w:rPr>
        <w:t xml:space="preserve">[</w:t>
      </w:r>
      <w:r>
        <w:rPr>
          <w:rStyle w:val="StringTok"/>
        </w:rPr>
        <w:t xml:space="preserve">"{tenant:partners}"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"00000003-0000-0ff1-ce00-000000000000"</w:t>
      </w:r>
      <w:r>
        <w:rPr>
          <w:rStyle w:val="OtherTok"/>
        </w:rPr>
        <w:t xml:space="preserve">,</w:t>
      </w:r>
      <w:r>
        <w:rPr>
          <w:rStyle w:val="NormalTok"/>
        </w:rPr>
        <w:t xml:space="preserve"> </w:t>
      </w:r>
      <w:r>
        <w:rPr>
          <w:rStyle w:val="StringTok"/>
        </w:rPr>
        <w:t xml:space="preserve">"{app:Microsoft Teams}"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"mfa"</w:t>
      </w:r>
      <w:r>
        <w:rPr>
          <w:rStyle w:val="OtherTok"/>
        </w:rPr>
        <w:t xml:space="preserve">]</w:t>
      </w:r>
      <w:r>
        <w:rPr>
          <w:rStyle w:val="FunctionTok"/>
        </w:rPr>
        <w:t xml:space="preserve">,</w:t>
      </w:r>
      <w:r>
        <w:rPr>
          <w:rStyle w:val="NormalTok"/>
        </w:rPr>
        <w:t xml:space="preserve"> </w:t>
      </w:r>
      <w:r>
        <w:rPr>
          <w:rStyle w:val="DataTypeTok"/>
        </w:rPr>
        <w:t xml:space="preserve">"termsOfUse"</w:t>
      </w:r>
      <w:r>
        <w:rPr>
          <w:rStyle w:val="FunctionTok"/>
        </w:rPr>
        <w:t xml:space="preserve">:</w:t>
      </w:r>
      <w:r>
        <w:rPr>
          <w:rStyle w:val="NormalTok"/>
        </w:rPr>
        <w:t xml:space="preserve"> </w:t>
      </w:r>
      <w:r>
        <w:rPr>
          <w:rStyle w:val="OtherTok"/>
        </w:rPr>
        <w:t xml:space="preserve">[</w:t>
      </w:r>
      <w:r>
        <w:rPr>
          <w:rStyle w:val="StringTok"/>
        </w:rPr>
        <w:t xml:space="preserve">"{terms:Guest}"</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"applicationEnforcedRestrictions"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1</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The partner tenant list is maintained by the partner onboarding process (Chapter 09) and is the same list in CA009, CA011, CA012 and CA038; a partner added to one and not the others is a drift finding.</w:t>
      </w:r>
    </w:p>
    <w:p>
      <w:pPr>
        <w:pStyle w:val="BodyText"/>
      </w:pPr>
      <w:r>
        <w:t xml:space="preserve">CA016, compliant device for desktop Office, Members only:</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"CA016-AllUsers-RequireCompliantDevice-OfficeApps"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"Office365"</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"platforms"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"includePlatforms"</w:t>
      </w:r>
      <w:r>
        <w:rPr>
          <w:rStyle w:val="FunctionTok"/>
        </w:rPr>
        <w:t xml:space="preserve">:</w:t>
      </w:r>
      <w:r>
        <w:rPr>
          <w:rStyle w:val="NormalTok"/>
        </w:rPr>
        <w:t xml:space="preserve"> </w:t>
      </w:r>
      <w:r>
        <w:rPr>
          <w:rStyle w:val="OtherTok"/>
        </w:rPr>
        <w:t xml:space="preserve">[</w:t>
      </w:r>
      <w:r>
        <w:rPr>
          <w:rStyle w:val="StringTok"/>
        </w:rPr>
        <w:t xml:space="preserve">"windows"</w:t>
      </w:r>
      <w:r>
        <w:rPr>
          <w:rStyle w:val="OtherTok"/>
        </w:rPr>
        <w:t xml:space="preserve">,</w:t>
      </w:r>
      <w:r>
        <w:rPr>
          <w:rStyle w:val="NormalTok"/>
        </w:rPr>
        <w:t xml:space="preserve"> </w:t>
      </w:r>
      <w:r>
        <w:rPr>
          <w:rStyle w:val="StringTok"/>
        </w:rPr>
        <w:t xml:space="preserve">"macOS"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CA017, app protection on mobile.</w:t>
      </w:r>
      <w:r>
        <w:t xml:space="preserve"> </w:t>
      </w:r>
      <w:r>
        <w:rPr>
          <w:rStyle w:val="VerbatimChar"/>
        </w:rPr>
        <w:t xml:space="preserve">compliantApplication</w:t>
      </w:r>
      <w:r>
        <w:t xml:space="preserve"> </w:t>
      </w:r>
      <w:r>
        <w:t xml:space="preserve">is the Graph built-in control that corresponds to</w:t>
      </w:r>
      <w:r>
        <w:t xml:space="preserve"> </w:t>
      </w:r>
      <w:r>
        <w:t xml:space="preserve">“require app protection policy”</w:t>
      </w:r>
      <w:r>
        <w:t xml:space="preserve"> </w:t>
      </w:r>
      <w:r>
        <w:t xml:space="preserve">(</w:t>
      </w:r>
      <w:r>
        <w:rPr>
          <w:rStyle w:val="VerbatimChar"/>
        </w:rPr>
        <w:t xml:space="preserve">approvedApplication</w:t>
      </w:r>
      <w:r>
        <w:t xml:space="preserve"> </w:t>
      </w:r>
      <w:r>
        <w:t xml:space="preserve">is the retired approved-client-app grant):</w:t>
      </w:r>
      <w:r>
        <w:rPr>
          <w:rStyle w:val="FootnoteReference"/>
        </w:rPr>
        <w:footnoteReference w:id="1105"/>
      </w:r>
      <w:r>
        <w:rPr>
          <w:rStyle w:val="FootnoteReference"/>
        </w:rPr>
        <w:footnoteReference w:id="1106"/>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"CA017-Internals-AppProtection-Mobile"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"Office365"</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"platforms"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"includePlatforms"</w:t>
      </w:r>
      <w:r>
        <w:rPr>
          <w:rStyle w:val="FunctionTok"/>
        </w:rPr>
        <w:t xml:space="preserve">:</w:t>
      </w:r>
      <w:r>
        <w:rPr>
          <w:rStyle w:val="NormalTok"/>
        </w:rPr>
        <w:t xml:space="preserve"> </w:t>
      </w:r>
      <w:r>
        <w:rPr>
          <w:rStyle w:val="OtherTok"/>
        </w:rPr>
        <w:t xml:space="preserve">[</w:t>
      </w:r>
      <w:r>
        <w:rPr>
          <w:rStyle w:val="StringTok"/>
        </w:rPr>
        <w:t xml:space="preserve">"android"</w:t>
      </w:r>
      <w:r>
        <w:rPr>
          <w:rStyle w:val="OtherTok"/>
        </w:rPr>
        <w:t xml:space="preserve">,</w:t>
      </w:r>
      <w:r>
        <w:rPr>
          <w:rStyle w:val="NormalTok"/>
        </w:rPr>
        <w:t xml:space="preserve"> </w:t>
      </w:r>
      <w:r>
        <w:rPr>
          <w:rStyle w:val="StringTok"/>
        </w:rPr>
        <w:t xml:space="preserve">"iOS"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"compliantApplication"</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CA018, the catch-all MFA baseline, with no resource exclusions:</w:t>
      </w:r>
      <w:r>
        <w:rPr>
          <w:rStyle w:val="FootnoteReference"/>
        </w:rPr>
        <w:footnoteReference w:id="1107"/>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"CA018-AllUsers-RequireMFA"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"mfa"</w:t>
      </w:r>
      <w:r>
        <w:rPr>
          <w:rStyle w:val="OtherTok"/>
        </w:rPr>
        <w:t xml:space="preserve">]</w:t>
      </w:r>
      <w:r>
        <w:rPr>
          <w:rStyle w:val="NormalTok"/>
        </w:rPr>
        <w:t xml:space="preserve"> </w:t>
      </w:r>
      <w:r>
        <w:rPr>
          <w:rStyle w:val="FunctionTok"/>
        </w:rPr>
        <w:t xml:space="preserve">}</w:t>
      </w:r>
      <w:r>
        <w:br/>
      </w:r>
      <w:r>
        <w:rPr>
          <w:rStyle w:val="FunctionTok"/>
        </w:rPr>
        <w:t xml:space="preserve">}</w:t>
      </w:r>
    </w:p>
    <w:bookmarkEnd w:id="1108"/>
    <w:bookmarkStart w:id="1113" w:name="wave-4-risk-and-workload-identities-1"/>
    <w:p>
      <w:pPr>
        <w:pStyle w:val="Heading3"/>
      </w:pPr>
      <w:r>
        <w:t xml:space="preserve">Wave 4: risk and workload identities</w:t>
      </w:r>
    </w:p>
    <w:p>
      <w:pPr>
        <w:pStyle w:val="FirstParagraph"/>
      </w:pPr>
      <w:r>
        <w:t xml:space="preserve">CA013 in its block form, for tenants in BOD 25-01 scope (MS.AAD.2.1):</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"CA013-AllUsers-HighUserRisk-RequireRemediation"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"userRiskLevels"</w:t>
      </w:r>
      <w:r>
        <w:rPr>
          <w:rStyle w:val="FunctionTok"/>
        </w:rPr>
        <w:t xml:space="preserve">:</w:t>
      </w:r>
      <w:r>
        <w:rPr>
          <w:rStyle w:val="NormalTok"/>
        </w:rPr>
        <w:t xml:space="preserve"> </w:t>
      </w:r>
      <w:r>
        <w:rPr>
          <w:rStyle w:val="OtherTok"/>
        </w:rPr>
        <w:t xml:space="preserve">[</w:t>
      </w:r>
      <w:r>
        <w:rPr>
          <w:rStyle w:val="StringTok"/>
        </w:rPr>
        <w:t xml:space="preserve">"high"</w:t>
      </w:r>
      <w:r>
        <w:rPr>
          <w:rStyle w:val="OtherTok"/>
        </w:rPr>
        <w:t xml:space="preserve">]</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The policy keeps its Book 02 display name in both forms so that its history stays continuous; the deployed form is recorded in the change log. CA013 in its remediation form, for tenants outside BOD 25-01, scoped to Members because remediation isn’t supported for guests and external users:</w:t>
      </w:r>
      <w:r>
        <w:rPr>
          <w:rStyle w:val="FootnoteReference"/>
        </w:rPr>
        <w:footnoteReference w:id="1109"/>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"CA013-AllUsers-HighUserRisk-RequireRemediation"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"userRiskLevels"</w:t>
      </w:r>
      <w:r>
        <w:rPr>
          <w:rStyle w:val="FunctionTok"/>
        </w:rPr>
        <w:t xml:space="preserve">:</w:t>
      </w:r>
      <w:r>
        <w:rPr>
          <w:rStyle w:val="NormalTok"/>
        </w:rPr>
        <w:t xml:space="preserve"> </w:t>
      </w:r>
      <w:r>
        <w:rPr>
          <w:rStyle w:val="OtherTok"/>
        </w:rPr>
        <w:t xml:space="preserve">[</w:t>
      </w:r>
      <w:r>
        <w:rPr>
          <w:rStyle w:val="StringTok"/>
        </w:rPr>
        <w:t xml:space="preserve">"high"</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"riskRemediation"</w:t>
      </w:r>
      <w:r>
        <w:rPr>
          <w:rStyle w:val="OtherTok"/>
        </w:rPr>
        <w:t xml:space="preserve">]</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"everyTime"</w:t>
      </w:r>
      <w:r>
        <w:rPr>
          <w:rStyle w:val="FunctionTok"/>
        </w:rPr>
        <w:t xml:space="preserve">,</w:t>
      </w:r>
      <w:r>
        <w:rPr>
          <w:rStyle w:val="NormalTok"/>
        </w:rPr>
        <w:t xml:space="preserve"> </w:t>
      </w:r>
      <w:r>
        <w:rPr>
          <w:rStyle w:val="DataTypeTok"/>
        </w:rPr>
        <w:t xml:space="preserve">"authenticationType"</w:t>
      </w:r>
      <w:r>
        <w:rPr>
          <w:rStyle w:val="FunctionTok"/>
        </w:rPr>
        <w:t xml:space="preserve">:</w:t>
      </w:r>
      <w:r>
        <w:rPr>
          <w:rStyle w:val="NormalTok"/>
        </w:rPr>
        <w:t xml:space="preserve"> </w:t>
      </w:r>
      <w:r>
        <w:rPr>
          <w:rStyle w:val="StringTok"/>
        </w:rPr>
        <w:t xml:space="preserve">"primaryAndSecondaryAuthentication"</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CA014, step up medium and high sign-in risk:</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"CA014-AllUsers-MediumSigninRisk-RequireMFA"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"signInRiskLevels"</w:t>
      </w:r>
      <w:r>
        <w:rPr>
          <w:rStyle w:val="FunctionTok"/>
        </w:rPr>
        <w:t xml:space="preserve">:</w:t>
      </w:r>
      <w:r>
        <w:rPr>
          <w:rStyle w:val="NormalTok"/>
        </w:rPr>
        <w:t xml:space="preserve"> </w:t>
      </w:r>
      <w:r>
        <w:rPr>
          <w:rStyle w:val="OtherTok"/>
        </w:rPr>
        <w:t xml:space="preserve">[</w:t>
      </w:r>
      <w:r>
        <w:rPr>
          <w:rStyle w:val="StringTok"/>
        </w:rPr>
        <w:t xml:space="preserve">"medium"</w:t>
      </w:r>
      <w:r>
        <w:rPr>
          <w:rStyle w:val="OtherTok"/>
        </w:rPr>
        <w:t xml:space="preserve">,</w:t>
      </w:r>
      <w:r>
        <w:rPr>
          <w:rStyle w:val="NormalTok"/>
        </w:rPr>
        <w:t xml:space="preserve"> </w:t>
      </w:r>
      <w:r>
        <w:rPr>
          <w:rStyle w:val="StringTok"/>
        </w:rPr>
        <w:t xml:space="preserve">"high"</w:t>
      </w:r>
      <w:r>
        <w:rPr>
          <w:rStyle w:val="OtherTok"/>
        </w:rPr>
        <w:t xml:space="preserve">]</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"everyTime"</w:t>
      </w:r>
      <w:r>
        <w:rPr>
          <w:rStyle w:val="FunctionTok"/>
        </w:rPr>
        <w:t xml:space="preserve">,</w:t>
      </w:r>
      <w:r>
        <w:rPr>
          <w:rStyle w:val="NormalTok"/>
        </w:rPr>
        <w:t xml:space="preserve"> </w:t>
      </w:r>
      <w:r>
        <w:rPr>
          <w:rStyle w:val="DataTypeTok"/>
        </w:rPr>
        <w:t xml:space="preserve">"authenticationType"</w:t>
      </w:r>
      <w:r>
        <w:rPr>
          <w:rStyle w:val="FunctionTok"/>
        </w:rPr>
        <w:t xml:space="preserve">:</w:t>
      </w:r>
      <w:r>
        <w:rPr>
          <w:rStyle w:val="NormalTok"/>
        </w:rPr>
        <w:t xml:space="preserve"> </w:t>
      </w:r>
      <w:r>
        <w:rPr>
          <w:rStyle w:val="StringTok"/>
        </w:rPr>
        <w:t xml:space="preserve">"primaryAndSecondaryAuthentication"</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CA019, block high sign-in risk (MS.AAD.2.3), is CA014’s shape with</w:t>
      </w:r>
      <w:r>
        <w:t xml:space="preserve"> </w:t>
      </w:r>
      <w:r>
        <w:rPr>
          <w:rStyle w:val="VerbatimChar"/>
        </w:rPr>
        <w:t xml:space="preserve">"signInRiskLevels": ["high"]</w:t>
      </w:r>
      <w:r>
        <w:t xml:space="preserve">,</w:t>
      </w:r>
      <w:r>
        <w:t xml:space="preserve"> </w:t>
      </w:r>
      <w:r>
        <w:rPr>
          <w:rStyle w:val="VerbatimChar"/>
        </w:rPr>
        <w:t xml:space="preserve">builtInControls</w:t>
      </w:r>
      <w:r>
        <w:t xml:space="preserve"> </w:t>
      </w:r>
      <w:r>
        <w:rPr>
          <w:rStyle w:val="VerbatimChar"/>
        </w:rPr>
        <w:t xml:space="preserve">["block"]</w:t>
      </w:r>
      <w:r>
        <w:t xml:space="preserve"> </w:t>
      </w:r>
      <w:r>
        <w:t xml:space="preserve">and no session controls.</w:t>
      </w:r>
    </w:p>
    <w:p>
      <w:pPr>
        <w:pStyle w:val="BodyText"/>
      </w:pPr>
      <w:r>
        <w:t xml:space="preserve">CA015, workload identities only from their egress ranges. Service principals are assigned directly, by the enterprise application’s object ID, not through groups:</w:t>
      </w:r>
      <w:r>
        <w:rPr>
          <w:rStyle w:val="FootnoteReference"/>
        </w:rPr>
        <w:footnoteReference w:id="1110"/>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"CA015-ServiceAccounts-LocationRestriction"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"includeServicePrincipals"</w:t>
      </w:r>
      <w:r>
        <w:rPr>
          <w:rStyle w:val="FunctionTok"/>
        </w:rPr>
        <w:t xml:space="preserve">:</w:t>
      </w:r>
      <w:r>
        <w:rPr>
          <w:rStyle w:val="NormalTok"/>
        </w:rPr>
        <w:t xml:space="preserve"> </w:t>
      </w:r>
      <w:r>
        <w:rPr>
          <w:rStyle w:val="OtherTok"/>
        </w:rPr>
        <w:t xml:space="preserve">[</w:t>
      </w:r>
      <w:r>
        <w:rPr>
          <w:rStyle w:val="StringTok"/>
        </w:rPr>
        <w:t xml:space="preserve">"{sp:workload-1}"</w:t>
      </w:r>
      <w:r>
        <w:rPr>
          <w:rStyle w:val="OtherTok"/>
        </w:rPr>
        <w:t xml:space="preserve">,</w:t>
      </w:r>
      <w:r>
        <w:rPr>
          <w:rStyle w:val="NormalTok"/>
        </w:rPr>
        <w:t xml:space="preserve"> </w:t>
      </w:r>
      <w:r>
        <w:rPr>
          <w:rStyle w:val="StringTok"/>
        </w:rPr>
        <w:t xml:space="preserve">"{sp:workload-2}"</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"{location:NL-WorkloadEgress}"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CA037, high-risk workload identities, uses the same shape with</w:t>
      </w:r>
      <w:r>
        <w:t xml:space="preserve"> </w:t>
      </w:r>
      <w:r>
        <w:rPr>
          <w:rStyle w:val="VerbatimChar"/>
        </w:rPr>
        <w:t xml:space="preserve">"servicePrincipalRiskLevels": ["high"]</w:t>
      </w:r>
      <w:r>
        <w:t xml:space="preserve"> </w:t>
      </w:r>
      <w:r>
        <w:t xml:space="preserve">in place of the location condition. Both need Workload ID Premium.</w:t>
      </w:r>
      <w:r>
        <w:rPr>
          <w:rStyle w:val="FootnoteReference"/>
        </w:rPr>
        <w:footnoteReference w:id="1111"/>
      </w:r>
    </w:p>
    <w:p>
      <w:pPr>
        <w:pStyle w:val="BodyText"/>
      </w:pPr>
      <w:r>
        <w:t xml:space="preserve">CA036, elevated insider risk (Adaptive Protection integration is in preview):</w:t>
      </w:r>
      <w:r>
        <w:rPr>
          <w:rStyle w:val="FootnoteReference"/>
        </w:rPr>
        <w:footnoteReference w:id="1112"/>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"CA036-Members-ElevatedInsiderRisk-Block"</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"Office365"</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"insiderRiskLevels"</w:t>
      </w:r>
      <w:r>
        <w:rPr>
          <w:rStyle w:val="FunctionTok"/>
        </w:rPr>
        <w:t xml:space="preserve">:</w:t>
      </w:r>
      <w:r>
        <w:rPr>
          <w:rStyle w:val="NormalTok"/>
        </w:rPr>
        <w:t xml:space="preserve"> </w:t>
      </w:r>
      <w:r>
        <w:rPr>
          <w:rStyle w:val="StringTok"/>
        </w:rPr>
        <w:t xml:space="preserve">"elevated"</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bookmarkEnd w:id="1113"/>
    <w:bookmarkStart w:id="1115" w:name="wave-5-segments-and-the-end-state-1"/>
    <w:p>
      <w:pPr>
        <w:pStyle w:val="Heading3"/>
      </w:pPr>
      <w:r>
        <w:t xml:space="preserve">Wave 5: segments and the end state</w:t>
      </w:r>
    </w:p>
    <w:p>
      <w:pPr>
        <w:pStyle w:val="FirstParagraph"/>
      </w:pPr>
      <w:r>
        <w:t xml:space="preserve">CA022, the end state (MS.AAD.3.1):</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"CA022-Members-RequirePhishResistantMFA"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"{group:CA-Exclude-PhishResistantNotReady}"</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"00000000-0000-0000-0000-000000000004"</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CA024, browser-only limited session for web-only users: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"CA024-WebOnly-LimitedWebSession"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"{group:CA-Persona-WebOnly}"</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"applicationEnforcedRestrictions"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DataTypeTok"/>
        </w:rPr>
        <w:t xml:space="preserve">"persistentBrowser"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"never"</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CA030, block production applications for everyone but production operators. The application filter’s rule is built in the admin center filter editor against the</w:t>
      </w:r>
      <w:r>
        <w:t xml:space="preserve"> </w:t>
      </w:r>
      <w:r>
        <w:rPr>
          <w:rStyle w:val="VerbatimChar"/>
        </w:rPr>
        <w:t xml:space="preserve">FMPAccess</w:t>
      </w:r>
      <w:r>
        <w:t xml:space="preserve"> </w:t>
      </w:r>
      <w:r>
        <w:t xml:space="preserve">attribute set and copied from an export, because the attribute set and values are tenant-specific; filters for applications accept string custom security attributes only.</w:t>
      </w:r>
      <w:r>
        <w:rPr>
          <w:rStyle w:val="FootnoteReference"/>
        </w:rPr>
        <w:footnoteReference w:id="1114"/>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"CA030-AllUsers-ProductionApps-BlockUnassigned"</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"{group:CA-Access-ProdOperators}"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"applicationFilter"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"include"</w:t>
      </w:r>
      <w:r>
        <w:rPr>
          <w:rStyle w:val="FunctionTok"/>
        </w:rPr>
        <w:t xml:space="preserve">,</w:t>
      </w:r>
      <w:r>
        <w:rPr>
          <w:rStyle w:val="NormalTok"/>
        </w:rPr>
        <w:t xml:space="preserve"> </w:t>
      </w:r>
      <w:r>
        <w:rPr>
          <w:rStyle w:val="DataTypeTok"/>
        </w:rPr>
        <w:t xml:space="preserve">"rule"</w:t>
      </w:r>
      <w:r>
        <w:rPr>
          <w:rStyle w:val="FunctionTok"/>
        </w:rPr>
        <w:t xml:space="preserve">:</w:t>
      </w:r>
      <w:r>
        <w:rPr>
          <w:rStyle w:val="NormalTok"/>
        </w:rPr>
        <w:t xml:space="preserve"> </w:t>
      </w:r>
      <w:r>
        <w:rPr>
          <w:rStyle w:val="StringTok"/>
        </w:rPr>
        <w:t xml:space="preserve">"{rule:FMPAccess Environment equals Production}"</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bookmarkEnd w:id="1115"/>
    <w:bookmarkStart w:id="1116" w:name="policies-that-reuse-a-template"/>
    <w:p>
      <w:pPr>
        <w:pStyle w:val="Heading3"/>
      </w:pPr>
      <w:r>
        <w:t xml:space="preserve">Policies that reuse a template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Policy</w:t>
            </w:r>
          </w:p>
        </w:tc>
        <w:tc>
          <w:tcPr/>
          <w:p>
            <w:pPr>
              <w:pStyle w:val="Compact"/>
            </w:pPr>
            <w:r>
              <w:t xml:space="preserve">Reuses</w:t>
            </w:r>
          </w:p>
        </w:tc>
        <w:tc>
          <w:tcPr/>
          <w:p>
            <w:pPr>
              <w:pStyle w:val="Compact"/>
            </w:pPr>
            <w:r>
              <w:t xml:space="preserve">Differences</w:t>
            </w:r>
          </w:p>
        </w:tc>
      </w:tr>
      <w:tr>
        <w:tc>
          <w:tcPr/>
          <w:p>
            <w:pPr>
              <w:pStyle w:val="Compact"/>
            </w:pPr>
            <w:r>
              <w:t xml:space="preserve">CA010-Externals-RequireTermsOfUse</w:t>
            </w:r>
          </w:p>
        </w:tc>
        <w:tc>
          <w:tcPr/>
          <w:p>
            <w:pPr>
              <w:pStyle w:val="Compact"/>
            </w:pPr>
            <w:r>
              <w:t xml:space="preserve">CA009</w:t>
            </w:r>
          </w:p>
        </w:tc>
        <w:tc>
          <w:tcPr/>
          <w:p>
            <w:pPr>
              <w:pStyle w:val="Compact"/>
            </w:pPr>
            <w:r>
              <w:rPr>
                <w:rStyle w:val="VerbatimChar"/>
              </w:rPr>
              <w:t xml:space="preserve">grantControls</w:t>
            </w:r>
            <w:r>
              <w:t xml:space="preserve">:</w:t>
            </w:r>
            <w:r>
              <w:t xml:space="preserve"> </w:t>
            </w:r>
            <w:r>
              <w:rPr>
                <w:rStyle w:val="VerbatimChar"/>
              </w:rPr>
              <w:t xml:space="preserve">"termsOfUse": ["{terms:Guest}"]</w:t>
            </w:r>
            <w:r>
              <w:t xml:space="preserve">, operator</w:t>
            </w:r>
            <w:r>
              <w:t xml:space="preserve"> </w:t>
            </w:r>
            <w:r>
              <w:rPr>
                <w:rStyle w:val="VerbatimChar"/>
              </w:rPr>
              <w:t xml:space="preserve">OR</w:t>
            </w:r>
            <w:r>
              <w:t xml:space="preserve">; no session controls</w:t>
            </w:r>
          </w:p>
        </w:tc>
      </w:tr>
      <w:tr>
        <w:tc>
          <w:tcPr/>
          <w:p>
            <w:pPr>
              <w:pStyle w:val="Compact"/>
            </w:pPr>
            <w:r>
              <w:t xml:space="preserve">CA012-Guests-BlockHighRisk</w:t>
            </w:r>
          </w:p>
        </w:tc>
        <w:tc>
          <w:tcPr/>
          <w:p>
            <w:pPr>
              <w:pStyle w:val="Compact"/>
            </w:pPr>
            <w:r>
              <w:t xml:space="preserve">CA011’s guest scope</w:t>
            </w:r>
          </w:p>
        </w:tc>
        <w:tc>
          <w:tcPr/>
          <w:p>
            <w:pPr>
              <w:pStyle w:val="Compact"/>
            </w:pPr>
            <w:r>
              <w:t xml:space="preserve">All resources;</w:t>
            </w:r>
            <w:r>
              <w:t xml:space="preserve"> </w:t>
            </w:r>
            <w:r>
              <w:rPr>
                <w:rStyle w:val="VerbatimChar"/>
              </w:rPr>
              <w:t xml:space="preserve">"signInRiskLevels": ["high"]</w:t>
            </w:r>
            <w:r>
              <w:t xml:space="preserve">;</w:t>
            </w:r>
            <w:r>
              <w:t xml:space="preserve"> </w:t>
            </w:r>
            <w:r>
              <w:rPr>
                <w:rStyle w:val="VerbatimChar"/>
              </w:rPr>
              <w:t xml:space="preserve">block</w:t>
            </w:r>
            <w:r>
              <w:t xml:space="preserve">. Retired once CA019 is enforced</w:t>
            </w:r>
          </w:p>
        </w:tc>
      </w:tr>
      <w:tr>
        <w:tc>
          <w:tcPr/>
          <w:p>
            <w:pPr>
              <w:pStyle w:val="Compact"/>
            </w:pPr>
            <w:r>
              <w:t xml:space="preserve">CA019-AllUsers-HighSigninRisk-Block</w:t>
            </w:r>
          </w:p>
        </w:tc>
        <w:tc>
          <w:tcPr/>
          <w:p>
            <w:pPr>
              <w:pStyle w:val="Compact"/>
            </w:pPr>
            <w:r>
              <w:t xml:space="preserve">CA014</w:t>
            </w:r>
          </w:p>
        </w:tc>
        <w:tc>
          <w:tcPr/>
          <w:p>
            <w:pPr>
              <w:pStyle w:val="Compact"/>
            </w:pPr>
            <w:r>
              <w:rPr>
                <w:rStyle w:val="VerbatimChar"/>
              </w:rPr>
              <w:t xml:space="preserve">"signInRiskLevels": ["high"]</w:t>
            </w:r>
            <w:r>
              <w:t xml:space="preserve">;</w:t>
            </w:r>
            <w:r>
              <w:t xml:space="preserve"> </w:t>
            </w:r>
            <w:r>
              <w:rPr>
                <w:rStyle w:val="VerbatimChar"/>
              </w:rPr>
              <w:t xml:space="preserve">block</w:t>
            </w:r>
            <w:r>
              <w:t xml:space="preserve">; no session controls</w:t>
            </w:r>
          </w:p>
        </w:tc>
      </w:tr>
      <w:tr>
        <w:tc>
          <w:tcPr/>
          <w:p>
            <w:pPr>
              <w:pStyle w:val="Compact"/>
            </w:pPr>
            <w:r>
              <w:t xml:space="preserve">CA023-WebOnly-BlockDesktopAndMobileClients</w:t>
            </w:r>
          </w:p>
        </w:tc>
        <w:tc>
          <w:tcPr/>
          <w:p>
            <w:pPr>
              <w:pStyle w:val="Compact"/>
            </w:pPr>
            <w:r>
              <w:t xml:space="preserve">CA024</w:t>
            </w:r>
          </w:p>
        </w:tc>
        <w:tc>
          <w:tcPr/>
          <w:p>
            <w:pPr>
              <w:pStyle w:val="Compact"/>
            </w:pPr>
            <w:r>
              <w:rPr>
                <w:rStyle w:val="VerbatimChar"/>
              </w:rPr>
              <w:t xml:space="preserve">"clientAppTypes": ["mobileAppsAndDesktopClients"]</w:t>
            </w:r>
            <w:r>
              <w:t xml:space="preserve">;</w:t>
            </w:r>
            <w:r>
              <w:t xml:space="preserve"> </w:t>
            </w:r>
            <w:r>
              <w:rPr>
                <w:rStyle w:val="VerbatimChar"/>
              </w:rPr>
              <w:t xml:space="preserve">block</w:t>
            </w:r>
            <w:r>
              <w:t xml:space="preserve">; no session controls</w:t>
            </w:r>
          </w:p>
        </w:tc>
      </w:tr>
      <w:tr>
        <w:tc>
          <w:tcPr/>
          <w:p>
            <w:pPr>
              <w:pStyle w:val="Compact"/>
            </w:pPr>
            <w:r>
              <w:t xml:space="preserve">CA026-ServerAdmins-AzureManagement-RequirePhishResistantCompliant</w:t>
            </w:r>
          </w:p>
        </w:tc>
        <w:tc>
          <w:tcPr/>
          <w:p>
            <w:pPr>
              <w:pStyle w:val="Compact"/>
            </w:pPr>
            <w:r>
              <w:t xml:space="preserve">CA003</w:t>
            </w:r>
          </w:p>
        </w:tc>
        <w:tc>
          <w:tcPr/>
          <w:p>
            <w:pPr>
              <w:pStyle w:val="Compact"/>
            </w:pPr>
            <w:r>
              <w:t xml:space="preserve">Include</w:t>
            </w:r>
            <w:r>
              <w:t xml:space="preserve"> </w:t>
            </w:r>
            <w:r>
              <w:rPr>
                <w:rStyle w:val="VerbatimChar"/>
              </w:rPr>
              <w:t xml:space="preserve">{group:CA-Access-ServerAdmins}</w:t>
            </w:r>
            <w:r>
              <w:t xml:space="preserve">; applications</w:t>
            </w:r>
            <w:r>
              <w:t xml:space="preserve"> </w:t>
            </w:r>
            <w:r>
              <w:rPr>
                <w:rStyle w:val="VerbatimChar"/>
              </w:rPr>
              <w:t xml:space="preserve">797f4846-ba00-4fd7-ba43-dac1f8f63013</w:t>
            </w:r>
            <w:r>
              <w:t xml:space="preserve"> </w:t>
            </w:r>
            <w:r>
              <w:t xml:space="preserve">and</w:t>
            </w:r>
            <w:r>
              <w:t xml:space="preserve"> </w:t>
            </w:r>
            <w:r>
              <w:rPr>
                <w:rStyle w:val="VerbatimChar"/>
              </w:rPr>
              <w:t xml:space="preserve">{app:Azure Virtual Desktop}</w:t>
            </w:r>
            <w:r>
              <w:t xml:space="preserve">;</w:t>
            </w:r>
            <w:r>
              <w:t xml:space="preserve"> </w:t>
            </w:r>
            <w:r>
              <w:rPr>
                <w:rStyle w:val="VerbatimChar"/>
              </w:rPr>
              <w:t xml:space="preserve">operator</w:t>
            </w:r>
            <w:r>
              <w:t xml:space="preserve"> </w:t>
            </w:r>
            <w:r>
              <w:rPr>
                <w:rStyle w:val="VerbatimChar"/>
              </w:rPr>
              <w:t xml:space="preserve">AND</w:t>
            </w:r>
            <w:r>
              <w:t xml:space="preserve"> </w:t>
            </w:r>
            <w:r>
              <w:t xml:space="preserve">with</w:t>
            </w:r>
            <w:r>
              <w:t xml:space="preserve"> </w:t>
            </w:r>
            <w:r>
              <w:rPr>
                <w:rStyle w:val="VerbatimChar"/>
              </w:rPr>
              <w:t xml:space="preserve">compliantDevice</w:t>
            </w:r>
            <w:r>
              <w:t xml:space="preserve"> </w:t>
            </w:r>
            <w:r>
              <w:t xml:space="preserve">and the custom strength</w:t>
            </w:r>
          </w:p>
        </w:tc>
      </w:tr>
      <w:tr>
        <w:tc>
          <w:tcPr/>
          <w:p>
            <w:pPr>
              <w:pStyle w:val="Compact"/>
            </w:pPr>
            <w:r>
              <w:t xml:space="preserve">CA028-SharedDevice-KioskApps-RequireCompliant</w:t>
            </w:r>
          </w:p>
        </w:tc>
        <w:tc>
          <w:tcPr/>
          <w:p>
            <w:pPr>
              <w:pStyle w:val="Compact"/>
            </w:pPr>
            <w:r>
              <w:t xml:space="preserve">CA004</w:t>
            </w:r>
          </w:p>
        </w:tc>
        <w:tc>
          <w:tcPr/>
          <w:p>
            <w:pPr>
              <w:pStyle w:val="Compact"/>
            </w:pPr>
            <w:r>
              <w:t xml:space="preserve">Include</w:t>
            </w:r>
            <w:r>
              <w:t xml:space="preserve"> </w:t>
            </w:r>
            <w:r>
              <w:rPr>
                <w:rStyle w:val="VerbatimChar"/>
              </w:rPr>
              <w:t xml:space="preserve">{group:CA-Persona-SharedDevice}</w:t>
            </w:r>
            <w:r>
              <w:t xml:space="preserve">; the kiosk app IDs;</w:t>
            </w:r>
            <w:r>
              <w:t xml:space="preserve"> </w:t>
            </w:r>
            <w:r>
              <w:rPr>
                <w:rStyle w:val="VerbatimChar"/>
              </w:rPr>
              <w:t xml:space="preserve">deviceFilter</w:t>
            </w:r>
            <w:r>
              <w:t xml:space="preserve"> </w:t>
            </w:r>
            <w:r>
              <w:t xml:space="preserve">mode</w:t>
            </w:r>
            <w:r>
              <w:t xml:space="preserve"> </w:t>
            </w:r>
            <w:r>
              <w:rPr>
                <w:rStyle w:val="VerbatimChar"/>
              </w:rPr>
              <w:t xml:space="preserve">include</w:t>
            </w:r>
            <w:r>
              <w:t xml:space="preserve">, rule</w:t>
            </w:r>
            <w:r>
              <w:t xml:space="preserve"> </w:t>
            </w:r>
            <w:r>
              <w:rPr>
                <w:rStyle w:val="VerbatimChar"/>
              </w:rPr>
              <w:t xml:space="preserve">device.extensionAttribute1 -eq "Shared"</w:t>
            </w:r>
            <w:r>
              <w:t xml:space="preserve">; sign-in frequency 8 hours instead of persistent browser</w:t>
            </w:r>
          </w:p>
        </w:tc>
      </w:tr>
      <w:tr>
        <w:tc>
          <w:tcPr/>
          <w:p>
            <w:pPr>
              <w:pStyle w:val="Compact"/>
            </w:pPr>
            <w:r>
              <w:t xml:space="preserve">CA029-Internals-OffNetwork-SessionLimits</w:t>
            </w:r>
          </w:p>
        </w:tc>
        <w:tc>
          <w:tcPr/>
          <w:p>
            <w:pPr>
              <w:pStyle w:val="Compact"/>
            </w:pPr>
            <w:r>
              <w:t xml:space="preserve">CA006</w:t>
            </w:r>
          </w:p>
        </w:tc>
        <w:tc>
          <w:tcPr/>
          <w:p>
            <w:pPr>
              <w:pStyle w:val="Compact"/>
            </w:pPr>
            <w:r>
              <w:t xml:space="preserve">Locations: include</w:t>
            </w:r>
            <w:r>
              <w:t xml:space="preserve"> </w:t>
            </w:r>
            <w:r>
              <w:rPr>
                <w:rStyle w:val="VerbatimChar"/>
              </w:rPr>
              <w:t xml:space="preserve">All</w:t>
            </w:r>
            <w:r>
              <w:t xml:space="preserve">, exclude</w:t>
            </w:r>
            <w:r>
              <w:t xml:space="preserve"> </w:t>
            </w:r>
            <w:r>
              <w:rPr>
                <w:rStyle w:val="VerbatimChar"/>
              </w:rPr>
              <w:t xml:space="preserve">{location:NL-TrustedNetworks}</w:t>
            </w:r>
            <w:r>
              <w:t xml:space="preserve">; sign-in frequency 4 hours; persistent browser</w:t>
            </w:r>
            <w:r>
              <w:t xml:space="preserve"> </w:t>
            </w:r>
            <w:r>
              <w:rPr>
                <w:rStyle w:val="VerbatimChar"/>
              </w:rPr>
              <w:t xml:space="preserve">never</w:t>
            </w:r>
          </w:p>
        </w:tc>
      </w:tr>
      <w:tr>
        <w:tc>
          <w:tcPr/>
          <w:p>
            <w:pPr>
              <w:pStyle w:val="Compact"/>
            </w:pPr>
            <w:r>
              <w:t xml:space="preserve">CA031-ProdOperators-ProductionApps-RequirePhishResistantCompliant</w:t>
            </w:r>
          </w:p>
        </w:tc>
        <w:tc>
          <w:tcPr/>
          <w:p>
            <w:pPr>
              <w:pStyle w:val="Compact"/>
            </w:pPr>
            <w:r>
              <w:t xml:space="preserve">CA030</w:t>
            </w:r>
          </w:p>
        </w:tc>
        <w:tc>
          <w:tcPr/>
          <w:p>
            <w:pPr>
              <w:pStyle w:val="Compact"/>
            </w:pPr>
            <w:r>
              <w:t xml:space="preserve">Include</w:t>
            </w:r>
            <w:r>
              <w:t xml:space="preserve"> </w:t>
            </w:r>
            <w:r>
              <w:rPr>
                <w:rStyle w:val="VerbatimChar"/>
              </w:rPr>
              <w:t xml:space="preserve">{group:CA-Access-ProdOperators}</w:t>
            </w:r>
            <w:r>
              <w:t xml:space="preserve"> </w:t>
            </w:r>
            <w:r>
              <w:t xml:space="preserve">only;</w:t>
            </w:r>
            <w:r>
              <w:t xml:space="preserve"> </w:t>
            </w:r>
            <w:r>
              <w:rPr>
                <w:rStyle w:val="VerbatimChar"/>
              </w:rPr>
              <w:t xml:space="preserve">operator</w:t>
            </w:r>
            <w:r>
              <w:t xml:space="preserve"> </w:t>
            </w:r>
            <w:r>
              <w:rPr>
                <w:rStyle w:val="VerbatimChar"/>
              </w:rPr>
              <w:t xml:space="preserve">AND</w:t>
            </w:r>
            <w:r>
              <w:t xml:space="preserve"> </w:t>
            </w:r>
            <w:r>
              <w:t xml:space="preserve">with</w:t>
            </w:r>
            <w:r>
              <w:t xml:space="preserve"> </w:t>
            </w:r>
            <w:r>
              <w:rPr>
                <w:rStyle w:val="VerbatimChar"/>
              </w:rPr>
              <w:t xml:space="preserve">compliantDevice</w:t>
            </w:r>
            <w:r>
              <w:t xml:space="preserve"> </w:t>
            </w:r>
            <w:r>
              <w:t xml:space="preserve">and strength</w:t>
            </w:r>
            <w:r>
              <w:t xml:space="preserve"> </w:t>
            </w:r>
            <w:r>
              <w:rPr>
                <w:rStyle w:val="VerbatimChar"/>
              </w:rPr>
              <w:t xml:space="preserve">…0004</w:t>
            </w:r>
            <w:r>
              <w:t xml:space="preserve">; sign-in frequency 4 hours</w:t>
            </w:r>
          </w:p>
        </w:tc>
      </w:tr>
      <w:tr>
        <w:tc>
          <w:tcPr/>
          <w:p>
            <w:pPr>
              <w:pStyle w:val="Compact"/>
            </w:pPr>
            <w:r>
              <w:t xml:space="preserve">CA032-AllUsers-StagingApps-BlockOffNetwork</w:t>
            </w:r>
          </w:p>
        </w:tc>
        <w:tc>
          <w:tcPr/>
          <w:p>
            <w:pPr>
              <w:pStyle w:val="Compact"/>
            </w:pPr>
            <w:r>
              <w:t xml:space="preserve">CA030</w:t>
            </w:r>
          </w:p>
        </w:tc>
        <w:tc>
          <w:tcPr/>
          <w:p>
            <w:pPr>
              <w:pStyle w:val="Compact"/>
            </w:pPr>
            <w:r>
              <w:t xml:space="preserve">Rule for</w:t>
            </w:r>
            <w:r>
              <w:t xml:space="preserve"> </w:t>
            </w:r>
            <w:r>
              <w:rPr>
                <w:rStyle w:val="VerbatimChar"/>
              </w:rPr>
              <w:t xml:space="preserve">Staging</w:t>
            </w:r>
            <w:r>
              <w:t xml:space="preserve">; no operator exclusion; locations include</w:t>
            </w:r>
            <w:r>
              <w:t xml:space="preserve"> </w:t>
            </w:r>
            <w:r>
              <w:rPr>
                <w:rStyle w:val="VerbatimChar"/>
              </w:rPr>
              <w:t xml:space="preserve">All</w:t>
            </w:r>
            <w:r>
              <w:t xml:space="preserve">, exclude</w:t>
            </w:r>
            <w:r>
              <w:t xml:space="preserve"> </w:t>
            </w:r>
            <w:r>
              <w:rPr>
                <w:rStyle w:val="VerbatimChar"/>
              </w:rPr>
              <w:t xml:space="preserve">{location:NL-TrustedNetworks}</w:t>
            </w:r>
          </w:p>
        </w:tc>
      </w:tr>
      <w:tr>
        <w:tc>
          <w:tcPr/>
          <w:p>
            <w:pPr>
              <w:pStyle w:val="Compact"/>
            </w:pPr>
            <w:r>
              <w:t xml:space="preserve">CA033-AllUsers-PowerPlatform-BlockNonMakers</w:t>
            </w:r>
          </w:p>
        </w:tc>
        <w:tc>
          <w:tcPr/>
          <w:p>
            <w:pPr>
              <w:pStyle w:val="Compact"/>
            </w:pPr>
            <w:r>
              <w:t xml:space="preserve">CA027</w:t>
            </w:r>
          </w:p>
        </w:tc>
        <w:tc>
          <w:tcPr/>
          <w:p>
            <w:pPr>
              <w:pStyle w:val="Compact"/>
            </w:pPr>
            <w:r>
              <w:t xml:space="preserve">Exclude</w:t>
            </w:r>
            <w:r>
              <w:t xml:space="preserve"> </w:t>
            </w:r>
            <w:r>
              <w:rPr>
                <w:rStyle w:val="VerbatimChar"/>
              </w:rPr>
              <w:t xml:space="preserve">{group:CA-Access-PowerPlatformMakers}</w:t>
            </w:r>
            <w:r>
              <w:t xml:space="preserve">; applications</w:t>
            </w:r>
            <w:r>
              <w:t xml:space="preserve"> </w:t>
            </w:r>
            <w:r>
              <w:rPr>
                <w:rStyle w:val="VerbatimChar"/>
              </w:rPr>
              <w:t xml:space="preserve">{app:Power Apps}</w:t>
            </w:r>
            <w:r>
              <w:t xml:space="preserve">,</w:t>
            </w:r>
            <w:r>
              <w:t xml:space="preserve"> </w:t>
            </w:r>
            <w:r>
              <w:rPr>
                <w:rStyle w:val="VerbatimChar"/>
              </w:rPr>
              <w:t xml:space="preserve">{app:Power Automate}</w:t>
            </w:r>
          </w:p>
        </w:tc>
      </w:tr>
      <w:tr>
        <w:tc>
          <w:tcPr/>
          <w:p>
            <w:pPr>
              <w:pStyle w:val="Compact"/>
            </w:pPr>
            <w:r>
              <w:t xml:space="preserve">CA034-{Dept}-{App}-RequireCompliantMFA</w:t>
            </w:r>
          </w:p>
        </w:tc>
        <w:tc>
          <w:tcPr/>
          <w:p>
            <w:pPr>
              <w:pStyle w:val="Compact"/>
            </w:pPr>
            <w:r>
              <w:t xml:space="preserve">CA006</w:t>
            </w:r>
          </w:p>
        </w:tc>
        <w:tc>
          <w:tcPr/>
          <w:p>
            <w:pPr>
              <w:pStyle w:val="Compact"/>
            </w:pPr>
            <w:r>
              <w:t xml:space="preserve">Include</w:t>
            </w:r>
            <w:r>
              <w:t xml:space="preserve"> </w:t>
            </w:r>
            <w:r>
              <w:rPr>
                <w:rStyle w:val="VerbatimChar"/>
              </w:rPr>
              <w:t xml:space="preserve">{group:CA-Access-{App}}</w:t>
            </w:r>
            <w:r>
              <w:t xml:space="preserve">; the application ID;</w:t>
            </w:r>
            <w:r>
              <w:t xml:space="preserve"> </w:t>
            </w:r>
            <w:r>
              <w:rPr>
                <w:rStyle w:val="VerbatimChar"/>
              </w:rPr>
              <w:t xml:space="preserve">operator</w:t>
            </w:r>
            <w:r>
              <w:t xml:space="preserve"> </w:t>
            </w:r>
            <w:r>
              <w:rPr>
                <w:rStyle w:val="VerbatimChar"/>
              </w:rPr>
              <w:t xml:space="preserve">AND</w:t>
            </w:r>
            <w:r>
              <w:t xml:space="preserve"> </w:t>
            </w:r>
            <w:r>
              <w:t xml:space="preserve">with</w:t>
            </w:r>
            <w:r>
              <w:t xml:space="preserve"> </w:t>
            </w:r>
            <w:r>
              <w:rPr>
                <w:rStyle w:val="VerbatimChar"/>
              </w:rPr>
              <w:t xml:space="preserve">compliantDevice</w:t>
            </w:r>
            <w:r>
              <w:t xml:space="preserve"> </w:t>
            </w:r>
            <w:r>
              <w:t xml:space="preserve">and strength</w:t>
            </w:r>
            <w:r>
              <w:t xml:space="preserve"> </w:t>
            </w:r>
            <w:r>
              <w:rPr>
                <w:rStyle w:val="VerbatimChar"/>
              </w:rPr>
              <w:t xml:space="preserve">…0002</w:t>
            </w:r>
            <w:r>
              <w:t xml:space="preserve">; sign-in frequency 8 hours</w:t>
            </w:r>
          </w:p>
        </w:tc>
      </w:tr>
      <w:tr>
        <w:tc>
          <w:tcPr/>
          <w:p>
            <w:pPr>
              <w:pStyle w:val="Compact"/>
            </w:pPr>
            <w:r>
              <w:t xml:space="preserve">CA035-AllUsers-{App}-BlockUnassigned</w:t>
            </w:r>
          </w:p>
        </w:tc>
        <w:tc>
          <w:tcPr/>
          <w:p>
            <w:pPr>
              <w:pStyle w:val="Compact"/>
            </w:pPr>
            <w:r>
              <w:t xml:space="preserve">CA027</w:t>
            </w:r>
          </w:p>
        </w:tc>
        <w:tc>
          <w:tcPr/>
          <w:p>
            <w:pPr>
              <w:pStyle w:val="Compact"/>
            </w:pPr>
            <w:r>
              <w:t xml:space="preserve">Exclude</w:t>
            </w:r>
            <w:r>
              <w:t xml:space="preserve"> </w:t>
            </w:r>
            <w:r>
              <w:rPr>
                <w:rStyle w:val="VerbatimChar"/>
              </w:rPr>
              <w:t xml:space="preserve">{group:CA-Access-{App}}</w:t>
            </w:r>
            <w:r>
              <w:t xml:space="preserve">; the application ID</w:t>
            </w:r>
          </w:p>
        </w:tc>
      </w:tr>
      <w:tr>
        <w:tc>
          <w:tcPr/>
          <w:p>
            <w:pPr>
              <w:pStyle w:val="Compact"/>
            </w:pPr>
            <w:r>
              <w:t xml:space="preserve">CA038-Guests-BlockNonApprovedApps</w:t>
            </w:r>
          </w:p>
        </w:tc>
        <w:tc>
          <w:tcPr/>
          <w:p>
            <w:pPr>
              <w:pStyle w:val="Compact"/>
            </w:pPr>
            <w:r>
              <w:t xml:space="preserve">CA011’s guest scope</w:t>
            </w:r>
          </w:p>
        </w:tc>
        <w:tc>
          <w:tcPr/>
          <w:p>
            <w:pPr>
              <w:pStyle w:val="Compact"/>
            </w:pPr>
            <w:r>
              <w:rPr>
                <w:rStyle w:val="VerbatimChar"/>
              </w:rPr>
              <w:t xml:space="preserve">"includeApplications": ["All"]</w:t>
            </w:r>
            <w:r>
              <w:t xml:space="preserve">,</w:t>
            </w:r>
            <w:r>
              <w:t xml:space="preserve"> </w:t>
            </w:r>
            <w:r>
              <w:rPr>
                <w:rStyle w:val="VerbatimChar"/>
              </w:rPr>
              <w:t xml:space="preserve">"excludeApplications": ["Office365", "{app:guest-approved}"]</w:t>
            </w:r>
            <w:r>
              <w:t xml:space="preserve">;</w:t>
            </w:r>
            <w:r>
              <w:t xml:space="preserve"> </w:t>
            </w:r>
            <w:r>
              <w:rPr>
                <w:rStyle w:val="VerbatimChar"/>
              </w:rPr>
              <w:t xml:space="preserve">block</w:t>
            </w:r>
            <w:r>
              <w:t xml:space="preserve">; no session controls</w:t>
            </w:r>
          </w:p>
        </w:tc>
      </w:tr>
    </w:tbl>
    <w:bookmarkEnd w:id="1116"/>
    <w:bookmarkEnd w:id="1117"/>
    <w:bookmarkStart w:id="1118" w:name="continue-the-book-10"/>
    <w:p>
      <w:pPr>
        <w:pStyle w:val="Heading2"/>
      </w:pPr>
      <w:bookmarkStart w:id="1285" w:name="_Toc00001285"/>
      <w:r>
        <w:t xml:space="preserve">Continue the book</w:t>
      </w:r>
      <w:bookmarkEnd w:id="1285"/>
    </w:p>
    <w:p>
      <w:pPr>
        <w:pStyle w:val="FirstParagraph"/>
      </w:pPr>
      <w:r>
        <w:t xml:space="preserve">← Previous: Chapter 10 — Access as Code, and the Evidence It Produces · Book index · Next: Appendix B — PIM Role Settings Reference →</w:t>
      </w:r>
    </w:p>
    <w:bookmarkEnd w:id="1118"/>
    <w:bookmarkEnd w:id="1119"/>
    <w:bookmarkStart w:id="1149" w:name="appendix-b-pim-role-settings-reference"/>
    <w:p>
      <w:pPr>
        <w:pStyle w:val="Heading1"/>
      </w:pPr>
      <w:bookmarkStart w:id="1286" w:name="_Toc00001286"/>
      <w:r>
        <w:t xml:space="preserve">Appendix B — PIM Role Settings Reference</w:t>
      </w:r>
      <w:bookmarkEnd w:id="1286"/>
    </w:p>
    <w:p>
      <w:pPr>
        <w:pStyle w:val="FirstParagraph"/>
      </w:pPr>
      <w:r>
        <w:rPr>
          <w:i/>
          <w:iCs/>
        </w:rPr>
        <w:t xml:space="preserve">One row per role, so that the setting in the tenant, the file in the repository and the statement in the security plan can be compared line by line.</w:t>
      </w:r>
    </w:p>
    <w:bookmarkStart w:id="1120" w:name="in-this-appendix-1"/>
    <w:p>
      <w:pPr>
        <w:pStyle w:val="Heading2"/>
      </w:pPr>
      <w:bookmarkStart w:id="1287" w:name="_Toc00001287"/>
      <w:r>
        <w:t xml:space="preserve">In this appendix</w:t>
      </w:r>
      <w:bookmarkEnd w:id="1287"/>
    </w:p>
    <w:p>
      <w:pPr>
        <w:pStyle w:val="FirstParagraph"/>
      </w:pPr>
      <w:r>
        <w:t xml:space="preserve">The role settings the program applies in Privileged Identity Management (PIM) to each Microsoft Entra administrative role, grouped by the privilege tiers of Chapter 04. The settings common to every role, the notification recipients by tier, where these values tighten Book 02, Chapter 09, and the role template IDs used to find each role’s policy.</w:t>
      </w:r>
    </w:p>
    <w:bookmarkEnd w:id="1120"/>
    <w:p>
      <w:pPr>
        <w:pStyle w:val="BodyText"/>
      </w:pPr>
      <w:r>
        <w:t xml:space="preserve">The values are the program’s design. The ranges and behaviors they sit inside are Microsoft’s, and Chapter 08 documents them: an activation maximum of 1 to 24 hours, information-only ticket numbers, a fixed 24-hour approval window, single-stage approval only, and settings defined independently for each role.</w:t>
      </w:r>
      <w:r>
        <w:rPr>
          <w:rStyle w:val="FootnoteReference"/>
        </w:rPr>
        <w:footnoteReference w:id="1121"/>
      </w:r>
      <w:r>
        <w:rPr>
          <w:rStyle w:val="FootnoteReference"/>
        </w:rPr>
        <w:footnoteReference w:id="1122"/>
      </w:r>
      <w:r>
        <w:t xml:space="preserve"> </w:t>
      </w:r>
      <w:r>
        <w:t xml:space="preserve">Chapter 08 shows how to apply a tier’s values with Microsoft Graph, and Chapter 10 keeps one file per role policy so drift from this table is detectable.</w:t>
      </w:r>
    </w:p>
    <w:bookmarkStart w:id="1123" w:name="conventions"/>
    <w:p>
      <w:pPr>
        <w:pStyle w:val="Heading2"/>
      </w:pPr>
      <w:bookmarkStart w:id="1288" w:name="_Toc00001288"/>
      <w:r>
        <w:t xml:space="preserve">Conventions</w:t>
      </w:r>
      <w:bookmarkEnd w:id="1288"/>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rStyle w:val="VerbatimChar"/>
              </w:rPr>
              <w:t xml:space="preserve">c1</w:t>
            </w:r>
          </w:p>
        </w:tc>
        <w:tc>
          <w:tcPr/>
          <w:p>
            <w:pPr>
              <w:pStyle w:val="Compact"/>
            </w:pPr>
            <w:r>
              <w:t xml:space="preserve">Authentication context</w:t>
            </w:r>
            <w:r>
              <w:t xml:space="preserve"> </w:t>
            </w:r>
            <w:r>
              <w:rPr>
                <w:rStyle w:val="VerbatimChar"/>
              </w:rPr>
              <w:t xml:space="preserve">FMP-PIM-Activation</w:t>
            </w:r>
            <w:r>
              <w:t xml:space="preserve">, enforced by Conditional Access policy</w:t>
            </w:r>
            <w:r>
              <w:t xml:space="preserve"> </w:t>
            </w:r>
            <w:r>
              <w:rPr>
                <w:rStyle w:val="VerbatimChar"/>
              </w:rPr>
              <w:t xml:space="preserve">PIM-Activation-c1</w:t>
            </w:r>
            <w:r>
              <w:t xml:space="preserve">: authentication strength</w:t>
            </w:r>
            <w:r>
              <w:t xml:space="preserve"> </w:t>
            </w:r>
            <w:r>
              <w:rPr>
                <w:rStyle w:val="VerbatimChar"/>
              </w:rPr>
              <w:t xml:space="preserve">FMP-Privileged-SeparateDevice</w:t>
            </w:r>
            <w:r>
              <w:t xml:space="preserve">, compliant device, sign-in frequency every time (Chapter 08)</w:t>
            </w:r>
          </w:p>
        </w:tc>
      </w:tr>
      <w:tr>
        <w:tc>
          <w:tcPr/>
          <w:p>
            <w:pPr>
              <w:pStyle w:val="Compact"/>
            </w:pPr>
            <w:r>
              <w:rPr>
                <w:rStyle w:val="VerbatimChar"/>
              </w:rPr>
              <w:t xml:space="preserve">PIM-Approvers-T0</w:t>
            </w:r>
          </w:p>
        </w:tc>
        <w:tc>
          <w:tcPr/>
          <w:p>
            <w:pPr>
              <w:pStyle w:val="Compact"/>
            </w:pPr>
            <w:r>
              <w:t xml:space="preserve">Approvers for Tier 0 activations, drawn from the security office; no member is eligible for a Tier 0 role</w:t>
            </w:r>
          </w:p>
        </w:tc>
      </w:tr>
      <w:tr>
        <w:tc>
          <w:tcPr/>
          <w:p>
            <w:pPr>
              <w:pStyle w:val="Compact"/>
            </w:pPr>
            <w:r>
              <w:rPr>
                <w:rStyle w:val="VerbatimChar"/>
              </w:rPr>
              <w:t xml:space="preserve">PIM-Approvers-T1</w:t>
            </w:r>
          </w:p>
        </w:tc>
        <w:tc>
          <w:tcPr/>
          <w:p>
            <w:pPr>
              <w:pStyle w:val="Compact"/>
            </w:pPr>
            <w:r>
              <w:t xml:space="preserve">Approvers for Tier 1 activations, drawn from identity engineering leads and the security office; no member is eligible for the role they approve</w:t>
            </w:r>
          </w:p>
        </w:tc>
      </w:tr>
      <w:tr>
        <w:tc>
          <w:tcPr/>
          <w:p>
            <w:pPr>
              <w:pStyle w:val="Compact"/>
            </w:pPr>
            <w:r>
              <w:rPr>
                <w:rStyle w:val="VerbatimChar"/>
              </w:rPr>
              <w:t xml:space="preserve">PIM-Approvers-T2</w:t>
            </w:r>
          </w:p>
        </w:tc>
        <w:tc>
          <w:tcPr/>
          <w:p>
            <w:pPr>
              <w:pStyle w:val="Compact"/>
            </w:pPr>
            <w:r>
              <w:t xml:space="preserve">Used only for a Tier 2 role whose risk acceptance has been withdrawn, so that it requires approval</w:t>
            </w:r>
          </w:p>
        </w:tc>
      </w:tr>
      <w:tr>
        <w:tc>
          <w:tcPr/>
          <w:p>
            <w:pPr>
              <w:pStyle w:val="Compact"/>
            </w:pPr>
            <w:r>
              <w:t xml:space="preserve">SOC mailbox</w:t>
            </w:r>
          </w:p>
        </w:tc>
        <w:tc>
          <w:tcPr/>
          <w:p>
            <w:pPr>
              <w:pStyle w:val="Compact"/>
            </w:pPr>
            <w:r>
              <w:t xml:space="preserve">The security operations distribution list that receives every activation alert</w:t>
            </w:r>
          </w:p>
        </w:tc>
      </w:tr>
      <w:tr>
        <w:tc>
          <w:tcPr/>
          <w:p>
            <w:pPr>
              <w:pStyle w:val="Compact"/>
            </w:pPr>
            <w:r>
              <w:t xml:space="preserve">Eligible to</w:t>
            </w:r>
          </w:p>
        </w:tc>
        <w:tc>
          <w:tcPr/>
          <w:p>
            <w:pPr>
              <w:pStyle w:val="Compact"/>
            </w:pPr>
            <w:r>
              <w:t xml:space="preserve">The role-assignable group that holds the eligible assignment (Chapter 04)</w:t>
            </w:r>
          </w:p>
        </w:tc>
      </w:tr>
    </w:tbl>
    <w:p>
      <w:pPr>
        <w:pStyle w:val="BodyText"/>
      </w:pPr>
      <w:r>
        <w:t xml:space="preserve">Every value marked</w:t>
      </w:r>
      <w:r>
        <w:t xml:space="preserve"> </w:t>
      </w:r>
      <w:r>
        <w:t xml:space="preserve">“Required”</w:t>
      </w:r>
      <w:r>
        <w:t xml:space="preserve"> </w:t>
      </w:r>
      <w:r>
        <w:t xml:space="preserve">for approval also requires the approver’s own justification (</w:t>
      </w:r>
      <w:r>
        <w:rPr>
          <w:rStyle w:val="VerbatimChar"/>
        </w:rPr>
        <w:t xml:space="preserve">isApproverJustificationRequired</w:t>
      </w:r>
      <w:r>
        <w:t xml:space="preserve">).</w:t>
      </w:r>
    </w:p>
    <w:bookmarkEnd w:id="1123"/>
    <w:bookmarkStart w:id="1126" w:name="settings-common-to-every-role"/>
    <w:p>
      <w:pPr>
        <w:pStyle w:val="Heading2"/>
      </w:pPr>
      <w:bookmarkStart w:id="1289" w:name="_Toc00001289"/>
      <w:r>
        <w:t xml:space="preserve">Settings common to every role</w:t>
      </w:r>
      <w:bookmarkEnd w:id="1289"/>
    </w:p>
    <w:p>
      <w:pPr>
        <w:pStyle w:val="FirstParagraph"/>
      </w:pPr>
      <w:r>
        <w:t xml:space="preserve">These apply to every role in the tables below, on the</w:t>
      </w:r>
      <w:r>
        <w:t xml:space="preserve"> </w:t>
      </w:r>
      <w:r>
        <w:rPr>
          <w:b/>
          <w:bCs/>
        </w:rPr>
        <w:t xml:space="preserve">Assignment</w:t>
      </w:r>
      <w:r>
        <w:t xml:space="preserve"> </w:t>
      </w:r>
      <w:r>
        <w:t xml:space="preserve">tab and in the matching Graph rules.</w:t>
      </w:r>
      <w:r>
        <w:rPr>
          <w:rStyle w:val="FootnoteReference"/>
        </w:rPr>
        <w:footnoteReference w:id="1124"/>
      </w:r>
      <w:r>
        <w:rPr>
          <w:rStyle w:val="FootnoteReference"/>
        </w:rPr>
        <w:footnoteReference w:id="1125"/>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Graph rule</w:t>
            </w:r>
          </w:p>
        </w:tc>
      </w:tr>
      <w:tr>
        <w:tc>
          <w:tcPr/>
          <w:p>
            <w:pPr>
              <w:pStyle w:val="Compact"/>
            </w:pPr>
            <w:r>
              <w:t xml:space="preserve">Allow permanent eligible assignment</w:t>
            </w:r>
          </w:p>
        </w:tc>
        <w:tc>
          <w:tcPr/>
          <w:p>
            <w:pPr>
              <w:pStyle w:val="Compact"/>
            </w:pPr>
            <w:r>
              <w:t xml:space="preserve">No; expiry by tier (below)</w:t>
            </w:r>
          </w:p>
        </w:tc>
        <w:tc>
          <w:tcPr/>
          <w:p>
            <w:pPr>
              <w:pStyle w:val="Compact"/>
            </w:pPr>
            <w:r>
              <w:rPr>
                <w:rStyle w:val="VerbatimChar"/>
              </w:rPr>
              <w:t xml:space="preserve">Expiration_Admin_Eligibility</w:t>
            </w:r>
          </w:p>
        </w:tc>
      </w:tr>
      <w:tr>
        <w:tc>
          <w:tcPr/>
          <w:p>
            <w:pPr>
              <w:pStyle w:val="Compact"/>
            </w:pPr>
            <w:r>
              <w:t xml:space="preserve">Allow permanent active assignment</w:t>
            </w:r>
          </w:p>
        </w:tc>
        <w:tc>
          <w:tcPr/>
          <w:p>
            <w:pPr>
              <w:pStyle w:val="Compact"/>
            </w:pPr>
            <w:r>
              <w:t xml:space="preserve">No, except Global Administrator for the emergency access accounts</w:t>
            </w:r>
          </w:p>
        </w:tc>
        <w:tc>
          <w:tcPr/>
          <w:p>
            <w:pPr>
              <w:pStyle w:val="Compact"/>
            </w:pPr>
            <w:r>
              <w:rPr>
                <w:rStyle w:val="VerbatimChar"/>
              </w:rPr>
              <w:t xml:space="preserve">Expiration_Admin_Assignment</w:t>
            </w:r>
          </w:p>
        </w:tc>
      </w:tr>
      <w:tr>
        <w:tc>
          <w:tcPr/>
          <w:p>
            <w:pPr>
              <w:pStyle w:val="Compact"/>
            </w:pPr>
            <w:r>
              <w:t xml:space="preserve">Expire active assignment after</w:t>
            </w:r>
          </w:p>
        </w:tc>
        <w:tc>
          <w:tcPr/>
          <w:p>
            <w:pPr>
              <w:pStyle w:val="Compact"/>
            </w:pPr>
            <w:r>
              <w:t xml:space="preserve">The shortest period the documented exception needs; reviewed with the exception</w:t>
            </w:r>
          </w:p>
        </w:tc>
        <w:tc>
          <w:tcPr/>
          <w:p>
            <w:pPr>
              <w:pStyle w:val="Compact"/>
            </w:pPr>
            <w:r>
              <w:rPr>
                <w:rStyle w:val="VerbatimChar"/>
              </w:rPr>
              <w:t xml:space="preserve">Expiration_Admin_Assignment</w:t>
            </w:r>
          </w:p>
        </w:tc>
      </w:tr>
      <w:tr>
        <w:tc>
          <w:tcPr/>
          <w:p>
            <w:pPr>
              <w:pStyle w:val="Compact"/>
            </w:pPr>
            <w:r>
              <w:t xml:space="preserve">Require MFA on active assignment</w:t>
            </w:r>
          </w:p>
        </w:tc>
        <w:tc>
          <w:tcPr/>
          <w:p>
            <w:pPr>
              <w:pStyle w:val="Compact"/>
            </w:pPr>
            <w:r>
              <w:t xml:space="preserve">Yes</w:t>
            </w:r>
          </w:p>
        </w:tc>
        <w:tc>
          <w:tcPr/>
          <w:p>
            <w:pPr>
              <w:pStyle w:val="Compact"/>
            </w:pPr>
            <w:r>
              <w:rPr>
                <w:rStyle w:val="VerbatimChar"/>
              </w:rPr>
              <w:t xml:space="preserve">Enablement_Admin_Assignment</w:t>
            </w:r>
          </w:p>
        </w:tc>
      </w:tr>
      <w:tr>
        <w:tc>
          <w:tcPr/>
          <w:p>
            <w:pPr>
              <w:pStyle w:val="Compact"/>
            </w:pPr>
            <w:r>
              <w:t xml:space="preserve">Require justification on active assignment</w:t>
            </w:r>
          </w:p>
        </w:tc>
        <w:tc>
          <w:tcPr/>
          <w:p>
            <w:pPr>
              <w:pStyle w:val="Compact"/>
            </w:pPr>
            <w:r>
              <w:t xml:space="preserve">Yes</w:t>
            </w:r>
          </w:p>
        </w:tc>
        <w:tc>
          <w:tcPr/>
          <w:p>
            <w:pPr>
              <w:pStyle w:val="Compact"/>
            </w:pPr>
            <w:r>
              <w:rPr>
                <w:rStyle w:val="VerbatimChar"/>
              </w:rPr>
              <w:t xml:space="preserve">Enablement_Admin_Assignment</w:t>
            </w:r>
          </w:p>
        </w:tc>
      </w:tr>
      <w:tr>
        <w:tc>
          <w:tcPr/>
          <w:p>
            <w:pPr>
              <w:pStyle w:val="Compact"/>
            </w:pPr>
            <w:r>
              <w:t xml:space="preserve">On activation, require</w:t>
            </w:r>
          </w:p>
        </w:tc>
        <w:tc>
          <w:tcPr/>
          <w:p>
            <w:pPr>
              <w:pStyle w:val="Compact"/>
            </w:pPr>
            <w:r>
              <w:t xml:space="preserve">Authentication context</w:t>
            </w:r>
            <w:r>
              <w:t xml:space="preserve"> </w:t>
            </w:r>
            <w:r>
              <w:rPr>
                <w:rStyle w:val="VerbatimChar"/>
              </w:rPr>
              <w:t xml:space="preserve">c1</w:t>
            </w:r>
          </w:p>
        </w:tc>
        <w:tc>
          <w:tcPr/>
          <w:p>
            <w:pPr>
              <w:pStyle w:val="Compact"/>
            </w:pPr>
            <w:r>
              <w:rPr>
                <w:rStyle w:val="VerbatimChar"/>
              </w:rPr>
              <w:t xml:space="preserve">AuthenticationContext_EndUser_Assignment</w:t>
            </w:r>
          </w:p>
        </w:tc>
      </w:tr>
      <w:tr>
        <w:tc>
          <w:tcPr/>
          <w:p>
            <w:pPr>
              <w:pStyle w:val="Compact"/>
            </w:pPr>
            <w:r>
              <w:t xml:space="preserve">Require justification on activation</w:t>
            </w:r>
          </w:p>
        </w:tc>
        <w:tc>
          <w:tcPr/>
          <w:p>
            <w:pPr>
              <w:pStyle w:val="Compact"/>
            </w:pPr>
            <w:r>
              <w:t xml:space="preserve">Yes</w:t>
            </w:r>
          </w:p>
        </w:tc>
        <w:tc>
          <w:tcPr/>
          <w:p>
            <w:pPr>
              <w:pStyle w:val="Compact"/>
            </w:pPr>
            <w:r>
              <w:rPr>
                <w:rStyle w:val="VerbatimChar"/>
              </w:rPr>
              <w:t xml:space="preserve">Enablement_EndUser_Assignment</w:t>
            </w:r>
          </w:p>
        </w:tc>
      </w:tr>
      <w:tr>
        <w:tc>
          <w:tcPr/>
          <w:p>
            <w:pPr>
              <w:pStyle w:val="Compact"/>
            </w:pPr>
            <w:r>
              <w:t xml:space="preserve">Approval stage timeout</w:t>
            </w:r>
          </w:p>
        </w:tc>
        <w:tc>
          <w:tcPr/>
          <w:p>
            <w:pPr>
              <w:pStyle w:val="Compact"/>
            </w:pPr>
            <w:r>
              <w:t xml:space="preserve">1 day (the fixed 24-hour window)</w:t>
            </w:r>
          </w:p>
        </w:tc>
        <w:tc>
          <w:tcPr/>
          <w:p>
            <w:pPr>
              <w:pStyle w:val="Compact"/>
            </w:pPr>
            <w:r>
              <w:rPr>
                <w:rStyle w:val="VerbatimChar"/>
              </w:rPr>
              <w:t xml:space="preserve">Approval_EndUser_Assignment</w:t>
            </w:r>
          </w:p>
        </w:tc>
      </w:tr>
    </w:tbl>
    <w:bookmarkEnd w:id="1126"/>
    <w:bookmarkStart w:id="1128" w:name="tier-0-control-plane"/>
    <w:p>
      <w:pPr>
        <w:pStyle w:val="Heading2"/>
      </w:pPr>
      <w:bookmarkStart w:id="1290" w:name="_Toc00001290"/>
      <w:r>
        <w:t xml:space="preserve">Tier 0 — control plane</w:t>
      </w:r>
      <w:bookmarkEnd w:id="1290"/>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 and approvers</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Global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PRV-T0-GlobalAdmin</w:t>
            </w:r>
          </w:p>
        </w:tc>
      </w:tr>
      <w:tr>
        <w:tc>
          <w:tcPr/>
          <w:p>
            <w:pPr>
              <w:pStyle w:val="Compact"/>
            </w:pPr>
            <w:r>
              <w:t xml:space="preserve">Privileged Role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PRV-T0-PrivRoleAdmin</w:t>
            </w:r>
          </w:p>
        </w:tc>
      </w:tr>
      <w:tr>
        <w:tc>
          <w:tcPr/>
          <w:p>
            <w:pPr>
              <w:pStyle w:val="Compact"/>
            </w:pPr>
            <w:r>
              <w:t xml:space="preserve">Privileged Authentication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PRV-T0-PrivAuthAdmin</w:t>
            </w:r>
          </w:p>
        </w:tc>
      </w:tr>
      <w:tr>
        <w:tc>
          <w:tcPr/>
          <w:p>
            <w:pPr>
              <w:pStyle w:val="Compact"/>
            </w:pPr>
            <w:r>
              <w:t xml:space="preserve">Security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PRV-T0-SecurityAdmin</w:t>
            </w:r>
          </w:p>
        </w:tc>
      </w:tr>
      <w:tr>
        <w:tc>
          <w:tcPr/>
          <w:p>
            <w:pPr>
              <w:pStyle w:val="Compact"/>
            </w:pPr>
            <w:r>
              <w:t xml:space="preserve">Conditional Access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PRV-T0-CAAdmin</w:t>
            </w:r>
          </w:p>
        </w:tc>
      </w:tr>
    </w:tbl>
    <w:p>
      <w:pPr>
        <w:pStyle w:val="BodyText"/>
      </w:pPr>
      <w:r>
        <w:t xml:space="preserve">Microsoft’s guidance is fewer than five Global Administrators;</w:t>
      </w:r>
      <w:r>
        <w:rPr>
          <w:rStyle w:val="FootnoteReference"/>
        </w:rPr>
        <w:footnoteReference w:id="1127"/>
      </w:r>
      <w:r>
        <w:t xml:space="preserve"> </w:t>
      </w:r>
      <w:r>
        <w:t xml:space="preserve">the eligible population of</w:t>
      </w:r>
      <w:r>
        <w:t xml:space="preserve"> </w:t>
      </w:r>
      <w:r>
        <w:rPr>
          <w:rStyle w:val="VerbatimChar"/>
        </w:rPr>
        <w:t xml:space="preserve">PRV-T0-GlobalAdmin</w:t>
      </w:r>
      <w:r>
        <w:t xml:space="preserve">, plus the two emergency accounts, stays within that.</w:t>
      </w:r>
    </w:p>
    <w:bookmarkEnd w:id="1128"/>
    <w:bookmarkStart w:id="1131" w:name="tier-1-management-plane"/>
    <w:p>
      <w:pPr>
        <w:pStyle w:val="Heading2"/>
      </w:pPr>
      <w:bookmarkStart w:id="1291" w:name="_Toc00001291"/>
      <w:r>
        <w:t xml:space="preserve">Tier 1 — management plane</w:t>
      </w:r>
      <w:bookmarkEnd w:id="1291"/>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 and approvers</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Exchange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PRV-T1-ExchangeAdmin</w:t>
            </w:r>
          </w:p>
        </w:tc>
      </w:tr>
      <w:tr>
        <w:tc>
          <w:tcPr/>
          <w:p>
            <w:pPr>
              <w:pStyle w:val="Compact"/>
            </w:pPr>
            <w:r>
              <w:t xml:space="preserve">SharePoint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PRV-T1-SharePointAdmin</w:t>
            </w:r>
          </w:p>
        </w:tc>
      </w:tr>
      <w:tr>
        <w:tc>
          <w:tcPr/>
          <w:p>
            <w:pPr>
              <w:pStyle w:val="Compact"/>
            </w:pPr>
            <w:r>
              <w:t xml:space="preserve">Teams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PRV-T1-TeamsAdmin</w:t>
            </w:r>
          </w:p>
        </w:tc>
      </w:tr>
      <w:tr>
        <w:tc>
          <w:tcPr/>
          <w:p>
            <w:pPr>
              <w:pStyle w:val="Compact"/>
            </w:pPr>
            <w:r>
              <w:t xml:space="preserve">Intune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PRV-T1-IntuneAdmin</w:t>
            </w:r>
          </w:p>
        </w:tc>
      </w:tr>
      <w:tr>
        <w:tc>
          <w:tcPr/>
          <w:p>
            <w:pPr>
              <w:pStyle w:val="Compact"/>
            </w:pPr>
            <w:r>
              <w:t xml:space="preserve">Application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PRV-T1-AppAdmin</w:t>
            </w:r>
          </w:p>
        </w:tc>
      </w:tr>
      <w:tr>
        <w:tc>
          <w:tcPr/>
          <w:p>
            <w:pPr>
              <w:pStyle w:val="Compact"/>
            </w:pPr>
            <w:r>
              <w:t xml:space="preserve">Cloud Application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PRV-T1-CloudAppAdmin</w:t>
            </w:r>
          </w:p>
        </w:tc>
      </w:tr>
      <w:tr>
        <w:tc>
          <w:tcPr/>
          <w:p>
            <w:pPr>
              <w:pStyle w:val="Compact"/>
            </w:pPr>
            <w:r>
              <w:t xml:space="preserve">Hybrid Identity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PRV-T1-HybridIdentityAdmin</w:t>
            </w:r>
          </w:p>
        </w:tc>
      </w:tr>
      <w:tr>
        <w:tc>
          <w:tcPr/>
          <w:p>
            <w:pPr>
              <w:pStyle w:val="Compact"/>
            </w:pPr>
            <w:r>
              <w:t xml:space="preserve">Authentication Policy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PRV-T1-AuthPolicyAdmin</w:t>
            </w:r>
          </w:p>
        </w:tc>
      </w:tr>
      <w:tr>
        <w:tc>
          <w:tcPr/>
          <w:p>
            <w:pPr>
              <w:pStyle w:val="Compact"/>
            </w:pPr>
            <w:r>
              <w:t xml:space="preserve">Compliance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PRV-T1-ComplianceAdmin</w:t>
            </w:r>
          </w:p>
        </w:tc>
      </w:tr>
    </w:tbl>
    <w:p>
      <w:pPr>
        <w:pStyle w:val="BodyText"/>
      </w:pPr>
      <w:r>
        <w:t xml:space="preserve">For Exchange Administrator and SharePoint Administrator the program uses an eligible group-to-role assignment with active group members, the pattern Microsoft recommends for roles with Exchange, SharePoint or Purview permissions to avoid slow activation.</w:t>
      </w:r>
      <w:r>
        <w:rPr>
          <w:rStyle w:val="FootnoteReference"/>
        </w:rPr>
        <w:footnoteReference w:id="1129"/>
      </w:r>
      <w:r>
        <w:t xml:space="preserve"> </w:t>
      </w:r>
      <w:r>
        <w:t xml:space="preserve">Some Exchange admin center areas don’t recognize a role held through a group; where an administrator needs them, assign that person’s eligibility directly to the role and record the exception.</w:t>
      </w:r>
      <w:r>
        <w:rPr>
          <w:rStyle w:val="FootnoteReference"/>
        </w:rPr>
        <w:footnoteReference w:id="1130"/>
      </w:r>
    </w:p>
    <w:bookmarkEnd w:id="1131"/>
    <w:bookmarkStart w:id="1135" w:name="tier-2-scoped-operations"/>
    <w:p>
      <w:pPr>
        <w:pStyle w:val="Heading2"/>
      </w:pPr>
      <w:bookmarkStart w:id="1292" w:name="_Toc00001292"/>
      <w:r>
        <w:t xml:space="preserve">Tier 2 — scoped operations</w:t>
      </w:r>
      <w:bookmarkEnd w:id="1292"/>
    </w:p>
    <w:p>
      <w:pPr>
        <w:pStyle w:val="FirstParagraph"/>
      </w:pPr>
      <w:r>
        <w:t xml:space="preserve">These roles are assigned at administrative-unit scope wherever the role supports it (Book 02, Chapter 05). The PIM settings are per role, so every scoped assignment of a role shares them.</w:t>
      </w:r>
      <w:r>
        <w:rPr>
          <w:rStyle w:val="FootnoteReference"/>
        </w:rPr>
        <w:footnoteReference w:id="1132"/>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 and approvers</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User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PRV-T2-UserAdmin-&lt;AU&gt;</w:t>
            </w:r>
          </w:p>
        </w:tc>
      </w:tr>
      <w:tr>
        <w:tc>
          <w:tcPr/>
          <w:p>
            <w:pPr>
              <w:pStyle w:val="Compact"/>
            </w:pPr>
            <w:r>
              <w:t xml:space="preserve">Groups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PRV-T2-GroupsAdmin-&lt;AU&gt;</w:t>
            </w:r>
          </w:p>
        </w:tc>
      </w:tr>
      <w:tr>
        <w:tc>
          <w:tcPr/>
          <w:p>
            <w:pPr>
              <w:pStyle w:val="Compact"/>
            </w:pPr>
            <w:r>
              <w:t xml:space="preserve">Helpdesk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PRV-T2-HelpdeskAdmin-&lt;AU&gt;</w:t>
            </w:r>
          </w:p>
        </w:tc>
      </w:tr>
      <w:tr>
        <w:tc>
          <w:tcPr/>
          <w:p>
            <w:pPr>
              <w:pStyle w:val="Compact"/>
            </w:pPr>
            <w:r>
              <w:t xml:space="preserve">Password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PRV-T2-PasswordAdmin-&lt;AU&gt;</w:t>
            </w:r>
          </w:p>
        </w:tc>
      </w:tr>
      <w:tr>
        <w:tc>
          <w:tcPr/>
          <w:p>
            <w:pPr>
              <w:pStyle w:val="Compact"/>
            </w:pPr>
            <w:r>
              <w:t xml:space="preserve">Authentication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PRV-T2-AuthAdmin-&lt;AU&gt;</w:t>
            </w:r>
          </w:p>
        </w:tc>
      </w:tr>
    </w:tbl>
    <w:p>
      <w:pPr>
        <w:pStyle w:val="BodyText"/>
      </w:pPr>
      <w:r>
        <w:t xml:space="preserve">The risk acceptance rests on three compensating facts: the assignment is scoped to an administrative unit, these roles can’t change the credentials of members of role-assignable groups,</w:t>
      </w:r>
      <w:r>
        <w:rPr>
          <w:rStyle w:val="FootnoteReference"/>
        </w:rPr>
        <w:footnoteReference w:id="1133"/>
      </w:r>
      <w:r>
        <w:t xml:space="preserve"> </w:t>
      </w:r>
      <w:r>
        <w:t xml:space="preserve">and every activation still passes</w:t>
      </w:r>
      <w:r>
        <w:t xml:space="preserve"> </w:t>
      </w:r>
      <w:r>
        <w:rPr>
          <w:rStyle w:val="VerbatimChar"/>
        </w:rPr>
        <w:t xml:space="preserve">c1</w:t>
      </w:r>
      <w:r>
        <w:t xml:space="preserve"> </w:t>
      </w:r>
      <w:r>
        <w:t xml:space="preserve">and is alerted to the SOC. Microsoft recommends approval for eligible assignments in groups used to elevate into roles, because otherwise someone who can reset an eligible user’s credentials could activate on their behalf;</w:t>
      </w:r>
      <w:r>
        <w:rPr>
          <w:rStyle w:val="FootnoteReference"/>
        </w:rPr>
        <w:footnoteReference w:id="1134"/>
      </w:r>
      <w:r>
        <w:t xml:space="preserve"> </w:t>
      </w:r>
      <w:r>
        <w:t xml:space="preserve">if an agency’s help desk can reset the credentials of Tier 2 administrators, withdraw the risk acceptance and require</w:t>
      </w:r>
      <w:r>
        <w:t xml:space="preserve"> </w:t>
      </w:r>
      <w:r>
        <w:rPr>
          <w:rStyle w:val="VerbatimChar"/>
        </w:rPr>
        <w:t xml:space="preserve">PIM-Approvers-T2</w:t>
      </w:r>
      <w:r>
        <w:t xml:space="preserve">.</w:t>
      </w:r>
    </w:p>
    <w:bookmarkEnd w:id="1135"/>
    <w:bookmarkStart w:id="1137" w:name="read-only"/>
    <w:p>
      <w:pPr>
        <w:pStyle w:val="Heading2"/>
      </w:pPr>
      <w:bookmarkStart w:id="1293" w:name="_Toc00001293"/>
      <w:r>
        <w:t xml:space="preserve">Read-only</w:t>
      </w:r>
      <w:bookmarkEnd w:id="1293"/>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Global Reader</w:t>
            </w:r>
          </w:p>
        </w:tc>
        <w:tc>
          <w:tcPr/>
          <w:p>
            <w:pPr>
              <w:pStyle w:val="Compact"/>
            </w:pPr>
            <w:r>
              <w:t xml:space="preserve">8 hours</w:t>
            </w:r>
          </w:p>
        </w:tc>
        <w:tc>
          <w:tcPr/>
          <w:p>
            <w:pPr>
              <w:pStyle w:val="Compact"/>
            </w:pPr>
            <w:r>
              <w:t xml:space="preserve">Not required</w:t>
            </w:r>
          </w:p>
        </w:tc>
        <w:tc>
          <w:tcPr/>
          <w:p>
            <w:pPr>
              <w:pStyle w:val="Compact"/>
            </w:pPr>
            <w:r>
              <w:t xml:space="preserve">Optional</w:t>
            </w:r>
          </w:p>
        </w:tc>
        <w:tc>
          <w:tcPr/>
          <w:p>
            <w:pPr>
              <w:pStyle w:val="Compact"/>
            </w:pPr>
            <w:r>
              <w:t xml:space="preserve">365 days</w:t>
            </w:r>
          </w:p>
        </w:tc>
        <w:tc>
          <w:tcPr/>
          <w:p>
            <w:pPr>
              <w:pStyle w:val="Compact"/>
            </w:pPr>
            <w:r>
              <w:rPr>
                <w:rStyle w:val="VerbatimChar"/>
              </w:rPr>
              <w:t xml:space="preserve">PRV-RO-GlobalReader</w:t>
            </w:r>
          </w:p>
        </w:tc>
      </w:tr>
      <w:tr>
        <w:tc>
          <w:tcPr/>
          <w:p>
            <w:pPr>
              <w:pStyle w:val="Compact"/>
            </w:pPr>
            <w:r>
              <w:t xml:space="preserve">Security Reader</w:t>
            </w:r>
          </w:p>
        </w:tc>
        <w:tc>
          <w:tcPr/>
          <w:p>
            <w:pPr>
              <w:pStyle w:val="Compact"/>
            </w:pPr>
            <w:r>
              <w:t xml:space="preserve">8 hours</w:t>
            </w:r>
          </w:p>
        </w:tc>
        <w:tc>
          <w:tcPr/>
          <w:p>
            <w:pPr>
              <w:pStyle w:val="Compact"/>
            </w:pPr>
            <w:r>
              <w:t xml:space="preserve">Not required</w:t>
            </w:r>
          </w:p>
        </w:tc>
        <w:tc>
          <w:tcPr/>
          <w:p>
            <w:pPr>
              <w:pStyle w:val="Compact"/>
            </w:pPr>
            <w:r>
              <w:t xml:space="preserve">Optional</w:t>
            </w:r>
          </w:p>
        </w:tc>
        <w:tc>
          <w:tcPr/>
          <w:p>
            <w:pPr>
              <w:pStyle w:val="Compact"/>
            </w:pPr>
            <w:r>
              <w:t xml:space="preserve">365 days</w:t>
            </w:r>
          </w:p>
        </w:tc>
        <w:tc>
          <w:tcPr/>
          <w:p>
            <w:pPr>
              <w:pStyle w:val="Compact"/>
            </w:pPr>
            <w:r>
              <w:rPr>
                <w:rStyle w:val="VerbatimChar"/>
              </w:rPr>
              <w:t xml:space="preserve">PRV-RO-SecurityReader</w:t>
            </w:r>
          </w:p>
        </w:tc>
      </w:tr>
      <w:tr>
        <w:tc>
          <w:tcPr/>
          <w:p>
            <w:pPr>
              <w:pStyle w:val="Compact"/>
            </w:pPr>
            <w:r>
              <w:t xml:space="preserve">Reports Reader</w:t>
            </w:r>
          </w:p>
        </w:tc>
        <w:tc>
          <w:tcPr/>
          <w:p>
            <w:pPr>
              <w:pStyle w:val="Compact"/>
            </w:pPr>
            <w:r>
              <w:t xml:space="preserve">8 hours</w:t>
            </w:r>
          </w:p>
        </w:tc>
        <w:tc>
          <w:tcPr/>
          <w:p>
            <w:pPr>
              <w:pStyle w:val="Compact"/>
            </w:pPr>
            <w:r>
              <w:t xml:space="preserve">Not required</w:t>
            </w:r>
          </w:p>
        </w:tc>
        <w:tc>
          <w:tcPr/>
          <w:p>
            <w:pPr>
              <w:pStyle w:val="Compact"/>
            </w:pPr>
            <w:r>
              <w:t xml:space="preserve">Optional</w:t>
            </w:r>
          </w:p>
        </w:tc>
        <w:tc>
          <w:tcPr/>
          <w:p>
            <w:pPr>
              <w:pStyle w:val="Compact"/>
            </w:pPr>
            <w:r>
              <w:t xml:space="preserve">365 days</w:t>
            </w:r>
          </w:p>
        </w:tc>
        <w:tc>
          <w:tcPr/>
          <w:p>
            <w:pPr>
              <w:pStyle w:val="Compact"/>
            </w:pPr>
            <w:r>
              <w:rPr>
                <w:rStyle w:val="VerbatimChar"/>
              </w:rPr>
              <w:t xml:space="preserve">PRV-RO-ReportsReader</w:t>
            </w:r>
          </w:p>
        </w:tc>
      </w:tr>
    </w:tbl>
    <w:p>
      <w:pPr>
        <w:pStyle w:val="BodyText"/>
      </w:pPr>
      <w:r>
        <w:t xml:space="preserve">Global Reader and Security Reader carry Microsoft’s privileged label; Reports Reader doesn’t.</w:t>
      </w:r>
      <w:r>
        <w:rPr>
          <w:rStyle w:val="FootnoteReference"/>
        </w:rPr>
        <w:footnoteReference w:id="1136"/>
      </w:r>
      <w:r>
        <w:t xml:space="preserve"> </w:t>
      </w:r>
      <w:r>
        <w:t xml:space="preserve">All three stay eligible-only so that every read session over the security configuration has a justification on record.</w:t>
      </w:r>
    </w:p>
    <w:bookmarkEnd w:id="1137"/>
    <w:bookmarkStart w:id="1140" w:name="notifications-by-tier"/>
    <w:p>
      <w:pPr>
        <w:pStyle w:val="Heading2"/>
      </w:pPr>
      <w:bookmarkStart w:id="1294" w:name="_Toc00001294"/>
      <w:r>
        <w:t xml:space="preserve">Notifications by tier</w:t>
      </w:r>
      <w:bookmarkEnd w:id="1294"/>
    </w:p>
    <w:p>
      <w:pPr>
        <w:pStyle w:val="FirstParagraph"/>
      </w:pPr>
      <w:r>
        <w:t xml:space="preserve">PIM controls each notification per event and per recipient type: off, named recipients only, default recipients plus named ones, or critical emails only. One event reaches at most 1,000 recipients.</w:t>
      </w:r>
      <w:r>
        <w:rPr>
          <w:rStyle w:val="FootnoteReference"/>
        </w:rPr>
        <w:footnoteReference w:id="1138"/>
      </w:r>
      <w:r>
        <w:rPr>
          <w:rStyle w:val="FootnoteReference"/>
        </w:rPr>
        <w:footnoteReference w:id="1139"/>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Event</w:t>
            </w:r>
          </w:p>
        </w:tc>
        <w:tc>
          <w:tcPr/>
          <w:p>
            <w:pPr>
              <w:pStyle w:val="Compact"/>
            </w:pPr>
            <w:r>
              <w:t xml:space="preserve">Tier 0</w:t>
            </w:r>
          </w:p>
        </w:tc>
        <w:tc>
          <w:tcPr/>
          <w:p>
            <w:pPr>
              <w:pStyle w:val="Compact"/>
            </w:pPr>
            <w:r>
              <w:t xml:space="preserve">Tier 1</w:t>
            </w:r>
          </w:p>
        </w:tc>
        <w:tc>
          <w:tcPr/>
          <w:p>
            <w:pPr>
              <w:pStyle w:val="Compact"/>
            </w:pPr>
            <w:r>
              <w:t xml:space="preserve">Tier 2 and read-only</w:t>
            </w:r>
          </w:p>
        </w:tc>
      </w:tr>
      <w:tr>
        <w:tc>
          <w:tcPr/>
          <w:p>
            <w:pPr>
              <w:pStyle w:val="Compact"/>
            </w:pPr>
            <w:r>
              <w:t xml:space="preserve">Eligible member activates: request to approve</w:t>
            </w:r>
          </w:p>
        </w:tc>
        <w:tc>
          <w:tcPr/>
          <w:p>
            <w:pPr>
              <w:pStyle w:val="Compact"/>
            </w:pPr>
            <w:r>
              <w:rPr>
                <w:rStyle w:val="VerbatimChar"/>
              </w:rPr>
              <w:t xml:space="preserve">PIM-Approvers-T0</w:t>
            </w:r>
          </w:p>
        </w:tc>
        <w:tc>
          <w:tcPr/>
          <w:p>
            <w:pPr>
              <w:pStyle w:val="Compact"/>
            </w:pPr>
            <w:r>
              <w:rPr>
                <w:rStyle w:val="VerbatimChar"/>
              </w:rPr>
              <w:t xml:space="preserve">PIM-Approvers-T1</w:t>
            </w:r>
          </w:p>
        </w:tc>
        <w:tc>
          <w:tcPr/>
          <w:p>
            <w:pPr>
              <w:pStyle w:val="Compact"/>
            </w:pPr>
            <w:r>
              <w:t xml:space="preserve">Not applicable (no approval)</w:t>
            </w:r>
          </w:p>
        </w:tc>
      </w:tr>
      <w:tr>
        <w:tc>
          <w:tcPr/>
          <w:p>
            <w:pPr>
              <w:pStyle w:val="Compact"/>
            </w:pPr>
            <w:r>
              <w:t xml:space="preserve">Eligible member activates: role activation alert</w:t>
            </w:r>
          </w:p>
        </w:tc>
        <w:tc>
          <w:tcPr/>
          <w:p>
            <w:pPr>
              <w:pStyle w:val="Compact"/>
            </w:pPr>
            <w:r>
              <w:t xml:space="preserve">Default recipients plus SOC mailbox</w:t>
            </w:r>
          </w:p>
        </w:tc>
        <w:tc>
          <w:tcPr/>
          <w:p>
            <w:pPr>
              <w:pStyle w:val="Compact"/>
            </w:pPr>
            <w:r>
              <w:t xml:space="preserve">Default recipients plus SOC mailbox</w:t>
            </w:r>
          </w:p>
        </w:tc>
        <w:tc>
          <w:tcPr/>
          <w:p>
            <w:pPr>
              <w:pStyle w:val="Compact"/>
            </w:pPr>
            <w:r>
              <w:t xml:space="preserve">SOC mailbox only, critical emails only off</w:t>
            </w:r>
          </w:p>
        </w:tc>
      </w:tr>
      <w:tr>
        <w:tc>
          <w:tcPr/>
          <w:p>
            <w:pPr>
              <w:pStyle w:val="Compact"/>
            </w:pPr>
            <w:r>
              <w:t xml:space="preserve">Eligible member activates: notice to the requester</w:t>
            </w:r>
          </w:p>
        </w:tc>
        <w:tc>
          <w:tcPr/>
          <w:p>
            <w:pPr>
              <w:pStyle w:val="Compact"/>
            </w:pPr>
            <w:r>
              <w:t xml:space="preserve">On</w:t>
            </w:r>
          </w:p>
        </w:tc>
        <w:tc>
          <w:tcPr/>
          <w:p>
            <w:pPr>
              <w:pStyle w:val="Compact"/>
            </w:pPr>
            <w:r>
              <w:t xml:space="preserve">On</w:t>
            </w:r>
          </w:p>
        </w:tc>
        <w:tc>
          <w:tcPr/>
          <w:p>
            <w:pPr>
              <w:pStyle w:val="Compact"/>
            </w:pPr>
            <w:r>
              <w:t xml:space="preserve">On</w:t>
            </w:r>
          </w:p>
        </w:tc>
      </w:tr>
      <w:tr>
        <w:tc>
          <w:tcPr/>
          <w:p>
            <w:pPr>
              <w:pStyle w:val="Compact"/>
            </w:pPr>
            <w:r>
              <w:t xml:space="preserve">Member assigned as eligible</w:t>
            </w:r>
          </w:p>
        </w:tc>
        <w:tc>
          <w:tcPr/>
          <w:p>
            <w:pPr>
              <w:pStyle w:val="Compact"/>
            </w:pPr>
            <w:r>
              <w:t xml:space="preserve">Default recipients plus SOC mailbox and the identity governance office</w:t>
            </w:r>
          </w:p>
        </w:tc>
        <w:tc>
          <w:tcPr/>
          <w:p>
            <w:pPr>
              <w:pStyle w:val="Compact"/>
            </w:pPr>
            <w:r>
              <w:t xml:space="preserve">Default recipients plus SOC mailbox</w:t>
            </w:r>
          </w:p>
        </w:tc>
        <w:tc>
          <w:tcPr/>
          <w:p>
            <w:pPr>
              <w:pStyle w:val="Compact"/>
            </w:pPr>
            <w:r>
              <w:t xml:space="preserve">SOC mailbox</w:t>
            </w:r>
          </w:p>
        </w:tc>
      </w:tr>
      <w:tr>
        <w:tc>
          <w:tcPr/>
          <w:p>
            <w:pPr>
              <w:pStyle w:val="Compact"/>
            </w:pPr>
            <w:r>
              <w:t xml:space="preserve">Member assigned as active</w:t>
            </w:r>
          </w:p>
        </w:tc>
        <w:tc>
          <w:tcPr/>
          <w:p>
            <w:pPr>
              <w:pStyle w:val="Compact"/>
            </w:pPr>
            <w:r>
              <w:t xml:space="preserve">Default recipients plus SOC mailbox, flagged for incident review</w:t>
            </w:r>
          </w:p>
        </w:tc>
        <w:tc>
          <w:tcPr/>
          <w:p>
            <w:pPr>
              <w:pStyle w:val="Compact"/>
            </w:pPr>
            <w:r>
              <w:t xml:space="preserve">Default recipients plus SOC mailbox, flagged for incident review</w:t>
            </w:r>
          </w:p>
        </w:tc>
        <w:tc>
          <w:tcPr/>
          <w:p>
            <w:pPr>
              <w:pStyle w:val="Compact"/>
            </w:pPr>
            <w:r>
              <w:t xml:space="preserve">Default recipients plus SOC mailbox, flagged for incident review</w:t>
            </w:r>
          </w:p>
        </w:tc>
      </w:tr>
    </w:tbl>
    <w:p>
      <w:pPr>
        <w:pStyle w:val="BodyText"/>
      </w:pPr>
      <w:r>
        <w:t xml:space="preserve">An active assignment should never happen outside the documented exceptions, so every</w:t>
      </w:r>
      <w:r>
        <w:t xml:space="preserve"> </w:t>
      </w:r>
      <w:r>
        <w:t xml:space="preserve">“assigned as active”</w:t>
      </w:r>
      <w:r>
        <w:t xml:space="preserve"> </w:t>
      </w:r>
      <w:r>
        <w:t xml:space="preserve">notice is reconciled against the exception register, alongside the PIM alert for assignments made outside PIM (Chapter 08).</w:t>
      </w:r>
    </w:p>
    <w:bookmarkEnd w:id="1140"/>
    <w:bookmarkStart w:id="1142" w:name="review-cadence-by-tier"/>
    <w:p>
      <w:pPr>
        <w:pStyle w:val="Heading2"/>
      </w:pPr>
      <w:bookmarkStart w:id="1295" w:name="_Toc00001295"/>
      <w:r>
        <w:t xml:space="preserve">Review cadence by tier</w:t>
      </w:r>
      <w:bookmarkEnd w:id="1295"/>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Tier</w:t>
            </w:r>
          </w:p>
        </w:tc>
        <w:tc>
          <w:tcPr/>
          <w:p>
            <w:pPr>
              <w:pStyle w:val="Compact"/>
            </w:pPr>
            <w:r>
              <w:t xml:space="preserve">Role access review</w:t>
            </w:r>
          </w:p>
        </w:tc>
        <w:tc>
          <w:tcPr/>
          <w:p>
            <w:pPr>
              <w:pStyle w:val="Compact"/>
            </w:pPr>
            <w:r>
              <w:t xml:space="preserve">Reviewers</w:t>
            </w:r>
          </w:p>
        </w:tc>
        <w:tc>
          <w:tcPr/>
          <w:p>
            <w:pPr>
              <w:pStyle w:val="Compact"/>
            </w:pPr>
            <w:r>
              <w:t xml:space="preserve">If no response</w:t>
            </w:r>
          </w:p>
        </w:tc>
      </w:tr>
      <w:tr>
        <w:tc>
          <w:tcPr/>
          <w:p>
            <w:pPr>
              <w:pStyle w:val="Compact"/>
            </w:pPr>
            <w:r>
              <w:t xml:space="preserve">Tier 0</w:t>
            </w:r>
          </w:p>
        </w:tc>
        <w:tc>
          <w:tcPr/>
          <w:p>
            <w:pPr>
              <w:pStyle w:val="Compact"/>
            </w:pPr>
            <w:r>
              <w:t xml:space="preserve">Monthly</w:t>
            </w:r>
          </w:p>
        </w:tc>
        <w:tc>
          <w:tcPr/>
          <w:p>
            <w:pPr>
              <w:pStyle w:val="Compact"/>
            </w:pPr>
            <w:r>
              <w:rPr>
                <w:rStyle w:val="VerbatimChar"/>
              </w:rPr>
              <w:t xml:space="preserve">PIM-Approvers-T0</w:t>
            </w:r>
          </w:p>
        </w:tc>
        <w:tc>
          <w:tcPr/>
          <w:p>
            <w:pPr>
              <w:pStyle w:val="Compact"/>
            </w:pPr>
            <w:r>
              <w:t xml:space="preserve">Remove access</w:t>
            </w:r>
          </w:p>
        </w:tc>
      </w:tr>
      <w:tr>
        <w:tc>
          <w:tcPr/>
          <w:p>
            <w:pPr>
              <w:pStyle w:val="Compact"/>
            </w:pPr>
            <w:r>
              <w:t xml:space="preserve">Tier 1</w:t>
            </w:r>
          </w:p>
        </w:tc>
        <w:tc>
          <w:tcPr/>
          <w:p>
            <w:pPr>
              <w:pStyle w:val="Compact"/>
            </w:pPr>
            <w:r>
              <w:t xml:space="preserve">Quarterly</w:t>
            </w:r>
          </w:p>
        </w:tc>
        <w:tc>
          <w:tcPr/>
          <w:p>
            <w:pPr>
              <w:pStyle w:val="Compact"/>
            </w:pPr>
            <w:r>
              <w:t xml:space="preserve">Role owner and</w:t>
            </w:r>
            <w:r>
              <w:t xml:space="preserve"> </w:t>
            </w:r>
            <w:r>
              <w:rPr>
                <w:rStyle w:val="VerbatimChar"/>
              </w:rPr>
              <w:t xml:space="preserve">PIM-Approvers-T1</w:t>
            </w:r>
          </w:p>
        </w:tc>
        <w:tc>
          <w:tcPr/>
          <w:p>
            <w:pPr>
              <w:pStyle w:val="Compact"/>
            </w:pPr>
            <w:r>
              <w:t xml:space="preserve">Remove access</w:t>
            </w:r>
          </w:p>
        </w:tc>
      </w:tr>
      <w:tr>
        <w:tc>
          <w:tcPr/>
          <w:p>
            <w:pPr>
              <w:pStyle w:val="Compact"/>
            </w:pPr>
            <w:r>
              <w:t xml:space="preserve">Tier 2</w:t>
            </w:r>
          </w:p>
        </w:tc>
        <w:tc>
          <w:tcPr/>
          <w:p>
            <w:pPr>
              <w:pStyle w:val="Compact"/>
            </w:pPr>
            <w:r>
              <w:t xml:space="preserve">Quarterly</w:t>
            </w:r>
          </w:p>
        </w:tc>
        <w:tc>
          <w:tcPr/>
          <w:p>
            <w:pPr>
              <w:pStyle w:val="Compact"/>
            </w:pPr>
            <w:r>
              <w:t xml:space="preserve">Role owner (the AU’s department lead) and the security office</w:t>
            </w:r>
          </w:p>
        </w:tc>
        <w:tc>
          <w:tcPr/>
          <w:p>
            <w:pPr>
              <w:pStyle w:val="Compact"/>
            </w:pPr>
            <w:r>
              <w:t xml:space="preserve">Remove access</w:t>
            </w:r>
          </w:p>
        </w:tc>
      </w:tr>
      <w:tr>
        <w:tc>
          <w:tcPr/>
          <w:p>
            <w:pPr>
              <w:pStyle w:val="Compact"/>
            </w:pPr>
            <w:r>
              <w:t xml:space="preserve">Read-only</w:t>
            </w:r>
          </w:p>
        </w:tc>
        <w:tc>
          <w:tcPr/>
          <w:p>
            <w:pPr>
              <w:pStyle w:val="Compact"/>
            </w:pPr>
            <w:r>
              <w:t xml:space="preserve">Quarterly</w:t>
            </w:r>
          </w:p>
        </w:tc>
        <w:tc>
          <w:tcPr/>
          <w:p>
            <w:pPr>
              <w:pStyle w:val="Compact"/>
            </w:pPr>
            <w:r>
              <w:t xml:space="preserve">Security office</w:t>
            </w:r>
          </w:p>
        </w:tc>
        <w:tc>
          <w:tcPr/>
          <w:p>
            <w:pPr>
              <w:pStyle w:val="Compact"/>
            </w:pPr>
            <w:r>
              <w:t xml:space="preserve">Remove access</w:t>
            </w:r>
          </w:p>
        </w:tc>
      </w:tr>
    </w:tbl>
    <w:p>
      <w:pPr>
        <w:pStyle w:val="BodyText"/>
      </w:pPr>
      <w:r>
        <w:t xml:space="preserve">Each role review is paired with a membership review of its</w:t>
      </w:r>
      <w:r>
        <w:t xml:space="preserve"> </w:t>
      </w:r>
      <w:r>
        <w:rPr>
          <w:rStyle w:val="VerbatimChar"/>
        </w:rPr>
        <w:t xml:space="preserve">PRV-*</w:t>
      </w:r>
      <w:r>
        <w:t xml:space="preserve"> </w:t>
      </w:r>
      <w:r>
        <w:t xml:space="preserve">group, because a review of a role held by a group shows the group, not its members (Chapter 08).</w:t>
      </w:r>
      <w:r>
        <w:rPr>
          <w:rStyle w:val="FootnoteReference"/>
        </w:rPr>
        <w:footnoteReference w:id="1141"/>
      </w:r>
    </w:p>
    <w:bookmarkEnd w:id="1142"/>
    <w:bookmarkStart w:id="1144" w:name="where-this-appendix-tightens-book-02"/>
    <w:p>
      <w:pPr>
        <w:pStyle w:val="Heading2"/>
      </w:pPr>
      <w:bookmarkStart w:id="1296" w:name="_Toc00001296"/>
      <w:r>
        <w:t xml:space="preserve">Where this appendix tightens Book 02</w:t>
      </w:r>
      <w:bookmarkEnd w:id="1296"/>
    </w:p>
    <w:p>
      <w:pPr>
        <w:pStyle w:val="FirstParagraph"/>
      </w:pPr>
      <w:r>
        <w:t xml:space="preserve">Book 02, Chapter 09 set the migration-era baseline. This book’s tier model tightens it in these places, and these values govern where the two differ: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 or setting</w:t>
            </w:r>
          </w:p>
        </w:tc>
        <w:tc>
          <w:tcPr/>
          <w:p>
            <w:pPr>
              <w:pStyle w:val="Compact"/>
            </w:pPr>
            <w:r>
              <w:t xml:space="preserve">Book 02, Chapter 09</w:t>
            </w:r>
          </w:p>
        </w:tc>
        <w:tc>
          <w:tcPr/>
          <w:p>
            <w:pPr>
              <w:pStyle w:val="Compact"/>
            </w:pPr>
            <w:r>
              <w:t xml:space="preserve">This appendix</w:t>
            </w:r>
          </w:p>
        </w:tc>
        <w:tc>
          <w:tcPr/>
          <w:p>
            <w:pPr>
              <w:pStyle w:val="Compact"/>
            </w:pPr>
            <w:r>
              <w:t xml:space="preserve">Reason</w:t>
            </w:r>
          </w:p>
        </w:tc>
      </w:tr>
      <w:tr>
        <w:tc>
          <w:tcPr/>
          <w:p>
            <w:pPr>
              <w:pStyle w:val="Compact"/>
            </w:pPr>
            <w:r>
              <w:t xml:space="preserve">Security Administrator</w:t>
            </w:r>
          </w:p>
        </w:tc>
        <w:tc>
          <w:tcPr/>
          <w:p>
            <w:pPr>
              <w:pStyle w:val="Compact"/>
            </w:pPr>
            <w:r>
              <w:t xml:space="preserve">8 hours</w:t>
            </w:r>
          </w:p>
        </w:tc>
        <w:tc>
          <w:tcPr/>
          <w:p>
            <w:pPr>
              <w:pStyle w:val="Compact"/>
            </w:pPr>
            <w:r>
              <w:t xml:space="preserve">4 hours</w:t>
            </w:r>
          </w:p>
        </w:tc>
        <w:tc>
          <w:tcPr/>
          <w:p>
            <w:pPr>
              <w:pStyle w:val="Compact"/>
            </w:pPr>
            <w:r>
              <w:t xml:space="preserve">Tier 0: can change the policies that protect every sign-in</w:t>
            </w:r>
          </w:p>
        </w:tc>
      </w:tr>
      <w:tr>
        <w:tc>
          <w:tcPr/>
          <w:p>
            <w:pPr>
              <w:pStyle w:val="Compact"/>
            </w:pPr>
            <w:r>
              <w:t xml:space="preserve">Conditional Access Administrator</w:t>
            </w:r>
          </w:p>
        </w:tc>
        <w:tc>
          <w:tcPr/>
          <w:p>
            <w:pPr>
              <w:pStyle w:val="Compact"/>
            </w:pPr>
            <w:r>
              <w:t xml:space="preserve">8 hours, no approval</w:t>
            </w:r>
          </w:p>
        </w:tc>
        <w:tc>
          <w:tcPr/>
          <w:p>
            <w:pPr>
              <w:pStyle w:val="Compact"/>
            </w:pPr>
            <w:r>
              <w:t xml:space="preserve">4 hours, approval by</w:t>
            </w:r>
            <w:r>
              <w:t xml:space="preserve"> </w:t>
            </w:r>
            <w:r>
              <w:rPr>
                <w:rStyle w:val="VerbatimChar"/>
              </w:rPr>
              <w:t xml:space="preserve">PIM-Approvers-T0</w:t>
            </w:r>
          </w:p>
        </w:tc>
        <w:tc>
          <w:tcPr/>
          <w:p>
            <w:pPr>
              <w:pStyle w:val="Compact"/>
            </w:pPr>
            <w:r>
              <w:t xml:space="preserve">Can weaken the activation gate itself (Chapter 04)</w:t>
            </w:r>
          </w:p>
        </w:tc>
      </w:tr>
      <w:tr>
        <w:tc>
          <w:tcPr/>
          <w:p>
            <w:pPr>
              <w:pStyle w:val="Compact"/>
            </w:pPr>
            <w:r>
              <w:t xml:space="preserve">Exchange, SharePoint, Intune, Application and Compliance Administrator</w:t>
            </w:r>
          </w:p>
        </w:tc>
        <w:tc>
          <w:tcPr/>
          <w:p>
            <w:pPr>
              <w:pStyle w:val="Compact"/>
            </w:pPr>
            <w:r>
              <w:t xml:space="preserve">No approval</w:t>
            </w:r>
          </w:p>
        </w:tc>
        <w:tc>
          <w:tcPr/>
          <w:p>
            <w:pPr>
              <w:pStyle w:val="Compact"/>
            </w:pPr>
            <w:r>
              <w:t xml:space="preserve">Approval by</w:t>
            </w:r>
            <w:r>
              <w:t xml:space="preserve"> </w:t>
            </w:r>
            <w:r>
              <w:rPr>
                <w:rStyle w:val="VerbatimChar"/>
              </w:rPr>
              <w:t xml:space="preserve">PIM-Approvers-T1</w:t>
            </w:r>
          </w:p>
        </w:tc>
        <w:tc>
          <w:tcPr/>
          <w:p>
            <w:pPr>
              <w:pStyle w:val="Compact"/>
            </w:pPr>
            <w:r>
              <w:t xml:space="preserve">Tier 1: service-wide control</w:t>
            </w:r>
          </w:p>
        </w:tc>
      </w:tr>
      <w:tr>
        <w:tc>
          <w:tcPr/>
          <w:p>
            <w:pPr>
              <w:pStyle w:val="Compact"/>
            </w:pPr>
            <w:r>
              <w:t xml:space="preserve">Ticket on activation</w:t>
            </w:r>
          </w:p>
        </w:tc>
        <w:tc>
          <w:tcPr/>
          <w:p>
            <w:pPr>
              <w:pStyle w:val="Compact"/>
            </w:pPr>
            <w:r>
              <w:t xml:space="preserve">Global, Privileged Role and Exchange Administrator only</w:t>
            </w:r>
          </w:p>
        </w:tc>
        <w:tc>
          <w:tcPr/>
          <w:p>
            <w:pPr>
              <w:pStyle w:val="Compact"/>
            </w:pPr>
            <w:r>
              <w:t xml:space="preserve">Every Tier 0, 1 and 2 role</w:t>
            </w:r>
          </w:p>
        </w:tc>
        <w:tc>
          <w:tcPr/>
          <w:p>
            <w:pPr>
              <w:pStyle w:val="Compact"/>
            </w:pPr>
            <w:r>
              <w:t xml:space="preserve">Ticket correlation in the ITSM is how activations are reconciled to approved work</w:t>
            </w:r>
          </w:p>
        </w:tc>
      </w:tr>
      <w:tr>
        <w:tc>
          <w:tcPr/>
          <w:p>
            <w:pPr>
              <w:pStyle w:val="Compact"/>
            </w:pPr>
            <w:r>
              <w:t xml:space="preserve">Security Reader, Global Reader</w:t>
            </w:r>
          </w:p>
        </w:tc>
        <w:tc>
          <w:tcPr/>
          <w:p>
            <w:pPr>
              <w:pStyle w:val="Compact"/>
            </w:pPr>
            <w:r>
              <w:t xml:space="preserve">12 hours, no justification</w:t>
            </w:r>
          </w:p>
        </w:tc>
        <w:tc>
          <w:tcPr/>
          <w:p>
            <w:pPr>
              <w:pStyle w:val="Compact"/>
            </w:pPr>
            <w:r>
              <w:t xml:space="preserve">8 hours, justification required</w:t>
            </w:r>
          </w:p>
        </w:tc>
        <w:tc>
          <w:tcPr/>
          <w:p>
            <w:pPr>
              <w:pStyle w:val="Compact"/>
            </w:pPr>
            <w:r>
              <w:t xml:space="preserve">Privileged-labeled read access gets a recorded reason</w:t>
            </w:r>
          </w:p>
        </w:tc>
      </w:tr>
      <w:tr>
        <w:tc>
          <w:tcPr/>
          <w:p>
            <w:pPr>
              <w:pStyle w:val="Compact"/>
            </w:pPr>
            <w:r>
              <w:t xml:space="preserve">Eligibility expiry</w:t>
            </w:r>
          </w:p>
        </w:tc>
        <w:tc>
          <w:tcPr/>
          <w:p>
            <w:pPr>
              <w:pStyle w:val="Compact"/>
            </w:pPr>
            <w:r>
              <w:t xml:space="preserve">At most 12 months</w:t>
            </w:r>
          </w:p>
        </w:tc>
        <w:tc>
          <w:tcPr/>
          <w:p>
            <w:pPr>
              <w:pStyle w:val="Compact"/>
            </w:pPr>
            <w:r>
              <w:t xml:space="preserve">90, 180 or 365 days by tier</w:t>
            </w:r>
          </w:p>
        </w:tc>
        <w:tc>
          <w:tcPr/>
          <w:p>
            <w:pPr>
              <w:pStyle w:val="Compact"/>
            </w:pPr>
            <w:r>
              <w:t xml:space="preserve">Within Book 02’s ceiling</w:t>
            </w:r>
          </w:p>
        </w:tc>
      </w:tr>
      <w:tr>
        <w:tc>
          <w:tcPr/>
          <w:p>
            <w:pPr>
              <w:pStyle w:val="Compact"/>
            </w:pPr>
            <w:r>
              <w:t xml:space="preserve">Role access reviews</w:t>
            </w:r>
          </w:p>
        </w:tc>
        <w:tc>
          <w:tcPr/>
          <w:p>
            <w:pPr>
              <w:pStyle w:val="Compact"/>
            </w:pPr>
            <w:r>
              <w:t xml:space="preserve">Quarterly, assignees self-attest with the security team</w:t>
            </w:r>
          </w:p>
        </w:tc>
        <w:tc>
          <w:tcPr/>
          <w:p>
            <w:pPr>
              <w:pStyle w:val="Compact"/>
            </w:pPr>
            <w:r>
              <w:t xml:space="preserve">Monthly for Tier 0, quarterly otherwise; never self-review</w:t>
            </w:r>
          </w:p>
        </w:tc>
        <w:tc>
          <w:tcPr/>
          <w:p>
            <w:pPr>
              <w:pStyle w:val="Compact"/>
            </w:pPr>
            <w:r>
              <w:t xml:space="preserve">A self-review leaves role-assignable groups out of the review</w:t>
            </w:r>
            <w:r>
              <w:rPr>
                <w:rStyle w:val="FootnoteReference"/>
              </w:rPr>
              <w:footnoteReference w:id="1143"/>
            </w:r>
          </w:p>
        </w:tc>
      </w:tr>
    </w:tbl>
    <w:bookmarkEnd w:id="1144"/>
    <w:bookmarkStart w:id="1147" w:name="role-template-ids"/>
    <w:p>
      <w:pPr>
        <w:pStyle w:val="Heading2"/>
      </w:pPr>
      <w:bookmarkStart w:id="1297" w:name="_Toc00001297"/>
      <w:r>
        <w:t xml:space="preserve">Role template IDs</w:t>
      </w:r>
      <w:bookmarkEnd w:id="1297"/>
    </w:p>
    <w:p>
      <w:pPr>
        <w:pStyle w:val="FirstParagraph"/>
      </w:pPr>
      <w:r>
        <w:t xml:space="preserve">Template IDs are immutable and the same in every tenant; Graph uses them to find each role’s policy.</w:t>
      </w:r>
      <w:r>
        <w:rPr>
          <w:rStyle w:val="FootnoteReference"/>
        </w:rPr>
        <w:footnoteReference w:id="1145"/>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Tier</w:t>
            </w:r>
          </w:p>
        </w:tc>
        <w:tc>
          <w:tcPr/>
          <w:p>
            <w:pPr>
              <w:pStyle w:val="Compact"/>
            </w:pPr>
            <w:r>
              <w:t xml:space="preserve">Privileged label</w:t>
            </w:r>
          </w:p>
        </w:tc>
        <w:tc>
          <w:tcPr/>
          <w:p>
            <w:pPr>
              <w:pStyle w:val="Compact"/>
            </w:pPr>
            <w:r>
              <w:t xml:space="preserve">Template ID</w:t>
            </w:r>
          </w:p>
        </w:tc>
      </w:tr>
      <w:tr>
        <w:tc>
          <w:tcPr/>
          <w:p>
            <w:pPr>
              <w:pStyle w:val="Compact"/>
            </w:pPr>
            <w:r>
              <w:t xml:space="preserve">Global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62e90394-69f5-4237-9190-012177145e10</w:t>
            </w:r>
          </w:p>
        </w:tc>
      </w:tr>
      <w:tr>
        <w:tc>
          <w:tcPr/>
          <w:p>
            <w:pPr>
              <w:pStyle w:val="Compact"/>
            </w:pPr>
            <w:r>
              <w:t xml:space="preserve">Privileged Role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e8611ab8-c189-46e8-94e1-60213ab1f814</w:t>
            </w:r>
          </w:p>
        </w:tc>
      </w:tr>
      <w:tr>
        <w:tc>
          <w:tcPr/>
          <w:p>
            <w:pPr>
              <w:pStyle w:val="Compact"/>
            </w:pPr>
            <w:r>
              <w:t xml:space="preserve">Privileged Authentication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7be44c8a-adaf-4e2a-84d6-ab2649e08a13</w:t>
            </w:r>
          </w:p>
        </w:tc>
      </w:tr>
      <w:tr>
        <w:tc>
          <w:tcPr/>
          <w:p>
            <w:pPr>
              <w:pStyle w:val="Compact"/>
            </w:pPr>
            <w:r>
              <w:t xml:space="preserve">Security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194ae4cb-b126-40b2-bd5b-6091b380977d</w:t>
            </w:r>
          </w:p>
        </w:tc>
      </w:tr>
      <w:tr>
        <w:tc>
          <w:tcPr/>
          <w:p>
            <w:pPr>
              <w:pStyle w:val="Compact"/>
            </w:pPr>
            <w:r>
              <w:t xml:space="preserve">Conditional Access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b1be1c3e-b65d-4f19-8427-f6fa0d97feb9</w:t>
            </w:r>
          </w:p>
        </w:tc>
      </w:tr>
      <w:tr>
        <w:tc>
          <w:tcPr/>
          <w:p>
            <w:pPr>
              <w:pStyle w:val="Compact"/>
            </w:pPr>
            <w:r>
              <w:t xml:space="preserve">Exchange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29232cdf-9323-42fd-ade2-1d097af3e4de</w:t>
            </w:r>
          </w:p>
        </w:tc>
      </w:tr>
      <w:tr>
        <w:tc>
          <w:tcPr/>
          <w:p>
            <w:pPr>
              <w:pStyle w:val="Compact"/>
            </w:pPr>
            <w:r>
              <w:t xml:space="preserve">SharePoint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f28a1f50-f6e7-4571-818b-6a12f2af6b6c</w:t>
            </w:r>
          </w:p>
        </w:tc>
      </w:tr>
      <w:tr>
        <w:tc>
          <w:tcPr/>
          <w:p>
            <w:pPr>
              <w:pStyle w:val="Compact"/>
            </w:pPr>
            <w:r>
              <w:t xml:space="preserve">Teams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69091246-20e8-4a56-aa4d-066075b2a7a8</w:t>
            </w:r>
          </w:p>
        </w:tc>
      </w:tr>
      <w:tr>
        <w:tc>
          <w:tcPr/>
          <w:p>
            <w:pPr>
              <w:pStyle w:val="Compact"/>
            </w:pPr>
            <w:r>
              <w:t xml:space="preserve">Intune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3a2c62db-5318-420d-8d74-23affee5d9d5</w:t>
            </w:r>
          </w:p>
        </w:tc>
      </w:tr>
      <w:tr>
        <w:tc>
          <w:tcPr/>
          <w:p>
            <w:pPr>
              <w:pStyle w:val="Compact"/>
            </w:pPr>
            <w:r>
              <w:t xml:space="preserve">Application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9b895d92-2cd3-44c7-9d02-a6ac2d5ea5c3</w:t>
            </w:r>
          </w:p>
        </w:tc>
      </w:tr>
      <w:tr>
        <w:tc>
          <w:tcPr/>
          <w:p>
            <w:pPr>
              <w:pStyle w:val="Compact"/>
            </w:pPr>
            <w:r>
              <w:t xml:space="preserve">Cloud Application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158c047a-c907-4556-b7ef-446551a6b5f7</w:t>
            </w:r>
          </w:p>
        </w:tc>
      </w:tr>
      <w:tr>
        <w:tc>
          <w:tcPr/>
          <w:p>
            <w:pPr>
              <w:pStyle w:val="Compact"/>
            </w:pPr>
            <w:r>
              <w:t xml:space="preserve">Hybrid Identity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8ac3fc64-6eca-42ea-9e69-59f4c7b60eb2</w:t>
            </w:r>
          </w:p>
        </w:tc>
      </w:tr>
      <w:tr>
        <w:tc>
          <w:tcPr/>
          <w:p>
            <w:pPr>
              <w:pStyle w:val="Compact"/>
            </w:pPr>
            <w:r>
              <w:t xml:space="preserve">Authentication Policy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0526716b-113d-4c15-b2c8-68e3c22b9f80</w:t>
            </w:r>
          </w:p>
        </w:tc>
      </w:tr>
      <w:tr>
        <w:tc>
          <w:tcPr/>
          <w:p>
            <w:pPr>
              <w:pStyle w:val="Compact"/>
            </w:pPr>
            <w:r>
              <w:t xml:space="preserve">Compliance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17315797-102d-40b4-93e0-432062caca18</w:t>
            </w:r>
          </w:p>
        </w:tc>
      </w:tr>
      <w:tr>
        <w:tc>
          <w:tcPr/>
          <w:p>
            <w:pPr>
              <w:pStyle w:val="Compact"/>
            </w:pPr>
            <w:r>
              <w:t xml:space="preserve">User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fe930be7-5e62-47db-91af-98c3a49a38b1</w:t>
            </w:r>
          </w:p>
        </w:tc>
      </w:tr>
      <w:tr>
        <w:tc>
          <w:tcPr/>
          <w:p>
            <w:pPr>
              <w:pStyle w:val="Compact"/>
            </w:pPr>
            <w:r>
              <w:t xml:space="preserve">Groups Administrator</w:t>
            </w:r>
          </w:p>
        </w:tc>
        <w:tc>
          <w:tcPr/>
          <w:p>
            <w:pPr>
              <w:pStyle w:val="Compact"/>
            </w:pPr>
            <w:r>
              <w:t xml:space="preserve">T2</w:t>
            </w:r>
          </w:p>
        </w:tc>
        <w:tc>
          <w:tcPr/>
          <w:p>
            <w:pPr>
              <w:pStyle w:val="Compact"/>
            </w:pPr>
            <w:r>
              <w:t xml:space="preserve">No</w:t>
            </w:r>
          </w:p>
        </w:tc>
        <w:tc>
          <w:tcPr/>
          <w:p>
            <w:pPr>
              <w:pStyle w:val="Compact"/>
            </w:pPr>
            <w:r>
              <w:rPr>
                <w:rStyle w:val="VerbatimChar"/>
              </w:rPr>
              <w:t xml:space="preserve">fdd7a751-b60b-444a-984c-02652fe8fa1c</w:t>
            </w:r>
          </w:p>
        </w:tc>
      </w:tr>
      <w:tr>
        <w:tc>
          <w:tcPr/>
          <w:p>
            <w:pPr>
              <w:pStyle w:val="Compact"/>
            </w:pPr>
            <w:r>
              <w:t xml:space="preserve">Helpdesk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729827e3-9c14-49f7-bb1b-9608f156bbb8</w:t>
            </w:r>
          </w:p>
        </w:tc>
      </w:tr>
      <w:tr>
        <w:tc>
          <w:tcPr/>
          <w:p>
            <w:pPr>
              <w:pStyle w:val="Compact"/>
            </w:pPr>
            <w:r>
              <w:t xml:space="preserve">Password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966707d0-3269-4727-9be2-8c3a10f19b9d</w:t>
            </w:r>
          </w:p>
        </w:tc>
      </w:tr>
      <w:tr>
        <w:tc>
          <w:tcPr/>
          <w:p>
            <w:pPr>
              <w:pStyle w:val="Compact"/>
            </w:pPr>
            <w:r>
              <w:t xml:space="preserve">Authentication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c4e39bd9-1100-46d3-8c65-fb160da0071f</w:t>
            </w:r>
          </w:p>
        </w:tc>
      </w:tr>
      <w:tr>
        <w:tc>
          <w:tcPr/>
          <w:p>
            <w:pPr>
              <w:pStyle w:val="Compact"/>
            </w:pPr>
            <w:r>
              <w:t xml:space="preserve">Global Reader</w:t>
            </w:r>
          </w:p>
        </w:tc>
        <w:tc>
          <w:tcPr/>
          <w:p>
            <w:pPr>
              <w:pStyle w:val="Compact"/>
            </w:pPr>
            <w:r>
              <w:t xml:space="preserve">Read-only</w:t>
            </w:r>
          </w:p>
        </w:tc>
        <w:tc>
          <w:tcPr/>
          <w:p>
            <w:pPr>
              <w:pStyle w:val="Compact"/>
            </w:pPr>
            <w:r>
              <w:t xml:space="preserve">Yes</w:t>
            </w:r>
          </w:p>
        </w:tc>
        <w:tc>
          <w:tcPr/>
          <w:p>
            <w:pPr>
              <w:pStyle w:val="Compact"/>
            </w:pPr>
            <w:r>
              <w:rPr>
                <w:rStyle w:val="VerbatimChar"/>
              </w:rPr>
              <w:t xml:space="preserve">f2ef992c-3afb-46b9-b7cf-a126ee74c451</w:t>
            </w:r>
          </w:p>
        </w:tc>
      </w:tr>
      <w:tr>
        <w:tc>
          <w:tcPr/>
          <w:p>
            <w:pPr>
              <w:pStyle w:val="Compact"/>
            </w:pPr>
            <w:r>
              <w:t xml:space="preserve">Security Reader</w:t>
            </w:r>
          </w:p>
        </w:tc>
        <w:tc>
          <w:tcPr/>
          <w:p>
            <w:pPr>
              <w:pStyle w:val="Compact"/>
            </w:pPr>
            <w:r>
              <w:t xml:space="preserve">Read-only</w:t>
            </w:r>
          </w:p>
        </w:tc>
        <w:tc>
          <w:tcPr/>
          <w:p>
            <w:pPr>
              <w:pStyle w:val="Compact"/>
            </w:pPr>
            <w:r>
              <w:t xml:space="preserve">Yes</w:t>
            </w:r>
          </w:p>
        </w:tc>
        <w:tc>
          <w:tcPr/>
          <w:p>
            <w:pPr>
              <w:pStyle w:val="Compact"/>
            </w:pPr>
            <w:r>
              <w:rPr>
                <w:rStyle w:val="VerbatimChar"/>
              </w:rPr>
              <w:t xml:space="preserve">5d6b6bb7-de71-4623-b4af-96380a352509</w:t>
            </w:r>
          </w:p>
        </w:tc>
      </w:tr>
      <w:tr>
        <w:tc>
          <w:tcPr/>
          <w:p>
            <w:pPr>
              <w:pStyle w:val="Compact"/>
            </w:pPr>
            <w:r>
              <w:t xml:space="preserve">Reports Reader</w:t>
            </w:r>
          </w:p>
        </w:tc>
        <w:tc>
          <w:tcPr/>
          <w:p>
            <w:pPr>
              <w:pStyle w:val="Compact"/>
            </w:pPr>
            <w:r>
              <w:t xml:space="preserve">Read-only</w:t>
            </w:r>
          </w:p>
        </w:tc>
        <w:tc>
          <w:tcPr/>
          <w:p>
            <w:pPr>
              <w:pStyle w:val="Compact"/>
            </w:pPr>
            <w:r>
              <w:t xml:space="preserve">No</w:t>
            </w:r>
          </w:p>
        </w:tc>
        <w:tc>
          <w:tcPr/>
          <w:p>
            <w:pPr>
              <w:pStyle w:val="Compact"/>
            </w:pPr>
            <w:r>
              <w:rPr>
                <w:rStyle w:val="VerbatimChar"/>
              </w:rPr>
              <w:t xml:space="preserve">4a5d8f65-41da-4de4-8968-e035b65339cf</w:t>
            </w:r>
          </w:p>
        </w:tc>
      </w:tr>
    </w:tbl>
    <w:p>
      <w:pPr>
        <w:pStyle w:val="BodyText"/>
      </w:pPr>
      <w:r>
        <w:t xml:space="preserve">The privileged label is still described as a preview; recheck it when Microsoft’s role reference changes.</w:t>
      </w:r>
      <w:r>
        <w:rPr>
          <w:rStyle w:val="FootnoteReference"/>
        </w:rPr>
        <w:footnoteReference w:id="1146"/>
      </w:r>
    </w:p>
    <w:bookmarkEnd w:id="1147"/>
    <w:bookmarkStart w:id="1148" w:name="continue-the-book-11"/>
    <w:p>
      <w:pPr>
        <w:pStyle w:val="Heading2"/>
      </w:pPr>
      <w:bookmarkStart w:id="1298" w:name="_Toc00001298"/>
      <w:r>
        <w:t xml:space="preserve">Continue the book</w:t>
      </w:r>
      <w:bookmarkEnd w:id="1298"/>
    </w:p>
    <w:p>
      <w:pPr>
        <w:pStyle w:val="FirstParagraph"/>
      </w:pPr>
      <w:r>
        <w:t xml:space="preserve">← Previous: Appendix A — Conditional Access Policy Templates · Book index</w:t>
      </w:r>
    </w:p>
    <w:bookmarkEnd w:id="1148"/>
    <w:bookmarkEnd w:id="11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19">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20">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21">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22">
        <w:r>
          <w:rPr>
            <w:rStyle w:val="Hyperlink"/>
          </w:rPr>
          <w:t xml:space="preserve">https://nvlpubs.nist.gov/nistpubs/SpecialPublications/NIST.SP.800-207.pdf</w:t>
        </w:r>
      </w:hyperlink>
      <w:r>
        <w:t xml:space="preserve"> </w:t>
      </w:r>
      <w:r>
        <w:t xml:space="preserve">(accessed Oct 20, 2026).</w:t>
      </w:r>
    </w:p>
  </w:footnote>
  <w:footnote w:id="23">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(Identity),</w:t>
      </w:r>
      <w:r>
        <w:t xml:space="preserve"> </w:t>
      </w:r>
      <w:hyperlink r:id="rId24">
        <w:r>
          <w:rPr>
            <w:rStyle w:val="Hyperlink"/>
          </w:rPr>
          <w:t xml:space="preserve">https://www.cisa.gov/sites/default/files/2023-04/CISA_Zero_Trust_Maturity_Model_Version_2_508c.pdf</w:t>
        </w:r>
      </w:hyperlink>
      <w:r>
        <w:t xml:space="preserve"> </w:t>
      </w:r>
      <w:r>
        <w:t xml:space="preserve">(accessed Oct 20, 2026).</w:t>
      </w:r>
    </w:p>
  </w:footnote>
  <w:footnote w:id="26">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22">
        <w:r>
          <w:rPr>
            <w:rStyle w:val="Hyperlink"/>
          </w:rPr>
          <w:t xml:space="preserve">https://nvlpubs.nist.gov/nistpubs/SpecialPublications/NIST.SP.800-207.pdf</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33">
        <w:r>
          <w:rPr>
            <w:rStyle w:val="Hyperlink"/>
          </w:rPr>
          <w:t xml:space="preserve">https://learn.microsoft.com/en-us/entra/identity/conditional-access/overview</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33">
        <w:r>
          <w:rPr>
            <w:rStyle w:val="Hyperlink"/>
          </w:rPr>
          <w:t xml:space="preserve">https://learn.microsoft.com/en-us/entra/identity/conditional-access/overview</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33">
        <w:r>
          <w:rPr>
            <w:rStyle w:val="Hyperlink"/>
          </w:rPr>
          <w:t xml:space="preserve">https://learn.microsoft.com/en-us/entra/identity/conditional-access/overview</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r>
        <w:t xml:space="preserve">(section 10, layered controls: Continuous Access Evaluation),</w:t>
      </w:r>
      <w:r>
        <w:t xml:space="preserve"> </w:t>
      </w:r>
      <w:hyperlink r:id="rId37">
        <w:r>
          <w:rPr>
            <w:rStyle w:val="Hyperlink"/>
          </w:rPr>
          <w:t xml:space="preserve">https://learn.microsoft.com/en-us/entra/identity/role-based-access-control/best-practices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r>
        <w:t xml:space="preserve">(Exclude users),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r>
        <w:t xml:space="preserve">(report-only mode),</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55">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22">
        <w:r>
          <w:rPr>
            <w:rStyle w:val="Hyperlink"/>
          </w:rPr>
          <w:t xml:space="preserve">https://nvlpubs.nist.gov/nistpubs/SpecialPublications/NIST.SP.800-207.pdf</w:t>
        </w:r>
      </w:hyperlink>
      <w:r>
        <w:t xml:space="preserve"> </w:t>
      </w:r>
      <w:r>
        <w:t xml:space="preserve">(accessed Oct 20, 2026).</w:t>
      </w:r>
    </w:p>
  </w:footnote>
  <w:footnote w:id="5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r>
        <w:t xml:space="preserve">(section 10, layered controls: Continuous Access Evaluation),</w:t>
      </w:r>
      <w:r>
        <w:t xml:space="preserve"> </w:t>
      </w:r>
      <w:hyperlink r:id="rId37">
        <w:r>
          <w:rPr>
            <w:rStyle w:val="Hyperlink"/>
          </w:rPr>
          <w:t xml:space="preserve">https://learn.microsoft.com/en-us/entra/identity/role-based-access-control/best-practices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hyperlink r:id="rId59">
        <w:r>
          <w:rPr>
            <w:rStyle w:val="Hyperlink"/>
          </w:rPr>
          <w:t xml:space="preserve">https://learn.microsoft.com/entra/identity/users/manage-dynamic-group</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33">
        <w:r>
          <w:rPr>
            <w:rStyle w:val="Hyperlink"/>
          </w:rPr>
          <w:t xml:space="preserve">https://learn.microsoft.com/en-us/entra/identity/conditional-access/overview</w:t>
        </w:r>
      </w:hyperlink>
      <w:r>
        <w:t xml:space="preserve"> </w:t>
      </w:r>
      <w:r>
        <w:t xml:space="preserve">(accessed Oct 20, 2026).</w:t>
      </w:r>
    </w:p>
  </w:footnote>
  <w:footnote w:id="6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65">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22">
        <w:r>
          <w:rPr>
            <w:rStyle w:val="Hyperlink"/>
          </w:rPr>
          <w:t xml:space="preserve">https://nvlpubs.nist.gov/nistpubs/SpecialPublications/NIST.SP.800-207.pdf</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33">
        <w:r>
          <w:rPr>
            <w:rStyle w:val="Hyperlink"/>
          </w:rPr>
          <w:t xml:space="preserve">https://learn.microsoft.com/en-us/entra/identity/conditional-access/overview</w:t>
        </w:r>
      </w:hyperlink>
      <w:r>
        <w:t xml:space="preserve"> </w:t>
      </w:r>
      <w:r>
        <w:t xml:space="preserve">(accessed Oct 20, 2026).</w:t>
      </w:r>
    </w:p>
  </w:footnote>
  <w:footnote w:id="71">
    <w:p>
      <w:pPr>
        <w:pStyle w:val="FootnoteText"/>
      </w:pPr>
      <w:r>
        <w:rPr>
          <w:rStyle w:val="FootnoteReference"/>
        </w:rPr>
        <w:footnoteRef/>
      </w:r>
      <w:r>
        <w:t xml:space="preserve"> </w:t>
      </w:r>
      <w:r>
        <w:t xml:space="preserve">National Security Agency and Cybersecurity and Infrastructure Security Agency, AA23-278A,</w:t>
      </w:r>
      <w:r>
        <w:t xml:space="preserve"> </w:t>
      </w:r>
      <w:r>
        <w:t xml:space="preserve">“NSA and CISA Red and Blue Teams Share Top Ten Cybersecurity Misconfigurations,”</w:t>
      </w:r>
      <w:r>
        <w:t xml:space="preserve"> </w:t>
      </w:r>
      <w:r>
        <w:t xml:space="preserve">October 5, 2023,</w:t>
      </w:r>
      <w:r>
        <w:t xml:space="preserve"> </w:t>
      </w:r>
      <w:hyperlink r:id="rId72">
        <w:r>
          <w:rPr>
            <w:rStyle w:val="Hyperlink"/>
          </w:rPr>
          <w:t xml:space="preserve">https://www.cisa.gov/news-events/cybersecurity-advisories/aa23-278a</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Security Blog,</w:t>
      </w:r>
      <w:r>
        <w:t xml:space="preserve"> </w:t>
      </w:r>
      <w:r>
        <w:t xml:space="preserve">“Midnight Blizzard: Guidance for responders on nation-state attack,”</w:t>
      </w:r>
      <w:r>
        <w:t xml:space="preserve"> </w:t>
      </w:r>
      <w:r>
        <w:t xml:space="preserve">January 25, 2024,</w:t>
      </w:r>
      <w:r>
        <w:t xml:space="preserve"> </w:t>
      </w:r>
      <w:hyperlink r:id="rId74">
        <w:r>
          <w:rPr>
            <w:rStyle w:val="Hyperlink"/>
          </w:rPr>
          <w:t xml:space="preserve">https://www.microsoft.com/en-us/security/blog/2024/01/25/midnight-blizzard-guidance-for-responders-on-nation-state-attack/</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hyperlink r:id="rId37">
        <w:r>
          <w:rPr>
            <w:rStyle w:val="Hyperlink"/>
          </w:rPr>
          <w:t xml:space="preserve">https://learn.microsoft.com/en-us/entra/identity/role-based-access-control/best-practices</w:t>
        </w:r>
      </w:hyperlink>
      <w:r>
        <w:t xml:space="preserve"> </w:t>
      </w:r>
      <w:r>
        <w:t xml:space="preserve">(accessed Oct 20, 2026).</w:t>
      </w:r>
    </w:p>
  </w:footnote>
  <w:footnote w:id="78">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79">
        <w:r>
          <w:rPr>
            <w:rStyle w:val="Hyperlink"/>
          </w:rPr>
          <w:t xml:space="preserve">https://csrc.nist.gov/pubs/sp/800/53/r5/upd1/final</w:t>
        </w:r>
      </w:hyperlink>
      <w:r>
        <w:t xml:space="preserve"> </w:t>
      </w:r>
      <w:r>
        <w:t xml:space="preserve">(accessed Oct 20, 2026).</w:t>
      </w:r>
    </w:p>
  </w:footnote>
  <w:footnote w:id="8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79">
        <w:r>
          <w:rPr>
            <w:rStyle w:val="Hyperlink"/>
          </w:rPr>
          <w:t xml:space="preserve">https://csrc.nist.gov/pubs/sp/800/53/r5/upd1/final</w:t>
        </w:r>
      </w:hyperlink>
      <w:r>
        <w:t xml:space="preserve"> </w:t>
      </w:r>
      <w:r>
        <w:t xml:space="preserve">(accessed Oct 20, 2026).</w:t>
      </w:r>
    </w:p>
  </w:footnote>
  <w:footnote w:id="81">
    <w:p>
      <w:pPr>
        <w:pStyle w:val="FootnoteText"/>
      </w:pPr>
      <w:r>
        <w:rPr>
          <w:rStyle w:val="FootnoteReference"/>
        </w:rPr>
        <w:footnoteRef/>
      </w:r>
      <w:r>
        <w:t xml:space="preserve"> </w:t>
      </w:r>
      <w:r>
        <w:t xml:space="preserve">National Institute of Standards and Technology, SP 800-53B moderate baseline in OSCAL form,</w:t>
      </w:r>
      <w:r>
        <w:t xml:space="preserve"> </w:t>
      </w:r>
      <w:r>
        <w:rPr>
          <w:rStyle w:val="VerbatimChar"/>
        </w:rPr>
        <w:t xml:space="preserve">NIST_SP-800-53_rev5_MODERATE-baseline_profile.json</w:t>
      </w:r>
      <w:r>
        <w:t xml:space="preserve">,</w:t>
      </w:r>
      <w:r>
        <w:t xml:space="preserve"> </w:t>
      </w:r>
      <w:hyperlink r:id="rId82">
        <w:r>
          <w:rPr>
            <w:rStyle w:val="Hyperlink"/>
          </w:rPr>
          <w:t xml:space="preserve">https://raw.githubusercontent.com/usnistgov/oscal-content/main/nist.gov/SP800-53/rev5/json/NIST_SP-800-53_rev5_MODERATE-baseline_profile.json</w:t>
        </w:r>
      </w:hyperlink>
      <w:r>
        <w:t xml:space="preserve"> </w:t>
      </w:r>
      <w:r>
        <w:t xml:space="preserve">(accessed Oct 20, 2026).</w:t>
      </w:r>
    </w:p>
  </w:footnote>
  <w:footnote w:id="8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79">
        <w:r>
          <w:rPr>
            <w:rStyle w:val="Hyperlink"/>
          </w:rPr>
          <w:t xml:space="preserve">https://csrc.nist.gov/pubs/sp/800/53/r5/upd1/final</w:t>
        </w:r>
      </w:hyperlink>
      <w:r>
        <w:t xml:space="preserve"> </w:t>
      </w:r>
      <w:r>
        <w:t xml:space="preserve">(accessed Oct 20, 2026).</w:t>
      </w:r>
    </w:p>
  </w:footnote>
  <w:footnote w:id="85">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8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8">
        <w:r>
          <w:rPr>
            <w:rStyle w:val="Hyperlink"/>
          </w:rPr>
          <w:t xml:space="preserve">https://www.whitehouse.gov/wp-content/uploads/2022/01/M-22-09.pdf</w:t>
        </w:r>
      </w:hyperlink>
      <w:r>
        <w:t xml:space="preserve"> </w:t>
      </w:r>
      <w:r>
        <w:t xml:space="preserve">(accessed Oct 20, 2026).</w:t>
      </w:r>
    </w:p>
  </w:footnote>
  <w:footnote w:id="87">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w:t>
      </w:r>
      <w:r>
        <w:t xml:space="preserve"> </w:t>
      </w:r>
      <w:hyperlink r:id="rId22">
        <w:r>
          <w:rPr>
            <w:rStyle w:val="Hyperlink"/>
          </w:rPr>
          <w:t xml:space="preserve">https://nvlpubs.nist.gov/nistpubs/SpecialPublications/NIST.SP.800-207.pdf</w:t>
        </w:r>
      </w:hyperlink>
      <w:r>
        <w:t xml:space="preserve"> </w:t>
      </w:r>
      <w:r>
        <w:t xml:space="preserve">(accessed Oct 20, 2026).</w:t>
      </w:r>
    </w:p>
  </w:footnote>
  <w:footnote w:id="88">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Table 2 (Identity pillar, Access Management function),</w:t>
      </w:r>
      <w:r>
        <w:t xml:space="preserve"> </w:t>
      </w:r>
      <w:hyperlink r:id="rId24">
        <w:r>
          <w:rPr>
            <w:rStyle w:val="Hyperlink"/>
          </w:rPr>
          <w:t xml:space="preserve">https://www.cisa.gov/sites/default/files/2023-04/CISA_Zero_Trust_Maturity_Model_Version_2_508c.pdf</w:t>
        </w:r>
      </w:hyperlink>
      <w:r>
        <w:t xml:space="preserve"> </w:t>
      </w:r>
      <w:r>
        <w:t xml:space="preserve">(accessed Oct 20, 2026).</w:t>
      </w:r>
    </w:p>
  </w:footnote>
  <w:footnote w:id="93">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Table 2 (Identity pillar, Access Management function),</w:t>
      </w:r>
      <w:r>
        <w:t xml:space="preserve"> </w:t>
      </w:r>
      <w:hyperlink r:id="rId24">
        <w:r>
          <w:rPr>
            <w:rStyle w:val="Hyperlink"/>
          </w:rPr>
          <w:t xml:space="preserve">https://www.cisa.gov/sites/default/files/2023-04/CISA_Zero_Trust_Maturity_Model_Version_2_508c.pdf</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“Establish a privileged access strategy”</w:t>
      </w:r>
      <w:r>
        <w:t xml:space="preserve"> </w:t>
      </w:r>
      <w:r>
        <w:t xml:space="preserve">(strategic goals),</w:t>
      </w:r>
      <w:r>
        <w:t xml:space="preserve"> </w:t>
      </w:r>
      <w:hyperlink r:id="rId97">
        <w:r>
          <w:rPr>
            <w:rStyle w:val="Hyperlink"/>
          </w:rPr>
          <w:t xml:space="preserve">https://learn.microsoft.com/security/zero-trust/security-adoption-discipline-identity-access-privileged-strategy</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hyperlink r:id="rId37">
        <w:r>
          <w:rPr>
            <w:rStyle w:val="Hyperlink"/>
          </w:rPr>
          <w:t xml:space="preserve">https://learn.microsoft.com/en-us/entra/identity/role-based-access-control/best-practices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100">
        <w:r>
          <w:rPr>
            <w:rStyle w:val="Hyperlink"/>
          </w:rPr>
          <w:t xml:space="preserve">https://learn.microsoft.com/en-us/entra/id-governance/privileged-identity-management/pim-configure</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100">
        <w:r>
          <w:rPr>
            <w:rStyle w:val="Hyperlink"/>
          </w:rPr>
          <w:t xml:space="preserve">https://learn.microsoft.com/en-us/entra/id-governance/privileged-identity-management/pim-configure</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“Activate a Microsoft Entra role in PIM,”</w:t>
      </w:r>
      <w:r>
        <w:t xml:space="preserve"> </w:t>
      </w:r>
      <w:hyperlink r:id="rId107">
        <w:r>
          <w:rPr>
            <w:rStyle w:val="Hyperlink"/>
          </w:rPr>
          <w:t xml:space="preserve">https://learn.microsoft.com/entra/id-governance/privileged-identity-management/pim-how-to-activate-role</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hyperlink r:id="rId37">
        <w:r>
          <w:rPr>
            <w:rStyle w:val="Hyperlink"/>
          </w:rPr>
          <w:t xml:space="preserve">https://learn.microsoft.com/en-us/entra/identity/role-based-access-control/best-practices</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100">
        <w:r>
          <w:rPr>
            <w:rStyle w:val="Hyperlink"/>
          </w:rPr>
          <w:t xml:space="preserve">https://learn.microsoft.com/en-us/entra/id-governance/privileged-identity-management/pim-configure</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14">
        <w:r>
          <w:rPr>
            <w:rStyle w:val="Hyperlink"/>
          </w:rPr>
          <w:t xml:space="preserve">https://learn.microsoft.com/en-us/entra/identity/role-based-access-control/security-emergency-access</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14">
        <w:r>
          <w:rPr>
            <w:rStyle w:val="Hyperlink"/>
          </w:rPr>
          <w:t xml:space="preserve">https://learn.microsoft.com/en-us/entra/identity/role-based-access-control/security-emergency-access</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14">
        <w:r>
          <w:rPr>
            <w:rStyle w:val="Hyperlink"/>
          </w:rPr>
          <w:t xml:space="preserve">https://learn.microsoft.com/en-us/entra/identity/role-based-access-control/security-emergency-access</w:t>
        </w:r>
      </w:hyperlink>
      <w:r>
        <w:t xml:space="preserve"> </w:t>
      </w:r>
      <w:r>
        <w:t xml:space="preserve">(accessed Oct 20, 2026).</w:t>
      </w:r>
    </w:p>
  </w:footnote>
  <w:footnote w:id="11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79">
        <w:r>
          <w:rPr>
            <w:rStyle w:val="Hyperlink"/>
          </w:rPr>
          <w:t xml:space="preserve">https://csrc.nist.gov/pubs/sp/800/53/r5/upd1/final</w:t>
        </w:r>
      </w:hyperlink>
      <w:r>
        <w:t xml:space="preserve"> </w:t>
      </w:r>
      <w:r>
        <w:t xml:space="preserve">(accessed Oct 20, 2026).</w:t>
      </w:r>
    </w:p>
  </w:footnote>
  <w:footnote w:id="125">
    <w:p>
      <w:pPr>
        <w:pStyle w:val="FootnoteText"/>
      </w:pPr>
      <w:r>
        <w:rPr>
          <w:rStyle w:val="FootnoteReference"/>
        </w:rPr>
        <w:footnoteRef/>
      </w:r>
      <w:r>
        <w:t xml:space="preserve"> </w:t>
      </w:r>
      <w:r>
        <w:t xml:space="preserve">National Security Agency and Cybersecurity and Infrastructure Security Agency, AA23-278A,</w:t>
      </w:r>
      <w:r>
        <w:t xml:space="preserve"> </w:t>
      </w:r>
      <w:r>
        <w:t xml:space="preserve">“NSA and CISA Red and Blue Teams Share Top Ten Cybersecurity Misconfigurations,”</w:t>
      </w:r>
      <w:r>
        <w:t xml:space="preserve"> </w:t>
      </w:r>
      <w:r>
        <w:t xml:space="preserve">October 5, 2023,</w:t>
      </w:r>
      <w:r>
        <w:t xml:space="preserve"> </w:t>
      </w:r>
      <w:hyperlink r:id="rId72">
        <w:r>
          <w:rPr>
            <w:rStyle w:val="Hyperlink"/>
          </w:rPr>
          <w:t xml:space="preserve">https://www.cisa.gov/news-events/cybersecurity-advisories/aa23-278a</w:t>
        </w:r>
      </w:hyperlink>
      <w:r>
        <w:t xml:space="preserve"> </w:t>
      </w:r>
      <w:r>
        <w:t xml:space="preserve">(accessed Oct 20, 2026).</w:t>
      </w:r>
    </w:p>
  </w:footnote>
  <w:footnote w:id="12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controls AC-2, AC-5 and AC-6,</w:t>
      </w:r>
      <w:r>
        <w:t xml:space="preserve"> </w:t>
      </w:r>
      <w:hyperlink r:id="rId79">
        <w:r>
          <w:rPr>
            <w:rStyle w:val="Hyperlink"/>
          </w:rPr>
          <w:t xml:space="preserve">https://csrc.nist.gov/pubs/sp/800/53/r5/upd1/final</w:t>
        </w:r>
      </w:hyperlink>
      <w:r>
        <w:t xml:space="preserve"> </w:t>
      </w:r>
      <w:r>
        <w:t xml:space="preserve">(accessed Oct 20, 2026).</w:t>
      </w:r>
    </w:p>
  </w:footnote>
  <w:footnote w:id="127">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Table 2 (Identity pillar, Access Management function),</w:t>
      </w:r>
      <w:r>
        <w:t xml:space="preserve"> </w:t>
      </w:r>
      <w:hyperlink r:id="rId24">
        <w:r>
          <w:rPr>
            <w:rStyle w:val="Hyperlink"/>
          </w:rPr>
          <w:t xml:space="preserve">https://www.cisa.gov/sites/default/files/2023-04/CISA_Zero_Trust_Maturity_Model_Version_2_508c.pdf</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“What is Conditional Access?: License requirements,”</w:t>
      </w:r>
      <w:r>
        <w:t xml:space="preserve"> </w:t>
      </w:r>
      <w:hyperlink r:id="rId141">
        <w:r>
          <w:rPr>
            <w:rStyle w:val="Hyperlink"/>
          </w:rPr>
          <w:t xml:space="preserve">https://learn.microsoft.com/entra/identity/conditional-access/overview#license-requirements</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145">
        <w:r>
          <w:rPr>
            <w:rStyle w:val="Hyperlink"/>
          </w:rPr>
          <w:t xml:space="preserve">https://learn.microsoft.com/entra/identity/conditional-access/concept-assignment-network</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145">
        <w:r>
          <w:rPr>
            <w:rStyle w:val="Hyperlink"/>
          </w:rPr>
          <w:t xml:space="preserve">https://learn.microsoft.com/entra/identity/conditional-access/concept-assignment-network</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“Continuous access evaluation,”</w:t>
      </w:r>
      <w:r>
        <w:t xml:space="preserve"> </w:t>
      </w:r>
      <w:hyperlink r:id="rId148">
        <w:r>
          <w:rPr>
            <w:rStyle w:val="Hyperlink"/>
          </w:rPr>
          <w:t xml:space="preserve">https://learn.microsoft.com/entra/identity/conditional-access/concept-continuous-access-evaluation</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151">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153">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155">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156">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59">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62">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64">
    <w:p>
      <w:pPr>
        <w:pStyle w:val="FootnoteText"/>
      </w:pPr>
      <w:r>
        <w:rPr>
          <w:rStyle w:val="FootnoteReference"/>
        </w:rPr>
        <w:footnoteRef/>
      </w:r>
      <w:r>
        <w:t xml:space="preserve"> </w:t>
      </w:r>
      <w:r>
        <w:t xml:space="preserve">Microsoft Learn,</w:t>
      </w:r>
      <w:r>
        <w:t xml:space="preserve"> </w:t>
      </w:r>
      <w:r>
        <w:t xml:space="preserve">“Filter for applications in Conditional Access policy,”</w:t>
      </w:r>
      <w:r>
        <w:t xml:space="preserve"> </w:t>
      </w:r>
      <w:hyperlink r:id="rId165">
        <w:r>
          <w:rPr>
            <w:rStyle w:val="Hyperlink"/>
          </w:rPr>
          <w:t xml:space="preserve">https://learn.microsoft.com/entra/identity/conditional-access/concept-filter-for-applications</w:t>
        </w:r>
      </w:hyperlink>
      <w:r>
        <w:t xml:space="preserve"> </w:t>
      </w:r>
      <w:r>
        <w:t xml:space="preserve">(accessed Oct 20, 2026).</w:t>
      </w:r>
    </w:p>
  </w:footnote>
  <w:footnote w:id="166">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67">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69">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145">
        <w:r>
          <w:rPr>
            <w:rStyle w:val="Hyperlink"/>
          </w:rPr>
          <w:t xml:space="preserve">https://learn.microsoft.com/entra/identity/conditional-access/concept-assignment-network</w:t>
        </w:r>
      </w:hyperlink>
      <w:r>
        <w:t xml:space="preserve"> </w:t>
      </w:r>
      <w:r>
        <w:t xml:space="preserve">(accessed Oct 20, 2026).</w:t>
      </w:r>
    </w:p>
  </w:footnote>
  <w:footnote w:id="170">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145">
        <w:r>
          <w:rPr>
            <w:rStyle w:val="Hyperlink"/>
          </w:rPr>
          <w:t xml:space="preserve">https://learn.microsoft.com/entra/identity/conditional-access/concept-assignment-network</w:t>
        </w:r>
      </w:hyperlink>
      <w:r>
        <w:t xml:space="preserve"> </w:t>
      </w:r>
      <w:r>
        <w:t xml:space="preserve">(accessed Oct 20, 2026).</w:t>
      </w:r>
    </w:p>
  </w:footnote>
  <w:footnote w:id="172">
    <w:p>
      <w:pPr>
        <w:pStyle w:val="FootnoteText"/>
      </w:pPr>
      <w:r>
        <w:rPr>
          <w:rStyle w:val="FootnoteReference"/>
        </w:rPr>
        <w:footnoteRef/>
      </w:r>
      <w:r>
        <w:t xml:space="preserve"> </w:t>
      </w:r>
      <w:r>
        <w:t xml:space="preserve">Microsoft Learn,</w:t>
      </w:r>
      <w:r>
        <w:t xml:space="preserve"> </w:t>
      </w:r>
      <w:r>
        <w:t xml:space="preserve">“What is Conditional Access?: License requirements,”</w:t>
      </w:r>
      <w:r>
        <w:t xml:space="preserve"> </w:t>
      </w:r>
      <w:hyperlink r:id="rId141">
        <w:r>
          <w:rPr>
            <w:rStyle w:val="Hyperlink"/>
          </w:rPr>
          <w:t xml:space="preserve">https://learn.microsoft.com/entra/identity/conditional-access/overview#license-requirements</w:t>
        </w:r>
      </w:hyperlink>
      <w:r>
        <w:t xml:space="preserve"> </w:t>
      </w:r>
      <w:r>
        <w:t xml:space="preserve">(accessed Oct 20, 2026).</w:t>
      </w:r>
    </w:p>
  </w:footnote>
  <w:footnote w:id="173">
    <w:p>
      <w:pPr>
        <w:pStyle w:val="FootnoteText"/>
      </w:pPr>
      <w:r>
        <w:rPr>
          <w:rStyle w:val="FootnoteReference"/>
        </w:rPr>
        <w:footnoteRef/>
      </w:r>
      <w:r>
        <w:t xml:space="preserve"> </w:t>
      </w:r>
      <w:r>
        <w:t xml:space="preserve">Microsoft Learn,</w:t>
      </w:r>
      <w:r>
        <w:t xml:space="preserve"> </w:t>
      </w:r>
      <w:r>
        <w:t xml:space="preserve">“Microsoft Entra recommendation: Protect your tenant with Insider Risk condition in Conditional Access policy,”</w:t>
      </w:r>
      <w:r>
        <w:t xml:space="preserve"> </w:t>
      </w:r>
      <w:hyperlink r:id="rId174">
        <w:r>
          <w:rPr>
            <w:rStyle w:val="Hyperlink"/>
          </w:rPr>
          <w:t xml:space="preserve">https://learn.microsoft.com/entra/identity/monitoring-health/recommendation-insider-risk-condition</w:t>
        </w:r>
      </w:hyperlink>
      <w:r>
        <w:t xml:space="preserve"> </w:t>
      </w:r>
      <w:r>
        <w:t xml:space="preserve">(accessed Oct 20, 2026).</w:t>
      </w:r>
    </w:p>
  </w:footnote>
  <w:footnote w:id="175">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176">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177">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178">
        <w:r>
          <w:rPr>
            <w:rStyle w:val="Hyperlink"/>
          </w:rPr>
          <w:t xml:space="preserve">https://learn.microsoft.com/entra/identity/conditional-access/concept-conditional-access-conditions</w:t>
        </w:r>
      </w:hyperlink>
      <w:r>
        <w:t xml:space="preserve"> </w:t>
      </w:r>
      <w:r>
        <w:t xml:space="preserve">(accessed Oct 20, 2026).</w:t>
      </w:r>
    </w:p>
  </w:footnote>
  <w:footnote w:id="179">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178">
        <w:r>
          <w:rPr>
            <w:rStyle w:val="Hyperlink"/>
          </w:rPr>
          <w:t xml:space="preserve">https://learn.microsoft.com/entra/identity/conditional-access/concept-conditional-access-conditions</w:t>
        </w:r>
      </w:hyperlink>
      <w:r>
        <w:t xml:space="preserve"> </w:t>
      </w:r>
      <w:r>
        <w:t xml:space="preserve">(accessed Oct 20, 2026).</w:t>
      </w:r>
    </w:p>
  </w:footnote>
  <w:footnote w:id="180">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181">
        <w:r>
          <w:rPr>
            <w:rStyle w:val="Hyperlink"/>
          </w:rPr>
          <w:t xml:space="preserve">https://learn.microsoft.com/entra/identity/conditional-access/concept-authentication-flows</w:t>
        </w:r>
      </w:hyperlink>
      <w:r>
        <w:t xml:space="preserve"> </w:t>
      </w:r>
      <w:r>
        <w:t xml:space="preserve">(accessed Oct 20, 2026).</w:t>
      </w:r>
    </w:p>
  </w:footnote>
  <w:footnote w:id="182">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183">
        <w:r>
          <w:rPr>
            <w:rStyle w:val="Hyperlink"/>
          </w:rPr>
          <w:t xml:space="preserve">https://learn.microsoft.com/entra/identity/conditional-access/concept-condition-filters-for-devices</w:t>
        </w:r>
      </w:hyperlink>
      <w:r>
        <w:t xml:space="preserve"> </w:t>
      </w:r>
      <w:r>
        <w:t xml:space="preserve">(accessed Oct 20, 2026).</w:t>
      </w:r>
    </w:p>
  </w:footnote>
  <w:footnote w:id="184">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181">
        <w:r>
          <w:rPr>
            <w:rStyle w:val="Hyperlink"/>
          </w:rPr>
          <w:t xml:space="preserve">https://learn.microsoft.com/entra/identity/conditional-access/concept-authentication-flows</w:t>
        </w:r>
      </w:hyperlink>
      <w:r>
        <w:t xml:space="preserve"> </w:t>
      </w:r>
      <w:r>
        <w:t xml:space="preserve">(accessed Oct 20, 2026).</w:t>
      </w:r>
    </w:p>
  </w:footnote>
  <w:footnote w:id="187">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88">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89">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191">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92">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93">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194">
        <w:r>
          <w:rPr>
            <w:rStyle w:val="Hyperlink"/>
          </w:rPr>
          <w:t xml:space="preserve">https://learn.microsoft.com/entra/identity/conditional-access/migrate-approved-client-app</w:t>
        </w:r>
      </w:hyperlink>
      <w:r>
        <w:t xml:space="preserve"> </w:t>
      </w:r>
      <w:r>
        <w:t xml:space="preserve">(accessed Oct 20, 2026).</w:t>
      </w:r>
    </w:p>
  </w:footnote>
  <w:footnote w:id="195">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96">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194">
        <w:r>
          <w:rPr>
            <w:rStyle w:val="Hyperlink"/>
          </w:rPr>
          <w:t xml:space="preserve">https://learn.microsoft.com/entra/identity/conditional-access/migrate-approved-client-app</w:t>
        </w:r>
      </w:hyperlink>
      <w:r>
        <w:t xml:space="preserve"> </w:t>
      </w:r>
      <w:r>
        <w:t xml:space="preserve">(accessed Oct 20, 2026).</w:t>
      </w:r>
    </w:p>
  </w:footnote>
  <w:footnote w:id="197">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198">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199">
        <w:r>
          <w:rPr>
            <w:rStyle w:val="Hyperlink"/>
          </w:rPr>
          <w:t xml:space="preserve">https://learn.microsoft.com/graph/api/resources/conditionalaccessgrantcontrols?view=graph-rest-1.0</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201">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203">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205">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r>
        <w:t xml:space="preserve">(Microsoft Graph v1.0),</w:t>
      </w:r>
      <w:r>
        <w:t xml:space="preserve"> </w:t>
      </w:r>
      <w:hyperlink r:id="rId207">
        <w:r>
          <w:rPr>
            <w:rStyle w:val="Hyperlink"/>
          </w:rPr>
          <w:t xml:space="preserve">https://learn.microsoft.com/graph/api/authenticationstrengthroot-list-policies?view=graph-rest-1.0</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r>
        <w:t xml:space="preserve">(Microsoft Graph v1.0),</w:t>
      </w:r>
      <w:r>
        <w:t xml:space="preserve"> </w:t>
      </w:r>
      <w:hyperlink r:id="rId207">
        <w:r>
          <w:rPr>
            <w:rStyle w:val="Hyperlink"/>
          </w:rPr>
          <w:t xml:space="preserve">https://learn.microsoft.com/graph/api/authenticationstrengthroot-list-policies?view=graph-rest-1.0</w:t>
        </w:r>
      </w:hyperlink>
      <w:r>
        <w:t xml:space="preserve"> </w:t>
      </w:r>
      <w:r>
        <w:t xml:space="preserve">(accessed Oct 20, 2026).</w:t>
      </w:r>
    </w:p>
  </w:footnote>
  <w:footnote w:id="209">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210">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211">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212">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214">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215">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217">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218">
        <w:r>
          <w:rPr>
            <w:rStyle w:val="Hyperlink"/>
          </w:rPr>
          <w:t xml:space="preserve">https://learn.microsoft.com/graph/api/resources/conditionalaccesssessioncontrols?view=graph-rest-1.0</w:t>
        </w:r>
      </w:hyperlink>
      <w:r>
        <w:t xml:space="preserve"> </w:t>
      </w:r>
      <w:r>
        <w:t xml:space="preserve">(accessed Oct 20, 2026).</w:t>
      </w:r>
    </w:p>
  </w:footnote>
  <w:footnote w:id="219">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220">
    <w:p>
      <w:pPr>
        <w:pStyle w:val="FootnoteText"/>
      </w:pPr>
      <w:r>
        <w:rPr>
          <w:rStyle w:val="FootnoteReference"/>
        </w:rPr>
        <w:footnoteRef/>
      </w:r>
      <w:r>
        <w:t xml:space="preserve"> </w:t>
      </w:r>
      <w:r>
        <w:t xml:space="preserve">Microsoft Learn,</w:t>
      </w:r>
      <w:r>
        <w:t xml:space="preserve"> </w:t>
      </w:r>
      <w:r>
        <w:t xml:space="preserve">“Conditional Access adaptive session lifetime policies,”</w:t>
      </w:r>
      <w:r>
        <w:t xml:space="preserve"> </w:t>
      </w:r>
      <w:hyperlink r:id="rId221">
        <w:r>
          <w:rPr>
            <w:rStyle w:val="Hyperlink"/>
          </w:rPr>
          <w:t xml:space="preserve">https://learn.microsoft.com/entra/identity/conditional-access/concept-session-lifetime</w:t>
        </w:r>
      </w:hyperlink>
      <w:r>
        <w:t xml:space="preserve"> </w:t>
      </w:r>
      <w:r>
        <w:t xml:space="preserve">(accessed Oct 20, 2026).</w:t>
      </w:r>
    </w:p>
  </w:footnote>
  <w:footnote w:id="222">
    <w:p>
      <w:pPr>
        <w:pStyle w:val="FootnoteText"/>
      </w:pPr>
      <w:r>
        <w:rPr>
          <w:rStyle w:val="FootnoteReference"/>
        </w:rPr>
        <w:footnoteRef/>
      </w:r>
      <w:r>
        <w:t xml:space="preserve"> </w:t>
      </w:r>
      <w:r>
        <w:t xml:space="preserve">Microsoft Learn,</w:t>
      </w:r>
      <w:r>
        <w:t xml:space="preserve"> </w:t>
      </w:r>
      <w:r>
        <w:t xml:space="preserve">“signInFrequencySessionControl resource type”</w:t>
      </w:r>
      <w:r>
        <w:t xml:space="preserve"> </w:t>
      </w:r>
      <w:r>
        <w:t xml:space="preserve">(Microsoft Graph v1.0),</w:t>
      </w:r>
      <w:r>
        <w:t xml:space="preserve"> </w:t>
      </w:r>
      <w:hyperlink r:id="rId223">
        <w:r>
          <w:rPr>
            <w:rStyle w:val="Hyperlink"/>
          </w:rPr>
          <w:t xml:space="preserve">https://learn.microsoft.com/graph/api/resources/signinfrequencysessioncontrol?view=graph-rest-1.0</w:t>
        </w:r>
      </w:hyperlink>
      <w:r>
        <w:t xml:space="preserve"> </w:t>
      </w:r>
      <w:r>
        <w:t xml:space="preserve">(accessed Oct 20, 2026).</w:t>
      </w:r>
    </w:p>
  </w:footnote>
  <w:footnote w:id="224">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218">
        <w:r>
          <w:rPr>
            <w:rStyle w:val="Hyperlink"/>
          </w:rPr>
          <w:t xml:space="preserve">https://learn.microsoft.com/graph/api/resources/conditionalaccesssessioncontrols?view=graph-rest-1.0</w:t>
        </w:r>
      </w:hyperlink>
      <w:r>
        <w:t xml:space="preserve"> </w:t>
      </w:r>
      <w:r>
        <w:t xml:space="preserve">(accessed Oct 20, 2026).</w:t>
      </w:r>
    </w:p>
  </w:footnote>
  <w:footnote w:id="225">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226">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227">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228">
    <w:p>
      <w:pPr>
        <w:pStyle w:val="FootnoteText"/>
      </w:pPr>
      <w:r>
        <w:rPr>
          <w:rStyle w:val="FootnoteReference"/>
        </w:rPr>
        <w:footnoteRef/>
      </w:r>
      <w:r>
        <w:t xml:space="preserve"> </w:t>
      </w:r>
      <w:r>
        <w:t xml:space="preserve">Microsoft Learn,</w:t>
      </w:r>
      <w:r>
        <w:t xml:space="preserve"> </w:t>
      </w:r>
      <w:r>
        <w:t xml:space="preserve">“Conditional Access adaptive session lifetime policies,”</w:t>
      </w:r>
      <w:r>
        <w:t xml:space="preserve"> </w:t>
      </w:r>
      <w:hyperlink r:id="rId221">
        <w:r>
          <w:rPr>
            <w:rStyle w:val="Hyperlink"/>
          </w:rPr>
          <w:t xml:space="preserve">https://learn.microsoft.com/entra/identity/conditional-access/concept-session-lifetime</w:t>
        </w:r>
      </w:hyperlink>
      <w:r>
        <w:t xml:space="preserve"> </w:t>
      </w:r>
      <w:r>
        <w:t xml:space="preserve">(accessed Oct 20, 2026).</w:t>
      </w:r>
    </w:p>
  </w:footnote>
  <w:footnote w:id="231">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232">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233">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234">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235">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236">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237">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9">
        <w:r>
          <w:rPr>
            <w:rStyle w:val="Hyperlink"/>
          </w:rPr>
          <w:t xml:space="preserve">https://learn.microsoft.com/entra/identity/conditional-access/concept-conditional-access-policies</w:t>
        </w:r>
      </w:hyperlink>
      <w:r>
        <w:t xml:space="preserve"> </w:t>
      </w:r>
      <w:r>
        <w:t xml:space="preserve">(accessed Oct 20, 2026).</w:t>
      </w:r>
    </w:p>
  </w:footnote>
  <w:footnote w:id="238">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43">
    <w:p>
      <w:pPr>
        <w:pStyle w:val="FootnoteText"/>
      </w:pPr>
      <w:r>
        <w:rPr>
          <w:rStyle w:val="FootnoteReference"/>
        </w:rPr>
        <w:footnoteRef/>
      </w:r>
      <w:r>
        <w:t xml:space="preserve"> </w:t>
      </w:r>
      <w:r>
        <w:t xml:space="preserve">Microsoft Learn,</w:t>
      </w:r>
      <w:r>
        <w:t xml:space="preserve"> </w:t>
      </w:r>
      <w:r>
        <w:t xml:space="preserve">“Properties of an enterprise application: Assignment required,”</w:t>
      </w:r>
      <w:r>
        <w:t xml:space="preserve"> </w:t>
      </w:r>
      <w:hyperlink r:id="rId244">
        <w:r>
          <w:rPr>
            <w:rStyle w:val="Hyperlink"/>
          </w:rPr>
          <w:t xml:space="preserve">https://learn.microsoft.com/entra/identity/enterprise-apps/application-properties</w:t>
        </w:r>
      </w:hyperlink>
      <w:r>
        <w:t xml:space="preserve"> </w:t>
      </w:r>
      <w:r>
        <w:t xml:space="preserve">(accessed Oct 20, 2026).</w:t>
      </w:r>
    </w:p>
  </w:footnote>
  <w:footnote w:id="246">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247">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250">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251">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252">
    <w:p>
      <w:pPr>
        <w:pStyle w:val="FootnoteText"/>
      </w:pPr>
      <w:r>
        <w:rPr>
          <w:rStyle w:val="FootnoteReference"/>
        </w:rPr>
        <w:footnoteRef/>
      </w:r>
      <w:r>
        <w:t xml:space="preserve"> </w:t>
      </w:r>
      <w:r>
        <w:t xml:space="preserve">Microsoft Learn,</w:t>
      </w:r>
      <w:r>
        <w:t xml:space="preserve"> </w:t>
      </w:r>
      <w:r>
        <w:t xml:space="preserve">“appliedConditionalAccessPolicy resource type”</w:t>
      </w:r>
      <w:r>
        <w:t xml:space="preserve"> </w:t>
      </w:r>
      <w:r>
        <w:t xml:space="preserve">(Microsoft Graph v1.0),</w:t>
      </w:r>
      <w:r>
        <w:t xml:space="preserve"> </w:t>
      </w:r>
      <w:hyperlink r:id="rId253">
        <w:r>
          <w:rPr>
            <w:rStyle w:val="Hyperlink"/>
          </w:rPr>
          <w:t xml:space="preserve">https://learn.microsoft.com/graph/api/resources/appliedconditionalaccesspolicy?view=graph-rest-1.0</w:t>
        </w:r>
      </w:hyperlink>
      <w:r>
        <w:t xml:space="preserve"> </w:t>
      </w:r>
      <w:r>
        <w:t xml:space="preserve">(accessed Oct 20, 2026).</w:t>
      </w:r>
    </w:p>
  </w:footnote>
  <w:footnote w:id="254">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255">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145">
        <w:r>
          <w:rPr>
            <w:rStyle w:val="Hyperlink"/>
          </w:rPr>
          <w:t xml:space="preserve">https://learn.microsoft.com/entra/identity/conditional-access/concept-assignment-network</w:t>
        </w:r>
      </w:hyperlink>
      <w:r>
        <w:t xml:space="preserve"> </w:t>
      </w:r>
      <w:r>
        <w:t xml:space="preserve">(accessed Oct 20, 2026).</w:t>
      </w:r>
    </w:p>
  </w:footnote>
  <w:footnote w:id="256">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257">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59">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60">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62">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63">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264">
        <w:r>
          <w:rPr>
            <w:rStyle w:val="Hyperlink"/>
          </w:rPr>
          <w:t xml:space="preserve">https://www.cisa.gov/news-events/directives/bod-25-01-implementing-secure-practices-cloud-services</w:t>
        </w:r>
      </w:hyperlink>
      <w:r>
        <w:t xml:space="preserve"> </w:t>
      </w:r>
      <w:r>
        <w:t xml:space="preserve">(accessed Oct 20, 2026).</w:t>
      </w:r>
    </w:p>
  </w:footnote>
  <w:footnote w:id="265">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267">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68">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69">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71">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72">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274">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183">
        <w:r>
          <w:rPr>
            <w:rStyle w:val="Hyperlink"/>
          </w:rPr>
          <w:t xml:space="preserve">https://learn.microsoft.com/entra/identity/conditional-access/concept-condition-filters-for-devices</w:t>
        </w:r>
      </w:hyperlink>
      <w:r>
        <w:t xml:space="preserve"> </w:t>
      </w:r>
      <w:r>
        <w:t xml:space="preserve">(accessed Oct 20, 2026).</w:t>
      </w:r>
    </w:p>
  </w:footnote>
  <w:footnote w:id="28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286">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288">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28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290">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292">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hyperlink r:id="rId293">
        <w:r>
          <w:rPr>
            <w:rStyle w:val="Hyperlink"/>
          </w:rPr>
          <w:t xml:space="preserve">https://learn.microsoft.com/entra/identity/role-based-access-control/delegate-by-task</w:t>
        </w:r>
      </w:hyperlink>
      <w:r>
        <w:t xml:space="preserve"> </w:t>
      </w:r>
      <w:r>
        <w:t xml:space="preserve">(accessed Oct 20, 2026).</w:t>
      </w:r>
    </w:p>
  </w:footnote>
  <w:footnote w:id="294">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hyperlink r:id="rId293">
        <w:r>
          <w:rPr>
            <w:rStyle w:val="Hyperlink"/>
          </w:rPr>
          <w:t xml:space="preserve">https://learn.microsoft.com/entra/identity/role-based-access-control/delegate-by-task</w:t>
        </w:r>
      </w:hyperlink>
      <w:r>
        <w:t xml:space="preserve"> </w:t>
      </w:r>
      <w:r>
        <w:t xml:space="preserve">(accessed Oct 20, 2026).</w:t>
      </w:r>
    </w:p>
  </w:footnote>
  <w:footnote w:id="295">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296">
        <w:r>
          <w:rPr>
            <w:rStyle w:val="Hyperlink"/>
          </w:rPr>
          <w:t xml:space="preserve">https://learn.microsoft.com/entra/identity/enterprise-apps/grant-admin-consent</w:t>
        </w:r>
      </w:hyperlink>
      <w:r>
        <w:t xml:space="preserve"> </w:t>
      </w:r>
      <w:r>
        <w:t xml:space="preserve">(accessed Oct 20, 2026).</w:t>
      </w:r>
    </w:p>
  </w:footnote>
  <w:footnote w:id="299">
    <w:p>
      <w:pPr>
        <w:pStyle w:val="FootnoteText"/>
      </w:pPr>
      <w:r>
        <w:rPr>
          <w:rStyle w:val="FootnoteReference"/>
        </w:rPr>
        <w:footnoteRef/>
      </w:r>
      <w:r>
        <w:t xml:space="preserve"> </w:t>
      </w:r>
      <w:r>
        <w:t xml:space="preserve">Microsoft Learn,</w:t>
      </w:r>
      <w:r>
        <w:t xml:space="preserve"> </w:t>
      </w:r>
      <w:r>
        <w:t xml:space="preserve">“Enterprise access model,”</w:t>
      </w:r>
      <w:r>
        <w:t xml:space="preserve"> </w:t>
      </w:r>
      <w:hyperlink r:id="rId300">
        <w:r>
          <w:rPr>
            <w:rStyle w:val="Hyperlink"/>
          </w:rPr>
          <w:t xml:space="preserve">https://learn.microsoft.com/security/privileged-access-workstations/privileged-access-access-model</w:t>
        </w:r>
      </w:hyperlink>
      <w:r>
        <w:t xml:space="preserve"> </w:t>
      </w:r>
      <w:r>
        <w:t xml:space="preserve">(accessed Oct 20, 2026).</w:t>
      </w:r>
    </w:p>
  </w:footnote>
  <w:footnote w:id="301">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302">
    <w:p>
      <w:pPr>
        <w:pStyle w:val="FootnoteText"/>
      </w:pPr>
      <w:r>
        <w:rPr>
          <w:rStyle w:val="FootnoteReference"/>
        </w:rPr>
        <w:footnoteRef/>
      </w:r>
      <w:r>
        <w:t xml:space="preserve"> </w:t>
      </w:r>
      <w:r>
        <w:t xml:space="preserve">Microsoft Learn,</w:t>
      </w:r>
      <w:r>
        <w:t xml:space="preserve"> </w:t>
      </w:r>
      <w:r>
        <w:t xml:space="preserve">“Privileged access security levels,”</w:t>
      </w:r>
      <w:r>
        <w:t xml:space="preserve"> </w:t>
      </w:r>
      <w:hyperlink r:id="rId303">
        <w:r>
          <w:rPr>
            <w:rStyle w:val="Hyperlink"/>
          </w:rPr>
          <w:t xml:space="preserve">https://learn.microsoft.com/security/privileged-access-workstations/privileged-access-security-levels</w:t>
        </w:r>
      </w:hyperlink>
      <w:r>
        <w:t xml:space="preserve"> </w:t>
      </w:r>
      <w:r>
        <w:t xml:space="preserve">(accessed Oct 20, 2026).</w:t>
      </w:r>
    </w:p>
  </w:footnote>
  <w:footnote w:id="30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307">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30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316">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17">
        <w:r>
          <w:rPr>
            <w:rStyle w:val="Hyperlink"/>
          </w:rPr>
          <w:t xml:space="preserve">https://learn.microsoft.com/entra/identity/role-based-access-control/groups-concept</w:t>
        </w:r>
      </w:hyperlink>
      <w:r>
        <w:t xml:space="preserve"> </w:t>
      </w:r>
      <w:r>
        <w:t xml:space="preserve">(accessed Oct 20, 2026).</w:t>
      </w:r>
    </w:p>
  </w:footnote>
  <w:footnote w:id="319">
    <w:p>
      <w:pPr>
        <w:pStyle w:val="FootnoteText"/>
      </w:pPr>
      <w:r>
        <w:rPr>
          <w:rStyle w:val="FootnoteReference"/>
        </w:rPr>
        <w:footnoteRef/>
      </w:r>
      <w:r>
        <w:t xml:space="preserve"> </w:t>
      </w:r>
      <w:r>
        <w:t xml:space="preserve">Microsoft Learn,</w:t>
      </w:r>
      <w:r>
        <w:t xml:space="preserve"> </w:t>
      </w:r>
      <w:r>
        <w:t xml:space="preserve">“Assign privileged roles using PIM for Microsoft Entra roles APIs,”</w:t>
      </w:r>
      <w:r>
        <w:t xml:space="preserve"> </w:t>
      </w:r>
      <w:hyperlink r:id="rId320">
        <w:r>
          <w:rPr>
            <w:rStyle w:val="Hyperlink"/>
          </w:rPr>
          <w:t xml:space="preserve">https://learn.microsoft.com/graph/tutorial-assign-azureadroles</w:t>
        </w:r>
      </w:hyperlink>
      <w:r>
        <w:t xml:space="preserve"> </w:t>
      </w:r>
      <w:r>
        <w:t xml:space="preserve">(accessed Oct 20, 2026).</w:t>
      </w:r>
    </w:p>
  </w:footnote>
  <w:footnote w:id="32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22">
        <w:r>
          <w:rPr>
            <w:rStyle w:val="Hyperlink"/>
          </w:rPr>
          <w:t xml:space="preserve">https://learn.microsoft.com/entra/id-governance/privileged-identity-management/concept-pim-for-groups</w:t>
        </w:r>
      </w:hyperlink>
      <w:r>
        <w:t xml:space="preserve"> </w:t>
      </w:r>
      <w:r>
        <w:t xml:space="preserve">(accessed Oct 20, 2026).</w:t>
      </w:r>
    </w:p>
  </w:footnote>
  <w:footnote w:id="323">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22">
        <w:r>
          <w:rPr>
            <w:rStyle w:val="Hyperlink"/>
          </w:rPr>
          <w:t xml:space="preserve">https://learn.microsoft.com/entra/id-governance/privileged-identity-management/concept-pim-for-groups</w:t>
        </w:r>
      </w:hyperlink>
      <w:r>
        <w:t xml:space="preserve"> </w:t>
      </w:r>
      <w:r>
        <w:t xml:space="preserve">(accessed Oct 20, 2026).</w:t>
      </w:r>
    </w:p>
  </w:footnote>
  <w:footnote w:id="324">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17">
        <w:r>
          <w:rPr>
            <w:rStyle w:val="Hyperlink"/>
          </w:rPr>
          <w:t xml:space="preserve">https://learn.microsoft.com/entra/identity/role-based-access-control/groups-concept</w:t>
        </w:r>
      </w:hyperlink>
      <w:r>
        <w:t xml:space="preserve"> </w:t>
      </w:r>
      <w:r>
        <w:t xml:space="preserve">(accessed Oct 20, 2026).</w:t>
      </w:r>
    </w:p>
  </w:footnote>
  <w:footnote w:id="326">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22">
        <w:r>
          <w:rPr>
            <w:rStyle w:val="Hyperlink"/>
          </w:rPr>
          <w:t xml:space="preserve">https://learn.microsoft.com/entra/id-governance/privileged-identity-management/concept-pim-for-groups</w:t>
        </w:r>
      </w:hyperlink>
      <w:r>
        <w:t xml:space="preserve"> </w:t>
      </w:r>
      <w:r>
        <w:t xml:space="preserve">(accessed Oct 20, 2026).</w:t>
      </w:r>
    </w:p>
  </w:footnote>
  <w:footnote w:id="32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329">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22">
        <w:r>
          <w:rPr>
            <w:rStyle w:val="Hyperlink"/>
          </w:rPr>
          <w:t xml:space="preserve">https://learn.microsoft.com/entra/id-governance/privileged-identity-management/concept-pim-for-groups</w:t>
        </w:r>
      </w:hyperlink>
      <w:r>
        <w:t xml:space="preserve"> </w:t>
      </w:r>
      <w:r>
        <w:t xml:space="preserve">(accessed Oct 20, 2026).</w:t>
      </w:r>
    </w:p>
  </w:footnote>
  <w:footnote w:id="330">
    <w:p>
      <w:pPr>
        <w:pStyle w:val="FootnoteText"/>
      </w:pPr>
      <w:r>
        <w:rPr>
          <w:rStyle w:val="FootnoteReference"/>
        </w:rPr>
        <w:footnoteRef/>
      </w:r>
      <w:r>
        <w:t xml:space="preserve"> </w:t>
      </w:r>
      <w:r>
        <w:t xml:space="preserve">Microsoft Learn,</w:t>
      </w:r>
      <w:r>
        <w:t xml:space="preserve"> </w:t>
      </w:r>
      <w:r>
        <w:t xml:space="preserve">“Activate eligible Azure role assignments,”</w:t>
      </w:r>
      <w:r>
        <w:t xml:space="preserve"> </w:t>
      </w:r>
      <w:hyperlink r:id="rId331">
        <w:r>
          <w:rPr>
            <w:rStyle w:val="Hyperlink"/>
          </w:rPr>
          <w:t xml:space="preserve">https://learn.microsoft.com/azure/role-based-access-control/role-assignments-eligible-activate</w:t>
        </w:r>
      </w:hyperlink>
      <w:r>
        <w:t xml:space="preserve"> </w:t>
      </w:r>
      <w:r>
        <w:t xml:space="preserve">(accessed Oct 20, 2026).</w:t>
      </w:r>
    </w:p>
  </w:footnote>
  <w:footnote w:id="333">
    <w:p>
      <w:pPr>
        <w:pStyle w:val="FootnoteText"/>
      </w:pPr>
      <w:r>
        <w:rPr>
          <w:rStyle w:val="FootnoteReference"/>
        </w:rPr>
        <w:footnoteRef/>
      </w:r>
      <w:r>
        <w:t xml:space="preserve"> </w:t>
      </w:r>
      <w:r>
        <w:t xml:space="preserve">Microsoft Learn,</w:t>
      </w:r>
      <w:r>
        <w:t xml:space="preserve"> </w:t>
      </w:r>
      <w:r>
        <w:t xml:space="preserve">“Assign Microsoft Entra roles (Preview)”</w:t>
      </w:r>
      <w:r>
        <w:t xml:space="preserve"> </w:t>
      </w:r>
      <w:r>
        <w:t xml:space="preserve">(entitlement management),</w:t>
      </w:r>
      <w:r>
        <w:t xml:space="preserve"> </w:t>
      </w:r>
      <w:hyperlink r:id="rId334">
        <w:r>
          <w:rPr>
            <w:rStyle w:val="Hyperlink"/>
          </w:rPr>
          <w:t xml:space="preserve">https://learn.microsoft.com/entra/id-governance/entitlement-management-roles</w:t>
        </w:r>
      </w:hyperlink>
      <w:r>
        <w:t xml:space="preserve"> </w:t>
      </w:r>
      <w:r>
        <w:t xml:space="preserve">(accessed Oct 20, 2026).</w:t>
      </w:r>
    </w:p>
  </w:footnote>
  <w:footnote w:id="337">
    <w:p>
      <w:pPr>
        <w:pStyle w:val="FootnoteText"/>
      </w:pPr>
      <w:r>
        <w:rPr>
          <w:rStyle w:val="FootnoteReference"/>
        </w:rPr>
        <w:footnoteRef/>
      </w:r>
      <w:r>
        <w:t xml:space="preserve"> </w:t>
      </w:r>
      <w:r>
        <w:t xml:space="preserve">Microsoft Learn,</w:t>
      </w:r>
      <w:r>
        <w:t xml:space="preserve"> </w:t>
      </w:r>
      <w:r>
        <w:t xml:space="preserve">“Steps to assign an Azure role,”</w:t>
      </w:r>
      <w:r>
        <w:t xml:space="preserve"> </w:t>
      </w:r>
      <w:hyperlink r:id="rId338">
        <w:r>
          <w:rPr>
            <w:rStyle w:val="Hyperlink"/>
          </w:rPr>
          <w:t xml:space="preserve">https://learn.microsoft.com/azure/role-based-access-control/role-assignments-steps</w:t>
        </w:r>
      </w:hyperlink>
      <w:r>
        <w:t xml:space="preserve"> </w:t>
      </w:r>
      <w:r>
        <w:t xml:space="preserve">(accessed Oct 20, 2026).</w:t>
      </w:r>
    </w:p>
  </w:footnote>
  <w:footnote w:id="339">
    <w:p>
      <w:pPr>
        <w:pStyle w:val="FootnoteText"/>
      </w:pPr>
      <w:r>
        <w:rPr>
          <w:rStyle w:val="FootnoteReference"/>
        </w:rPr>
        <w:footnoteRef/>
      </w:r>
      <w:r>
        <w:t xml:space="preserve"> </w:t>
      </w:r>
      <w:r>
        <w:t xml:space="preserve">Microsoft Learn,</w:t>
      </w:r>
      <w:r>
        <w:t xml:space="preserve"> </w:t>
      </w:r>
      <w:r>
        <w:t xml:space="preserve">“Best practices for Azure RBAC,”</w:t>
      </w:r>
      <w:r>
        <w:t xml:space="preserve"> </w:t>
      </w:r>
      <w:hyperlink r:id="rId340">
        <w:r>
          <w:rPr>
            <w:rStyle w:val="Hyperlink"/>
          </w:rPr>
          <w:t xml:space="preserve">https://learn.microsoft.com/azure/role-based-access-control/best-practices</w:t>
        </w:r>
      </w:hyperlink>
      <w:r>
        <w:t xml:space="preserve"> </w:t>
      </w:r>
      <w:r>
        <w:t xml:space="preserve">(accessed Oct 20, 2026).</w:t>
      </w:r>
    </w:p>
  </w:footnote>
  <w:footnote w:id="341">
    <w:p>
      <w:pPr>
        <w:pStyle w:val="FootnoteText"/>
      </w:pPr>
      <w:r>
        <w:rPr>
          <w:rStyle w:val="FootnoteReference"/>
        </w:rPr>
        <w:footnoteRef/>
      </w:r>
      <w:r>
        <w:t xml:space="preserve"> </w:t>
      </w:r>
      <w:r>
        <w:t xml:space="preserve">Microsoft Learn,</w:t>
      </w:r>
      <w:r>
        <w:t xml:space="preserve"> </w:t>
      </w:r>
      <w:r>
        <w:t xml:space="preserve">“Activate eligible Azure role assignments,”</w:t>
      </w:r>
      <w:r>
        <w:t xml:space="preserve"> </w:t>
      </w:r>
      <w:hyperlink r:id="rId331">
        <w:r>
          <w:rPr>
            <w:rStyle w:val="Hyperlink"/>
          </w:rPr>
          <w:t xml:space="preserve">https://learn.microsoft.com/azure/role-based-access-control/role-assignments-eligible-activate</w:t>
        </w:r>
      </w:hyperlink>
      <w:r>
        <w:t xml:space="preserve"> </w:t>
      </w:r>
      <w:r>
        <w:t xml:space="preserve">(accessed Oct 20, 2026).</w:t>
      </w:r>
    </w:p>
  </w:footnote>
  <w:footnote w:id="342">
    <w:p>
      <w:pPr>
        <w:pStyle w:val="FootnoteText"/>
      </w:pPr>
      <w:r>
        <w:rPr>
          <w:rStyle w:val="FootnoteReference"/>
        </w:rPr>
        <w:footnoteRef/>
      </w:r>
      <w:r>
        <w:t xml:space="preserve"> </w:t>
      </w:r>
      <w:r>
        <w:t xml:space="preserve">Microsoft Learn,</w:t>
      </w:r>
      <w:r>
        <w:t xml:space="preserve"> </w:t>
      </w:r>
      <w:r>
        <w:t xml:space="preserve">“Elevate access to manage all Azure subscriptions and management groups,”</w:t>
      </w:r>
      <w:r>
        <w:t xml:space="preserve"> </w:t>
      </w:r>
      <w:hyperlink r:id="rId343">
        <w:r>
          <w:rPr>
            <w:rStyle w:val="Hyperlink"/>
          </w:rPr>
          <w:t xml:space="preserve">https://learn.microsoft.com/azure/role-based-access-control/elevate-access-global-admin</w:t>
        </w:r>
      </w:hyperlink>
      <w:r>
        <w:t xml:space="preserve"> </w:t>
      </w:r>
      <w:r>
        <w:t xml:space="preserve">(accessed Oct 20, 2026).</w:t>
      </w:r>
    </w:p>
  </w:footnote>
  <w:footnote w:id="344">
    <w:p>
      <w:pPr>
        <w:pStyle w:val="FootnoteText"/>
      </w:pPr>
      <w:r>
        <w:rPr>
          <w:rStyle w:val="FootnoteReference"/>
        </w:rPr>
        <w:footnoteRef/>
      </w:r>
      <w:r>
        <w:t xml:space="preserve"> </w:t>
      </w:r>
      <w:r>
        <w:t xml:space="preserve">Microsoft Learn,</w:t>
      </w:r>
      <w:r>
        <w:t xml:space="preserve"> </w:t>
      </w:r>
      <w:r>
        <w:t xml:space="preserve">“Sign in to a Linux virtual machine in Azure by using Microsoft Entra ID and OpenSSH,”</w:t>
      </w:r>
      <w:r>
        <w:t xml:space="preserve"> </w:t>
      </w:r>
      <w:r>
        <w:t xml:space="preserve">section</w:t>
      </w:r>
      <w:r>
        <w:t xml:space="preserve"> </w:t>
      </w:r>
      <w:r>
        <w:t xml:space="preserve">“Configure role assignments for the VM,”</w:t>
      </w:r>
      <w:r>
        <w:t xml:space="preserve"> </w:t>
      </w:r>
      <w:hyperlink r:id="rId345">
        <w:r>
          <w:rPr>
            <w:rStyle w:val="Hyperlink"/>
          </w:rPr>
          <w:t xml:space="preserve">https://learn.microsoft.com/entra/identity/devices/howto-vm-sign-in-azure-ad-linux</w:t>
        </w:r>
      </w:hyperlink>
      <w:r>
        <w:t xml:space="preserve"> </w:t>
      </w:r>
      <w:r>
        <w:t xml:space="preserve">(accessed Oct 20, 2026).</w:t>
      </w:r>
    </w:p>
  </w:footnote>
  <w:footnote w:id="347">
    <w:p>
      <w:pPr>
        <w:pStyle w:val="FootnoteText"/>
      </w:pPr>
      <w:r>
        <w:rPr>
          <w:rStyle w:val="FootnoteReference"/>
        </w:rPr>
        <w:footnoteRef/>
      </w:r>
      <w:r>
        <w:t xml:space="preserve"> </w:t>
      </w:r>
      <w:r>
        <w:t xml:space="preserve">Amazon Web Services,</w:t>
      </w:r>
      <w:r>
        <w:t xml:space="preserve"> </w:t>
      </w:r>
      <w:r>
        <w:t xml:space="preserve">“Manage AWS accounts with permission sets,”</w:t>
      </w:r>
      <w:r>
        <w:t xml:space="preserve"> </w:t>
      </w:r>
      <w:r>
        <w:rPr>
          <w:i/>
          <w:iCs/>
        </w:rPr>
        <w:t xml:space="preserve">AWS IAM Identity Center User Guide</w:t>
      </w:r>
      <w:r>
        <w:t xml:space="preserve">,</w:t>
      </w:r>
      <w:r>
        <w:t xml:space="preserve"> </w:t>
      </w:r>
      <w:hyperlink r:id="rId348">
        <w:r>
          <w:rPr>
            <w:rStyle w:val="Hyperlink"/>
          </w:rPr>
          <w:t xml:space="preserve">https://docs.aws.amazon.com/singlesignon/latest/userguide/permissionsetsconcept.html</w:t>
        </w:r>
      </w:hyperlink>
      <w:r>
        <w:t xml:space="preserve"> </w:t>
      </w:r>
      <w:r>
        <w:t xml:space="preserve">(accessed Oct 20, 2026).</w:t>
      </w:r>
    </w:p>
  </w:footnote>
  <w:footnote w:id="349">
    <w:p>
      <w:pPr>
        <w:pStyle w:val="FootnoteText"/>
      </w:pPr>
      <w:r>
        <w:rPr>
          <w:rStyle w:val="FootnoteReference"/>
        </w:rPr>
        <w:footnoteRef/>
      </w:r>
      <w:r>
        <w:t xml:space="preserve"> </w:t>
      </w:r>
      <w:r>
        <w:t xml:space="preserve">Amazon Web Services,</w:t>
      </w:r>
      <w:r>
        <w:t xml:space="preserve"> </w:t>
      </w:r>
      <w:r>
        <w:t xml:space="preserve">“Security best practices in IAM,”</w:t>
      </w:r>
      <w:r>
        <w:t xml:space="preserve"> </w:t>
      </w:r>
      <w:r>
        <w:rPr>
          <w:i/>
          <w:iCs/>
        </w:rPr>
        <w:t xml:space="preserve">AWS Identity and Access Management User Guide</w:t>
      </w:r>
      <w:r>
        <w:t xml:space="preserve">,</w:t>
      </w:r>
      <w:r>
        <w:t xml:space="preserve"> </w:t>
      </w:r>
      <w:hyperlink r:id="rId350">
        <w:r>
          <w:rPr>
            <w:rStyle w:val="Hyperlink"/>
          </w:rPr>
          <w:t xml:space="preserve">https://docs.aws.amazon.com/IAM/latest/UserGuide/best-practices.html</w:t>
        </w:r>
      </w:hyperlink>
      <w:r>
        <w:t xml:space="preserve"> </w:t>
      </w:r>
      <w:r>
        <w:t xml:space="preserve">(accessed Oct 20, 2026).</w:t>
      </w:r>
    </w:p>
  </w:footnote>
  <w:footnote w:id="351">
    <w:p>
      <w:pPr>
        <w:pStyle w:val="FootnoteText"/>
      </w:pPr>
      <w:r>
        <w:rPr>
          <w:rStyle w:val="FootnoteReference"/>
        </w:rPr>
        <w:footnoteRef/>
      </w:r>
      <w:r>
        <w:t xml:space="preserve"> </w:t>
      </w:r>
      <w:r>
        <w:t xml:space="preserve">Amazon Web Services,</w:t>
      </w:r>
      <w:r>
        <w:t xml:space="preserve"> </w:t>
      </w:r>
      <w:r>
        <w:t xml:space="preserve">“IAM Access Analyzer findings,”</w:t>
      </w:r>
      <w:r>
        <w:t xml:space="preserve"> </w:t>
      </w:r>
      <w:r>
        <w:rPr>
          <w:i/>
          <w:iCs/>
        </w:rPr>
        <w:t xml:space="preserve">AWS Identity and Access Management User Guide</w:t>
      </w:r>
      <w:r>
        <w:t xml:space="preserve">,</w:t>
      </w:r>
      <w:r>
        <w:t xml:space="preserve"> </w:t>
      </w:r>
      <w:hyperlink r:id="rId352">
        <w:r>
          <w:rPr>
            <w:rStyle w:val="Hyperlink"/>
          </w:rPr>
          <w:t xml:space="preserve">https://docs.aws.amazon.com/IAM/latest/UserGuide/access-analyzer-findings.html</w:t>
        </w:r>
      </w:hyperlink>
      <w:r>
        <w:t xml:space="preserve"> </w:t>
      </w:r>
      <w:r>
        <w:t xml:space="preserve">(accessed Oct 20, 2026).</w:t>
      </w:r>
    </w:p>
  </w:footnote>
  <w:footnote w:id="353">
    <w:p>
      <w:pPr>
        <w:pStyle w:val="FootnoteText"/>
      </w:pPr>
      <w:r>
        <w:rPr>
          <w:rStyle w:val="FootnoteReference"/>
        </w:rPr>
        <w:footnoteRef/>
      </w:r>
      <w:r>
        <w:t xml:space="preserve"> </w:t>
      </w:r>
      <w:r>
        <w:t xml:space="preserve">Amazon Web Services,</w:t>
      </w:r>
      <w:r>
        <w:t xml:space="preserve"> </w:t>
      </w:r>
      <w:r>
        <w:t xml:space="preserve">“Temporary elevated access for AWS accounts,”</w:t>
      </w:r>
      <w:r>
        <w:t xml:space="preserve"> </w:t>
      </w:r>
      <w:r>
        <w:rPr>
          <w:i/>
          <w:iCs/>
        </w:rPr>
        <w:t xml:space="preserve">AWS IAM Identity Center User Guide</w:t>
      </w:r>
      <w:r>
        <w:t xml:space="preserve">,</w:t>
      </w:r>
      <w:r>
        <w:t xml:space="preserve"> </w:t>
      </w:r>
      <w:hyperlink r:id="rId354">
        <w:r>
          <w:rPr>
            <w:rStyle w:val="Hyperlink"/>
          </w:rPr>
          <w:t xml:space="preserve">https://docs.aws.amazon.com/singlesignon/latest/userguide/temporary-elevated-access.html</w:t>
        </w:r>
      </w:hyperlink>
      <w:r>
        <w:t xml:space="preserve"> </w:t>
      </w:r>
      <w:r>
        <w:t xml:space="preserve">(accessed Oct 20, 2026).</w:t>
      </w:r>
    </w:p>
  </w:footnote>
  <w:footnote w:id="355">
    <w:p>
      <w:pPr>
        <w:pStyle w:val="FootnoteText"/>
      </w:pPr>
      <w:r>
        <w:rPr>
          <w:rStyle w:val="FootnoteReference"/>
        </w:rPr>
        <w:footnoteRef/>
      </w:r>
      <w:r>
        <w:t xml:space="preserve"> </w:t>
      </w:r>
      <w:r>
        <w:t xml:space="preserve">Amazon Web Services,</w:t>
      </w:r>
      <w:r>
        <w:t xml:space="preserve"> </w:t>
      </w:r>
      <w:r>
        <w:t xml:space="preserve">“iam-identity-center-team”</w:t>
      </w:r>
      <w:r>
        <w:t xml:space="preserve"> </w:t>
      </w:r>
      <w:r>
        <w:t xml:space="preserve">(aws-samples repository),</w:t>
      </w:r>
      <w:r>
        <w:t xml:space="preserve"> </w:t>
      </w:r>
      <w:hyperlink r:id="rId356">
        <w:r>
          <w:rPr>
            <w:rStyle w:val="Hyperlink"/>
          </w:rPr>
          <w:t xml:space="preserve">https://github.com/aws-samples/iam-identity-center-team</w:t>
        </w:r>
      </w:hyperlink>
      <w:r>
        <w:t xml:space="preserve"> </w:t>
      </w:r>
      <w:r>
        <w:t xml:space="preserve">(accessed Oct 20, 2026).</w:t>
      </w:r>
    </w:p>
  </w:footnote>
  <w:footnote w:id="358">
    <w:p>
      <w:pPr>
        <w:pStyle w:val="FootnoteText"/>
      </w:pPr>
      <w:r>
        <w:rPr>
          <w:rStyle w:val="FootnoteReference"/>
        </w:rPr>
        <w:footnoteRef/>
      </w:r>
      <w:r>
        <w:t xml:space="preserve"> </w:t>
      </w:r>
      <w:r>
        <w:t xml:space="preserve">Broadcom,</w:t>
      </w:r>
      <w:r>
        <w:t xml:space="preserve"> </w:t>
      </w:r>
      <w:r>
        <w:t xml:space="preserve">“Understanding Authorization in vSphere,”</w:t>
      </w:r>
      <w:r>
        <w:t xml:space="preserve"> </w:t>
      </w:r>
      <w:r>
        <w:rPr>
          <w:i/>
          <w:iCs/>
        </w:rPr>
        <w:t xml:space="preserve">vSphere Security</w:t>
      </w:r>
      <w:r>
        <w:t xml:space="preserve"> </w:t>
      </w:r>
      <w:r>
        <w:t xml:space="preserve">(vSphere 9.0),</w:t>
      </w:r>
      <w:r>
        <w:t xml:space="preserve"> </w:t>
      </w:r>
      <w:hyperlink r:id="rId359">
        <w:r>
          <w:rPr>
            <w:rStyle w:val="Hyperlink"/>
          </w:rPr>
          <w:t xml:space="preserve">https://techdocs.broadcom.com/us/en/vmware-cis/vsphere/vsphere/9-0/vsphere-security/vsphere-permissions-and-user-management-tasks/understanding-authorization-in-vsphere.html</w:t>
        </w:r>
      </w:hyperlink>
      <w:r>
        <w:t xml:space="preserve"> </w:t>
      </w:r>
      <w:r>
        <w:t xml:space="preserve">(accessed Oct 20, 2026).</w:t>
      </w:r>
    </w:p>
  </w:footnote>
  <w:footnote w:id="360">
    <w:p>
      <w:pPr>
        <w:pStyle w:val="FootnoteText"/>
      </w:pPr>
      <w:r>
        <w:rPr>
          <w:rStyle w:val="FootnoteReference"/>
        </w:rPr>
        <w:footnoteRef/>
      </w:r>
      <w:r>
        <w:t xml:space="preserve"> </w:t>
      </w:r>
      <w:r>
        <w:t xml:space="preserve">Broadcom,</w:t>
      </w:r>
      <w:r>
        <w:t xml:space="preserve"> </w:t>
      </w:r>
      <w:r>
        <w:t xml:space="preserve">“Configure vCenter Identity Provider Federation for Microsoft Entra ID,”</w:t>
      </w:r>
      <w:r>
        <w:t xml:space="preserve"> </w:t>
      </w:r>
      <w:r>
        <w:rPr>
          <w:i/>
          <w:iCs/>
        </w:rPr>
        <w:t xml:space="preserve">vSphere Authentication</w:t>
      </w:r>
      <w:r>
        <w:t xml:space="preserve"> </w:t>
      </w:r>
      <w:r>
        <w:t xml:space="preserve">(vSphere 9.0),</w:t>
      </w:r>
      <w:r>
        <w:t xml:space="preserve"> </w:t>
      </w:r>
      <w:hyperlink r:id="rId361">
        <w:r>
          <w:rPr>
            <w:rStyle w:val="Hyperlink"/>
          </w:rPr>
          <w:t xml:space="preserve">https://techdocs.broadcom.com/us/en/vmware-cis/vsphere/vsphere/9-0/vsphere-authentication/vsphere-authentication-with-vcenter-single-sign-on/configuring-vcenter-server-identity-provider-federation/configure-vcenter-server-identity-provider-federation-for-azure-ad.html</w:t>
        </w:r>
      </w:hyperlink>
      <w:r>
        <w:t xml:space="preserve"> </w:t>
      </w:r>
      <w:r>
        <w:t xml:space="preserve">(accessed Oct 20, 2026).</w:t>
      </w:r>
    </w:p>
  </w:footnote>
  <w:footnote w:id="364">
    <w:p>
      <w:pPr>
        <w:pStyle w:val="FootnoteText"/>
      </w:pPr>
      <w:r>
        <w:rPr>
          <w:rStyle w:val="FootnoteReference"/>
        </w:rPr>
        <w:footnoteRef/>
      </w:r>
      <w:r>
        <w:t xml:space="preserve"> </w:t>
      </w:r>
      <w:r>
        <w:t xml:space="preserve">Microsoft Learn,</w:t>
      </w:r>
      <w:r>
        <w:t xml:space="preserve"> </w:t>
      </w:r>
      <w:r>
        <w:t xml:space="preserve">“Securing devices as part of the privileged access story,”</w:t>
      </w:r>
      <w:r>
        <w:t xml:space="preserve"> </w:t>
      </w:r>
      <w:hyperlink r:id="rId365">
        <w:r>
          <w:rPr>
            <w:rStyle w:val="Hyperlink"/>
          </w:rPr>
          <w:t xml:space="preserve">https://learn.microsoft.com/security/privileged-access-workstations/privileged-access-devices</w:t>
        </w:r>
      </w:hyperlink>
      <w:r>
        <w:t xml:space="preserve"> </w:t>
      </w:r>
      <w:r>
        <w:t xml:space="preserve">(accessed Oct 20, 2026).</w:t>
      </w:r>
    </w:p>
  </w:footnote>
  <w:footnote w:id="366">
    <w:p>
      <w:pPr>
        <w:pStyle w:val="FootnoteText"/>
      </w:pPr>
      <w:r>
        <w:rPr>
          <w:rStyle w:val="FootnoteReference"/>
        </w:rPr>
        <w:footnoteRef/>
      </w:r>
      <w:r>
        <w:t xml:space="preserve"> </w:t>
      </w:r>
      <w:r>
        <w:t xml:space="preserve">Microsoft Learn,</w:t>
      </w:r>
      <w:r>
        <w:t xml:space="preserve"> </w:t>
      </w:r>
      <w:r>
        <w:t xml:space="preserve">“Privileged access deployment,”</w:t>
      </w:r>
      <w:r>
        <w:t xml:space="preserve"> </w:t>
      </w:r>
      <w:hyperlink r:id="rId367">
        <w:r>
          <w:rPr>
            <w:rStyle w:val="Hyperlink"/>
          </w:rPr>
          <w:t xml:space="preserve">https://learn.microsoft.com/security/privileged-access-workstations/privileged-access-deployment</w:t>
        </w:r>
      </w:hyperlink>
      <w:r>
        <w:t xml:space="preserve"> </w:t>
      </w:r>
      <w:r>
        <w:t xml:space="preserve">(accessed Oct 20, 2026).</w:t>
      </w:r>
    </w:p>
  </w:footnote>
  <w:footnote w:id="369">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370">
        <w:r>
          <w:rPr>
            <w:rStyle w:val="Hyperlink"/>
          </w:rPr>
          <w:t xml:space="preserve">https://learn.microsoft.com/entra/identity/role-based-access-control/security-emergency-access</w:t>
        </w:r>
      </w:hyperlink>
      <w:r>
        <w:t xml:space="preserve"> </w:t>
      </w:r>
      <w:r>
        <w:t xml:space="preserve">(accessed Oct 20, 2026).</w:t>
      </w:r>
    </w:p>
  </w:footnote>
  <w:footnote w:id="371">
    <w:p>
      <w:pPr>
        <w:pStyle w:val="FootnoteText"/>
      </w:pPr>
      <w:r>
        <w:rPr>
          <w:rStyle w:val="FootnoteReference"/>
        </w:rPr>
        <w:footnoteRef/>
      </w:r>
      <w:r>
        <w:t xml:space="preserve"> </w:t>
      </w:r>
      <w:r>
        <w:t xml:space="preserve">Microsoft Learn,</w:t>
      </w:r>
      <w:r>
        <w:t xml:space="preserve"> </w:t>
      </w:r>
      <w:r>
        <w:t xml:space="preserve">“Mandatory multifactor authentication for Azure and admin portals,”</w:t>
      </w:r>
      <w:r>
        <w:t xml:space="preserve"> </w:t>
      </w:r>
      <w:hyperlink r:id="rId372">
        <w:r>
          <w:rPr>
            <w:rStyle w:val="Hyperlink"/>
          </w:rPr>
          <w:t xml:space="preserve">https://learn.microsoft.com/entra/identity/authentication/concept-mandatory-multifactor-authentication</w:t>
        </w:r>
      </w:hyperlink>
      <w:r>
        <w:t xml:space="preserve"> </w:t>
      </w:r>
      <w:r>
        <w:t xml:space="preserve">(accessed Oct 20, 2026).</w:t>
      </w:r>
    </w:p>
  </w:footnote>
  <w:footnote w:id="374">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79">
        <w:r>
          <w:rPr>
            <w:rStyle w:val="Hyperlink"/>
          </w:rPr>
          <w:t xml:space="preserve">https://csrc.nist.gov/pubs/sp/800/53/r5/upd1/final</w:t>
        </w:r>
      </w:hyperlink>
      <w:r>
        <w:t xml:space="preserve"> </w:t>
      </w:r>
      <w:r>
        <w:t xml:space="preserve">(accessed Oct 20, 2026).</w:t>
      </w:r>
    </w:p>
  </w:footnote>
  <w:footnote w:id="375">
    <w:p>
      <w:pPr>
        <w:pStyle w:val="FootnoteText"/>
      </w:pPr>
      <w:r>
        <w:rPr>
          <w:rStyle w:val="FootnoteReference"/>
        </w:rPr>
        <w:footnoteRef/>
      </w:r>
      <w:r>
        <w:t xml:space="preserve"> </w:t>
      </w:r>
      <w:r>
        <w:t xml:space="preserve">National Institute of Standards and Technology, SP 800-53B Moderate baseline, OSCAL profile, release 5.2.0,</w:t>
      </w:r>
      <w:r>
        <w:t xml:space="preserve"> </w:t>
      </w:r>
      <w:hyperlink r:id="rId376">
        <w:r>
          <w:rPr>
            <w:rStyle w:val="Hyperlink"/>
          </w:rPr>
          <w:t xml:space="preserve">https://github.com/usnistgov/oscal-content/blob/main/nist.gov/SP800-53/rev5/json/NIST_SP-800-53_rev5_MODERATE-baseline_profile.json</w:t>
        </w:r>
      </w:hyperlink>
      <w:r>
        <w:t xml:space="preserve"> </w:t>
      </w:r>
      <w:r>
        <w:t xml:space="preserve">(accessed Oct 20, 2026).</w:t>
      </w:r>
    </w:p>
  </w:footnote>
  <w:footnote w:id="37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79">
        <w:r>
          <w:rPr>
            <w:rStyle w:val="Hyperlink"/>
          </w:rPr>
          <w:t xml:space="preserve">https://csrc.nist.gov/pubs/sp/800/53/r5/upd1/final</w:t>
        </w:r>
      </w:hyperlink>
      <w:r>
        <w:t xml:space="preserve"> </w:t>
      </w:r>
      <w:r>
        <w:t xml:space="preserve">(accessed Oct 20, 2026).</w:t>
      </w:r>
    </w:p>
  </w:footnote>
  <w:footnote w:id="378">
    <w:p>
      <w:pPr>
        <w:pStyle w:val="FootnoteText"/>
      </w:pPr>
      <w:r>
        <w:rPr>
          <w:rStyle w:val="FootnoteReference"/>
        </w:rPr>
        <w:footnoteRef/>
      </w:r>
      <w:r>
        <w:t xml:space="preserve"> </w:t>
      </w:r>
      <w:r>
        <w:t xml:space="preserve">National Institute of Standards and Technology, SP 800-53B Moderate baseline, OSCAL profile, release 5.2.0,</w:t>
      </w:r>
      <w:r>
        <w:t xml:space="preserve"> </w:t>
      </w:r>
      <w:hyperlink r:id="rId376">
        <w:r>
          <w:rPr>
            <w:rStyle w:val="Hyperlink"/>
          </w:rPr>
          <w:t xml:space="preserve">https://github.com/usnistgov/oscal-content/blob/main/nist.gov/SP800-53/rev5/json/NIST_SP-800-53_rev5_MODERATE-baseline_profile.json</w:t>
        </w:r>
      </w:hyperlink>
      <w:r>
        <w:t xml:space="preserve"> </w:t>
      </w:r>
      <w:r>
        <w:t xml:space="preserve">(accessed Oct 20, 2026).</w:t>
      </w:r>
    </w:p>
  </w:footnote>
  <w:footnote w:id="387">
    <w:p>
      <w:pPr>
        <w:pStyle w:val="FootnoteText"/>
      </w:pPr>
      <w:r>
        <w:rPr>
          <w:rStyle w:val="FootnoteReference"/>
        </w:rPr>
        <w:footnoteRef/>
      </w:r>
      <w:r>
        <w:t xml:space="preserve"> </w:t>
      </w:r>
      <w:r>
        <w:t xml:space="preserve">Microsoft Learn,</w:t>
      </w:r>
      <w:r>
        <w:t xml:space="preserve"> </w:t>
      </w:r>
      <w:r>
        <w:t xml:space="preserve">“Application and service principal objects in Microsoft Entra ID,”</w:t>
      </w:r>
      <w:r>
        <w:t xml:space="preserve"> </w:t>
      </w:r>
      <w:hyperlink r:id="rId388">
        <w:r>
          <w:rPr>
            <w:rStyle w:val="Hyperlink"/>
          </w:rPr>
          <w:t xml:space="preserve">https://learn.microsoft.com/entra/identity-platform/app-objects-and-service-principals</w:t>
        </w:r>
      </w:hyperlink>
      <w:r>
        <w:t xml:space="preserve"> </w:t>
      </w:r>
      <w:r>
        <w:t xml:space="preserve">(accessed Oct 20, 2026).</w:t>
      </w:r>
    </w:p>
  </w:footnote>
  <w:footnote w:id="389">
    <w:p>
      <w:pPr>
        <w:pStyle w:val="FootnoteText"/>
      </w:pPr>
      <w:r>
        <w:rPr>
          <w:rStyle w:val="FootnoteReference"/>
        </w:rPr>
        <w:footnoteRef/>
      </w:r>
      <w:r>
        <w:t xml:space="preserve"> </w:t>
      </w:r>
      <w:r>
        <w:t xml:space="preserve">Microsoft Learn,</w:t>
      </w:r>
      <w:r>
        <w:t xml:space="preserve"> </w:t>
      </w:r>
      <w:r>
        <w:t xml:space="preserve">“Application and service principal objects in Microsoft Entra ID,”</w:t>
      </w:r>
      <w:r>
        <w:t xml:space="preserve"> </w:t>
      </w:r>
      <w:hyperlink r:id="rId388">
        <w:r>
          <w:rPr>
            <w:rStyle w:val="Hyperlink"/>
          </w:rPr>
          <w:t xml:space="preserve">https://learn.microsoft.com/entra/identity-platform/app-objects-and-service-principals</w:t>
        </w:r>
      </w:hyperlink>
      <w:r>
        <w:t xml:space="preserve"> </w:t>
      </w:r>
      <w:r>
        <w:t xml:space="preserve">(accessed Oct 20, 2026).</w:t>
      </w:r>
    </w:p>
  </w:footnote>
  <w:footnote w:id="390">
    <w:p>
      <w:pPr>
        <w:pStyle w:val="FootnoteText"/>
      </w:pPr>
      <w:r>
        <w:rPr>
          <w:rStyle w:val="FootnoteReference"/>
        </w:rPr>
        <w:footnoteRef/>
      </w:r>
      <w:r>
        <w:t xml:space="preserve"> </w:t>
      </w:r>
      <w:r>
        <w:t xml:space="preserve">Microsoft Learn,</w:t>
      </w:r>
      <w:r>
        <w:t xml:space="preserve"> </w:t>
      </w:r>
      <w:r>
        <w:t xml:space="preserve">“Application and service principal objects in Microsoft Entra ID,”</w:t>
      </w:r>
      <w:r>
        <w:t xml:space="preserve"> </w:t>
      </w:r>
      <w:hyperlink r:id="rId388">
        <w:r>
          <w:rPr>
            <w:rStyle w:val="Hyperlink"/>
          </w:rPr>
          <w:t xml:space="preserve">https://learn.microsoft.com/entra/identity-platform/app-objects-and-service-principals</w:t>
        </w:r>
      </w:hyperlink>
      <w:r>
        <w:t xml:space="preserve"> </w:t>
      </w:r>
      <w:r>
        <w:t xml:space="preserve">(accessed Oct 20, 2026).</w:t>
      </w:r>
    </w:p>
  </w:footnote>
  <w:footnote w:id="391">
    <w:p>
      <w:pPr>
        <w:pStyle w:val="FootnoteText"/>
      </w:pPr>
      <w:r>
        <w:rPr>
          <w:rStyle w:val="FootnoteReference"/>
        </w:rPr>
        <w:footnoteRef/>
      </w:r>
      <w:r>
        <w:t xml:space="preserve"> </w:t>
      </w:r>
      <w:r>
        <w:t xml:space="preserve">Microsoft Learn,</w:t>
      </w:r>
      <w:r>
        <w:t xml:space="preserve"> </w:t>
      </w:r>
      <w:r>
        <w:t xml:space="preserve">“How and why applications are added to Microsoft Entra ID,”</w:t>
      </w:r>
      <w:r>
        <w:t xml:space="preserve"> </w:t>
      </w:r>
      <w:hyperlink r:id="rId392">
        <w:r>
          <w:rPr>
            <w:rStyle w:val="Hyperlink"/>
          </w:rPr>
          <w:t xml:space="preserve">https://learn.microsoft.com/entra/identity-platform/how-applications-are-added</w:t>
        </w:r>
      </w:hyperlink>
      <w:r>
        <w:t xml:space="preserve"> </w:t>
      </w:r>
      <w:r>
        <w:t xml:space="preserve">(accessed Oct 20, 2026).</w:t>
      </w:r>
    </w:p>
  </w:footnote>
  <w:footnote w:id="393">
    <w:p>
      <w:pPr>
        <w:pStyle w:val="FootnoteText"/>
      </w:pPr>
      <w:r>
        <w:rPr>
          <w:rStyle w:val="FootnoteReference"/>
        </w:rPr>
        <w:footnoteRef/>
      </w:r>
      <w:r>
        <w:t xml:space="preserve"> </w:t>
      </w:r>
      <w:r>
        <w:t xml:space="preserve">Microsoft Learn,</w:t>
      </w:r>
      <w:r>
        <w:t xml:space="preserve"> </w:t>
      </w:r>
      <w:r>
        <w:t xml:space="preserve">“Delegate app registration permissions in Microsoft Entra ID,”</w:t>
      </w:r>
      <w:r>
        <w:t xml:space="preserve"> </w:t>
      </w:r>
      <w:hyperlink r:id="rId394">
        <w:r>
          <w:rPr>
            <w:rStyle w:val="Hyperlink"/>
          </w:rPr>
          <w:t xml:space="preserve">https://learn.microsoft.com/entra/identity/role-based-access-control/delegate-app-roles</w:t>
        </w:r>
      </w:hyperlink>
      <w:r>
        <w:t xml:space="preserve"> </w:t>
      </w:r>
      <w:r>
        <w:t xml:space="preserve">(accessed Oct 20, 2026).</w:t>
      </w:r>
    </w:p>
  </w:footnote>
  <w:footnote w:id="395">
    <w:p>
      <w:pPr>
        <w:pStyle w:val="FootnoteText"/>
      </w:pPr>
      <w:r>
        <w:rPr>
          <w:rStyle w:val="FootnoteReference"/>
        </w:rPr>
        <w:footnoteRef/>
      </w:r>
      <w:r>
        <w:t xml:space="preserve"> </w:t>
      </w:r>
      <w:r>
        <w:t xml:space="preserve">Microsoft Learn,</w:t>
      </w:r>
      <w:r>
        <w:t xml:space="preserve"> </w:t>
      </w:r>
      <w:r>
        <w:t xml:space="preserve">“Create a custom role with permissions to create unlimited app registrations,”</w:t>
      </w:r>
      <w:r>
        <w:t xml:space="preserve"> </w:t>
      </w:r>
      <w:hyperlink r:id="rId396">
        <w:r>
          <w:rPr>
            <w:rStyle w:val="Hyperlink"/>
          </w:rPr>
          <w:t xml:space="preserve">https://learn.microsoft.com/entra/identity/role-based-access-control/quickstart-app-registration-limits</w:t>
        </w:r>
      </w:hyperlink>
      <w:r>
        <w:t xml:space="preserve"> </w:t>
      </w:r>
      <w:r>
        <w:t xml:space="preserve">(accessed Oct 20, 2026).</w:t>
      </w:r>
    </w:p>
  </w:footnote>
  <w:footnote w:id="399">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01">
    <w:p>
      <w:pPr>
        <w:pStyle w:val="FootnoteText"/>
      </w:pPr>
      <w:r>
        <w:rPr>
          <w:rStyle w:val="FootnoteReference"/>
        </w:rPr>
        <w:footnoteRef/>
      </w:r>
      <w:r>
        <w:t xml:space="preserve"> </w:t>
      </w:r>
      <w:r>
        <w:t xml:space="preserve">Microsoft Learn,</w:t>
      </w:r>
      <w:r>
        <w:t xml:space="preserve"> </w:t>
      </w:r>
      <w:r>
        <w:t xml:space="preserve">“Update an app’s requested permissions in Microsoft Entra ID,”</w:t>
      </w:r>
      <w:r>
        <w:t xml:space="preserve"> </w:t>
      </w:r>
      <w:hyperlink r:id="rId402">
        <w:r>
          <w:rPr>
            <w:rStyle w:val="Hyperlink"/>
          </w:rPr>
          <w:t xml:space="preserve">https://learn.microsoft.com/entra/identity-platform/howto-update-permissions</w:t>
        </w:r>
      </w:hyperlink>
      <w:r>
        <w:t xml:space="preserve"> </w:t>
      </w:r>
      <w:r>
        <w:t xml:space="preserve">(accessed Oct 20, 2026).</w:t>
      </w:r>
    </w:p>
  </w:footnote>
  <w:footnote w:id="403">
    <w:p>
      <w:pPr>
        <w:pStyle w:val="FootnoteText"/>
      </w:pPr>
      <w:r>
        <w:rPr>
          <w:rStyle w:val="FootnoteReference"/>
        </w:rPr>
        <w:footnoteRef/>
      </w:r>
      <w:r>
        <w:t xml:space="preserve"> </w:t>
      </w:r>
      <w:r>
        <w:t xml:space="preserve">Microsoft Learn,</w:t>
      </w:r>
      <w:r>
        <w:t xml:space="preserve"> </w:t>
      </w:r>
      <w:r>
        <w:t xml:space="preserve">“Microsoft Graph permissions reference,”</w:t>
      </w:r>
      <w:r>
        <w:t xml:space="preserve"> </w:t>
      </w:r>
      <w:r>
        <w:t xml:space="preserve">entries for</w:t>
      </w:r>
      <w:r>
        <w:t xml:space="preserve"> </w:t>
      </w:r>
      <w:r>
        <w:rPr>
          <w:rStyle w:val="VerbatimChar"/>
        </w:rPr>
        <w:t xml:space="preserve">Mail.ReadWrite</w:t>
      </w:r>
      <w:r>
        <w:t xml:space="preserve">,</w:t>
      </w:r>
      <w:r>
        <w:t xml:space="preserve"> </w:t>
      </w:r>
      <w:r>
        <w:rPr>
          <w:rStyle w:val="VerbatimChar"/>
        </w:rPr>
        <w:t xml:space="preserve">Mail.Read</w:t>
      </w:r>
      <w:r>
        <w:t xml:space="preserve"> </w:t>
      </w:r>
      <w:r>
        <w:t xml:space="preserve">and</w:t>
      </w:r>
      <w:r>
        <w:t xml:space="preserve"> </w:t>
      </w:r>
      <w:r>
        <w:rPr>
          <w:rStyle w:val="VerbatimChar"/>
        </w:rPr>
        <w:t xml:space="preserve">Mail.Send</w:t>
      </w:r>
      <w:r>
        <w:t xml:space="preserve">,</w:t>
      </w:r>
      <w:r>
        <w:t xml:space="preserve"> </w:t>
      </w:r>
      <w:hyperlink r:id="rId404">
        <w:r>
          <w:rPr>
            <w:rStyle w:val="Hyperlink"/>
          </w:rPr>
          <w:t xml:space="preserve">https://learn.microsoft.com/graph/permissions-reference</w:t>
        </w:r>
      </w:hyperlink>
      <w:r>
        <w:t xml:space="preserve"> </w:t>
      </w:r>
      <w:r>
        <w:t xml:space="preserve">(accessed Oct 20, 2026).</w:t>
      </w:r>
    </w:p>
  </w:footnote>
  <w:footnote w:id="405">
    <w:p>
      <w:pPr>
        <w:pStyle w:val="FootnoteText"/>
      </w:pPr>
      <w:r>
        <w:rPr>
          <w:rStyle w:val="FootnoteReference"/>
        </w:rPr>
        <w:footnoteRef/>
      </w:r>
      <w:r>
        <w:t xml:space="preserve"> </w:t>
      </w:r>
      <w:r>
        <w:t xml:space="preserve">Microsoft Learn,</w:t>
      </w:r>
      <w:r>
        <w:t xml:space="preserve"> </w:t>
      </w:r>
      <w:r>
        <w:t xml:space="preserve">“Microsoft Graph permissions reference,”</w:t>
      </w:r>
      <w:r>
        <w:t xml:space="preserve"> </w:t>
      </w:r>
      <w:r>
        <w:t xml:space="preserve">entries for</w:t>
      </w:r>
      <w:r>
        <w:t xml:space="preserve"> </w:t>
      </w:r>
      <w:r>
        <w:rPr>
          <w:rStyle w:val="VerbatimChar"/>
        </w:rPr>
        <w:t xml:space="preserve">Mail.ReadWrite</w:t>
      </w:r>
      <w:r>
        <w:t xml:space="preserve">,</w:t>
      </w:r>
      <w:r>
        <w:t xml:space="preserve"> </w:t>
      </w:r>
      <w:r>
        <w:rPr>
          <w:rStyle w:val="VerbatimChar"/>
        </w:rPr>
        <w:t xml:space="preserve">Mail.Read</w:t>
      </w:r>
      <w:r>
        <w:t xml:space="preserve"> </w:t>
      </w:r>
      <w:r>
        <w:t xml:space="preserve">and</w:t>
      </w:r>
      <w:r>
        <w:t xml:space="preserve"> </w:t>
      </w:r>
      <w:r>
        <w:rPr>
          <w:rStyle w:val="VerbatimChar"/>
        </w:rPr>
        <w:t xml:space="preserve">Mail.Send</w:t>
      </w:r>
      <w:r>
        <w:t xml:space="preserve">,</w:t>
      </w:r>
      <w:r>
        <w:t xml:space="preserve"> </w:t>
      </w:r>
      <w:hyperlink r:id="rId404">
        <w:r>
          <w:rPr>
            <w:rStyle w:val="Hyperlink"/>
          </w:rPr>
          <w:t xml:space="preserve">https://learn.microsoft.com/graph/permissions-reference</w:t>
        </w:r>
      </w:hyperlink>
      <w:r>
        <w:t xml:space="preserve"> </w:t>
      </w:r>
      <w:r>
        <w:t xml:space="preserve">(accessed Oct 20, 2026).</w:t>
      </w:r>
    </w:p>
  </w:footnote>
  <w:footnote w:id="406">
    <w:p>
      <w:pPr>
        <w:pStyle w:val="FootnoteText"/>
      </w:pPr>
      <w:r>
        <w:rPr>
          <w:rStyle w:val="FootnoteReference"/>
        </w:rPr>
        <w:footnoteRef/>
      </w:r>
      <w:r>
        <w:t xml:space="preserve"> </w:t>
      </w:r>
      <w:r>
        <w:t xml:space="preserve">Microsoft Learn,</w:t>
      </w:r>
      <w:r>
        <w:t xml:space="preserve"> </w:t>
      </w:r>
      <w:r>
        <w:t xml:space="preserve">“Configure permission classifications,”</w:t>
      </w:r>
      <w:r>
        <w:t xml:space="preserve"> </w:t>
      </w:r>
      <w:hyperlink r:id="rId407">
        <w:r>
          <w:rPr>
            <w:rStyle w:val="Hyperlink"/>
          </w:rPr>
          <w:t xml:space="preserve">https://learn.microsoft.com/entra/identity/enterprise-apps/configure-permission-classifications</w:t>
        </w:r>
      </w:hyperlink>
      <w:r>
        <w:t xml:space="preserve"> </w:t>
      </w:r>
      <w:r>
        <w:t xml:space="preserve">(accessed Oct 20, 2026).</w:t>
      </w:r>
    </w:p>
  </w:footnote>
  <w:footnote w:id="409">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10">
        <w:r>
          <w:rPr>
            <w:rStyle w:val="Hyperlink"/>
          </w:rPr>
          <w:t xml:space="preserve">https://learn.microsoft.com/entra/identity/enterprise-apps/user-admin-consent-overview</w:t>
        </w:r>
      </w:hyperlink>
      <w:r>
        <w:t xml:space="preserve"> </w:t>
      </w:r>
      <w:r>
        <w:t xml:space="preserve">(accessed Oct 20, 2026).</w:t>
      </w:r>
    </w:p>
  </w:footnote>
  <w:footnote w:id="411">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10">
        <w:r>
          <w:rPr>
            <w:rStyle w:val="Hyperlink"/>
          </w:rPr>
          <w:t xml:space="preserve">https://learn.microsoft.com/entra/identity/enterprise-apps/user-admin-consent-overview</w:t>
        </w:r>
      </w:hyperlink>
      <w:r>
        <w:t xml:space="preserve"> </w:t>
      </w:r>
      <w:r>
        <w:t xml:space="preserve">(accessed Oct 20, 2026).</w:t>
      </w:r>
    </w:p>
  </w:footnote>
  <w:footnote w:id="412">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13">
        <w:r>
          <w:rPr>
            <w:rStyle w:val="Hyperlink"/>
          </w:rPr>
          <w:t xml:space="preserve">https://learn.microsoft.com/entra/identity/enterprise-apps/configure-user-consent</w:t>
        </w:r>
      </w:hyperlink>
      <w:r>
        <w:t xml:space="preserve"> </w:t>
      </w:r>
      <w:r>
        <w:t xml:space="preserve">(accessed Oct 20, 2026).</w:t>
      </w:r>
    </w:p>
  </w:footnote>
  <w:footnote w:id="414">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13">
        <w:r>
          <w:rPr>
            <w:rStyle w:val="Hyperlink"/>
          </w:rPr>
          <w:t xml:space="preserve">https://learn.microsoft.com/entra/identity/enterprise-apps/configure-user-consent</w:t>
        </w:r>
      </w:hyperlink>
      <w:r>
        <w:t xml:space="preserve"> </w:t>
      </w:r>
      <w:r>
        <w:t xml:space="preserve">(accessed Oct 20, 2026).</w:t>
      </w:r>
    </w:p>
  </w:footnote>
  <w:footnote w:id="415">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13">
        <w:r>
          <w:rPr>
            <w:rStyle w:val="Hyperlink"/>
          </w:rPr>
          <w:t xml:space="preserve">https://learn.microsoft.com/entra/identity/enterprise-apps/configure-user-consent</w:t>
        </w:r>
      </w:hyperlink>
      <w:r>
        <w:t xml:space="preserve"> </w:t>
      </w:r>
      <w:r>
        <w:t xml:space="preserve">(accessed Oct 20, 2026).</w:t>
      </w:r>
    </w:p>
  </w:footnote>
  <w:footnote w:id="416">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13">
        <w:r>
          <w:rPr>
            <w:rStyle w:val="Hyperlink"/>
          </w:rPr>
          <w:t xml:space="preserve">https://learn.microsoft.com/entra/identity/enterprise-apps/configure-user-consent</w:t>
        </w:r>
      </w:hyperlink>
      <w:r>
        <w:t xml:space="preserve"> </w:t>
      </w:r>
      <w:r>
        <w:t xml:space="preserve">(accessed Oct 20, 2026).</w:t>
      </w:r>
    </w:p>
  </w:footnote>
  <w:footnote w:id="417">
    <w:p>
      <w:pPr>
        <w:pStyle w:val="FootnoteText"/>
      </w:pPr>
      <w:r>
        <w:rPr>
          <w:rStyle w:val="FootnoteReference"/>
        </w:rPr>
        <w:footnoteRef/>
      </w:r>
      <w:r>
        <w:t xml:space="preserve"> </w:t>
      </w:r>
      <w:r>
        <w:t xml:space="preserve">Microsoft Learn,</w:t>
      </w:r>
      <w:r>
        <w:t xml:space="preserve"> </w:t>
      </w:r>
      <w:r>
        <w:t xml:space="preserve">“Manage app consent policies,”</w:t>
      </w:r>
      <w:r>
        <w:t xml:space="preserve"> </w:t>
      </w:r>
      <w:r>
        <w:t xml:space="preserve">section</w:t>
      </w:r>
      <w:r>
        <w:t xml:space="preserve"> </w:t>
      </w:r>
      <w:r>
        <w:t xml:space="preserve">“Built-in consent policies,”</w:t>
      </w:r>
      <w:r>
        <w:t xml:space="preserve"> </w:t>
      </w:r>
      <w:hyperlink r:id="rId418">
        <w:r>
          <w:rPr>
            <w:rStyle w:val="Hyperlink"/>
          </w:rPr>
          <w:t xml:space="preserve">https://learn.microsoft.com/entra/identity/enterprise-apps/manage-app-consent-policies</w:t>
        </w:r>
      </w:hyperlink>
      <w:r>
        <w:t xml:space="preserve"> </w:t>
      </w:r>
      <w:r>
        <w:t xml:space="preserve">(accessed Oct 20, 2026).</w:t>
      </w:r>
    </w:p>
  </w:footnote>
  <w:footnote w:id="419">
    <w:p>
      <w:pPr>
        <w:pStyle w:val="FootnoteText"/>
      </w:pPr>
      <w:r>
        <w:rPr>
          <w:rStyle w:val="FootnoteReference"/>
        </w:rPr>
        <w:footnoteRef/>
      </w:r>
      <w:r>
        <w:t xml:space="preserve"> </w:t>
      </w:r>
      <w:r>
        <w:t xml:space="preserve">Microsoft Learn,</w:t>
      </w:r>
      <w:r>
        <w:t xml:space="preserve"> </w:t>
      </w:r>
      <w:r>
        <w:t xml:space="preserve">“Configure how users consent to applications,”</w:t>
      </w:r>
      <w:r>
        <w:t xml:space="preserve"> </w:t>
      </w:r>
      <w:hyperlink r:id="rId413">
        <w:r>
          <w:rPr>
            <w:rStyle w:val="Hyperlink"/>
          </w:rPr>
          <w:t xml:space="preserve">https://learn.microsoft.com/entra/identity/enterprise-apps/configure-user-consent</w:t>
        </w:r>
      </w:hyperlink>
      <w:r>
        <w:t xml:space="preserve"> </w:t>
      </w:r>
      <w:r>
        <w:t xml:space="preserve">(accessed Oct 20, 2026).</w:t>
      </w:r>
    </w:p>
  </w:footnote>
  <w:footnote w:id="421">
    <w:p>
      <w:pPr>
        <w:pStyle w:val="FootnoteText"/>
      </w:pPr>
      <w:r>
        <w:rPr>
          <w:rStyle w:val="FootnoteReference"/>
        </w:rPr>
        <w:footnoteRef/>
      </w:r>
      <w:r>
        <w:t xml:space="preserve"> </w:t>
      </w:r>
      <w:r>
        <w:t xml:space="preserve">Microsoft Learn,</w:t>
      </w:r>
      <w:r>
        <w:t xml:space="preserve"> </w:t>
      </w:r>
      <w:r>
        <w:t xml:space="preserve">“Configure permission classifications,”</w:t>
      </w:r>
      <w:r>
        <w:t xml:space="preserve"> </w:t>
      </w:r>
      <w:hyperlink r:id="rId407">
        <w:r>
          <w:rPr>
            <w:rStyle w:val="Hyperlink"/>
          </w:rPr>
          <w:t xml:space="preserve">https://learn.microsoft.com/entra/identity/enterprise-apps/configure-permission-classifications</w:t>
        </w:r>
      </w:hyperlink>
      <w:r>
        <w:t xml:space="preserve"> </w:t>
      </w:r>
      <w:r>
        <w:t xml:space="preserve">(accessed Oct 20, 2026).</w:t>
      </w:r>
    </w:p>
  </w:footnote>
  <w:footnote w:id="423">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10">
        <w:r>
          <w:rPr>
            <w:rStyle w:val="Hyperlink"/>
          </w:rPr>
          <w:t xml:space="preserve">https://learn.microsoft.com/entra/identity/enterprise-apps/user-admin-consent-overview</w:t>
        </w:r>
      </w:hyperlink>
      <w:r>
        <w:t xml:space="preserve"> </w:t>
      </w:r>
      <w:r>
        <w:t xml:space="preserve">(accessed Oct 20, 2026).</w:t>
      </w:r>
    </w:p>
  </w:footnote>
  <w:footnote w:id="424">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296">
        <w:r>
          <w:rPr>
            <w:rStyle w:val="Hyperlink"/>
          </w:rPr>
          <w:t xml:space="preserve">https://learn.microsoft.com/entra/identity/enterprise-apps/grant-admin-consent</w:t>
        </w:r>
      </w:hyperlink>
      <w:r>
        <w:t xml:space="preserve"> </w:t>
      </w:r>
      <w:r>
        <w:t xml:space="preserve">(accessed Oct 20, 2026).</w:t>
      </w:r>
    </w:p>
  </w:footnote>
  <w:footnote w:id="425">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426">
    <w:p>
      <w:pPr>
        <w:pStyle w:val="FootnoteText"/>
      </w:pPr>
      <w:r>
        <w:rPr>
          <w:rStyle w:val="FootnoteReference"/>
        </w:rPr>
        <w:footnoteRef/>
      </w:r>
      <w:r>
        <w:t xml:space="preserve"> </w:t>
      </w:r>
      <w:r>
        <w:t xml:space="preserve">Microsoft Learn,</w:t>
      </w:r>
      <w:r>
        <w:t xml:space="preserve"> </w:t>
      </w:r>
      <w:r>
        <w:t xml:space="preserve">“New-MgBetaOauth2PermissionGrant,”</w:t>
      </w:r>
      <w:r>
        <w:t xml:space="preserve"> </w:t>
      </w:r>
      <w:r>
        <w:t xml:space="preserve">parameter notes for</w:t>
      </w:r>
      <w:r>
        <w:t xml:space="preserve"> </w:t>
      </w:r>
      <w:r>
        <w:rPr>
          <w:rStyle w:val="VerbatimChar"/>
        </w:rPr>
        <w:t xml:space="preserve">ExpiryTime</w:t>
      </w:r>
      <w:r>
        <w:t xml:space="preserve"> </w:t>
      </w:r>
      <w:r>
        <w:t xml:space="preserve">and</w:t>
      </w:r>
      <w:r>
        <w:t xml:space="preserve"> </w:t>
      </w:r>
      <w:r>
        <w:rPr>
          <w:rStyle w:val="VerbatimChar"/>
        </w:rPr>
        <w:t xml:space="preserve">StartTime</w:t>
      </w:r>
      <w:r>
        <w:t xml:space="preserve">,</w:t>
      </w:r>
      <w:r>
        <w:t xml:space="preserve"> </w:t>
      </w:r>
      <w:hyperlink r:id="rId427">
        <w:r>
          <w:rPr>
            <w:rStyle w:val="Hyperlink"/>
          </w:rPr>
          <w:t xml:space="preserve">https://learn.microsoft.com/powershell/module/microsoft.graph.beta.identity.signins/new-mgbetaoauth2permissiongrant?view=graph-powershell-beta</w:t>
        </w:r>
      </w:hyperlink>
      <w:r>
        <w:t xml:space="preserve"> </w:t>
      </w:r>
      <w:r>
        <w:t xml:space="preserve">(accessed Oct 20, 2026).</w:t>
      </w:r>
    </w:p>
  </w:footnote>
  <w:footnote w:id="428">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296">
        <w:r>
          <w:rPr>
            <w:rStyle w:val="Hyperlink"/>
          </w:rPr>
          <w:t xml:space="preserve">https://learn.microsoft.com/entra/identity/enterprise-apps/grant-admin-consent</w:t>
        </w:r>
      </w:hyperlink>
      <w:r>
        <w:t xml:space="preserve"> </w:t>
      </w:r>
      <w:r>
        <w:t xml:space="preserve">(accessed Oct 20, 2026).</w:t>
      </w:r>
    </w:p>
  </w:footnote>
  <w:footnote w:id="429">
    <w:p>
      <w:pPr>
        <w:pStyle w:val="FootnoteText"/>
      </w:pPr>
      <w:r>
        <w:rPr>
          <w:rStyle w:val="FootnoteReference"/>
        </w:rPr>
        <w:footnoteRef/>
      </w:r>
      <w:r>
        <w:t xml:space="preserve"> </w:t>
      </w:r>
      <w:r>
        <w:t xml:space="preserve">Microsoft Learn,</w:t>
      </w:r>
      <w:r>
        <w:t xml:space="preserve"> </w:t>
      </w:r>
      <w:r>
        <w:t xml:space="preserve">“Delete oAuth2PermissionGrant (a delegated permission grant),”</w:t>
      </w:r>
      <w:r>
        <w:t xml:space="preserve"> </w:t>
      </w:r>
      <w:hyperlink r:id="rId430">
        <w:r>
          <w:rPr>
            <w:rStyle w:val="Hyperlink"/>
          </w:rPr>
          <w:t xml:space="preserve">https://learn.microsoft.com/graph/api/oauth2permissiongrant-delete?view=graph-rest-1.0</w:t>
        </w:r>
      </w:hyperlink>
      <w:r>
        <w:t xml:space="preserve"> </w:t>
      </w:r>
      <w:r>
        <w:t xml:space="preserve">(accessed Oct 20, 2026).</w:t>
      </w:r>
    </w:p>
  </w:footnote>
  <w:footnote w:id="431">
    <w:p>
      <w:pPr>
        <w:pStyle w:val="FootnoteText"/>
      </w:pPr>
      <w:r>
        <w:rPr>
          <w:rStyle w:val="FootnoteReference"/>
        </w:rPr>
        <w:footnoteRef/>
      </w:r>
      <w:r>
        <w:t xml:space="preserve"> </w:t>
      </w:r>
      <w:r>
        <w:t xml:space="preserve">Microsoft Learn,</w:t>
      </w:r>
      <w:r>
        <w:t xml:space="preserve"> </w:t>
      </w:r>
      <w:r>
        <w:t xml:space="preserve">“Review permissions granted to enterprise applications,”</w:t>
      </w:r>
      <w:r>
        <w:t xml:space="preserve"> </w:t>
      </w:r>
      <w:hyperlink r:id="rId432">
        <w:r>
          <w:rPr>
            <w:rStyle w:val="Hyperlink"/>
          </w:rPr>
          <w:t xml:space="preserve">https://learn.microsoft.com/entra/identity/enterprise-apps/manage-application-permissions</w:t>
        </w:r>
      </w:hyperlink>
      <w:r>
        <w:t xml:space="preserve"> </w:t>
      </w:r>
      <w:r>
        <w:t xml:space="preserve">(accessed Oct 20, 2026).</w:t>
      </w:r>
    </w:p>
  </w:footnote>
  <w:footnote w:id="433">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hyperlink r:id="rId296">
        <w:r>
          <w:rPr>
            <w:rStyle w:val="Hyperlink"/>
          </w:rPr>
          <w:t xml:space="preserve">https://learn.microsoft.com/entra/identity/enterprise-apps/grant-admin-consent</w:t>
        </w:r>
      </w:hyperlink>
      <w:r>
        <w:t xml:space="preserve"> </w:t>
      </w:r>
      <w:r>
        <w:t xml:space="preserve">(accessed Oct 20, 2026).</w:t>
      </w:r>
    </w:p>
  </w:footnote>
  <w:footnote w:id="435">
    <w:p>
      <w:pPr>
        <w:pStyle w:val="FootnoteText"/>
      </w:pPr>
      <w:r>
        <w:rPr>
          <w:rStyle w:val="FootnoteReference"/>
        </w:rPr>
        <w:footnoteRef/>
      </w:r>
      <w:r>
        <w:t xml:space="preserve"> </w:t>
      </w:r>
      <w:r>
        <w:t xml:space="preserve">Microsoft Learn,</w:t>
      </w:r>
      <w:r>
        <w:t xml:space="preserve"> </w:t>
      </w:r>
      <w:r>
        <w:t xml:space="preserve">“Overview of user and admin consent,”</w:t>
      </w:r>
      <w:r>
        <w:t xml:space="preserve"> </w:t>
      </w:r>
      <w:hyperlink r:id="rId410">
        <w:r>
          <w:rPr>
            <w:rStyle w:val="Hyperlink"/>
          </w:rPr>
          <w:t xml:space="preserve">https://learn.microsoft.com/entra/identity/enterprise-apps/user-admin-consent-overview</w:t>
        </w:r>
      </w:hyperlink>
      <w:r>
        <w:t xml:space="preserve"> </w:t>
      </w:r>
      <w:r>
        <w:t xml:space="preserve">(accessed Oct 20, 2026).</w:t>
      </w:r>
    </w:p>
  </w:footnote>
  <w:footnote w:id="436">
    <w:p>
      <w:pPr>
        <w:pStyle w:val="FootnoteText"/>
      </w:pPr>
      <w:r>
        <w:rPr>
          <w:rStyle w:val="FootnoteReference"/>
        </w:rPr>
        <w:footnoteRef/>
      </w:r>
      <w:r>
        <w:t xml:space="preserve"> </w:t>
      </w:r>
      <w:r>
        <w:t xml:space="preserve">Microsoft Learn,</w:t>
      </w:r>
      <w:r>
        <w:t xml:space="preserve"> </w:t>
      </w:r>
      <w:r>
        <w:t xml:space="preserve">“Configure the admin consent workflow,”</w:t>
      </w:r>
      <w:r>
        <w:t xml:space="preserve"> </w:t>
      </w:r>
      <w:hyperlink r:id="rId437">
        <w:r>
          <w:rPr>
            <w:rStyle w:val="Hyperlink"/>
          </w:rPr>
          <w:t xml:space="preserve">https://learn.microsoft.com/entra/identity/enterprise-apps/configure-admin-consent-workflow</w:t>
        </w:r>
      </w:hyperlink>
      <w:r>
        <w:t xml:space="preserve"> </w:t>
      </w:r>
      <w:r>
        <w:t xml:space="preserve">(accessed Oct 20, 2026).</w:t>
      </w:r>
    </w:p>
  </w:footnote>
  <w:footnote w:id="440">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442">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443">
    <w:p>
      <w:pPr>
        <w:pStyle w:val="FootnoteText"/>
      </w:pPr>
      <w:r>
        <w:rPr>
          <w:rStyle w:val="FootnoteReference"/>
        </w:rPr>
        <w:footnoteRef/>
      </w:r>
      <w:r>
        <w:t xml:space="preserve"> </w:t>
      </w:r>
      <w:r>
        <w:t xml:space="preserve">Microsoft Learn,</w:t>
      </w:r>
      <w:r>
        <w:t xml:space="preserve"> </w:t>
      </w:r>
      <w:r>
        <w:t xml:space="preserve">“Delegate app registration permissions in Microsoft Entra ID,”</w:t>
      </w:r>
      <w:r>
        <w:t xml:space="preserve"> </w:t>
      </w:r>
      <w:hyperlink r:id="rId394">
        <w:r>
          <w:rPr>
            <w:rStyle w:val="Hyperlink"/>
          </w:rPr>
          <w:t xml:space="preserve">https://learn.microsoft.com/entra/identity/role-based-access-control/delegate-app-roles</w:t>
        </w:r>
      </w:hyperlink>
      <w:r>
        <w:t xml:space="preserve"> </w:t>
      </w:r>
      <w:r>
        <w:t xml:space="preserve">(accessed Oct 20, 2026).</w:t>
      </w:r>
    </w:p>
  </w:footnote>
  <w:footnote w:id="444">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445">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446">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447">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448">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50">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51">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52">
    <w:p>
      <w:pPr>
        <w:pStyle w:val="FootnoteText"/>
      </w:pPr>
      <w:r>
        <w:rPr>
          <w:rStyle w:val="FootnoteReference"/>
        </w:rPr>
        <w:footnoteRef/>
      </w:r>
      <w:r>
        <w:t xml:space="preserve"> </w:t>
      </w:r>
      <w:r>
        <w:t xml:space="preserve">Microsoft Learn,</w:t>
      </w:r>
      <w:r>
        <w:t xml:space="preserve"> </w:t>
      </w:r>
      <w:r>
        <w:t xml:space="preserve">“Configure restrictions on how applications can be configured,”</w:t>
      </w:r>
      <w:r>
        <w:t xml:space="preserve"> </w:t>
      </w:r>
      <w:hyperlink r:id="rId453">
        <w:r>
          <w:rPr>
            <w:rStyle w:val="Hyperlink"/>
          </w:rPr>
          <w:t xml:space="preserve">https://learn.microsoft.com/entra/identity/enterprise-apps/configure-app-management-policies</w:t>
        </w:r>
      </w:hyperlink>
      <w:r>
        <w:t xml:space="preserve"> </w:t>
      </w:r>
      <w:r>
        <w:t xml:space="preserve">(accessed Oct 20, 2026).</w:t>
      </w:r>
    </w:p>
  </w:footnote>
  <w:footnote w:id="454">
    <w:p>
      <w:pPr>
        <w:pStyle w:val="FootnoteText"/>
      </w:pPr>
      <w:r>
        <w:rPr>
          <w:rStyle w:val="FootnoteReference"/>
        </w:rPr>
        <w:footnoteRef/>
      </w:r>
      <w:r>
        <w:t xml:space="preserve"> </w:t>
      </w:r>
      <w:r>
        <w:t xml:space="preserve">Microsoft Learn,</w:t>
      </w:r>
      <w:r>
        <w:t xml:space="preserve"> </w:t>
      </w:r>
      <w:r>
        <w:t xml:space="preserve">“Microsoft Entra application management policies API overview,”</w:t>
      </w:r>
      <w:r>
        <w:t xml:space="preserve"> </w:t>
      </w:r>
      <w:hyperlink r:id="rId455">
        <w:r>
          <w:rPr>
            <w:rStyle w:val="Hyperlink"/>
          </w:rPr>
          <w:t xml:space="preserve">https://learn.microsoft.com/graph/api/resources/applicationauthenticationmethodpolicy?view=graph-rest-1.0</w:t>
        </w:r>
      </w:hyperlink>
      <w:r>
        <w:t xml:space="preserve"> </w:t>
      </w:r>
      <w:r>
        <w:t xml:space="preserve">(accessed Oct 20, 2026).</w:t>
      </w:r>
    </w:p>
  </w:footnote>
  <w:footnote w:id="456">
    <w:p>
      <w:pPr>
        <w:pStyle w:val="FootnoteText"/>
      </w:pPr>
      <w:r>
        <w:rPr>
          <w:rStyle w:val="FootnoteReference"/>
        </w:rPr>
        <w:footnoteRef/>
      </w:r>
      <w:r>
        <w:t xml:space="preserve"> </w:t>
      </w:r>
      <w:r>
        <w:t xml:space="preserve">Microsoft Learn,</w:t>
      </w:r>
      <w:r>
        <w:t xml:space="preserve"> </w:t>
      </w:r>
      <w:r>
        <w:t xml:space="preserve">“Tutorial: Enforce secret and certificate standards using application management policies,”</w:t>
      </w:r>
      <w:r>
        <w:t xml:space="preserve"> </w:t>
      </w:r>
      <w:hyperlink r:id="rId457">
        <w:r>
          <w:rPr>
            <w:rStyle w:val="Hyperlink"/>
          </w:rPr>
          <w:t xml:space="preserve">https://learn.microsoft.com/entra/identity/enterprise-apps/tutorial-enforce-secret-standards</w:t>
        </w:r>
      </w:hyperlink>
      <w:r>
        <w:t xml:space="preserve"> </w:t>
      </w:r>
      <w:r>
        <w:t xml:space="preserve">(accessed Oct 20, 2026).</w:t>
      </w:r>
    </w:p>
  </w:footnote>
  <w:footnote w:id="458">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62">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63">
    <w:p>
      <w:pPr>
        <w:pStyle w:val="FootnoteText"/>
      </w:pPr>
      <w:r>
        <w:rPr>
          <w:rStyle w:val="FootnoteReference"/>
        </w:rPr>
        <w:footnoteRef/>
      </w:r>
      <w:r>
        <w:t xml:space="preserve"> </w:t>
      </w:r>
      <w:r>
        <w:t xml:space="preserve">Microsoft Learn,</w:t>
      </w:r>
      <w:r>
        <w:t xml:space="preserve"> </w:t>
      </w:r>
      <w:r>
        <w:t xml:space="preserve">“What are managed identities for Azure resources?,”</w:t>
      </w:r>
      <w:r>
        <w:t xml:space="preserve"> </w:t>
      </w:r>
      <w:hyperlink r:id="rId464">
        <w:r>
          <w:rPr>
            <w:rStyle w:val="Hyperlink"/>
          </w:rPr>
          <w:t xml:space="preserve">https://learn.microsoft.com/entra/identity/managed-identities-azure-resources/overview</w:t>
        </w:r>
      </w:hyperlink>
      <w:r>
        <w:t xml:space="preserve"> </w:t>
      </w:r>
      <w:r>
        <w:t xml:space="preserve">(accessed Oct 20, 2026).</w:t>
      </w:r>
    </w:p>
  </w:footnote>
  <w:footnote w:id="465">
    <w:p>
      <w:pPr>
        <w:pStyle w:val="FootnoteText"/>
      </w:pPr>
      <w:r>
        <w:rPr>
          <w:rStyle w:val="FootnoteReference"/>
        </w:rPr>
        <w:footnoteRef/>
      </w:r>
      <w:r>
        <w:t xml:space="preserve"> </w:t>
      </w:r>
      <w:r>
        <w:t xml:space="preserve">Microsoft Learn,</w:t>
      </w:r>
      <w:r>
        <w:t xml:space="preserve"> </w:t>
      </w:r>
      <w:r>
        <w:t xml:space="preserve">“Managed identity best practice recommendations,”</w:t>
      </w:r>
      <w:r>
        <w:t xml:space="preserve"> </w:t>
      </w:r>
      <w:hyperlink r:id="rId466">
        <w:r>
          <w:rPr>
            <w:rStyle w:val="Hyperlink"/>
          </w:rPr>
          <w:t xml:space="preserve">https://learn.microsoft.com/entra/identity/managed-identities-azure-resources/managed-identity-best-practice-recommendations</w:t>
        </w:r>
      </w:hyperlink>
      <w:r>
        <w:t xml:space="preserve"> </w:t>
      </w:r>
      <w:r>
        <w:t xml:space="preserve">(accessed Oct 20, 2026).</w:t>
      </w:r>
    </w:p>
  </w:footnote>
  <w:footnote w:id="467">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68">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470">
    <w:p>
      <w:pPr>
        <w:pStyle w:val="FootnoteText"/>
      </w:pPr>
      <w:r>
        <w:rPr>
          <w:rStyle w:val="FootnoteReference"/>
        </w:rPr>
        <w:footnoteRef/>
      </w:r>
      <w:r>
        <w:t xml:space="preserve"> </w:t>
      </w:r>
      <w:r>
        <w:t xml:space="preserve">Microsoft Learn,</w:t>
      </w:r>
      <w:r>
        <w:t xml:space="preserve"> </w:t>
      </w:r>
      <w:r>
        <w:t xml:space="preserve">“Workload identity federation concepts,”</w:t>
      </w:r>
      <w:r>
        <w:t xml:space="preserve"> </w:t>
      </w:r>
      <w:hyperlink r:id="rId471">
        <w:r>
          <w:rPr>
            <w:rStyle w:val="Hyperlink"/>
          </w:rPr>
          <w:t xml:space="preserve">https://learn.microsoft.com/entra/workload-id/workload-identity-federation</w:t>
        </w:r>
      </w:hyperlink>
      <w:r>
        <w:t xml:space="preserve"> </w:t>
      </w:r>
      <w:r>
        <w:t xml:space="preserve">(accessed Oct 20, 2026).</w:t>
      </w:r>
    </w:p>
  </w:footnote>
  <w:footnote w:id="472">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75">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476">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477">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478">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479">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80">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81">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82">
    <w:p>
      <w:pPr>
        <w:pStyle w:val="FootnoteText"/>
      </w:pPr>
      <w:r>
        <w:rPr>
          <w:rStyle w:val="FootnoteReference"/>
        </w:rPr>
        <w:footnoteRef/>
      </w:r>
      <w:r>
        <w:t xml:space="preserve"> </w:t>
      </w:r>
      <w:r>
        <w:t xml:space="preserve">Microsoft Learn,</w:t>
      </w:r>
      <w:r>
        <w:t xml:space="preserve"> </w:t>
      </w:r>
      <w:r>
        <w:t xml:space="preserve">“Frequently asked questions about Microsoft Entra Workload ID,”</w:t>
      </w:r>
      <w:r>
        <w:t xml:space="preserve"> </w:t>
      </w:r>
      <w:hyperlink r:id="rId459">
        <w:r>
          <w:rPr>
            <w:rStyle w:val="Hyperlink"/>
          </w:rPr>
          <w:t xml:space="preserve">https://learn.microsoft.com/entra/workload-id/workload-identities-faqs</w:t>
        </w:r>
      </w:hyperlink>
      <w:r>
        <w:t xml:space="preserve"> </w:t>
      </w:r>
      <w:r>
        <w:t xml:space="preserve">(accessed Oct 20, 2026).</w:t>
      </w:r>
    </w:p>
  </w:footnote>
  <w:footnote w:id="485">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86">
    <w:p>
      <w:pPr>
        <w:pStyle w:val="FootnoteText"/>
      </w:pPr>
      <w:r>
        <w:rPr>
          <w:rStyle w:val="FootnoteReference"/>
        </w:rPr>
        <w:footnoteRef/>
      </w:r>
      <w:r>
        <w:t xml:space="preserve"> </w:t>
      </w:r>
      <w:r>
        <w:t xml:space="preserve">Microsoft Learn,</w:t>
      </w:r>
      <w:r>
        <w:t xml:space="preserve"> </w:t>
      </w:r>
      <w:r>
        <w:t xml:space="preserve">“How to configure app instance property lock for your applications,”</w:t>
      </w:r>
      <w:r>
        <w:t xml:space="preserve"> </w:t>
      </w:r>
      <w:hyperlink r:id="rId487">
        <w:r>
          <w:rPr>
            <w:rStyle w:val="Hyperlink"/>
          </w:rPr>
          <w:t xml:space="preserve">https://learn.microsoft.com/entra/identity-platform/howto-configure-app-instance-property-locks</w:t>
        </w:r>
      </w:hyperlink>
      <w:r>
        <w:t xml:space="preserve"> </w:t>
      </w:r>
      <w:r>
        <w:t xml:space="preserve">(accessed Oct 20, 2026).</w:t>
      </w:r>
    </w:p>
  </w:footnote>
  <w:footnote w:id="488">
    <w:p>
      <w:pPr>
        <w:pStyle w:val="FootnoteText"/>
      </w:pPr>
      <w:r>
        <w:rPr>
          <w:rStyle w:val="FootnoteReference"/>
        </w:rPr>
        <w:footnoteRef/>
      </w:r>
      <w:r>
        <w:t xml:space="preserve"> </w:t>
      </w:r>
      <w:r>
        <w:t xml:space="preserve">Microsoft Learn,</w:t>
      </w:r>
      <w:r>
        <w:t xml:space="preserve"> </w:t>
      </w:r>
      <w:r>
        <w:t xml:space="preserve">“How to configure app instance property lock for your applications,”</w:t>
      </w:r>
      <w:r>
        <w:t xml:space="preserve"> </w:t>
      </w:r>
      <w:hyperlink r:id="rId487">
        <w:r>
          <w:rPr>
            <w:rStyle w:val="Hyperlink"/>
          </w:rPr>
          <w:t xml:space="preserve">https://learn.microsoft.com/entra/identity-platform/howto-configure-app-instance-property-locks</w:t>
        </w:r>
      </w:hyperlink>
      <w:r>
        <w:t xml:space="preserve"> </w:t>
      </w:r>
      <w:r>
        <w:t xml:space="preserve">(accessed Oct 20, 2026).</w:t>
      </w:r>
    </w:p>
  </w:footnote>
  <w:footnote w:id="489">
    <w:p>
      <w:pPr>
        <w:pStyle w:val="FootnoteText"/>
      </w:pPr>
      <w:r>
        <w:rPr>
          <w:rStyle w:val="FootnoteReference"/>
        </w:rPr>
        <w:footnoteRef/>
      </w:r>
      <w:r>
        <w:t xml:space="preserve"> </w:t>
      </w:r>
      <w:r>
        <w:t xml:space="preserve">Microsoft Learn,</w:t>
      </w:r>
      <w:r>
        <w:t xml:space="preserve"> </w:t>
      </w:r>
      <w:r>
        <w:t xml:space="preserve">“Security best practices for application properties in Microsoft Entra ID,”</w:t>
      </w:r>
      <w:r>
        <w:t xml:space="preserve"> </w:t>
      </w:r>
      <w:hyperlink r:id="rId400">
        <w:r>
          <w:rPr>
            <w:rStyle w:val="Hyperlink"/>
          </w:rPr>
          <w:t xml:space="preserve">https://learn.microsoft.com/entra/identity-platform/security-best-practices-for-app-registration</w:t>
        </w:r>
      </w:hyperlink>
      <w:r>
        <w:t xml:space="preserve"> </w:t>
      </w:r>
      <w:r>
        <w:t xml:space="preserve">(accessed Oct 20, 2026).</w:t>
      </w:r>
    </w:p>
  </w:footnote>
  <w:footnote w:id="495">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control AC-6, September 2020 (updated December 10, 2020),</w:t>
      </w:r>
      <w:r>
        <w:t xml:space="preserve"> </w:t>
      </w:r>
      <w:hyperlink r:id="rId79">
        <w:r>
          <w:rPr>
            <w:rStyle w:val="Hyperlink"/>
          </w:rPr>
          <w:t xml:space="preserve">https://csrc.nist.gov/pubs/sp/800/53/r5/upd1/final</w:t>
        </w:r>
      </w:hyperlink>
      <w:r>
        <w:t xml:space="preserve"> </w:t>
      </w:r>
      <w:r>
        <w:t xml:space="preserve">(accessed Oct 20, 2026).</w:t>
      </w:r>
    </w:p>
  </w:footnote>
  <w:footnote w:id="50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control AC-5, September 2020 (updated December 10, 2020),</w:t>
      </w:r>
      <w:r>
        <w:t xml:space="preserve"> </w:t>
      </w:r>
      <w:hyperlink r:id="rId79">
        <w:r>
          <w:rPr>
            <w:rStyle w:val="Hyperlink"/>
          </w:rPr>
          <w:t xml:space="preserve">https://csrc.nist.gov/pubs/sp/800/53/r5/upd1/final</w:t>
        </w:r>
      </w:hyperlink>
      <w:r>
        <w:t xml:space="preserve"> </w:t>
      </w:r>
      <w:r>
        <w:t xml:space="preserve">(accessed Oct 20, 2026).</w:t>
      </w:r>
    </w:p>
  </w:footnote>
  <w:footnote w:id="50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512">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513">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514">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r>
        <w:t xml:space="preserve">section</w:t>
      </w:r>
      <w:r>
        <w:t xml:space="preserve"> </w:t>
      </w:r>
      <w:r>
        <w:t xml:space="preserve">“Prerequisites,”</w:t>
      </w:r>
      <w:r>
        <w:t xml:space="preserve"> </w:t>
      </w:r>
      <w:hyperlink r:id="rId296">
        <w:r>
          <w:rPr>
            <w:rStyle w:val="Hyperlink"/>
          </w:rPr>
          <w:t xml:space="preserve">https://learn.microsoft.com/entra/identity/enterprise-apps/grant-admin-consent</w:t>
        </w:r>
      </w:hyperlink>
      <w:r>
        <w:t xml:space="preserve"> </w:t>
      </w:r>
      <w:r>
        <w:t xml:space="preserve">(accessed Oct 20, 2026).</w:t>
      </w:r>
    </w:p>
  </w:footnote>
  <w:footnote w:id="515">
    <w:p>
      <w:pPr>
        <w:pStyle w:val="FootnoteText"/>
      </w:pPr>
      <w:r>
        <w:rPr>
          <w:rStyle w:val="FootnoteReference"/>
        </w:rPr>
        <w:footnoteRef/>
      </w:r>
      <w:r>
        <w:t xml:space="preserve"> </w:t>
      </w:r>
      <w:r>
        <w:t xml:space="preserve">Microsoft Learn,</w:t>
      </w:r>
      <w:r>
        <w:t xml:space="preserve"> </w:t>
      </w:r>
      <w:r>
        <w:t xml:space="preserve">“Configure the admin consent workflow,”</w:t>
      </w:r>
      <w:r>
        <w:t xml:space="preserve"> </w:t>
      </w:r>
      <w:hyperlink r:id="rId437">
        <w:r>
          <w:rPr>
            <w:rStyle w:val="Hyperlink"/>
          </w:rPr>
          <w:t xml:space="preserve">https://learn.microsoft.com/entra/identity/enterprise-apps/configure-admin-consent-workflow</w:t>
        </w:r>
      </w:hyperlink>
      <w:r>
        <w:t xml:space="preserve"> </w:t>
      </w:r>
      <w:r>
        <w:t xml:space="preserve">(accessed Oct 20, 2026).</w:t>
      </w:r>
    </w:p>
  </w:footnote>
  <w:footnote w:id="516">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517">
    <w:p>
      <w:pPr>
        <w:pStyle w:val="FootnoteText"/>
      </w:pPr>
      <w:r>
        <w:rPr>
          <w:rStyle w:val="FootnoteReference"/>
        </w:rPr>
        <w:footnoteRef/>
      </w:r>
      <w:r>
        <w:t xml:space="preserve"> </w:t>
      </w:r>
      <w:r>
        <w:t xml:space="preserve">Microsoft Learn,</w:t>
      </w:r>
      <w:r>
        <w:t xml:space="preserve"> </w:t>
      </w:r>
      <w:r>
        <w:t xml:space="preserve">“Create custom roles to manage enterprise apps in Microsoft Entra ID,”</w:t>
      </w:r>
      <w:r>
        <w:t xml:space="preserve"> </w:t>
      </w:r>
      <w:hyperlink r:id="rId518">
        <w:r>
          <w:rPr>
            <w:rStyle w:val="Hyperlink"/>
          </w:rPr>
          <w:t xml:space="preserve">https://learn.microsoft.com/entra/identity/role-based-access-control/custom-enterprise-apps</w:t>
        </w:r>
      </w:hyperlink>
      <w:r>
        <w:t xml:space="preserve"> </w:t>
      </w:r>
      <w:r>
        <w:t xml:space="preserve">(accessed Oct 20, 2026).</w:t>
      </w:r>
    </w:p>
  </w:footnote>
  <w:footnote w:id="51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“Application Administrator”</w:t>
      </w:r>
      <w:r>
        <w:t xml:space="preserve"> </w:t>
      </w:r>
      <w:r>
        <w:t xml:space="preserve">and</w:t>
      </w:r>
      <w:r>
        <w:t xml:space="preserve"> </w:t>
      </w:r>
      <w:r>
        <w:t xml:space="preserve">“Cloud Application Administrator,”</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527">
    <w:p>
      <w:pPr>
        <w:pStyle w:val="FootnoteText"/>
      </w:pPr>
      <w:r>
        <w:rPr>
          <w:rStyle w:val="FootnoteReference"/>
        </w:rPr>
        <w:footnoteRef/>
      </w:r>
      <w:r>
        <w:t xml:space="preserve"> </w:t>
      </w:r>
      <w:r>
        <w:t xml:space="preserve">Microsoft Learn,</w:t>
      </w:r>
      <w:r>
        <w:t xml:space="preserve"> </w:t>
      </w:r>
      <w:r>
        <w:t xml:space="preserve">“Microsoft Graph permissions reference,”</w:t>
      </w:r>
      <w:r>
        <w:t xml:space="preserve"> </w:t>
      </w:r>
      <w:r>
        <w:t xml:space="preserve">entries for</w:t>
      </w:r>
      <w:r>
        <w:t xml:space="preserve"> </w:t>
      </w:r>
      <w:r>
        <w:rPr>
          <w:rStyle w:val="VerbatimChar"/>
        </w:rPr>
        <w:t xml:space="preserve">Mail.ReadWrite</w:t>
      </w:r>
      <w:r>
        <w:t xml:space="preserve"> </w:t>
      </w:r>
      <w:r>
        <w:t xml:space="preserve">and</w:t>
      </w:r>
      <w:r>
        <w:t xml:space="preserve"> </w:t>
      </w:r>
      <w:r>
        <w:rPr>
          <w:rStyle w:val="VerbatimChar"/>
        </w:rPr>
        <w:t xml:space="preserve">Mail.Send</w:t>
      </w:r>
      <w:r>
        <w:t xml:space="preserve">,</w:t>
      </w:r>
      <w:r>
        <w:t xml:space="preserve"> </w:t>
      </w:r>
      <w:hyperlink r:id="rId404">
        <w:r>
          <w:rPr>
            <w:rStyle w:val="Hyperlink"/>
          </w:rPr>
          <w:t xml:space="preserve">https://learn.microsoft.com/graph/permissions-reference</w:t>
        </w:r>
      </w:hyperlink>
      <w:r>
        <w:t xml:space="preserve"> </w:t>
      </w:r>
      <w:r>
        <w:t xml:space="preserve">(accessed Oct 20, 2026).</w:t>
      </w:r>
    </w:p>
  </w:footnote>
  <w:footnote w:id="528">
    <w:p>
      <w:pPr>
        <w:pStyle w:val="FootnoteText"/>
      </w:pPr>
      <w:r>
        <w:rPr>
          <w:rStyle w:val="FootnoteReference"/>
        </w:rPr>
        <w:footnoteRef/>
      </w:r>
      <w:r>
        <w:t xml:space="preserve"> </w:t>
      </w:r>
      <w:r>
        <w:t xml:space="preserve">Microsoft Learn,</w:t>
      </w:r>
      <w:r>
        <w:t xml:space="preserve"> </w:t>
      </w:r>
      <w:r>
        <w:t xml:space="preserve">“Grant tenant-wide admin consent to an application,”</w:t>
      </w:r>
      <w:r>
        <w:t xml:space="preserve"> </w:t>
      </w:r>
      <w:r>
        <w:t xml:space="preserve">section</w:t>
      </w:r>
      <w:r>
        <w:t xml:space="preserve"> </w:t>
      </w:r>
      <w:r>
        <w:t xml:space="preserve">“Prerequisites,”</w:t>
      </w:r>
      <w:r>
        <w:t xml:space="preserve"> </w:t>
      </w:r>
      <w:hyperlink r:id="rId296">
        <w:r>
          <w:rPr>
            <w:rStyle w:val="Hyperlink"/>
          </w:rPr>
          <w:t xml:space="preserve">https://learn.microsoft.com/entra/identity/enterprise-apps/grant-admin-consent</w:t>
        </w:r>
      </w:hyperlink>
      <w:r>
        <w:t xml:space="preserve"> </w:t>
      </w:r>
      <w:r>
        <w:t xml:space="preserve">(accessed Oct 20, 2026).</w:t>
      </w:r>
    </w:p>
  </w:footnote>
  <w:footnote w:id="529">
    <w:p>
      <w:pPr>
        <w:pStyle w:val="FootnoteText"/>
      </w:pPr>
      <w:r>
        <w:rPr>
          <w:rStyle w:val="FootnoteReference"/>
        </w:rPr>
        <w:footnoteRef/>
      </w:r>
      <w:r>
        <w:t xml:space="preserve"> </w:t>
      </w:r>
      <w:r>
        <w:t xml:space="preserve">Microsoft Learn,</w:t>
      </w:r>
      <w:r>
        <w:t xml:space="preserve"> </w:t>
      </w:r>
      <w:r>
        <w:t xml:space="preserve">“Review permissions granted to enterprise applications,”</w:t>
      </w:r>
      <w:r>
        <w:t xml:space="preserve"> </w:t>
      </w:r>
      <w:hyperlink r:id="rId432">
        <w:r>
          <w:rPr>
            <w:rStyle w:val="Hyperlink"/>
          </w:rPr>
          <w:t xml:space="preserve">https://learn.microsoft.com/entra/identity/enterprise-apps/manage-application-permissions</w:t>
        </w:r>
      </w:hyperlink>
      <w:r>
        <w:t xml:space="preserve"> </w:t>
      </w:r>
      <w:r>
        <w:t xml:space="preserve">(accessed Oct 20, 2026).</w:t>
      </w:r>
    </w:p>
  </w:footnote>
  <w:footnote w:id="532">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533">
        <w:r>
          <w:rPr>
            <w:rStyle w:val="Hyperlink"/>
          </w:rPr>
          <w:t xml:space="preserve">https://learn.microsoft.com/entra/identity/enterprise-apps/assign-user-or-group-access-portal</w:t>
        </w:r>
      </w:hyperlink>
      <w:r>
        <w:t xml:space="preserve"> </w:t>
      </w:r>
      <w:r>
        <w:t xml:space="preserve">(accessed Oct 20, 2026).</w:t>
      </w:r>
    </w:p>
  </w:footnote>
  <w:footnote w:id="534">
    <w:p>
      <w:pPr>
        <w:pStyle w:val="FootnoteText"/>
      </w:pPr>
      <w:r>
        <w:rPr>
          <w:rStyle w:val="FootnoteReference"/>
        </w:rPr>
        <w:footnoteRef/>
      </w:r>
      <w:r>
        <w:t xml:space="preserve"> </w:t>
      </w:r>
      <w:r>
        <w:t xml:space="preserve">Microsoft Learn,</w:t>
      </w:r>
      <w:r>
        <w:t xml:space="preserve"> </w:t>
      </w:r>
      <w:r>
        <w:t xml:space="preserve">“Use a group to manage access to SaaS applications,”</w:t>
      </w:r>
      <w:r>
        <w:t xml:space="preserve"> </w:t>
      </w:r>
      <w:hyperlink r:id="rId535">
        <w:r>
          <w:rPr>
            <w:rStyle w:val="Hyperlink"/>
          </w:rPr>
          <w:t xml:space="preserve">https://learn.microsoft.com/entra/identity/users/groups-saasapps</w:t>
        </w:r>
      </w:hyperlink>
      <w:r>
        <w:t xml:space="preserve"> </w:t>
      </w:r>
      <w:r>
        <w:t xml:space="preserve">(accessed Oct 20, 2026).</w:t>
      </w:r>
    </w:p>
  </w:footnote>
  <w:footnote w:id="536">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533">
        <w:r>
          <w:rPr>
            <w:rStyle w:val="Hyperlink"/>
          </w:rPr>
          <w:t xml:space="preserve">https://learn.microsoft.com/entra/identity/enterprise-apps/assign-user-or-group-access-portal</w:t>
        </w:r>
      </w:hyperlink>
      <w:r>
        <w:t xml:space="preserve"> </w:t>
      </w:r>
      <w:r>
        <w:t xml:space="preserve">(accessed Oct 20, 2026).</w:t>
      </w:r>
    </w:p>
  </w:footnote>
  <w:footnote w:id="537">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533">
        <w:r>
          <w:rPr>
            <w:rStyle w:val="Hyperlink"/>
          </w:rPr>
          <w:t xml:space="preserve">https://learn.microsoft.com/entra/identity/enterprise-apps/assign-user-or-group-access-portal</w:t>
        </w:r>
      </w:hyperlink>
      <w:r>
        <w:t xml:space="preserve"> </w:t>
      </w:r>
      <w:r>
        <w:t xml:space="preserve">(accessed Oct 20, 2026).</w:t>
      </w:r>
    </w:p>
  </w:footnote>
  <w:footnote w:id="542">
    <w:p>
      <w:pPr>
        <w:pStyle w:val="FootnoteText"/>
      </w:pPr>
      <w:r>
        <w:rPr>
          <w:rStyle w:val="FootnoteReference"/>
        </w:rPr>
        <w:footnoteRef/>
      </w:r>
      <w:r>
        <w:t xml:space="preserve"> </w:t>
      </w:r>
      <w:r>
        <w:t xml:space="preserve">Microsoft Learn,</w:t>
      </w:r>
      <w:r>
        <w:t xml:space="preserve"> </w:t>
      </w:r>
      <w:r>
        <w:t xml:space="preserve">“Overview of enterprise application ownership in Microsoft Entra ID,”</w:t>
      </w:r>
      <w:r>
        <w:t xml:space="preserve"> </w:t>
      </w:r>
      <w:hyperlink r:id="rId441">
        <w:r>
          <w:rPr>
            <w:rStyle w:val="Hyperlink"/>
          </w:rPr>
          <w:t xml:space="preserve">https://learn.microsoft.com/entra/identity/enterprise-apps/overview-assign-app-owners</w:t>
        </w:r>
      </w:hyperlink>
      <w:r>
        <w:t xml:space="preserve"> </w:t>
      </w:r>
      <w:r>
        <w:t xml:space="preserve">(accessed Oct 20, 2026).</w:t>
      </w:r>
    </w:p>
  </w:footnote>
  <w:footnote w:id="547">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557">
    <w:p>
      <w:pPr>
        <w:pStyle w:val="FootnoteText"/>
      </w:pPr>
      <w:r>
        <w:rPr>
          <w:rStyle w:val="FootnoteReference"/>
        </w:rPr>
        <w:footnoteRef/>
      </w:r>
      <w:r>
        <w:t xml:space="preserve"> </w:t>
      </w:r>
      <w:r>
        <w:t xml:space="preserve">Microsoft Learn,</w:t>
      </w:r>
      <w:r>
        <w:t xml:space="preserve"> </w:t>
      </w:r>
      <w:r>
        <w:t xml:space="preserve">“What is Conditional Access?: License requirements,”</w:t>
      </w:r>
      <w:r>
        <w:t xml:space="preserve"> </w:t>
      </w:r>
      <w:hyperlink r:id="rId141">
        <w:r>
          <w:rPr>
            <w:rStyle w:val="Hyperlink"/>
          </w:rPr>
          <w:t xml:space="preserve">https://learn.microsoft.com/entra/identity/conditional-access/overview#license-requirements</w:t>
        </w:r>
      </w:hyperlink>
      <w:r>
        <w:t xml:space="preserve"> </w:t>
      </w:r>
      <w:r>
        <w:t xml:space="preserve">(accessed Oct 20, 2026).</w:t>
      </w:r>
    </w:p>
  </w:footnote>
  <w:footnote w:id="558">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559">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194">
        <w:r>
          <w:rPr>
            <w:rStyle w:val="Hyperlink"/>
          </w:rPr>
          <w:t xml:space="preserve">https://learn.microsoft.com/entra/identity/conditional-access/migrate-approved-client-app</w:t>
        </w:r>
      </w:hyperlink>
      <w:r>
        <w:t xml:space="preserve"> </w:t>
      </w:r>
      <w:r>
        <w:t xml:space="preserve">(accessed Oct 20, 2026).</w:t>
      </w:r>
    </w:p>
  </w:footnote>
  <w:footnote w:id="561">
    <w:p>
      <w:pPr>
        <w:pStyle w:val="FootnoteText"/>
      </w:pPr>
      <w:r>
        <w:rPr>
          <w:rStyle w:val="FootnoteReference"/>
        </w:rPr>
        <w:footnoteRef/>
      </w:r>
      <w:r>
        <w:t xml:space="preserve"> </w:t>
      </w:r>
      <w:r>
        <w:t xml:space="preserve">Microsoft Learn,</w:t>
      </w:r>
      <w:r>
        <w:t xml:space="preserve"> </w:t>
      </w:r>
      <w:r>
        <w:t xml:space="preserve">“New-MgPolicyAuthenticationStrengthPolicy”</w:t>
      </w:r>
      <w:r>
        <w:t xml:space="preserve"> </w:t>
      </w:r>
      <w:r>
        <w:t xml:space="preserve">(Microsoft Graph PowerShell),</w:t>
      </w:r>
      <w:r>
        <w:t xml:space="preserve"> </w:t>
      </w:r>
      <w:hyperlink r:id="rId562">
        <w:r>
          <w:rPr>
            <w:rStyle w:val="Hyperlink"/>
          </w:rPr>
          <w:t xml:space="preserve">https://learn.microsoft.com/powershell/module/microsoft.graph.identity.signins/new-mgpolicyauthenticationstrengthpolicy?view=graph-powershell-1.0</w:t>
        </w:r>
      </w:hyperlink>
      <w:r>
        <w:t xml:space="preserve"> </w:t>
      </w:r>
      <w:r>
        <w:t xml:space="preserve">(accessed Oct 20, 2026).</w:t>
      </w:r>
    </w:p>
  </w:footnote>
  <w:footnote w:id="564">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178">
        <w:r>
          <w:rPr>
            <w:rStyle w:val="Hyperlink"/>
          </w:rPr>
          <w:t xml:space="preserve">https://learn.microsoft.com/entra/identity/conditional-access/concept-conditional-access-conditions</w:t>
        </w:r>
      </w:hyperlink>
      <w:r>
        <w:t xml:space="preserve"> </w:t>
      </w:r>
      <w:r>
        <w:t xml:space="preserve">(accessed Oct 20, 2026).</w:t>
      </w:r>
    </w:p>
  </w:footnote>
  <w:footnote w:id="565">
    <w:p>
      <w:pPr>
        <w:pStyle w:val="FootnoteText"/>
      </w:pPr>
      <w:r>
        <w:rPr>
          <w:rStyle w:val="FootnoteReference"/>
        </w:rPr>
        <w:footnoteRef/>
      </w:r>
      <w:r>
        <w:t xml:space="preserve"> </w:t>
      </w:r>
      <w:r>
        <w:t xml:space="preserve">Microsoft Learn,</w:t>
      </w:r>
      <w:r>
        <w:t xml:space="preserve"> </w:t>
      </w:r>
      <w:r>
        <w:t xml:space="preserve">“Block legacy authentication with Conditional Access,”</w:t>
      </w:r>
      <w:r>
        <w:t xml:space="preserve"> </w:t>
      </w:r>
      <w:hyperlink r:id="rId566">
        <w:r>
          <w:rPr>
            <w:rStyle w:val="Hyperlink"/>
          </w:rPr>
          <w:t xml:space="preserve">https://learn.microsoft.com/entra/identity/conditional-access/policy-block-legacy-authentication</w:t>
        </w:r>
      </w:hyperlink>
      <w:r>
        <w:t xml:space="preserve"> </w:t>
      </w:r>
      <w:r>
        <w:t xml:space="preserve">(accessed Oct 20, 2026).</w:t>
      </w:r>
    </w:p>
  </w:footnote>
  <w:footnote w:id="567">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568">
    <w:p>
      <w:pPr>
        <w:pStyle w:val="FootnoteText"/>
      </w:pPr>
      <w:r>
        <w:rPr>
          <w:rStyle w:val="FootnoteReference"/>
        </w:rPr>
        <w:footnoteRef/>
      </w:r>
      <w:r>
        <w:t xml:space="preserve"> </w:t>
      </w:r>
      <w:r>
        <w:t xml:space="preserve">Cybersecurity and Infrastructure Security Agency,</w:t>
      </w:r>
      <w:r>
        <w:t xml:space="preserve"> </w:t>
      </w:r>
      <w:r>
        <w:rPr>
          <w:i/>
          <w:iCs/>
        </w:rPr>
        <w:t xml:space="preserve">CISA M365 Secure Configuration Baseline for Microsoft Entra ID</w:t>
      </w:r>
      <w:r>
        <w:t xml:space="preserve"> </w:t>
      </w:r>
      <w:r>
        <w:t xml:space="preserve">(ScubaGear repository),</w:t>
      </w:r>
      <w:r>
        <w:t xml:space="preserve"> </w:t>
      </w:r>
      <w:hyperlink r:id="rId569">
        <w:r>
          <w:rPr>
            <w:rStyle w:val="Hyperlink"/>
          </w:rPr>
          <w:t xml:space="preserve">https://github.com/cisagov/ScubaGear/blob/main/PowerShell/ScubaGear/baselines/aad.md</w:t>
        </w:r>
      </w:hyperlink>
      <w:r>
        <w:t xml:space="preserve"> </w:t>
      </w:r>
      <w:r>
        <w:t xml:space="preserve">(accessed Oct 20, 2026).</w:t>
      </w:r>
    </w:p>
  </w:footnote>
  <w:footnote w:id="570">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571">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181">
        <w:r>
          <w:rPr>
            <w:rStyle w:val="Hyperlink"/>
          </w:rPr>
          <w:t xml:space="preserve">https://learn.microsoft.com/entra/identity/conditional-access/concept-authentication-flows</w:t>
        </w:r>
      </w:hyperlink>
      <w:r>
        <w:t xml:space="preserve"> </w:t>
      </w:r>
      <w:r>
        <w:t xml:space="preserve">(accessed Oct 20, 2026).</w:t>
      </w:r>
    </w:p>
  </w:footnote>
  <w:footnote w:id="573">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574">
    <w:p>
      <w:pPr>
        <w:pStyle w:val="FootnoteText"/>
      </w:pPr>
      <w:r>
        <w:rPr>
          <w:rStyle w:val="FootnoteReference"/>
        </w:rPr>
        <w:footnoteRef/>
      </w:r>
      <w:r>
        <w:t xml:space="preserve"> </w:t>
      </w:r>
      <w:r>
        <w:t xml:space="preserve">Cybersecurity and Infrastructure Security Agency,</w:t>
      </w:r>
      <w:r>
        <w:t xml:space="preserve"> </w:t>
      </w:r>
      <w:r>
        <w:rPr>
          <w:i/>
          <w:iCs/>
        </w:rPr>
        <w:t xml:space="preserve">CISA M365 Secure Configuration Baseline for Microsoft Entra ID</w:t>
      </w:r>
      <w:r>
        <w:t xml:space="preserve"> </w:t>
      </w:r>
      <w:r>
        <w:t xml:space="preserve">(ScubaGear repository),</w:t>
      </w:r>
      <w:r>
        <w:t xml:space="preserve"> </w:t>
      </w:r>
      <w:hyperlink r:id="rId569">
        <w:r>
          <w:rPr>
            <w:rStyle w:val="Hyperlink"/>
          </w:rPr>
          <w:t xml:space="preserve">https://github.com/cisagov/ScubaGear/blob/main/PowerShell/ScubaGear/baselines/aad.md</w:t>
        </w:r>
      </w:hyperlink>
      <w:r>
        <w:t xml:space="preserve"> </w:t>
      </w:r>
      <w:r>
        <w:t xml:space="preserve">(accessed Oct 20, 2026).</w:t>
      </w:r>
    </w:p>
  </w:footnote>
  <w:footnote w:id="575">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576">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577">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183">
        <w:r>
          <w:rPr>
            <w:rStyle w:val="Hyperlink"/>
          </w:rPr>
          <w:t xml:space="preserve">https://learn.microsoft.com/entra/identity/conditional-access/concept-condition-filters-for-devices</w:t>
        </w:r>
      </w:hyperlink>
      <w:r>
        <w:t xml:space="preserve"> </w:t>
      </w:r>
      <w:r>
        <w:t xml:space="preserve">(accessed Oct 20, 2026).</w:t>
      </w:r>
    </w:p>
  </w:footnote>
  <w:footnote w:id="578">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183">
        <w:r>
          <w:rPr>
            <w:rStyle w:val="Hyperlink"/>
          </w:rPr>
          <w:t xml:space="preserve">https://learn.microsoft.com/entra/identity/conditional-access/concept-condition-filters-for-devices</w:t>
        </w:r>
      </w:hyperlink>
      <w:r>
        <w:t xml:space="preserve"> </w:t>
      </w:r>
      <w:r>
        <w:t xml:space="preserve">(accessed Oct 20, 2026).</w:t>
      </w:r>
    </w:p>
  </w:footnote>
  <w:footnote w:id="579">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581">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582">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583">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584">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194">
        <w:r>
          <w:rPr>
            <w:rStyle w:val="Hyperlink"/>
          </w:rPr>
          <w:t xml:space="preserve">https://learn.microsoft.com/entra/identity/conditional-access/migrate-approved-client-app</w:t>
        </w:r>
      </w:hyperlink>
      <w:r>
        <w:t xml:space="preserve"> </w:t>
      </w:r>
      <w:r>
        <w:t xml:space="preserve">(accessed Oct 20, 2026).</w:t>
      </w:r>
    </w:p>
  </w:footnote>
  <w:footnote w:id="585">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586">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587">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589">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157">
        <w:r>
          <w:rPr>
            <w:rStyle w:val="Hyperlink"/>
          </w:rPr>
          <w:t xml:space="preserve">https://learn.microsoft.com/entra/identity/conditional-access/concept-conditional-access-grant</w:t>
        </w:r>
      </w:hyperlink>
      <w:r>
        <w:t xml:space="preserve"> </w:t>
      </w:r>
      <w:r>
        <w:t xml:space="preserve">(accessed Oct 20, 2026).</w:t>
      </w:r>
    </w:p>
  </w:footnote>
  <w:footnote w:id="590">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591">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592">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593">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594">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595">
    <w:p>
      <w:pPr>
        <w:pStyle w:val="FootnoteText"/>
      </w:pPr>
      <w:r>
        <w:rPr>
          <w:rStyle w:val="FootnoteReference"/>
        </w:rPr>
        <w:footnoteRef/>
      </w:r>
      <w:r>
        <w:t xml:space="preserve"> </w:t>
      </w:r>
      <w:r>
        <w:t xml:space="preserve">Microsoft Learn,</w:t>
      </w:r>
      <w:r>
        <w:t xml:space="preserve"> </w:t>
      </w:r>
      <w:r>
        <w:t xml:space="preserve">“Microsoft Entra recommendation: Protect your tenant with Insider Risk condition in Conditional Access policy,”</w:t>
      </w:r>
      <w:r>
        <w:t xml:space="preserve"> </w:t>
      </w:r>
      <w:hyperlink r:id="rId174">
        <w:r>
          <w:rPr>
            <w:rStyle w:val="Hyperlink"/>
          </w:rPr>
          <w:t xml:space="preserve">https://learn.microsoft.com/entra/identity/monitoring-health/recommendation-insider-risk-condition</w:t>
        </w:r>
      </w:hyperlink>
      <w:r>
        <w:t xml:space="preserve"> </w:t>
      </w:r>
      <w:r>
        <w:t xml:space="preserve">(accessed Oct 20, 2026).</w:t>
      </w:r>
    </w:p>
  </w:footnote>
  <w:footnote w:id="596">
    <w:p>
      <w:pPr>
        <w:pStyle w:val="FootnoteText"/>
      </w:pPr>
      <w:r>
        <w:rPr>
          <w:rStyle w:val="FootnoteReference"/>
        </w:rPr>
        <w:footnoteRef/>
      </w:r>
      <w:r>
        <w:t xml:space="preserve"> </w:t>
      </w:r>
      <w:r>
        <w:t xml:space="preserve">Microsoft Learn,</w:t>
      </w:r>
      <w:r>
        <w:t xml:space="preserve"> </w:t>
      </w:r>
      <w:r>
        <w:t xml:space="preserve">“Help dynamically mitigate risks with Adaptive Protection,”</w:t>
      </w:r>
      <w:r>
        <w:t xml:space="preserve"> </w:t>
      </w:r>
      <w:hyperlink r:id="rId597">
        <w:r>
          <w:rPr>
            <w:rStyle w:val="Hyperlink"/>
          </w:rPr>
          <w:t xml:space="preserve">https://learn.microsoft.com/purview/insider-risk-management-adaptive-protection</w:t>
        </w:r>
      </w:hyperlink>
      <w:r>
        <w:t xml:space="preserve"> </w:t>
      </w:r>
      <w:r>
        <w:t xml:space="preserve">(accessed Oct 20, 2026).</w:t>
      </w:r>
    </w:p>
  </w:footnote>
  <w:footnote w:id="598">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600">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601">
    <w:p>
      <w:pPr>
        <w:pStyle w:val="FootnoteText"/>
      </w:pPr>
      <w:r>
        <w:rPr>
          <w:rStyle w:val="FootnoteReference"/>
        </w:rPr>
        <w:footnoteRef/>
      </w:r>
      <w:r>
        <w:t xml:space="preserve"> </w:t>
      </w:r>
      <w:r>
        <w:t xml:space="preserve">Microsoft Learn,</w:t>
      </w:r>
      <w:r>
        <w:t xml:space="preserve"> </w:t>
      </w:r>
      <w:r>
        <w:t xml:space="preserve">“Plan a phishing-resistant passwordless authentication deployment in Microsoft Entra ID,”</w:t>
      </w:r>
      <w:r>
        <w:t xml:space="preserve"> </w:t>
      </w:r>
      <w:hyperlink r:id="rId602">
        <w:r>
          <w:rPr>
            <w:rStyle w:val="Hyperlink"/>
          </w:rPr>
          <w:t xml:space="preserve">https://learn.microsoft.com/entra/identity/authentication/how-to-deploy-phishing-resistant-passwordless-authentication</w:t>
        </w:r>
      </w:hyperlink>
      <w:r>
        <w:t xml:space="preserve"> </w:t>
      </w:r>
      <w:r>
        <w:t xml:space="preserve">(accessed Oct 20, 2026).</w:t>
      </w:r>
    </w:p>
  </w:footnote>
  <w:footnote w:id="603">
    <w:p>
      <w:pPr>
        <w:pStyle w:val="FootnoteText"/>
      </w:pPr>
      <w:r>
        <w:rPr>
          <w:rStyle w:val="FootnoteReference"/>
        </w:rPr>
        <w:footnoteRef/>
      </w:r>
      <w:r>
        <w:t xml:space="preserve"> </w:t>
      </w:r>
      <w:r>
        <w:t xml:space="preserve">Microsoft Learn,</w:t>
      </w:r>
      <w:r>
        <w:t xml:space="preserve"> </w:t>
      </w:r>
      <w:r>
        <w:t xml:space="preserve">“Plan a phishing-resistant passwordless authentication deployment in Microsoft Entra ID,”</w:t>
      </w:r>
      <w:r>
        <w:t xml:space="preserve"> </w:t>
      </w:r>
      <w:hyperlink r:id="rId602">
        <w:r>
          <w:rPr>
            <w:rStyle w:val="Hyperlink"/>
          </w:rPr>
          <w:t xml:space="preserve">https://learn.microsoft.com/entra/identity/authentication/how-to-deploy-phishing-resistant-passwordless-authentication</w:t>
        </w:r>
      </w:hyperlink>
      <w:r>
        <w:t xml:space="preserve"> </w:t>
      </w:r>
      <w:r>
        <w:t xml:space="preserve">(accessed Oct 20, 2026).</w:t>
      </w:r>
    </w:p>
  </w:footnote>
  <w:footnote w:id="604">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605">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218">
        <w:r>
          <w:rPr>
            <w:rStyle w:val="Hyperlink"/>
          </w:rPr>
          <w:t xml:space="preserve">https://learn.microsoft.com/graph/api/resources/conditionalaccesssessioncontrols?view=graph-rest-1.0</w:t>
        </w:r>
      </w:hyperlink>
      <w:r>
        <w:t xml:space="preserve"> </w:t>
      </w:r>
      <w:r>
        <w:t xml:space="preserve">(accessed Oct 20, 2026).</w:t>
      </w:r>
    </w:p>
  </w:footnote>
  <w:footnote w:id="606">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216">
        <w:r>
          <w:rPr>
            <w:rStyle w:val="Hyperlink"/>
          </w:rPr>
          <w:t xml:space="preserve">https://learn.microsoft.com/entra/identity/conditional-access/concept-conditional-access-session</w:t>
        </w:r>
      </w:hyperlink>
      <w:r>
        <w:t xml:space="preserve"> </w:t>
      </w:r>
      <w:r>
        <w:t xml:space="preserve">(accessed Oct 20, 2026).</w:t>
      </w:r>
    </w:p>
  </w:footnote>
  <w:footnote w:id="607">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183">
        <w:r>
          <w:rPr>
            <w:rStyle w:val="Hyperlink"/>
          </w:rPr>
          <w:t xml:space="preserve">https://learn.microsoft.com/entra/identity/conditional-access/concept-condition-filters-for-devices</w:t>
        </w:r>
      </w:hyperlink>
      <w:r>
        <w:t xml:space="preserve"> </w:t>
      </w:r>
      <w:r>
        <w:t xml:space="preserve">(accessed Oct 20, 2026).</w:t>
      </w:r>
    </w:p>
  </w:footnote>
  <w:footnote w:id="608">
    <w:p>
      <w:pPr>
        <w:pStyle w:val="FootnoteText"/>
      </w:pPr>
      <w:r>
        <w:rPr>
          <w:rStyle w:val="FootnoteReference"/>
        </w:rPr>
        <w:footnoteRef/>
      </w:r>
      <w:r>
        <w:t xml:space="preserve"> </w:t>
      </w:r>
      <w:r>
        <w:t xml:space="preserve">Microsoft Learn,</w:t>
      </w:r>
      <w:r>
        <w:t xml:space="preserve"> </w:t>
      </w:r>
      <w:r>
        <w:t xml:space="preserve">“Filter for applications in Conditional Access policy,”</w:t>
      </w:r>
      <w:r>
        <w:t xml:space="preserve"> </w:t>
      </w:r>
      <w:hyperlink r:id="rId165">
        <w:r>
          <w:rPr>
            <w:rStyle w:val="Hyperlink"/>
          </w:rPr>
          <w:t xml:space="preserve">https://learn.microsoft.com/entra/identity/conditional-access/concept-filter-for-applications</w:t>
        </w:r>
      </w:hyperlink>
      <w:r>
        <w:t xml:space="preserve"> </w:t>
      </w:r>
      <w:r>
        <w:t xml:space="preserve">(accessed Oct 20, 2026).</w:t>
      </w:r>
    </w:p>
  </w:footnote>
  <w:footnote w:id="609">
    <w:p>
      <w:pPr>
        <w:pStyle w:val="FootnoteText"/>
      </w:pPr>
      <w:r>
        <w:rPr>
          <w:rStyle w:val="FootnoteReference"/>
        </w:rPr>
        <w:footnoteRef/>
      </w:r>
      <w:r>
        <w:t xml:space="preserve"> </w:t>
      </w:r>
      <w:r>
        <w:t xml:space="preserve">Microsoft Learn,</w:t>
      </w:r>
      <w:r>
        <w:t xml:space="preserve"> </w:t>
      </w:r>
      <w:r>
        <w:t xml:space="preserve">“Properties of an enterprise application: Assignment required,”</w:t>
      </w:r>
      <w:r>
        <w:t xml:space="preserve"> </w:t>
      </w:r>
      <w:hyperlink r:id="rId244">
        <w:r>
          <w:rPr>
            <w:rStyle w:val="Hyperlink"/>
          </w:rPr>
          <w:t xml:space="preserve">https://learn.microsoft.com/entra/identity/enterprise-apps/application-properties</w:t>
        </w:r>
      </w:hyperlink>
      <w:r>
        <w:t xml:space="preserve"> </w:t>
      </w:r>
      <w:r>
        <w:t xml:space="preserve">(accessed Oct 20, 2026).</w:t>
      </w:r>
    </w:p>
  </w:footnote>
  <w:footnote w:id="612">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617">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618">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619">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620">
    <w:p>
      <w:pPr>
        <w:pStyle w:val="FootnoteText"/>
      </w:pPr>
      <w:r>
        <w:rPr>
          <w:rStyle w:val="FootnoteReference"/>
        </w:rPr>
        <w:footnoteRef/>
      </w:r>
      <w:r>
        <w:t xml:space="preserve"> </w:t>
      </w:r>
      <w:r>
        <w:t xml:space="preserve">Microsoft Learn,</w:t>
      </w:r>
      <w:r>
        <w:t xml:space="preserve"> </w:t>
      </w:r>
      <w:r>
        <w:t xml:space="preserve">“Troubleshoot sign-in problems with Conditional Access,”</w:t>
      </w:r>
      <w:r>
        <w:t xml:space="preserve"> </w:t>
      </w:r>
      <w:hyperlink r:id="rId621">
        <w:r>
          <w:rPr>
            <w:rStyle w:val="Hyperlink"/>
          </w:rPr>
          <w:t xml:space="preserve">https://learn.microsoft.com/entra/identity/conditional-access/troubleshoot-conditional-access</w:t>
        </w:r>
      </w:hyperlink>
      <w:r>
        <w:t xml:space="preserve"> </w:t>
      </w:r>
      <w:r>
        <w:t xml:space="preserve">(accessed Oct 20, 2026).</w:t>
      </w:r>
    </w:p>
  </w:footnote>
  <w:footnote w:id="624">
    <w:p>
      <w:pPr>
        <w:pStyle w:val="FootnoteText"/>
      </w:pPr>
      <w:r>
        <w:rPr>
          <w:rStyle w:val="FootnoteReference"/>
        </w:rPr>
        <w:footnoteRef/>
      </w:r>
      <w:r>
        <w:t xml:space="preserve"> </w:t>
      </w:r>
      <w:r>
        <w:t xml:space="preserve">Microsoft Learn,</w:t>
      </w:r>
      <w:r>
        <w:t xml:space="preserve"> </w:t>
      </w:r>
      <w:r>
        <w:t xml:space="preserve">“Azure Monitor Logs reference: SigninLogs,”</w:t>
      </w:r>
      <w:r>
        <w:t xml:space="preserve"> </w:t>
      </w:r>
      <w:hyperlink r:id="rId625">
        <w:r>
          <w:rPr>
            <w:rStyle w:val="Hyperlink"/>
          </w:rPr>
          <w:t xml:space="preserve">https://learn.microsoft.com/azure/azure-monitor/reference/tables/signinlogs</w:t>
        </w:r>
      </w:hyperlink>
      <w:r>
        <w:t xml:space="preserve"> </w:t>
      </w:r>
      <w:r>
        <w:t xml:space="preserve">(accessed Oct 20, 2026).</w:t>
      </w:r>
    </w:p>
  </w:footnote>
  <w:footnote w:id="626">
    <w:p>
      <w:pPr>
        <w:pStyle w:val="FootnoteText"/>
      </w:pPr>
      <w:r>
        <w:rPr>
          <w:rStyle w:val="FootnoteReference"/>
        </w:rPr>
        <w:footnoteRef/>
      </w:r>
      <w:r>
        <w:t xml:space="preserve"> </w:t>
      </w:r>
      <w:r>
        <w:t xml:space="preserve">Microsoft Learn,</w:t>
      </w:r>
      <w:r>
        <w:t xml:space="preserve"> </w:t>
      </w:r>
      <w:r>
        <w:t xml:space="preserve">“appliedConditionalAccessPolicy resource type”</w:t>
      </w:r>
      <w:r>
        <w:t xml:space="preserve"> </w:t>
      </w:r>
      <w:r>
        <w:t xml:space="preserve">(Microsoft Graph v1.0),</w:t>
      </w:r>
      <w:r>
        <w:t xml:space="preserve"> </w:t>
      </w:r>
      <w:hyperlink r:id="rId253">
        <w:r>
          <w:rPr>
            <w:rStyle w:val="Hyperlink"/>
          </w:rPr>
          <w:t xml:space="preserve">https://learn.microsoft.com/graph/api/resources/appliedconditionalaccesspolicy?view=graph-rest-1.0</w:t>
        </w:r>
      </w:hyperlink>
      <w:r>
        <w:t xml:space="preserve"> </w:t>
      </w:r>
      <w:r>
        <w:t xml:space="preserve">(accessed Oct 20, 2026).</w:t>
      </w:r>
    </w:p>
  </w:footnote>
  <w:footnote w:id="627">
    <w:p>
      <w:pPr>
        <w:pStyle w:val="FootnoteText"/>
      </w:pPr>
      <w:r>
        <w:rPr>
          <w:rStyle w:val="FootnoteReference"/>
        </w:rPr>
        <w:footnoteRef/>
      </w:r>
      <w:r>
        <w:t xml:space="preserve"> </w:t>
      </w:r>
      <w:r>
        <w:t xml:space="preserve">Microsoft Learn,</w:t>
      </w:r>
      <w:r>
        <w:t xml:space="preserve"> </w:t>
      </w:r>
      <w:r>
        <w:t xml:space="preserve">“Troubleshoot sign-in problems with Conditional Access,”</w:t>
      </w:r>
      <w:r>
        <w:t xml:space="preserve"> </w:t>
      </w:r>
      <w:hyperlink r:id="rId621">
        <w:r>
          <w:rPr>
            <w:rStyle w:val="Hyperlink"/>
          </w:rPr>
          <w:t xml:space="preserve">https://learn.microsoft.com/entra/identity/conditional-access/troubleshoot-conditional-access</w:t>
        </w:r>
      </w:hyperlink>
      <w:r>
        <w:t xml:space="preserve"> </w:t>
      </w:r>
      <w:r>
        <w:t xml:space="preserve">(accessed Oct 20, 2026).</w:t>
      </w:r>
    </w:p>
  </w:footnote>
  <w:footnote w:id="628">
    <w:p>
      <w:pPr>
        <w:pStyle w:val="FootnoteText"/>
      </w:pPr>
      <w:r>
        <w:rPr>
          <w:rStyle w:val="FootnoteReference"/>
        </w:rPr>
        <w:footnoteRef/>
      </w:r>
      <w:r>
        <w:t xml:space="preserve"> </w:t>
      </w:r>
      <w:r>
        <w:t xml:space="preserve">Microsoft Learn,</w:t>
      </w:r>
      <w:r>
        <w:t xml:space="preserve"> </w:t>
      </w:r>
      <w:r>
        <w:t xml:space="preserve">“Azure Monitor Logs reference: SigninLogs,”</w:t>
      </w:r>
      <w:r>
        <w:t xml:space="preserve"> </w:t>
      </w:r>
      <w:hyperlink r:id="rId625">
        <w:r>
          <w:rPr>
            <w:rStyle w:val="Hyperlink"/>
          </w:rPr>
          <w:t xml:space="preserve">https://learn.microsoft.com/azure/azure-monitor/reference/tables/signinlogs</w:t>
        </w:r>
      </w:hyperlink>
      <w:r>
        <w:t xml:space="preserve"> </w:t>
      </w:r>
      <w:r>
        <w:t xml:space="preserve">(accessed Oct 20, 2026).</w:t>
      </w:r>
    </w:p>
  </w:footnote>
  <w:footnote w:id="630">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631">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48">
        <w:r>
          <w:rPr>
            <w:rStyle w:val="Hyperlink"/>
          </w:rPr>
          <w:t xml:space="preserve">https://learn.microsoft.com/entra/identity/conditional-access/concept-conditional-access-report-only</w:t>
        </w:r>
      </w:hyperlink>
      <w:r>
        <w:t xml:space="preserve"> </w:t>
      </w:r>
      <w:r>
        <w:t xml:space="preserve">(accessed Oct 20, 2026).</w:t>
      </w:r>
    </w:p>
  </w:footnote>
  <w:footnote w:id="633">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134">
        <w:r>
          <w:rPr>
            <w:rStyle w:val="Hyperlink"/>
          </w:rPr>
          <w:t xml:space="preserve">https://learn.microsoft.com/entra/identity/conditional-access/plan-conditional-access</w:t>
        </w:r>
      </w:hyperlink>
      <w:r>
        <w:t xml:space="preserve"> </w:t>
      </w:r>
      <w:r>
        <w:t xml:space="preserve">(accessed Oct 20, 2026).</w:t>
      </w:r>
    </w:p>
  </w:footnote>
  <w:footnote w:id="636">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264">
        <w:r>
          <w:rPr>
            <w:rStyle w:val="Hyperlink"/>
          </w:rPr>
          <w:t xml:space="preserve">https://www.cisa.gov/news-events/directives/bod-25-01-implementing-secure-practices-cloud-services</w:t>
        </w:r>
      </w:hyperlink>
      <w:r>
        <w:t xml:space="preserve"> </w:t>
      </w:r>
      <w:r>
        <w:t xml:space="preserve">(accessed Oct 20, 2026).</w:t>
      </w:r>
    </w:p>
  </w:footnote>
  <w:footnote w:id="637">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266">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638">
    <w:p>
      <w:pPr>
        <w:pStyle w:val="FootnoteText"/>
      </w:pPr>
      <w:r>
        <w:rPr>
          <w:rStyle w:val="FootnoteReference"/>
        </w:rPr>
        <w:footnoteRef/>
      </w:r>
      <w:r>
        <w:t xml:space="preserve"> </w:t>
      </w:r>
      <w:r>
        <w:t xml:space="preserve">Cybersecurity and Infrastructure Security Agency,</w:t>
      </w:r>
      <w:r>
        <w:t xml:space="preserve"> </w:t>
      </w:r>
      <w:r>
        <w:rPr>
          <w:i/>
          <w:iCs/>
        </w:rPr>
        <w:t xml:space="preserve">CISA M365 Secure Configuration Baseline for Microsoft Entra ID</w:t>
      </w:r>
      <w:r>
        <w:t xml:space="preserve"> </w:t>
      </w:r>
      <w:r>
        <w:t xml:space="preserve">(ScubaGear repository),</w:t>
      </w:r>
      <w:r>
        <w:t xml:space="preserve"> </w:t>
      </w:r>
      <w:hyperlink r:id="rId569">
        <w:r>
          <w:rPr>
            <w:rStyle w:val="Hyperlink"/>
          </w:rPr>
          <w:t xml:space="preserve">https://github.com/cisagov/ScubaGear/blob/main/PowerShell/ScubaGear/baselines/aad.md</w:t>
        </w:r>
      </w:hyperlink>
      <w:r>
        <w:t xml:space="preserve"> </w:t>
      </w:r>
      <w:r>
        <w:t xml:space="preserve">(accessed Oct 20, 2026).</w:t>
      </w:r>
    </w:p>
  </w:footnote>
  <w:footnote w:id="640">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w:t>
      </w:r>
      <w:r>
        <w:t xml:space="preserve"> </w:t>
      </w:r>
      <w:hyperlink r:id="rId641">
        <w:r>
          <w:rPr>
            <w:rStyle w:val="Hyperlink"/>
          </w:rPr>
          <w:t xml:space="preserve">https://fedramp.gov/2026/reference/controls/access-control/</w:t>
        </w:r>
      </w:hyperlink>
      <w:r>
        <w:t xml:space="preserve"> </w:t>
      </w:r>
      <w:r>
        <w:t xml:space="preserve">(accessed Oct 20, 2026).</w:t>
      </w:r>
    </w:p>
  </w:footnote>
  <w:footnote w:id="642">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w:t>
      </w:r>
      <w:r>
        <w:t xml:space="preserve"> </w:t>
      </w:r>
      <w:hyperlink r:id="rId643">
        <w:r>
          <w:rPr>
            <w:rStyle w:val="Hyperlink"/>
          </w:rPr>
          <w:t xml:space="preserve">https://fedramp.gov/2026/reference/controls/identification-and-authentication/</w:t>
        </w:r>
      </w:hyperlink>
      <w:r>
        <w:t xml:space="preserve"> </w:t>
      </w:r>
      <w:r>
        <w:t xml:space="preserve">(accessed Oct 20, 2026).</w:t>
      </w:r>
    </w:p>
  </w:footnote>
  <w:footnote w:id="644">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w:t>
      </w:r>
      <w:r>
        <w:t xml:space="preserve"> </w:t>
      </w:r>
      <w:hyperlink r:id="rId645">
        <w:r>
          <w:rPr>
            <w:rStyle w:val="Hyperlink"/>
          </w:rPr>
          <w:t xml:space="preserve">https://fedramp.gov/2026/providers/20x/key-security-indicators/identity-and-access-management/</w:t>
        </w:r>
      </w:hyperlink>
      <w:r>
        <w:t xml:space="preserve"> </w:t>
      </w:r>
      <w:r>
        <w:t xml:space="preserve">(accessed Oct 20, 2026).</w:t>
      </w:r>
    </w:p>
  </w:footnote>
  <w:footnote w:id="647">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648">
        <w:r>
          <w:rPr>
            <w:rStyle w:val="Hyperlink"/>
          </w:rPr>
          <w:t xml:space="preserve">https://learn.microsoft.com/graph/deployments</w:t>
        </w:r>
      </w:hyperlink>
      <w:r>
        <w:t xml:space="preserve"> </w:t>
      </w:r>
      <w:r>
        <w:t xml:space="preserve">(accessed Oct 20, 2026).</w:t>
      </w:r>
    </w:p>
  </w:footnote>
  <w:footnote w:id="649">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652">
    <w:p>
      <w:pPr>
        <w:pStyle w:val="FootnoteText"/>
      </w:pPr>
      <w:r>
        <w:rPr>
          <w:rStyle w:val="FootnoteReference"/>
        </w:rPr>
        <w:footnoteRef/>
      </w:r>
      <w:r>
        <w:t xml:space="preserve"> </w:t>
      </w:r>
      <w:r>
        <w:t xml:space="preserve">Microsoft Learn,</w:t>
      </w:r>
      <w:r>
        <w:t xml:space="preserve"> </w:t>
      </w:r>
      <w:r>
        <w:t xml:space="preserve">“Protect user accounts from attacks with Microsoft Entra smart lockout,”</w:t>
      </w:r>
      <w:r>
        <w:t xml:space="preserve"> </w:t>
      </w:r>
      <w:hyperlink r:id="rId653">
        <w:r>
          <w:rPr>
            <w:rStyle w:val="Hyperlink"/>
          </w:rPr>
          <w:t xml:space="preserve">https://learn.microsoft.com/entra/identity/authentication/howto-password-smart-lockout</w:t>
        </w:r>
      </w:hyperlink>
      <w:r>
        <w:t xml:space="preserve"> </w:t>
      </w:r>
      <w:r>
        <w:t xml:space="preserve">(accessed Oct 20, 2026).</w:t>
      </w:r>
    </w:p>
  </w:footnote>
  <w:footnote w:id="658">
    <w:p>
      <w:pPr>
        <w:pStyle w:val="FootnoteText"/>
      </w:pPr>
      <w:r>
        <w:rPr>
          <w:rStyle w:val="FootnoteReference"/>
        </w:rPr>
        <w:footnoteRef/>
      </w:r>
      <w:r>
        <w:t xml:space="preserve"> </w:t>
      </w:r>
      <w:r>
        <w:t xml:space="preserve">Microsoft Learn,</w:t>
      </w:r>
      <w:r>
        <w:t xml:space="preserve"> </w:t>
      </w:r>
      <w:r>
        <w:t xml:space="preserve">“DoD Zero Trust Strategy for the user pillar,”</w:t>
      </w:r>
      <w:r>
        <w:t xml:space="preserve"> </w:t>
      </w:r>
      <w:r>
        <w:t xml:space="preserve">section 1.4,</w:t>
      </w:r>
      <w:r>
        <w:t xml:space="preserve"> </w:t>
      </w:r>
      <w:r>
        <w:t xml:space="preserve">“Privileged access management,”</w:t>
      </w:r>
      <w:r>
        <w:t xml:space="preserve"> </w:t>
      </w:r>
      <w:hyperlink r:id="rId659">
        <w:r>
          <w:rPr>
            <w:rStyle w:val="Hyperlink"/>
          </w:rPr>
          <w:t xml:space="preserve">https://learn.microsoft.com/security/zero-trust/dod-zero-trust-strategy-user</w:t>
        </w:r>
      </w:hyperlink>
      <w:r>
        <w:t xml:space="preserve"> </w:t>
      </w:r>
      <w:r>
        <w:t xml:space="preserve">(accessed Oct 20, 2026).</w:t>
      </w:r>
    </w:p>
  </w:footnote>
  <w:footnote w:id="66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66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66">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“Privileged Identity Management least privileged roles,”</w:t>
      </w:r>
      <w:r>
        <w:t xml:space="preserve"> </w:t>
      </w:r>
      <w:hyperlink r:id="rId293">
        <w:r>
          <w:rPr>
            <w:rStyle w:val="Hyperlink"/>
          </w:rPr>
          <w:t xml:space="preserve">https://learn.microsoft.com/entra/identity/role-based-access-control/delegate-by-task</w:t>
        </w:r>
      </w:hyperlink>
      <w:r>
        <w:t xml:space="preserve"> </w:t>
      </w:r>
      <w:r>
        <w:t xml:space="preserve">(accessed Oct 20, 2026).</w:t>
      </w:r>
    </w:p>
  </w:footnote>
  <w:footnote w:id="667">
    <w:p>
      <w:pPr>
        <w:pStyle w:val="FootnoteText"/>
      </w:pPr>
      <w:r>
        <w:rPr>
          <w:rStyle w:val="FootnoteReference"/>
        </w:rPr>
        <w:footnoteRef/>
      </w:r>
      <w:r>
        <w:t xml:space="preserve"> </w:t>
      </w:r>
      <w:r>
        <w:t xml:space="preserve">Microsoft Learn,</w:t>
      </w:r>
      <w:r>
        <w:t xml:space="preserve"> </w:t>
      </w:r>
      <w:r>
        <w:t xml:space="preserve">“Configure security alerts for Microsoft Entra roles in Privileged Identity Management,”</w:t>
      </w:r>
      <w:r>
        <w:t xml:space="preserve"> </w:t>
      </w:r>
      <w:hyperlink r:id="rId668">
        <w:r>
          <w:rPr>
            <w:rStyle w:val="Hyperlink"/>
          </w:rPr>
          <w:t xml:space="preserve">https://learn.microsoft.com/entra/id-governance/privileged-identity-management/pim-how-to-configure-security-alerts</w:t>
        </w:r>
      </w:hyperlink>
      <w:r>
        <w:t xml:space="preserve"> </w:t>
      </w:r>
      <w:r>
        <w:t xml:space="preserve">(accessed Oct 20, 2026).</w:t>
      </w:r>
    </w:p>
  </w:footnote>
  <w:footnote w:id="669">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“Privileged Identity Management least privileged roles,”</w:t>
      </w:r>
      <w:r>
        <w:t xml:space="preserve"> </w:t>
      </w:r>
      <w:hyperlink r:id="rId293">
        <w:r>
          <w:rPr>
            <w:rStyle w:val="Hyperlink"/>
          </w:rPr>
          <w:t xml:space="preserve">https://learn.microsoft.com/entra/identity/role-based-access-control/delegate-by-task</w:t>
        </w:r>
      </w:hyperlink>
      <w:r>
        <w:t xml:space="preserve"> </w:t>
      </w:r>
      <w:r>
        <w:t xml:space="preserve">(accessed Oct 20, 2026).</w:t>
      </w:r>
    </w:p>
  </w:footnote>
  <w:footnote w:id="670">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671">
        <w:r>
          <w:rPr>
            <w:rStyle w:val="Hyperlink"/>
          </w:rPr>
          <w:t xml:space="preserve">https://learn.microsoft.com/graph/how-to-pim-update-rules</w:t>
        </w:r>
      </w:hyperlink>
      <w:r>
        <w:t xml:space="preserve"> </w:t>
      </w:r>
      <w:r>
        <w:t xml:space="preserve">(accessed Oct 20, 2026).</w:t>
      </w:r>
    </w:p>
  </w:footnote>
  <w:footnote w:id="672">
    <w:p>
      <w:pPr>
        <w:pStyle w:val="FootnoteText"/>
      </w:pPr>
      <w:r>
        <w:rPr>
          <w:rStyle w:val="FootnoteReference"/>
        </w:rPr>
        <w:footnoteRef/>
      </w:r>
      <w:r>
        <w:t xml:space="preserve"> </w:t>
      </w:r>
      <w:r>
        <w:t xml:space="preserve">Microsoft Learn,</w:t>
      </w:r>
      <w:r>
        <w:t xml:space="preserve"> </w:t>
      </w:r>
      <w:r>
        <w:t xml:space="preserve">“Create roleEligibilityScheduleRequest,”</w:t>
      </w:r>
      <w:r>
        <w:t xml:space="preserve"> </w:t>
      </w:r>
      <w:hyperlink r:id="rId673">
        <w:r>
          <w:rPr>
            <w:rStyle w:val="Hyperlink"/>
          </w:rPr>
          <w:t xml:space="preserve">https://learn.microsoft.com/graph/api/rbacapplication-post-roleeligibilityschedulerequests?view=graph-rest-1.0</w:t>
        </w:r>
      </w:hyperlink>
      <w:r>
        <w:t xml:space="preserve"> </w:t>
      </w:r>
      <w:r>
        <w:t xml:space="preserve">(accessed Oct 20, 2026).</w:t>
      </w:r>
    </w:p>
  </w:footnote>
  <w:footnote w:id="674">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hyperlink r:id="rId675">
        <w:r>
          <w:rPr>
            <w:rStyle w:val="Hyperlink"/>
          </w:rPr>
          <w:t xml:space="preserve">https://learn.microsoft.com/entra/identity/authentication/feature-availability</w:t>
        </w:r>
      </w:hyperlink>
      <w:r>
        <w:t xml:space="preserve"> </w:t>
      </w:r>
      <w:r>
        <w:t xml:space="preserve">(accessed Oct 20, 2026).</w:t>
      </w:r>
    </w:p>
  </w:footnote>
  <w:footnote w:id="67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679">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680">
        <w:r>
          <w:rPr>
            <w:rStyle w:val="Hyperlink"/>
          </w:rPr>
          <w:t xml:space="preserve">https://learn.microsoft.com/entra/id-governance/privileged-identity-management/pim-configure</w:t>
        </w:r>
      </w:hyperlink>
      <w:r>
        <w:t xml:space="preserve"> </w:t>
      </w:r>
      <w:r>
        <w:t xml:space="preserve">(accessed Oct 20, 2026).</w:t>
      </w:r>
    </w:p>
  </w:footnote>
  <w:footnote w:id="68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8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8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8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86">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87">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8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9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97">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370">
        <w:r>
          <w:rPr>
            <w:rStyle w:val="Hyperlink"/>
          </w:rPr>
          <w:t xml:space="preserve">https://learn.microsoft.com/entra/identity/role-based-access-control/security-emergency-access</w:t>
        </w:r>
      </w:hyperlink>
      <w:r>
        <w:t xml:space="preserve"> </w:t>
      </w:r>
      <w:r>
        <w:t xml:space="preserve">(accessed Oct 20, 2026).</w:t>
      </w:r>
    </w:p>
  </w:footnote>
  <w:footnote w:id="69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69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00">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0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70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0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0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06">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0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10">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1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14">
    <w:p>
      <w:pPr>
        <w:pStyle w:val="FootnoteText"/>
      </w:pPr>
      <w:r>
        <w:rPr>
          <w:rStyle w:val="FootnoteReference"/>
        </w:rPr>
        <w:footnoteRef/>
      </w:r>
      <w:r>
        <w:t xml:space="preserve"> </w:t>
      </w:r>
      <w:r>
        <w:t xml:space="preserve">Microsoft Learn,</w:t>
      </w:r>
      <w:r>
        <w:t xml:space="preserve"> </w:t>
      </w:r>
      <w:r>
        <w:t xml:space="preserve">“Rules in PIM - mapping guide,”</w:t>
      </w:r>
      <w:r>
        <w:t xml:space="preserve"> </w:t>
      </w:r>
      <w:hyperlink r:id="rId715">
        <w:r>
          <w:rPr>
            <w:rStyle w:val="Hyperlink"/>
          </w:rPr>
          <w:t xml:space="preserve">https://learn.microsoft.com/graph/identity-governance-pim-rules-overview</w:t>
        </w:r>
      </w:hyperlink>
      <w:r>
        <w:t xml:space="preserve"> </w:t>
      </w:r>
      <w:r>
        <w:t xml:space="preserve">(accessed Oct 20, 2026).</w:t>
      </w:r>
    </w:p>
  </w:footnote>
  <w:footnote w:id="718">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671">
        <w:r>
          <w:rPr>
            <w:rStyle w:val="Hyperlink"/>
          </w:rPr>
          <w:t xml:space="preserve">https://learn.microsoft.com/graph/how-to-pim-update-rules</w:t>
        </w:r>
      </w:hyperlink>
      <w:r>
        <w:t xml:space="preserve"> </w:t>
      </w:r>
      <w:r>
        <w:t xml:space="preserve">(accessed Oct 20, 2026).</w:t>
      </w:r>
    </w:p>
  </w:footnote>
  <w:footnote w:id="720">
    <w:p>
      <w:pPr>
        <w:pStyle w:val="FootnoteText"/>
      </w:pPr>
      <w:r>
        <w:rPr>
          <w:rStyle w:val="FootnoteReference"/>
        </w:rPr>
        <w:footnoteRef/>
      </w:r>
      <w:r>
        <w:t xml:space="preserve"> </w:t>
      </w:r>
      <w:r>
        <w:t xml:space="preserve">Microsoft Learn,</w:t>
      </w:r>
      <w:r>
        <w:t xml:space="preserve"> </w:t>
      </w:r>
      <w:r>
        <w:t xml:space="preserve">“Rules in PIM - mapping guide,”</w:t>
      </w:r>
      <w:r>
        <w:t xml:space="preserve"> </w:t>
      </w:r>
      <w:hyperlink r:id="rId715">
        <w:r>
          <w:rPr>
            <w:rStyle w:val="Hyperlink"/>
          </w:rPr>
          <w:t xml:space="preserve">https://learn.microsoft.com/graph/identity-governance-pim-rules-overview</w:t>
        </w:r>
      </w:hyperlink>
      <w:r>
        <w:t xml:space="preserve"> </w:t>
      </w:r>
      <w:r>
        <w:t xml:space="preserve">(accessed Oct 20, 2026).</w:t>
      </w:r>
    </w:p>
  </w:footnote>
  <w:footnote w:id="721">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671">
        <w:r>
          <w:rPr>
            <w:rStyle w:val="Hyperlink"/>
          </w:rPr>
          <w:t xml:space="preserve">https://learn.microsoft.com/graph/how-to-pim-update-rules</w:t>
        </w:r>
      </w:hyperlink>
      <w:r>
        <w:t xml:space="preserve"> </w:t>
      </w:r>
      <w:r>
        <w:t xml:space="preserve">(accessed Oct 20, 2026).</w:t>
      </w:r>
    </w:p>
  </w:footnote>
  <w:footnote w:id="723">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25">
    <w:p>
      <w:pPr>
        <w:pStyle w:val="FootnoteText"/>
      </w:pPr>
      <w:r>
        <w:rPr>
          <w:rStyle w:val="FootnoteReference"/>
        </w:rPr>
        <w:footnoteRef/>
      </w:r>
      <w:r>
        <w:t xml:space="preserve"> </w:t>
      </w:r>
      <w:r>
        <w:t xml:space="preserve">Microsoft Learn,</w:t>
      </w:r>
      <w:r>
        <w:t xml:space="preserve"> </w:t>
      </w:r>
      <w:r>
        <w:t xml:space="preserve">“unifiedRoleManagementPolicyAuthenticationContextRule resource type,”</w:t>
      </w:r>
      <w:r>
        <w:t xml:space="preserve"> </w:t>
      </w:r>
      <w:hyperlink r:id="rId726">
        <w:r>
          <w:rPr>
            <w:rStyle w:val="Hyperlink"/>
          </w:rPr>
          <w:t xml:space="preserve">https://learn.microsoft.com/graph/api/resources/unifiedrolemanagementpolicyauthenticationcontextrule</w:t>
        </w:r>
      </w:hyperlink>
      <w:r>
        <w:t xml:space="preserve"> </w:t>
      </w:r>
      <w:r>
        <w:t xml:space="preserve">(accessed Oct 20, 2026).</w:t>
      </w:r>
    </w:p>
  </w:footnote>
  <w:footnote w:id="729">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671">
        <w:r>
          <w:rPr>
            <w:rStyle w:val="Hyperlink"/>
          </w:rPr>
          <w:t xml:space="preserve">https://learn.microsoft.com/graph/how-to-pim-update-rules</w:t>
        </w:r>
      </w:hyperlink>
      <w:r>
        <w:t xml:space="preserve"> </w:t>
      </w:r>
      <w:r>
        <w:t xml:space="preserve">(accessed Oct 20, 2026).</w:t>
      </w:r>
    </w:p>
  </w:footnote>
  <w:footnote w:id="731">
    <w:p>
      <w:pPr>
        <w:pStyle w:val="FootnoteText"/>
      </w:pPr>
      <w:r>
        <w:rPr>
          <w:rStyle w:val="FootnoteReference"/>
        </w:rPr>
        <w:footnoteRef/>
      </w:r>
      <w:r>
        <w:t xml:space="preserve"> </w:t>
      </w:r>
      <w:r>
        <w:t xml:space="preserve">Microsoft Learn,</w:t>
      </w:r>
      <w:r>
        <w:t xml:space="preserve"> </w:t>
      </w:r>
      <w:r>
        <w:t xml:space="preserve">“Create roleEligibilityScheduleRequest,”</w:t>
      </w:r>
      <w:r>
        <w:t xml:space="preserve"> </w:t>
      </w:r>
      <w:hyperlink r:id="rId673">
        <w:r>
          <w:rPr>
            <w:rStyle w:val="Hyperlink"/>
          </w:rPr>
          <w:t xml:space="preserve">https://learn.microsoft.com/graph/api/rbacapplication-post-roleeligibilityschedulerequests?view=graph-rest-1.0</w:t>
        </w:r>
      </w:hyperlink>
      <w:r>
        <w:t xml:space="preserve"> </w:t>
      </w:r>
      <w:r>
        <w:t xml:space="preserve">(accessed Oct 20, 2026).</w:t>
      </w:r>
    </w:p>
  </w:footnote>
  <w:footnote w:id="732">
    <w:p>
      <w:pPr>
        <w:pStyle w:val="FootnoteText"/>
      </w:pPr>
      <w:r>
        <w:rPr>
          <w:rStyle w:val="FootnoteReference"/>
        </w:rPr>
        <w:footnoteRef/>
      </w:r>
      <w:r>
        <w:t xml:space="preserve"> </w:t>
      </w:r>
      <w:r>
        <w:t xml:space="preserve">Microsoft Learn,</w:t>
      </w:r>
      <w:r>
        <w:t xml:space="preserve"> </w:t>
      </w:r>
      <w:r>
        <w:t xml:space="preserve">“Create roleEligibilityScheduleRequest,”</w:t>
      </w:r>
      <w:r>
        <w:t xml:space="preserve"> </w:t>
      </w:r>
      <w:hyperlink r:id="rId673">
        <w:r>
          <w:rPr>
            <w:rStyle w:val="Hyperlink"/>
          </w:rPr>
          <w:t xml:space="preserve">https://learn.microsoft.com/graph/api/rbacapplication-post-roleeligibilityschedulerequests?view=graph-rest-1.0</w:t>
        </w:r>
      </w:hyperlink>
      <w:r>
        <w:t xml:space="preserve"> </w:t>
      </w:r>
      <w:r>
        <w:t xml:space="preserve">(accessed Oct 20, 2026).</w:t>
      </w:r>
    </w:p>
  </w:footnote>
  <w:footnote w:id="733">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hyperlink r:id="rId734">
        <w:r>
          <w:rPr>
            <w:rStyle w:val="Hyperlink"/>
          </w:rPr>
          <w:t xml:space="preserve">https://learn.microsoft.com/entra/id-governance/privileged-identity-management/pim-how-to-add-role-to-user</w:t>
        </w:r>
      </w:hyperlink>
      <w:r>
        <w:t xml:space="preserve"> </w:t>
      </w:r>
      <w:r>
        <w:t xml:space="preserve">(accessed Oct 20, 2026).</w:t>
      </w:r>
    </w:p>
  </w:footnote>
  <w:footnote w:id="735">
    <w:p>
      <w:pPr>
        <w:pStyle w:val="FootnoteText"/>
      </w:pPr>
      <w:r>
        <w:rPr>
          <w:rStyle w:val="FootnoteReference"/>
        </w:rPr>
        <w:footnoteRef/>
      </w:r>
      <w:r>
        <w:t xml:space="preserve"> </w:t>
      </w:r>
      <w:r>
        <w:t xml:space="preserve">Microsoft Learn,</w:t>
      </w:r>
      <w:r>
        <w:t xml:space="preserve"> </w:t>
      </w:r>
      <w:r>
        <w:t xml:space="preserve">“What is Microsoft Entra Privileged Identity Management?,”</w:t>
      </w:r>
      <w:r>
        <w:t xml:space="preserve"> </w:t>
      </w:r>
      <w:hyperlink r:id="rId680">
        <w:r>
          <w:rPr>
            <w:rStyle w:val="Hyperlink"/>
          </w:rPr>
          <w:t xml:space="preserve">https://learn.microsoft.com/entra/id-governance/privileged-identity-management/pim-configure</w:t>
        </w:r>
      </w:hyperlink>
      <w:r>
        <w:t xml:space="preserve"> </w:t>
      </w:r>
      <w:r>
        <w:t xml:space="preserve">(accessed Oct 20, 2026).</w:t>
      </w:r>
    </w:p>
  </w:footnote>
  <w:footnote w:id="737">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738">
        <w:r>
          <w:rPr>
            <w:rStyle w:val="Hyperlink"/>
          </w:rPr>
          <w:t xml:space="preserve">https://learn.microsoft.com/entra/identity/role-based-access-control/protected-actions-overview</w:t>
        </w:r>
      </w:hyperlink>
      <w:r>
        <w:t xml:space="preserve"> </w:t>
      </w:r>
      <w:r>
        <w:t xml:space="preserve">(accessed Oct 20, 2026).</w:t>
      </w:r>
    </w:p>
  </w:footnote>
  <w:footnote w:id="739">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738">
        <w:r>
          <w:rPr>
            <w:rStyle w:val="Hyperlink"/>
          </w:rPr>
          <w:t xml:space="preserve">https://learn.microsoft.com/entra/identity/role-based-access-control/protected-actions-overview</w:t>
        </w:r>
      </w:hyperlink>
      <w:r>
        <w:t xml:space="preserve"> </w:t>
      </w:r>
      <w:r>
        <w:t xml:space="preserve">(accessed Oct 20, 2026).</w:t>
      </w:r>
    </w:p>
  </w:footnote>
  <w:footnote w:id="740">
    <w:p>
      <w:pPr>
        <w:pStyle w:val="FootnoteText"/>
      </w:pPr>
      <w:r>
        <w:rPr>
          <w:rStyle w:val="FootnoteReference"/>
        </w:rPr>
        <w:footnoteRef/>
      </w:r>
      <w:r>
        <w:t xml:space="preserve"> </w:t>
      </w:r>
      <w:r>
        <w:t xml:space="preserve">Microsoft Learn,</w:t>
      </w:r>
      <w:r>
        <w:t xml:space="preserve"> </w:t>
      </w:r>
      <w:r>
        <w:t xml:space="preserve">“Add, test, or remove protected actions in Microsoft Entra ID,”</w:t>
      </w:r>
      <w:r>
        <w:t xml:space="preserve"> </w:t>
      </w:r>
      <w:hyperlink r:id="rId741">
        <w:r>
          <w:rPr>
            <w:rStyle w:val="Hyperlink"/>
          </w:rPr>
          <w:t xml:space="preserve">https://learn.microsoft.com/entra/identity/role-based-access-control/protected-actions-add</w:t>
        </w:r>
      </w:hyperlink>
      <w:r>
        <w:t xml:space="preserve"> </w:t>
      </w:r>
      <w:r>
        <w:t xml:space="preserve">(accessed Oct 20, 2026).</w:t>
      </w:r>
    </w:p>
  </w:footnote>
  <w:footnote w:id="743">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738">
        <w:r>
          <w:rPr>
            <w:rStyle w:val="Hyperlink"/>
          </w:rPr>
          <w:t xml:space="preserve">https://learn.microsoft.com/entra/identity/role-based-access-control/protected-actions-overview</w:t>
        </w:r>
      </w:hyperlink>
      <w:r>
        <w:t xml:space="preserve"> </w:t>
      </w:r>
      <w:r>
        <w:t xml:space="preserve">(accessed Oct 20, 2026).</w:t>
      </w:r>
    </w:p>
  </w:footnote>
  <w:footnote w:id="744">
    <w:p>
      <w:pPr>
        <w:pStyle w:val="FootnoteText"/>
      </w:pPr>
      <w:r>
        <w:rPr>
          <w:rStyle w:val="FootnoteReference"/>
        </w:rPr>
        <w:footnoteRef/>
      </w:r>
      <w:r>
        <w:t xml:space="preserve"> </w:t>
      </w:r>
      <w:r>
        <w:t xml:space="preserve">Microsoft Learn,</w:t>
      </w:r>
      <w:r>
        <w:t xml:space="preserve"> </w:t>
      </w:r>
      <w:r>
        <w:t xml:space="preserve">“Add, test, or remove protected actions in Microsoft Entra ID,”</w:t>
      </w:r>
      <w:r>
        <w:t xml:space="preserve"> </w:t>
      </w:r>
      <w:hyperlink r:id="rId741">
        <w:r>
          <w:rPr>
            <w:rStyle w:val="Hyperlink"/>
          </w:rPr>
          <w:t xml:space="preserve">https://learn.microsoft.com/entra/identity/role-based-access-control/protected-actions-add</w:t>
        </w:r>
      </w:hyperlink>
      <w:r>
        <w:t xml:space="preserve"> </w:t>
      </w:r>
      <w:r>
        <w:t xml:space="preserve">(accessed Oct 20, 2026).</w:t>
      </w:r>
    </w:p>
  </w:footnote>
  <w:footnote w:id="745">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738">
        <w:r>
          <w:rPr>
            <w:rStyle w:val="Hyperlink"/>
          </w:rPr>
          <w:t xml:space="preserve">https://learn.microsoft.com/entra/identity/role-based-access-control/protected-actions-overview</w:t>
        </w:r>
      </w:hyperlink>
      <w:r>
        <w:t xml:space="preserve"> </w:t>
      </w:r>
      <w:r>
        <w:t xml:space="preserve">(accessed Oct 20, 2026).</w:t>
      </w:r>
    </w:p>
  </w:footnote>
  <w:footnote w:id="746">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748">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738">
        <w:r>
          <w:rPr>
            <w:rStyle w:val="Hyperlink"/>
          </w:rPr>
          <w:t xml:space="preserve">https://learn.microsoft.com/entra/identity/role-based-access-control/protected-actions-overview</w:t>
        </w:r>
      </w:hyperlink>
      <w:r>
        <w:t xml:space="preserve"> </w:t>
      </w:r>
      <w:r>
        <w:t xml:space="preserve">(accessed Oct 20, 2026).</w:t>
      </w:r>
    </w:p>
  </w:footnote>
  <w:footnote w:id="74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50">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751">
        <w:r>
          <w:rPr>
            <w:rStyle w:val="Hyperlink"/>
          </w:rPr>
          <w:t xml:space="preserve">https://learn.microsoft.com/entra/id-governance/privileged-identity-management/pim-email-notifications</w:t>
        </w:r>
      </w:hyperlink>
      <w:r>
        <w:t xml:space="preserve"> </w:t>
      </w:r>
      <w:r>
        <w:t xml:space="preserve">(accessed Oct 20, 2026).</w:t>
      </w:r>
    </w:p>
  </w:footnote>
  <w:footnote w:id="752">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751">
        <w:r>
          <w:rPr>
            <w:rStyle w:val="Hyperlink"/>
          </w:rPr>
          <w:t xml:space="preserve">https://learn.microsoft.com/entra/id-governance/privileged-identity-management/pim-email-notifications</w:t>
        </w:r>
      </w:hyperlink>
      <w:r>
        <w:t xml:space="preserve"> </w:t>
      </w:r>
      <w:r>
        <w:t xml:space="preserve">(accessed Oct 20, 2026).</w:t>
      </w:r>
    </w:p>
  </w:footnote>
  <w:footnote w:id="753">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751">
        <w:r>
          <w:rPr>
            <w:rStyle w:val="Hyperlink"/>
          </w:rPr>
          <w:t xml:space="preserve">https://learn.microsoft.com/entra/id-governance/privileged-identity-management/pim-email-notifications</w:t>
        </w:r>
      </w:hyperlink>
      <w:r>
        <w:t xml:space="preserve"> </w:t>
      </w:r>
      <w:r>
        <w:t xml:space="preserve">(accessed Oct 20, 2026).</w:t>
      </w:r>
    </w:p>
  </w:footnote>
  <w:footnote w:id="754">
    <w:p>
      <w:pPr>
        <w:pStyle w:val="FootnoteText"/>
      </w:pPr>
      <w:r>
        <w:rPr>
          <w:rStyle w:val="FootnoteReference"/>
        </w:rPr>
        <w:footnoteRef/>
      </w:r>
      <w:r>
        <w:t xml:space="preserve"> </w:t>
      </w:r>
      <w:r>
        <w:t xml:space="preserve">Microsoft Learn,</w:t>
      </w:r>
      <w:r>
        <w:t xml:space="preserve"> </w:t>
      </w:r>
      <w:r>
        <w:t xml:space="preserve">“Configure security alerts for Microsoft Entra roles in Privileged Identity Management,”</w:t>
      </w:r>
      <w:r>
        <w:t xml:space="preserve"> </w:t>
      </w:r>
      <w:hyperlink r:id="rId668">
        <w:r>
          <w:rPr>
            <w:rStyle w:val="Hyperlink"/>
          </w:rPr>
          <w:t xml:space="preserve">https://learn.microsoft.com/entra/id-governance/privileged-identity-management/pim-how-to-configure-security-alerts</w:t>
        </w:r>
      </w:hyperlink>
      <w:r>
        <w:t xml:space="preserve"> </w:t>
      </w:r>
      <w:r>
        <w:t xml:space="preserve">(accessed Oct 20, 2026).</w:t>
      </w:r>
    </w:p>
  </w:footnote>
  <w:footnote w:id="755">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756">
        <w:r>
          <w:rPr>
            <w:rStyle w:val="Hyperlink"/>
          </w:rPr>
          <w:t xml:space="preserve">https://learn.microsoft.com/entra/id-governance/privileged-identity-management/pim-apis</w:t>
        </w:r>
      </w:hyperlink>
      <w:r>
        <w:t xml:space="preserve"> </w:t>
      </w:r>
      <w:r>
        <w:t xml:space="preserve">(accessed Oct 20, 2026).</w:t>
      </w:r>
    </w:p>
  </w:footnote>
  <w:footnote w:id="758">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759">
        <w:r>
          <w:rPr>
            <w:rStyle w:val="Hyperlink"/>
          </w:rPr>
          <w:t xml:space="preserve">https://learn.microsoft.com/entra/id-governance/privileged-identity-management/pim-create-roles-and-resource-roles-review</w:t>
        </w:r>
      </w:hyperlink>
      <w:r>
        <w:t xml:space="preserve"> </w:t>
      </w:r>
      <w:r>
        <w:t xml:space="preserve">(accessed Oct 20, 2026).</w:t>
      </w:r>
    </w:p>
  </w:footnote>
  <w:footnote w:id="760">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759">
        <w:r>
          <w:rPr>
            <w:rStyle w:val="Hyperlink"/>
          </w:rPr>
          <w:t xml:space="preserve">https://learn.microsoft.com/entra/id-governance/privileged-identity-management/pim-create-roles-and-resource-roles-review</w:t>
        </w:r>
      </w:hyperlink>
      <w:r>
        <w:t xml:space="preserve"> </w:t>
      </w:r>
      <w:r>
        <w:t xml:space="preserve">(accessed Oct 20, 2026).</w:t>
      </w:r>
    </w:p>
  </w:footnote>
  <w:footnote w:id="762">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759">
        <w:r>
          <w:rPr>
            <w:rStyle w:val="Hyperlink"/>
          </w:rPr>
          <w:t xml:space="preserve">https://learn.microsoft.com/entra/id-governance/privileged-identity-management/pim-create-roles-and-resource-roles-review</w:t>
        </w:r>
      </w:hyperlink>
      <w:r>
        <w:t xml:space="preserve"> </w:t>
      </w:r>
      <w:r>
        <w:t xml:space="preserve">(accessed Oct 20, 2026).</w:t>
      </w:r>
    </w:p>
  </w:footnote>
  <w:footnote w:id="764">
    <w:p>
      <w:pPr>
        <w:pStyle w:val="FootnoteText"/>
      </w:pPr>
      <w:r>
        <w:rPr>
          <w:rStyle w:val="FootnoteReference"/>
        </w:rPr>
        <w:footnoteRef/>
      </w:r>
      <w:r>
        <w:t xml:space="preserve"> </w:t>
      </w:r>
      <w:r>
        <w:t xml:space="preserve">Microsoft Learn,</w:t>
      </w:r>
      <w:r>
        <w:t xml:space="preserve"> </w:t>
      </w:r>
      <w:r>
        <w:t xml:space="preserve">“View audit history for Microsoft Entra roles in Privileged Identity Management,”</w:t>
      </w:r>
      <w:r>
        <w:t xml:space="preserve"> </w:t>
      </w:r>
      <w:hyperlink r:id="rId765">
        <w:r>
          <w:rPr>
            <w:rStyle w:val="Hyperlink"/>
          </w:rPr>
          <w:t xml:space="preserve">https://learn.microsoft.com/entra/id-governance/privileged-identity-management/pim-how-to-use-audit-log</w:t>
        </w:r>
      </w:hyperlink>
      <w:r>
        <w:t xml:space="preserve"> </w:t>
      </w:r>
      <w:r>
        <w:t xml:space="preserve">(accessed Oct 20, 2026).</w:t>
      </w:r>
    </w:p>
  </w:footnote>
  <w:footnote w:id="766">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767">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768">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769">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770">
    <w:p>
      <w:pPr>
        <w:pStyle w:val="FootnoteText"/>
      </w:pPr>
      <w:r>
        <w:rPr>
          <w:rStyle w:val="FootnoteReference"/>
        </w:rPr>
        <w:footnoteRef/>
      </w:r>
      <w:r>
        <w:t xml:space="preserve"> </w:t>
      </w:r>
      <w:r>
        <w:t xml:space="preserve">Microsoft Learn,</w:t>
      </w:r>
      <w:r>
        <w:t xml:space="preserve"> </w:t>
      </w:r>
      <w:r>
        <w:t xml:space="preserve">“View audit history for Microsoft Entra roles in Privileged Identity Management,”</w:t>
      </w:r>
      <w:r>
        <w:t xml:space="preserve"> </w:t>
      </w:r>
      <w:hyperlink r:id="rId765">
        <w:r>
          <w:rPr>
            <w:rStyle w:val="Hyperlink"/>
          </w:rPr>
          <w:t xml:space="preserve">https://learn.microsoft.com/entra/id-governance/privileged-identity-management/pim-how-to-use-audit-log</w:t>
        </w:r>
      </w:hyperlink>
      <w:r>
        <w:t xml:space="preserve"> </w:t>
      </w:r>
      <w:r>
        <w:t xml:space="preserve">(accessed Oct 20, 2026).</w:t>
      </w:r>
    </w:p>
  </w:footnote>
  <w:footnote w:id="772">
    <w:p>
      <w:pPr>
        <w:pStyle w:val="FootnoteText"/>
      </w:pPr>
      <w:r>
        <w:rPr>
          <w:rStyle w:val="FootnoteReference"/>
        </w:rPr>
        <w:footnoteRef/>
      </w:r>
      <w:r>
        <w:t xml:space="preserve"> </w:t>
      </w:r>
      <w:r>
        <w:t xml:space="preserve">Microsoft Learn,</w:t>
      </w:r>
      <w:r>
        <w:t xml:space="preserve"> </w:t>
      </w:r>
      <w:r>
        <w:t xml:space="preserve">“Activate a Microsoft Entra role in PIM,”</w:t>
      </w:r>
      <w:r>
        <w:t xml:space="preserve"> </w:t>
      </w:r>
      <w:hyperlink r:id="rId107">
        <w:r>
          <w:rPr>
            <w:rStyle w:val="Hyperlink"/>
          </w:rPr>
          <w:t xml:space="preserve">https://learn.microsoft.com/entra/id-governance/privileged-identity-management/pim-how-to-activate-role</w:t>
        </w:r>
      </w:hyperlink>
      <w:r>
        <w:t xml:space="preserve"> </w:t>
      </w:r>
      <w:r>
        <w:t xml:space="preserve">(accessed Oct 20, 2026).</w:t>
      </w:r>
    </w:p>
  </w:footnote>
  <w:footnote w:id="77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75">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76">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77">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78">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756">
        <w:r>
          <w:rPr>
            <w:rStyle w:val="Hyperlink"/>
          </w:rPr>
          <w:t xml:space="preserve">https://learn.microsoft.com/entra/id-governance/privileged-identity-management/pim-apis</w:t>
        </w:r>
      </w:hyperlink>
      <w:r>
        <w:t xml:space="preserve"> </w:t>
      </w:r>
      <w:r>
        <w:t xml:space="preserve">(accessed Oct 20, 2026).</w:t>
      </w:r>
    </w:p>
  </w:footnote>
  <w:footnote w:id="779">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82">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756">
        <w:r>
          <w:rPr>
            <w:rStyle w:val="Hyperlink"/>
          </w:rPr>
          <w:t xml:space="preserve">https://learn.microsoft.com/entra/id-governance/privileged-identity-management/pim-apis</w:t>
        </w:r>
      </w:hyperlink>
      <w:r>
        <w:t xml:space="preserve"> </w:t>
      </w:r>
      <w:r>
        <w:t xml:space="preserve">(accessed Oct 20, 2026).</w:t>
      </w:r>
    </w:p>
  </w:footnote>
  <w:footnote w:id="784">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86">
    <w:p>
      <w:pPr>
        <w:pStyle w:val="FootnoteText"/>
      </w:pPr>
      <w:r>
        <w:rPr>
          <w:rStyle w:val="FootnoteReference"/>
        </w:rPr>
        <w:footnoteRef/>
      </w:r>
      <w:r>
        <w:t xml:space="preserve"> </w:t>
      </w:r>
      <w:r>
        <w:t xml:space="preserve">Microsoft Learn,</w:t>
      </w:r>
      <w:r>
        <w:t xml:space="preserve"> </w:t>
      </w:r>
      <w:r>
        <w:t xml:space="preserve">“Extend or renew Microsoft Entra role assignments in Privileged Identity Management,”</w:t>
      </w:r>
      <w:r>
        <w:t xml:space="preserve"> </w:t>
      </w:r>
      <w:hyperlink r:id="rId787">
        <w:r>
          <w:rPr>
            <w:rStyle w:val="Hyperlink"/>
          </w:rPr>
          <w:t xml:space="preserve">https://learn.microsoft.com/entra/id-governance/privileged-identity-management/pim-how-to-renew-extend</w:t>
        </w:r>
      </w:hyperlink>
      <w:r>
        <w:t xml:space="preserve"> </w:t>
      </w:r>
      <w:r>
        <w:t xml:space="preserve">(accessed Oct 20, 2026).</w:t>
      </w:r>
    </w:p>
  </w:footnote>
  <w:footnote w:id="788">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789">
    <w:p>
      <w:pPr>
        <w:pStyle w:val="FootnoteText"/>
      </w:pPr>
      <w:r>
        <w:rPr>
          <w:rStyle w:val="FootnoteReference"/>
        </w:rPr>
        <w:footnoteRef/>
      </w:r>
      <w:r>
        <w:t xml:space="preserve"> </w:t>
      </w:r>
      <w:r>
        <w:t xml:space="preserve">Microsoft Learn,</w:t>
      </w:r>
      <w:r>
        <w:t xml:space="preserve"> </w:t>
      </w:r>
      <w:r>
        <w:t xml:space="preserve">“Extend or renew Microsoft Entra role assignments in Privileged Identity Management,”</w:t>
      </w:r>
      <w:r>
        <w:t xml:space="preserve"> </w:t>
      </w:r>
      <w:hyperlink r:id="rId787">
        <w:r>
          <w:rPr>
            <w:rStyle w:val="Hyperlink"/>
          </w:rPr>
          <w:t xml:space="preserve">https://learn.microsoft.com/entra/id-governance/privileged-identity-management/pim-how-to-renew-extend</w:t>
        </w:r>
      </w:hyperlink>
      <w:r>
        <w:t xml:space="preserve"> </w:t>
      </w:r>
      <w:r>
        <w:t xml:space="preserve">(accessed Oct 20, 2026).</w:t>
      </w:r>
    </w:p>
  </w:footnote>
  <w:footnote w:id="791">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797">
    <w:p>
      <w:pPr>
        <w:pStyle w:val="FootnoteText"/>
      </w:pPr>
      <w:r>
        <w:rPr>
          <w:rStyle w:val="FootnoteReference"/>
        </w:rPr>
        <w:footnoteRef/>
      </w:r>
      <w:r>
        <w:t xml:space="preserve"> </w:t>
      </w:r>
      <w:r>
        <w:t xml:space="preserve">National Institute of Standards and Technology, SP 800-53B Moderate baseline, OSCAL profile, release 5.2.0,</w:t>
      </w:r>
      <w:r>
        <w:t xml:space="preserve"> </w:t>
      </w:r>
      <w:hyperlink r:id="rId376">
        <w:r>
          <w:rPr>
            <w:rStyle w:val="Hyperlink"/>
          </w:rPr>
          <w:t xml:space="preserve">https://github.com/usnistgov/oscal-content/blob/main/nist.gov/SP800-53/rev5/json/NIST_SP-800-53_rev5_MODERATE-baseline_profile.json</w:t>
        </w:r>
      </w:hyperlink>
      <w:r>
        <w:t xml:space="preserve"> </w:t>
      </w:r>
      <w:r>
        <w:t xml:space="preserve">(accessed Oct 20, 2026).</w:t>
      </w:r>
    </w:p>
  </w:footnote>
  <w:footnote w:id="799">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79">
        <w:r>
          <w:rPr>
            <w:rStyle w:val="Hyperlink"/>
          </w:rPr>
          <w:t xml:space="preserve">https://csrc.nist.gov/pubs/sp/800/53/r5/upd1/final</w:t>
        </w:r>
      </w:hyperlink>
      <w:r>
        <w:t xml:space="preserve"> </w:t>
      </w:r>
      <w:r>
        <w:t xml:space="preserve">(accessed Oct 20, 2026).</w:t>
      </w:r>
    </w:p>
  </w:footnote>
  <w:footnote w:id="80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current release 5.2.0),</w:t>
      </w:r>
      <w:r>
        <w:t xml:space="preserve"> </w:t>
      </w:r>
      <w:hyperlink r:id="rId79">
        <w:r>
          <w:rPr>
            <w:rStyle w:val="Hyperlink"/>
          </w:rPr>
          <w:t xml:space="preserve">https://csrc.nist.gov/pubs/sp/800/53/r5/upd1/final</w:t>
        </w:r>
      </w:hyperlink>
      <w:r>
        <w:t xml:space="preserve"> </w:t>
      </w:r>
      <w:r>
        <w:t xml:space="preserve">(accessed Oct 20, 2026).</w:t>
      </w:r>
    </w:p>
  </w:footnote>
  <w:footnote w:id="802">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803">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804">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756">
        <w:r>
          <w:rPr>
            <w:rStyle w:val="Hyperlink"/>
          </w:rPr>
          <w:t xml:space="preserve">https://learn.microsoft.com/entra/id-governance/privileged-identity-management/pim-apis</w:t>
        </w:r>
      </w:hyperlink>
      <w:r>
        <w:t xml:space="preserve"> </w:t>
      </w:r>
      <w:r>
        <w:t xml:space="preserve">(accessed Oct 20, 2026).</w:t>
      </w:r>
    </w:p>
  </w:footnote>
  <w:footnote w:id="805">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806">
    <w:p>
      <w:pPr>
        <w:pStyle w:val="FootnoteText"/>
      </w:pPr>
      <w:r>
        <w:rPr>
          <w:rStyle w:val="FootnoteReference"/>
        </w:rPr>
        <w:footnoteRef/>
      </w:r>
      <w:r>
        <w:t xml:space="preserve"> </w:t>
      </w:r>
      <w:r>
        <w:t xml:space="preserve">Microsoft Learn,</w:t>
      </w:r>
      <w:r>
        <w:t xml:space="preserve"> </w:t>
      </w:r>
      <w:r>
        <w:t xml:space="preserve">“Extend or renew Microsoft Entra role assignments in Privileged Identity Management,”</w:t>
      </w:r>
      <w:r>
        <w:t xml:space="preserve"> </w:t>
      </w:r>
      <w:hyperlink r:id="rId787">
        <w:r>
          <w:rPr>
            <w:rStyle w:val="Hyperlink"/>
          </w:rPr>
          <w:t xml:space="preserve">https://learn.microsoft.com/entra/id-governance/privileged-identity-management/pim-how-to-renew-extend</w:t>
        </w:r>
      </w:hyperlink>
      <w:r>
        <w:t xml:space="preserve"> </w:t>
      </w:r>
      <w:r>
        <w:t xml:space="preserve">(accessed Oct 20, 2026).</w:t>
      </w:r>
    </w:p>
  </w:footnote>
  <w:footnote w:id="807">
    <w:p>
      <w:pPr>
        <w:pStyle w:val="FootnoteText"/>
      </w:pPr>
      <w:r>
        <w:rPr>
          <w:rStyle w:val="FootnoteReference"/>
        </w:rPr>
        <w:footnoteRef/>
      </w:r>
      <w:r>
        <w:t xml:space="preserve"> </w:t>
      </w:r>
      <w:r>
        <w:t xml:space="preserve">Microsoft Learn,</w:t>
      </w:r>
      <w:r>
        <w:t xml:space="preserve"> </w:t>
      </w:r>
      <w:r>
        <w:t xml:space="preserve">“Privileged Identity Management APIs,”</w:t>
      </w:r>
      <w:r>
        <w:t xml:space="preserve"> </w:t>
      </w:r>
      <w:hyperlink r:id="rId756">
        <w:r>
          <w:rPr>
            <w:rStyle w:val="Hyperlink"/>
          </w:rPr>
          <w:t xml:space="preserve">https://learn.microsoft.com/entra/id-governance/privileged-identity-management/pim-apis</w:t>
        </w:r>
      </w:hyperlink>
      <w:r>
        <w:t xml:space="preserve"> </w:t>
      </w:r>
      <w:r>
        <w:t xml:space="preserve">(accessed Oct 20, 2026).</w:t>
      </w:r>
    </w:p>
  </w:footnote>
  <w:footnote w:id="80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809">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hyperlink r:id="rId734">
        <w:r>
          <w:rPr>
            <w:rStyle w:val="Hyperlink"/>
          </w:rPr>
          <w:t xml:space="preserve">https://learn.microsoft.com/entra/id-governance/privileged-identity-management/pim-how-to-add-role-to-user</w:t>
        </w:r>
      </w:hyperlink>
      <w:r>
        <w:t xml:space="preserve"> </w:t>
      </w:r>
      <w:r>
        <w:t xml:space="preserve">(accessed Oct 20, 2026).</w:t>
      </w:r>
    </w:p>
  </w:footnote>
  <w:footnote w:id="810">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hyperlink r:id="rId734">
        <w:r>
          <w:rPr>
            <w:rStyle w:val="Hyperlink"/>
          </w:rPr>
          <w:t xml:space="preserve">https://learn.microsoft.com/entra/id-governance/privileged-identity-management/pim-how-to-add-role-to-user</w:t>
        </w:r>
      </w:hyperlink>
      <w:r>
        <w:t xml:space="preserve"> </w:t>
      </w:r>
      <w:r>
        <w:t xml:space="preserve">(accessed Oct 20, 2026).</w:t>
      </w:r>
    </w:p>
  </w:footnote>
  <w:footnote w:id="811">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81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813">
    <w:p>
      <w:pPr>
        <w:pStyle w:val="FootnoteText"/>
      </w:pPr>
      <w:r>
        <w:rPr>
          <w:rStyle w:val="FootnoteReference"/>
        </w:rPr>
        <w:footnoteRef/>
      </w:r>
      <w:r>
        <w:t xml:space="preserve"> </w:t>
      </w:r>
      <w:r>
        <w:t xml:space="preserve">Microsoft Learn,</w:t>
      </w:r>
      <w:r>
        <w:t xml:space="preserve"> </w:t>
      </w:r>
      <w:r>
        <w:t xml:space="preserve">“View audit history for Microsoft Entra roles in Privileged Identity Management,”</w:t>
      </w:r>
      <w:r>
        <w:t xml:space="preserve"> </w:t>
      </w:r>
      <w:hyperlink r:id="rId765">
        <w:r>
          <w:rPr>
            <w:rStyle w:val="Hyperlink"/>
          </w:rPr>
          <w:t xml:space="preserve">https://learn.microsoft.com/entra/id-governance/privileged-identity-management/pim-how-to-use-audit-log</w:t>
        </w:r>
      </w:hyperlink>
      <w:r>
        <w:t xml:space="preserve"> </w:t>
      </w:r>
      <w:r>
        <w:t xml:space="preserve">(accessed Oct 20, 2026).</w:t>
      </w:r>
    </w:p>
  </w:footnote>
  <w:footnote w:id="814">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815">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751">
        <w:r>
          <w:rPr>
            <w:rStyle w:val="Hyperlink"/>
          </w:rPr>
          <w:t xml:space="preserve">https://learn.microsoft.com/entra/id-governance/privileged-identity-management/pim-email-notifications</w:t>
        </w:r>
      </w:hyperlink>
      <w:r>
        <w:t xml:space="preserve"> </w:t>
      </w:r>
      <w:r>
        <w:t xml:space="preserve">(accessed Oct 20, 2026).</w:t>
      </w:r>
    </w:p>
  </w:footnote>
  <w:footnote w:id="816">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“Privileged Identity Management,”</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17">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738">
        <w:r>
          <w:rPr>
            <w:rStyle w:val="Hyperlink"/>
          </w:rPr>
          <w:t xml:space="preserve">https://learn.microsoft.com/entra/identity/role-based-access-control/protected-actions-overview</w:t>
        </w:r>
      </w:hyperlink>
      <w:r>
        <w:t xml:space="preserve"> </w:t>
      </w:r>
      <w:r>
        <w:t xml:space="preserve">(accessed Oct 20, 2026).</w:t>
      </w:r>
    </w:p>
  </w:footnote>
  <w:footnote w:id="818">
    <w:p>
      <w:pPr>
        <w:pStyle w:val="FootnoteText"/>
      </w:pPr>
      <w:r>
        <w:rPr>
          <w:rStyle w:val="FootnoteReference"/>
        </w:rPr>
        <w:footnoteRef/>
      </w:r>
      <w:r>
        <w:t xml:space="preserve"> </w:t>
      </w:r>
      <w:r>
        <w:t xml:space="preserve">Microsoft Learn,</w:t>
      </w:r>
      <w:r>
        <w:t xml:space="preserve"> </w:t>
      </w:r>
      <w:r>
        <w:t xml:space="preserve">“Add, test, or remove protected actions in Microsoft Entra ID,”</w:t>
      </w:r>
      <w:r>
        <w:t xml:space="preserve"> </w:t>
      </w:r>
      <w:hyperlink r:id="rId741">
        <w:r>
          <w:rPr>
            <w:rStyle w:val="Hyperlink"/>
          </w:rPr>
          <w:t xml:space="preserve">https://learn.microsoft.com/entra/identity/role-based-access-control/protected-actions-add</w:t>
        </w:r>
      </w:hyperlink>
      <w:r>
        <w:t xml:space="preserve"> </w:t>
      </w:r>
      <w:r>
        <w:t xml:space="preserve">(accessed Oct 20, 2026).</w:t>
      </w:r>
    </w:p>
  </w:footnote>
  <w:footnote w:id="823">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641">
        <w:r>
          <w:rPr>
            <w:rStyle w:val="Hyperlink"/>
          </w:rPr>
          <w:t xml:space="preserve">https://fedramp.gov/2026/reference/controls/access-control/</w:t>
        </w:r>
      </w:hyperlink>
      <w:r>
        <w:t xml:space="preserve"> </w:t>
      </w:r>
      <w:r>
        <w:t xml:space="preserve">(accessed Oct 20, 2026).</w:t>
      </w:r>
    </w:p>
  </w:footnote>
  <w:footnote w:id="82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2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3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3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3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3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35">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533">
        <w:r>
          <w:rPr>
            <w:rStyle w:val="Hyperlink"/>
          </w:rPr>
          <w:t xml:space="preserve">https://learn.microsoft.com/entra/identity/enterprise-apps/assign-user-or-group-access-portal</w:t>
        </w:r>
      </w:hyperlink>
      <w:r>
        <w:t xml:space="preserve"> </w:t>
      </w:r>
      <w:r>
        <w:t xml:space="preserve">(accessed Oct 20, 2026).</w:t>
      </w:r>
    </w:p>
  </w:footnote>
  <w:footnote w:id="836">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39">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641">
        <w:r>
          <w:rPr>
            <w:rStyle w:val="Hyperlink"/>
          </w:rPr>
          <w:t xml:space="preserve">https://fedramp.gov/2026/reference/controls/access-control/</w:t>
        </w:r>
      </w:hyperlink>
      <w:r>
        <w:t xml:space="preserve"> </w:t>
      </w:r>
      <w:r>
        <w:t xml:space="preserve">(accessed Oct 20, 2026).</w:t>
      </w:r>
    </w:p>
  </w:footnote>
  <w:footnote w:id="842">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843">
        <w:r>
          <w:rPr>
            <w:rStyle w:val="Hyperlink"/>
          </w:rPr>
          <w:t xml:space="preserve">https://learn.microsoft.com/entra/id-governance/entitlement-management-overview</w:t>
        </w:r>
      </w:hyperlink>
      <w:r>
        <w:t xml:space="preserve"> </w:t>
      </w:r>
      <w:r>
        <w:t xml:space="preserve">(accessed Oct 20, 2026).</w:t>
      </w:r>
    </w:p>
  </w:footnote>
  <w:footnote w:id="844">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843">
        <w:r>
          <w:rPr>
            <w:rStyle w:val="Hyperlink"/>
          </w:rPr>
          <w:t xml:space="preserve">https://learn.microsoft.com/entra/id-governance/entitlement-management-overview</w:t>
        </w:r>
      </w:hyperlink>
      <w:r>
        <w:t xml:space="preserve"> </w:t>
      </w:r>
      <w:r>
        <w:t xml:space="preserve">(accessed Oct 20, 2026).</w:t>
      </w:r>
    </w:p>
  </w:footnote>
  <w:footnote w:id="845">
    <w:p>
      <w:pPr>
        <w:pStyle w:val="FootnoteText"/>
      </w:pPr>
      <w:r>
        <w:rPr>
          <w:rStyle w:val="FootnoteReference"/>
        </w:rPr>
        <w:footnoteRef/>
      </w:r>
      <w:r>
        <w:t xml:space="preserve"> </w:t>
      </w:r>
      <w:r>
        <w:t xml:space="preserve">Microsoft Learn,</w:t>
      </w:r>
      <w:r>
        <w:t xml:space="preserve"> </w:t>
      </w:r>
      <w:r>
        <w:t xml:space="preserve">“Delegate access governance to access package managers in entitlement management,”</w:t>
      </w:r>
      <w:r>
        <w:t xml:space="preserve"> </w:t>
      </w:r>
      <w:hyperlink r:id="rId846">
        <w:r>
          <w:rPr>
            <w:rStyle w:val="Hyperlink"/>
          </w:rPr>
          <w:t xml:space="preserve">https://learn.microsoft.com/entra/id-governance/entitlement-management-delegate-managers</w:t>
        </w:r>
      </w:hyperlink>
      <w:r>
        <w:t xml:space="preserve"> </w:t>
      </w:r>
      <w:r>
        <w:t xml:space="preserve">(accessed Oct 20, 2026).</w:t>
      </w:r>
    </w:p>
  </w:footnote>
  <w:footnote w:id="847">
    <w:p>
      <w:pPr>
        <w:pStyle w:val="FootnoteText"/>
      </w:pPr>
      <w:r>
        <w:rPr>
          <w:rStyle w:val="FootnoteReference"/>
        </w:rPr>
        <w:footnoteRef/>
      </w:r>
      <w:r>
        <w:t xml:space="preserve"> </w:t>
      </w:r>
      <w:r>
        <w:t xml:space="preserve">Microsoft Learn,</w:t>
      </w:r>
      <w:r>
        <w:t xml:space="preserve"> </w:t>
      </w:r>
      <w:r>
        <w:t xml:space="preserve">“Create an access package in entitlement management,”</w:t>
      </w:r>
      <w:r>
        <w:t xml:space="preserve"> </w:t>
      </w:r>
      <w:hyperlink r:id="rId848">
        <w:r>
          <w:rPr>
            <w:rStyle w:val="Hyperlink"/>
          </w:rPr>
          <w:t xml:space="preserve">https://learn.microsoft.com/entra/id-governance/entitlement-management-access-package-create</w:t>
        </w:r>
      </w:hyperlink>
      <w:r>
        <w:t xml:space="preserve"> </w:t>
      </w:r>
      <w:r>
        <w:t xml:space="preserve">(accessed Oct 20, 2026).</w:t>
      </w:r>
    </w:p>
  </w:footnote>
  <w:footnote w:id="849">
    <w:p>
      <w:pPr>
        <w:pStyle w:val="FootnoteText"/>
      </w:pPr>
      <w:r>
        <w:rPr>
          <w:rStyle w:val="FootnoteReference"/>
        </w:rPr>
        <w:footnoteRef/>
      </w:r>
      <w:r>
        <w:t xml:space="preserve"> </w:t>
      </w:r>
      <w:r>
        <w:t xml:space="preserve">Microsoft Learn,</w:t>
      </w:r>
      <w:r>
        <w:t xml:space="preserve"> </w:t>
      </w:r>
      <w:r>
        <w:t xml:space="preserve">“accessPackageCatalog resource type,”</w:t>
      </w:r>
      <w:r>
        <w:t xml:space="preserve"> </w:t>
      </w:r>
      <w:hyperlink r:id="rId850">
        <w:r>
          <w:rPr>
            <w:rStyle w:val="Hyperlink"/>
          </w:rPr>
          <w:t xml:space="preserve">https://learn.microsoft.com/graph/api/resources/accesspackagecatalog?view=graph-rest-1.0</w:t>
        </w:r>
      </w:hyperlink>
      <w:r>
        <w:t xml:space="preserve"> </w:t>
      </w:r>
      <w:r>
        <w:t xml:space="preserve">(accessed Oct 20, 2026).</w:t>
      </w:r>
    </w:p>
  </w:footnote>
  <w:footnote w:id="852">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843">
        <w:r>
          <w:rPr>
            <w:rStyle w:val="Hyperlink"/>
          </w:rPr>
          <w:t xml:space="preserve">https://learn.microsoft.com/entra/id-governance/entitlement-management-overview</w:t>
        </w:r>
      </w:hyperlink>
      <w:r>
        <w:t xml:space="preserve"> </w:t>
      </w:r>
      <w:r>
        <w:t xml:space="preserve">(accessed Oct 20, 2026).</w:t>
      </w:r>
    </w:p>
  </w:footnote>
  <w:footnote w:id="85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54">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843">
        <w:r>
          <w:rPr>
            <w:rStyle w:val="Hyperlink"/>
          </w:rPr>
          <w:t xml:space="preserve">https://learn.microsoft.com/entra/id-governance/entitlement-management-overview</w:t>
        </w:r>
      </w:hyperlink>
      <w:r>
        <w:t xml:space="preserve"> </w:t>
      </w:r>
      <w:r>
        <w:t xml:space="preserve">(accessed Oct 20, 2026).</w:t>
      </w:r>
    </w:p>
  </w:footnote>
  <w:footnote w:id="856">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hyperlink r:id="rId857">
        <w:r>
          <w:rPr>
            <w:rStyle w:val="Hyperlink"/>
          </w:rPr>
          <w:t xml:space="preserve">https://learn.microsoft.com/entra/id-governance/entitlement-management-access-package-approval-policy</w:t>
        </w:r>
      </w:hyperlink>
      <w:r>
        <w:t xml:space="preserve"> </w:t>
      </w:r>
      <w:r>
        <w:t xml:space="preserve">(accessed Oct 20, 2026).</w:t>
      </w:r>
    </w:p>
  </w:footnote>
  <w:footnote w:id="858">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843">
        <w:r>
          <w:rPr>
            <w:rStyle w:val="Hyperlink"/>
          </w:rPr>
          <w:t xml:space="preserve">https://learn.microsoft.com/entra/id-governance/entitlement-management-overview</w:t>
        </w:r>
      </w:hyperlink>
      <w:r>
        <w:t xml:space="preserve"> </w:t>
      </w:r>
      <w:r>
        <w:t xml:space="preserve">(accessed Oct 20, 2026).</w:t>
      </w:r>
    </w:p>
  </w:footnote>
  <w:footnote w:id="859">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61">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hyperlink r:id="rId857">
        <w:r>
          <w:rPr>
            <w:rStyle w:val="Hyperlink"/>
          </w:rPr>
          <w:t xml:space="preserve">https://learn.microsoft.com/entra/id-governance/entitlement-management-access-package-approval-policy</w:t>
        </w:r>
      </w:hyperlink>
      <w:r>
        <w:t xml:space="preserve"> </w:t>
      </w:r>
      <w:r>
        <w:t xml:space="preserve">(accessed Oct 20, 2026).</w:t>
      </w:r>
    </w:p>
  </w:footnote>
  <w:footnote w:id="862">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hyperlink r:id="rId857">
        <w:r>
          <w:rPr>
            <w:rStyle w:val="Hyperlink"/>
          </w:rPr>
          <w:t xml:space="preserve">https://learn.microsoft.com/entra/id-governance/entitlement-management-access-package-approval-policy</w:t>
        </w:r>
      </w:hyperlink>
      <w:r>
        <w:t xml:space="preserve"> </w:t>
      </w:r>
      <w:r>
        <w:t xml:space="preserve">(accessed Oct 20, 2026).</w:t>
      </w:r>
    </w:p>
  </w:footnote>
  <w:footnote w:id="864">
    <w:p>
      <w:pPr>
        <w:pStyle w:val="FootnoteText"/>
      </w:pPr>
      <w:r>
        <w:rPr>
          <w:rStyle w:val="FootnoteReference"/>
        </w:rPr>
        <w:footnoteRef/>
      </w:r>
      <w:r>
        <w:t xml:space="preserve"> </w:t>
      </w:r>
      <w:r>
        <w:t xml:space="preserve">Microsoft Learn,</w:t>
      </w:r>
      <w:r>
        <w:t xml:space="preserve"> </w:t>
      </w:r>
      <w:r>
        <w:t xml:space="preserve">“Change lifecycle settings for an access package in entitlement management,”</w:t>
      </w:r>
      <w:r>
        <w:t xml:space="preserve"> </w:t>
      </w:r>
      <w:hyperlink r:id="rId865">
        <w:r>
          <w:rPr>
            <w:rStyle w:val="Hyperlink"/>
          </w:rPr>
          <w:t xml:space="preserve">https://learn.microsoft.com/entra/id-governance/entitlement-management-access-package-lifecycle-policy</w:t>
        </w:r>
      </w:hyperlink>
      <w:r>
        <w:t xml:space="preserve"> </w:t>
      </w:r>
      <w:r>
        <w:t xml:space="preserve">(accessed Oct 20, 2026).</w:t>
      </w:r>
    </w:p>
  </w:footnote>
  <w:footnote w:id="866">
    <w:p>
      <w:pPr>
        <w:pStyle w:val="FootnoteText"/>
      </w:pPr>
      <w:r>
        <w:rPr>
          <w:rStyle w:val="FootnoteReference"/>
        </w:rPr>
        <w:footnoteRef/>
      </w:r>
      <w:r>
        <w:t xml:space="preserve"> </w:t>
      </w:r>
      <w:r>
        <w:t xml:space="preserve">Microsoft Learn,</w:t>
      </w:r>
      <w:r>
        <w:t xml:space="preserve"> </w:t>
      </w:r>
      <w:r>
        <w:t xml:space="preserve">“Change lifecycle settings for an access package in entitlement management,”</w:t>
      </w:r>
      <w:r>
        <w:t xml:space="preserve"> </w:t>
      </w:r>
      <w:hyperlink r:id="rId865">
        <w:r>
          <w:rPr>
            <w:rStyle w:val="Hyperlink"/>
          </w:rPr>
          <w:t xml:space="preserve">https://learn.microsoft.com/entra/id-governance/entitlement-management-access-package-lifecycle-policy</w:t>
        </w:r>
      </w:hyperlink>
      <w:r>
        <w:t xml:space="preserve"> </w:t>
      </w:r>
      <w:r>
        <w:t xml:space="preserve">(accessed Oct 20, 2026).</w:t>
      </w:r>
    </w:p>
  </w:footnote>
  <w:footnote w:id="867">
    <w:p>
      <w:pPr>
        <w:pStyle w:val="FootnoteText"/>
      </w:pPr>
      <w:r>
        <w:rPr>
          <w:rStyle w:val="FootnoteReference"/>
        </w:rPr>
        <w:footnoteRef/>
      </w:r>
      <w:r>
        <w:t xml:space="preserve"> </w:t>
      </w:r>
      <w:r>
        <w:t xml:space="preserve">Microsoft Learn,</w:t>
      </w:r>
      <w:r>
        <w:t xml:space="preserve"> </w:t>
      </w:r>
      <w:r>
        <w:t xml:space="preserve">“Change lifecycle settings for an access package in entitlement management,”</w:t>
      </w:r>
      <w:r>
        <w:t xml:space="preserve"> </w:t>
      </w:r>
      <w:hyperlink r:id="rId865">
        <w:r>
          <w:rPr>
            <w:rStyle w:val="Hyperlink"/>
          </w:rPr>
          <w:t xml:space="preserve">https://learn.microsoft.com/entra/id-governance/entitlement-management-access-package-lifecycle-policy</w:t>
        </w:r>
      </w:hyperlink>
      <w:r>
        <w:t xml:space="preserve"> </w:t>
      </w:r>
      <w:r>
        <w:t xml:space="preserve">(accessed Oct 20, 2026).</w:t>
      </w:r>
    </w:p>
  </w:footnote>
  <w:footnote w:id="868">
    <w:p>
      <w:pPr>
        <w:pStyle w:val="FootnoteText"/>
      </w:pPr>
      <w:r>
        <w:rPr>
          <w:rStyle w:val="FootnoteReference"/>
        </w:rPr>
        <w:footnoteRef/>
      </w:r>
      <w:r>
        <w:t xml:space="preserve"> </w:t>
      </w:r>
      <w:r>
        <w:t xml:space="preserve">Microsoft Learn,</w:t>
      </w:r>
      <w:r>
        <w:t xml:space="preserve"> </w:t>
      </w:r>
      <w:r>
        <w:t xml:space="preserve">“Manage external access with Microsoft Entra entitlement management,”</w:t>
      </w:r>
      <w:r>
        <w:t xml:space="preserve"> </w:t>
      </w:r>
      <w:hyperlink r:id="rId869">
        <w:r>
          <w:rPr>
            <w:rStyle w:val="Hyperlink"/>
          </w:rPr>
          <w:t xml:space="preserve">https://learn.microsoft.com/entra/architecture/6-secure-access-entitlement-managment</w:t>
        </w:r>
      </w:hyperlink>
      <w:r>
        <w:t xml:space="preserve"> </w:t>
      </w:r>
      <w:r>
        <w:t xml:space="preserve">(accessed Oct 20, 2026).</w:t>
      </w:r>
    </w:p>
  </w:footnote>
  <w:footnote w:id="871">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2">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3">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4">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5">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6">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7">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860">
        <w:r>
          <w:rPr>
            <w:rStyle w:val="Hyperlink"/>
          </w:rPr>
          <w:t xml:space="preserve">https://learn.microsoft.com/entra/id-governance/entitlement-management-access-package-incompatible</w:t>
        </w:r>
      </w:hyperlink>
      <w:r>
        <w:t xml:space="preserve"> </w:t>
      </w:r>
      <w:r>
        <w:t xml:space="preserve">(accessed Oct 20, 2026).</w:t>
      </w:r>
    </w:p>
  </w:footnote>
  <w:footnote w:id="879">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843">
        <w:r>
          <w:rPr>
            <w:rStyle w:val="Hyperlink"/>
          </w:rPr>
          <w:t xml:space="preserve">https://learn.microsoft.com/entra/id-governance/entitlement-management-overview</w:t>
        </w:r>
      </w:hyperlink>
      <w:r>
        <w:t xml:space="preserve"> </w:t>
      </w:r>
      <w:r>
        <w:t xml:space="preserve">(accessed Oct 20, 2026).</w:t>
      </w:r>
    </w:p>
  </w:footnote>
  <w:footnote w:id="88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83">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88">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8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890">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91">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92">
    <w:p>
      <w:pPr>
        <w:pStyle w:val="FootnoteText"/>
      </w:pPr>
      <w:r>
        <w:rPr>
          <w:rStyle w:val="FootnoteReference"/>
        </w:rPr>
        <w:footnoteRef/>
      </w:r>
      <w:r>
        <w:t xml:space="preserve"> </w:t>
      </w:r>
      <w:r>
        <w:t xml:space="preserve">Microsoft Learn,</w:t>
      </w:r>
      <w:r>
        <w:t xml:space="preserve"> </w:t>
      </w:r>
      <w:r>
        <w:t xml:space="preserve">“Access reviews - FAQs,”</w:t>
      </w:r>
      <w:r>
        <w:t xml:space="preserve"> </w:t>
      </w:r>
      <w:hyperlink r:id="rId893">
        <w:r>
          <w:rPr>
            <w:rStyle w:val="Hyperlink"/>
          </w:rPr>
          <w:t xml:space="preserve">https://learn.microsoft.com/entra/id-governance/access-reviews-faqs</w:t>
        </w:r>
      </w:hyperlink>
      <w:r>
        <w:t xml:space="preserve"> </w:t>
      </w:r>
      <w:r>
        <w:t xml:space="preserve">(accessed Oct 20, 2026).</w:t>
      </w:r>
    </w:p>
  </w:footnote>
  <w:footnote w:id="895">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96">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97">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98">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899">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1">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2">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3">
    <w:p>
      <w:pPr>
        <w:pStyle w:val="FootnoteText"/>
      </w:pPr>
      <w:r>
        <w:rPr>
          <w:rStyle w:val="FootnoteReference"/>
        </w:rPr>
        <w:footnoteRef/>
      </w:r>
      <w:r>
        <w:t xml:space="preserve"> </w:t>
      </w:r>
      <w:r>
        <w:t xml:space="preserve">Microsoft Learn,</w:t>
      </w:r>
      <w:r>
        <w:t xml:space="preserve"> </w:t>
      </w:r>
      <w:r>
        <w:t xml:space="preserve">“Manage external access with Microsoft Entra entitlement management,”</w:t>
      </w:r>
      <w:r>
        <w:t xml:space="preserve"> </w:t>
      </w:r>
      <w:hyperlink r:id="rId869">
        <w:r>
          <w:rPr>
            <w:rStyle w:val="Hyperlink"/>
          </w:rPr>
          <w:t xml:space="preserve">https://learn.microsoft.com/entra/architecture/6-secure-access-entitlement-managment</w:t>
        </w:r>
      </w:hyperlink>
      <w:r>
        <w:t xml:space="preserve"> </w:t>
      </w:r>
      <w:r>
        <w:t xml:space="preserve">(accessed Oct 20, 2026).</w:t>
      </w:r>
    </w:p>
  </w:footnote>
  <w:footnote w:id="905">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6">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7">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8">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09">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1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911">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15">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916">
        <w:r>
          <w:rPr>
            <w:rStyle w:val="Hyperlink"/>
          </w:rPr>
          <w:t xml:space="preserve">https://learn.microsoft.com/entra/id-governance/lifecycle-workflow-execution-conditions</w:t>
        </w:r>
      </w:hyperlink>
      <w:r>
        <w:t xml:space="preserve"> </w:t>
      </w:r>
      <w:r>
        <w:t xml:space="preserve">(accessed Oct 20, 2026).</w:t>
      </w:r>
    </w:p>
  </w:footnote>
  <w:footnote w:id="917">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18">
        <w:r>
          <w:rPr>
            <w:rStyle w:val="Hyperlink"/>
          </w:rPr>
          <w:t xml:space="preserve">https://learn.microsoft.com/entra/id-governance/lifecycle-workflow-tasks</w:t>
        </w:r>
      </w:hyperlink>
      <w:r>
        <w:t xml:space="preserve"> </w:t>
      </w:r>
      <w:r>
        <w:t xml:space="preserve">(accessed Oct 20, 2026).</w:t>
      </w:r>
    </w:p>
  </w:footnote>
  <w:footnote w:id="919">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920">
        <w:r>
          <w:rPr>
            <w:rStyle w:val="Hyperlink"/>
          </w:rPr>
          <w:t xml:space="preserve">https://learn.microsoft.com/entra/id-governance/lifecycle-workflow-templates</w:t>
        </w:r>
      </w:hyperlink>
      <w:r>
        <w:t xml:space="preserve"> </w:t>
      </w:r>
      <w:r>
        <w:t xml:space="preserve">(accessed Oct 20, 2026).</w:t>
      </w:r>
    </w:p>
  </w:footnote>
  <w:footnote w:id="921">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920">
        <w:r>
          <w:rPr>
            <w:rStyle w:val="Hyperlink"/>
          </w:rPr>
          <w:t xml:space="preserve">https://learn.microsoft.com/entra/id-governance/lifecycle-workflow-templates</w:t>
        </w:r>
      </w:hyperlink>
      <w:r>
        <w:t xml:space="preserve"> </w:t>
      </w:r>
      <w:r>
        <w:t xml:space="preserve">(accessed Oct 20, 2026).</w:t>
      </w:r>
    </w:p>
  </w:footnote>
  <w:footnote w:id="92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924">
    <w:p>
      <w:pPr>
        <w:pStyle w:val="FootnoteText"/>
      </w:pPr>
      <w:r>
        <w:rPr>
          <w:rStyle w:val="FootnoteReference"/>
        </w:rPr>
        <w:footnoteRef/>
      </w:r>
      <w:r>
        <w:t xml:space="preserve"> </w:t>
      </w:r>
      <w:r>
        <w:t xml:space="preserve">Microsoft Learn,</w:t>
      </w:r>
      <w:r>
        <w:t xml:space="preserve"> </w:t>
      </w:r>
      <w:r>
        <w:t xml:space="preserve">“Govern access for external users in entitlement management,”</w:t>
      </w:r>
      <w:r>
        <w:t xml:space="preserve"> </w:t>
      </w:r>
      <w:hyperlink r:id="rId925">
        <w:r>
          <w:rPr>
            <w:rStyle w:val="Hyperlink"/>
          </w:rPr>
          <w:t xml:space="preserve">https://learn.microsoft.com/entra/id-governance/entitlement-management-external-users</w:t>
        </w:r>
      </w:hyperlink>
      <w:r>
        <w:t xml:space="preserve"> </w:t>
      </w:r>
      <w:r>
        <w:t xml:space="preserve">(accessed Oct 20, 2026).</w:t>
      </w:r>
    </w:p>
  </w:footnote>
  <w:footnote w:id="926">
    <w:p>
      <w:pPr>
        <w:pStyle w:val="FootnoteText"/>
      </w:pPr>
      <w:r>
        <w:rPr>
          <w:rStyle w:val="FootnoteReference"/>
        </w:rPr>
        <w:footnoteRef/>
      </w:r>
      <w:r>
        <w:t xml:space="preserve"> </w:t>
      </w:r>
      <w:r>
        <w:t xml:space="preserve">Microsoft Learn,</w:t>
      </w:r>
      <w:r>
        <w:t xml:space="preserve"> </w:t>
      </w:r>
      <w:r>
        <w:t xml:space="preserve">“Govern access for external users in entitlement management,”</w:t>
      </w:r>
      <w:r>
        <w:t xml:space="preserve"> </w:t>
      </w:r>
      <w:hyperlink r:id="rId925">
        <w:r>
          <w:rPr>
            <w:rStyle w:val="Hyperlink"/>
          </w:rPr>
          <w:t xml:space="preserve">https://learn.microsoft.com/entra/id-governance/entitlement-management-external-users</w:t>
        </w:r>
      </w:hyperlink>
      <w:r>
        <w:t xml:space="preserve"> </w:t>
      </w:r>
      <w:r>
        <w:t xml:space="preserve">(accessed Oct 20, 2026).</w:t>
      </w:r>
    </w:p>
  </w:footnote>
  <w:footnote w:id="927">
    <w:p>
      <w:pPr>
        <w:pStyle w:val="FootnoteText"/>
      </w:pPr>
      <w:r>
        <w:rPr>
          <w:rStyle w:val="FootnoteReference"/>
        </w:rPr>
        <w:footnoteRef/>
      </w:r>
      <w:r>
        <w:t xml:space="preserve"> </w:t>
      </w:r>
      <w:r>
        <w:t xml:space="preserve">Microsoft Learn,</w:t>
      </w:r>
      <w:r>
        <w:t xml:space="preserve"> </w:t>
      </w:r>
      <w:r>
        <w:t xml:space="preserve">“Manage guest user lifecycle,”</w:t>
      </w:r>
      <w:r>
        <w:t xml:space="preserve"> </w:t>
      </w:r>
      <w:hyperlink r:id="rId928">
        <w:r>
          <w:rPr>
            <w:rStyle w:val="Hyperlink"/>
          </w:rPr>
          <w:t xml:space="preserve">https://learn.microsoft.com/entra/id-governance/entitlement-management-access-package-manage-lifecycle</w:t>
        </w:r>
      </w:hyperlink>
      <w:r>
        <w:t xml:space="preserve"> </w:t>
      </w:r>
      <w:r>
        <w:t xml:space="preserve">(accessed Oct 20, 2026).</w:t>
      </w:r>
    </w:p>
  </w:footnote>
  <w:footnote w:id="929">
    <w:p>
      <w:pPr>
        <w:pStyle w:val="FootnoteText"/>
      </w:pPr>
      <w:r>
        <w:rPr>
          <w:rStyle w:val="FootnoteReference"/>
        </w:rPr>
        <w:footnoteRef/>
      </w:r>
      <w:r>
        <w:t xml:space="preserve"> </w:t>
      </w:r>
      <w:r>
        <w:t xml:space="preserve">Microsoft Learn,</w:t>
      </w:r>
      <w:r>
        <w:t xml:space="preserve"> </w:t>
      </w:r>
      <w:r>
        <w:t xml:space="preserve">“Govern access for external users in entitlement management,”</w:t>
      </w:r>
      <w:r>
        <w:t xml:space="preserve"> </w:t>
      </w:r>
      <w:hyperlink r:id="rId925">
        <w:r>
          <w:rPr>
            <w:rStyle w:val="Hyperlink"/>
          </w:rPr>
          <w:t xml:space="preserve">https://learn.microsoft.com/entra/id-governance/entitlement-management-external-users</w:t>
        </w:r>
      </w:hyperlink>
      <w:r>
        <w:t xml:space="preserve"> </w:t>
      </w:r>
      <w:r>
        <w:t xml:space="preserve">(accessed Oct 20, 2026).</w:t>
      </w:r>
    </w:p>
  </w:footnote>
  <w:footnote w:id="93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931">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32">
    <w:p>
      <w:pPr>
        <w:pStyle w:val="FootnoteText"/>
      </w:pPr>
      <w:r>
        <w:rPr>
          <w:rStyle w:val="FootnoteReference"/>
        </w:rPr>
        <w:footnoteRef/>
      </w:r>
      <w:r>
        <w:t xml:space="preserve"> </w:t>
      </w:r>
      <w:r>
        <w:t xml:space="preserve">Microsoft Learn,</w:t>
      </w:r>
      <w:r>
        <w:t xml:space="preserve"> </w:t>
      </w:r>
      <w:r>
        <w:t xml:space="preserve">“Guest lifecycle policies in Lifecycle Workflows (preview),”</w:t>
      </w:r>
      <w:r>
        <w:t xml:space="preserve"> </w:t>
      </w:r>
      <w:hyperlink r:id="rId933">
        <w:r>
          <w:rPr>
            <w:rStyle w:val="Hyperlink"/>
          </w:rPr>
          <w:t xml:space="preserve">https://learn.microsoft.com/entra/id-governance/guest-lifecycle-policies</w:t>
        </w:r>
      </w:hyperlink>
      <w:r>
        <w:t xml:space="preserve"> </w:t>
      </w:r>
      <w:r>
        <w:t xml:space="preserve">(accessed Oct 20, 2026).</w:t>
      </w:r>
    </w:p>
  </w:footnote>
  <w:footnote w:id="93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28">
        <w:r>
          <w:rPr>
            <w:rStyle w:val="Hyperlink"/>
          </w:rPr>
          <w:t xml:space="preserve">https://learn.microsoft.com/entra/id-governance/licensing-fundamentals</w:t>
        </w:r>
      </w:hyperlink>
      <w:r>
        <w:t xml:space="preserve"> </w:t>
      </w:r>
      <w:r>
        <w:t xml:space="preserve">(accessed Oct 20, 2026).</w:t>
      </w:r>
    </w:p>
  </w:footnote>
  <w:footnote w:id="936">
    <w:p>
      <w:pPr>
        <w:pStyle w:val="FootnoteText"/>
      </w:pPr>
      <w:r>
        <w:rPr>
          <w:rStyle w:val="FootnoteReference"/>
        </w:rPr>
        <w:footnoteRef/>
      </w:r>
      <w:r>
        <w:t xml:space="preserve"> </w:t>
      </w:r>
      <w:r>
        <w:t xml:space="preserve">Microsoft Learn,</w:t>
      </w:r>
      <w:r>
        <w:t xml:space="preserve"> </w:t>
      </w:r>
      <w:r>
        <w:t xml:space="preserve">“Complete an access review of groups and applications in access reviews,”</w:t>
      </w:r>
      <w:r>
        <w:t xml:space="preserve"> </w:t>
      </w:r>
      <w:hyperlink r:id="rId937">
        <w:r>
          <w:rPr>
            <w:rStyle w:val="Hyperlink"/>
          </w:rPr>
          <w:t xml:space="preserve">https://learn.microsoft.com/entra/id-governance/complete-access-review</w:t>
        </w:r>
      </w:hyperlink>
      <w:r>
        <w:t xml:space="preserve"> </w:t>
      </w:r>
      <w:r>
        <w:t xml:space="preserve">(accessed Oct 20, 2026).</w:t>
      </w:r>
    </w:p>
  </w:footnote>
  <w:footnote w:id="938">
    <w:p>
      <w:pPr>
        <w:pStyle w:val="FootnoteText"/>
      </w:pPr>
      <w:r>
        <w:rPr>
          <w:rStyle w:val="FootnoteReference"/>
        </w:rPr>
        <w:footnoteRef/>
      </w:r>
      <w:r>
        <w:t xml:space="preserve"> </w:t>
      </w:r>
      <w:r>
        <w:t xml:space="preserve">Microsoft Learn,</w:t>
      </w:r>
      <w:r>
        <w:t xml:space="preserve"> </w:t>
      </w:r>
      <w:r>
        <w:t xml:space="preserve">“Complete an access review of groups and applications in access reviews,”</w:t>
      </w:r>
      <w:r>
        <w:t xml:space="preserve"> </w:t>
      </w:r>
      <w:hyperlink r:id="rId937">
        <w:r>
          <w:rPr>
            <w:rStyle w:val="Hyperlink"/>
          </w:rPr>
          <w:t xml:space="preserve">https://learn.microsoft.com/entra/id-governance/complete-access-review</w:t>
        </w:r>
      </w:hyperlink>
      <w:r>
        <w:t xml:space="preserve"> </w:t>
      </w:r>
      <w:r>
        <w:t xml:space="preserve">(accessed Oct 20, 2026).</w:t>
      </w:r>
    </w:p>
  </w:footnote>
  <w:footnote w:id="939">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940">
        <w:r>
          <w:rPr>
            <w:rStyle w:val="Hyperlink"/>
          </w:rPr>
          <w:t xml:space="preserve">https://learn.microsoft.com/entra/id-governance/access-reviews-downloadable-review-history</w:t>
        </w:r>
      </w:hyperlink>
      <w:r>
        <w:t xml:space="preserve"> </w:t>
      </w:r>
      <w:r>
        <w:t xml:space="preserve">(accessed Oct 20, 2026).</w:t>
      </w:r>
    </w:p>
  </w:footnote>
  <w:footnote w:id="941">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940">
        <w:r>
          <w:rPr>
            <w:rStyle w:val="Hyperlink"/>
          </w:rPr>
          <w:t xml:space="preserve">https://learn.microsoft.com/entra/id-governance/access-reviews-downloadable-review-history</w:t>
        </w:r>
      </w:hyperlink>
      <w:r>
        <w:t xml:space="preserve"> </w:t>
      </w:r>
      <w:r>
        <w:t xml:space="preserve">(accessed Oct 20, 2026).</w:t>
      </w:r>
    </w:p>
  </w:footnote>
  <w:footnote w:id="942">
    <w:p>
      <w:pPr>
        <w:pStyle w:val="FootnoteText"/>
      </w:pPr>
      <w:r>
        <w:rPr>
          <w:rStyle w:val="FootnoteReference"/>
        </w:rPr>
        <w:footnoteRef/>
      </w:r>
      <w:r>
        <w:t xml:space="preserve"> </w:t>
      </w:r>
      <w:r>
        <w:t xml:space="preserve">Microsoft Learn,</w:t>
      </w:r>
      <w:r>
        <w:t xml:space="preserve"> </w:t>
      </w:r>
      <w:r>
        <w:t xml:space="preserve">“Plan a Microsoft Entra access reviews deployment,”</w:t>
      </w:r>
      <w:r>
        <w:t xml:space="preserve"> </w:t>
      </w:r>
      <w:hyperlink r:id="rId943">
        <w:r>
          <w:rPr>
            <w:rStyle w:val="Hyperlink"/>
          </w:rPr>
          <w:t xml:space="preserve">https://learn.microsoft.com/entra/id-governance/deploy-access-reviews</w:t>
        </w:r>
      </w:hyperlink>
      <w:r>
        <w:t xml:space="preserve"> </w:t>
      </w:r>
      <w:r>
        <w:t xml:space="preserve">(accessed Oct 20, 2026).</w:t>
      </w:r>
    </w:p>
  </w:footnote>
  <w:footnote w:id="944">
    <w:p>
      <w:pPr>
        <w:pStyle w:val="FootnoteText"/>
      </w:pPr>
      <w:r>
        <w:rPr>
          <w:rStyle w:val="FootnoteReference"/>
        </w:rPr>
        <w:footnoteRef/>
      </w:r>
      <w:r>
        <w:t xml:space="preserve"> </w:t>
      </w:r>
      <w:r>
        <w:t xml:space="preserve">Microsoft Learn,</w:t>
      </w:r>
      <w:r>
        <w:t xml:space="preserve"> </w:t>
      </w:r>
      <w:r>
        <w:t xml:space="preserve">“View reports and logs in entitlement management,”</w:t>
      </w:r>
      <w:r>
        <w:t xml:space="preserve"> </w:t>
      </w:r>
      <w:hyperlink r:id="rId945">
        <w:r>
          <w:rPr>
            <w:rStyle w:val="Hyperlink"/>
          </w:rPr>
          <w:t xml:space="preserve">https://learn.microsoft.com/entra/id-governance/entitlement-management-reports</w:t>
        </w:r>
      </w:hyperlink>
      <w:r>
        <w:t xml:space="preserve"> </w:t>
      </w:r>
      <w:r>
        <w:t xml:space="preserve">(accessed Oct 20, 2026).</w:t>
      </w:r>
    </w:p>
  </w:footnote>
  <w:footnote w:id="946">
    <w:p>
      <w:pPr>
        <w:pStyle w:val="FootnoteText"/>
      </w:pPr>
      <w:r>
        <w:rPr>
          <w:rStyle w:val="FootnoteReference"/>
        </w:rPr>
        <w:footnoteRef/>
      </w:r>
      <w:r>
        <w:t xml:space="preserve"> </w:t>
      </w:r>
      <w:r>
        <w:t xml:space="preserve">Microsoft Learn,</w:t>
      </w:r>
      <w:r>
        <w:t xml:space="preserve"> </w:t>
      </w:r>
      <w:r>
        <w:t xml:space="preserve">“View reports and logs in entitlement management,”</w:t>
      </w:r>
      <w:r>
        <w:t xml:space="preserve"> </w:t>
      </w:r>
      <w:hyperlink r:id="rId945">
        <w:r>
          <w:rPr>
            <w:rStyle w:val="Hyperlink"/>
          </w:rPr>
          <w:t xml:space="preserve">https://learn.microsoft.com/entra/id-governance/entitlement-management-reports</w:t>
        </w:r>
      </w:hyperlink>
      <w:r>
        <w:t xml:space="preserve"> </w:t>
      </w:r>
      <w:r>
        <w:t xml:space="preserve">(accessed Oct 20, 2026).</w:t>
      </w:r>
    </w:p>
  </w:footnote>
  <w:footnote w:id="948">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548">
        <w:r>
          <w:rPr>
            <w:rStyle w:val="Hyperlink"/>
          </w:rPr>
          <w:t xml:space="preserve">https://learn.microsoft.com/entra/identity/monitoring-health/reference-reports-data-retention</w:t>
        </w:r>
      </w:hyperlink>
      <w:r>
        <w:t xml:space="preserve"> </w:t>
      </w:r>
      <w:r>
        <w:t xml:space="preserve">(accessed Oct 20, 2026).</w:t>
      </w:r>
    </w:p>
  </w:footnote>
  <w:footnote w:id="961">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hyperlink r:id="rId962">
        <w:r>
          <w:rPr>
            <w:rStyle w:val="Hyperlink"/>
          </w:rPr>
          <w:t xml:space="preserve">https://learn.microsoft.com/graph/api/conditionalaccessroot-post-policies?view=graph-rest-1.0</w:t>
        </w:r>
      </w:hyperlink>
      <w:r>
        <w:t xml:space="preserve"> </w:t>
      </w:r>
      <w:r>
        <w:t xml:space="preserve">(accessed Oct 20, 2026).</w:t>
      </w:r>
    </w:p>
  </w:footnote>
  <w:footnote w:id="963">
    <w:p>
      <w:pPr>
        <w:pStyle w:val="FootnoteText"/>
      </w:pPr>
      <w:r>
        <w:rPr>
          <w:rStyle w:val="FootnoteReference"/>
        </w:rPr>
        <w:footnoteRef/>
      </w:r>
      <w:r>
        <w:t xml:space="preserve"> </w:t>
      </w:r>
      <w:r>
        <w:t xml:space="preserve">Microsoft Learn,</w:t>
      </w:r>
      <w:r>
        <w:t xml:space="preserve"> </w:t>
      </w:r>
      <w:r>
        <w:t xml:space="preserve">“Update rules in PIM by using Microsoft Graph,”</w:t>
      </w:r>
      <w:r>
        <w:t xml:space="preserve"> </w:t>
      </w:r>
      <w:hyperlink r:id="rId671">
        <w:r>
          <w:rPr>
            <w:rStyle w:val="Hyperlink"/>
          </w:rPr>
          <w:t xml:space="preserve">https://learn.microsoft.com/graph/how-to-pim-update-rules</w:t>
        </w:r>
      </w:hyperlink>
      <w:r>
        <w:t xml:space="preserve"> </w:t>
      </w:r>
      <w:r>
        <w:t xml:space="preserve">(accessed Oct 20, 2026).</w:t>
      </w:r>
    </w:p>
  </w:footnote>
  <w:footnote w:id="964">
    <w:p>
      <w:pPr>
        <w:pStyle w:val="FootnoteText"/>
      </w:pPr>
      <w:r>
        <w:rPr>
          <w:rStyle w:val="FootnoteReference"/>
        </w:rPr>
        <w:footnoteRef/>
      </w:r>
      <w:r>
        <w:t xml:space="preserve"> </w:t>
      </w:r>
      <w:r>
        <w:t xml:space="preserve">Microsoft Learn,</w:t>
      </w:r>
      <w:r>
        <w:t xml:space="preserve"> </w:t>
      </w:r>
      <w:r>
        <w:t xml:space="preserve">“Change request settings for an access package in entitlement management,”</w:t>
      </w:r>
      <w:r>
        <w:t xml:space="preserve"> </w:t>
      </w:r>
      <w:hyperlink r:id="rId965">
        <w:r>
          <w:rPr>
            <w:rStyle w:val="Hyperlink"/>
          </w:rPr>
          <w:t xml:space="preserve">https://learn.microsoft.com/entra/id-governance/entitlement-management-access-package-request-policy</w:t>
        </w:r>
      </w:hyperlink>
      <w:r>
        <w:t xml:space="preserve"> </w:t>
      </w:r>
      <w:r>
        <w:t xml:space="preserve">(accessed Oct 20, 2026).</w:t>
      </w:r>
    </w:p>
  </w:footnote>
  <w:footnote w:id="966">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37">
        <w:r>
          <w:rPr>
            <w:rStyle w:val="Hyperlink"/>
          </w:rPr>
          <w:t xml:space="preserve">https://learn.microsoft.com/entra/id-governance/create-access-review</w:t>
        </w:r>
      </w:hyperlink>
      <w:r>
        <w:t xml:space="preserve"> </w:t>
      </w:r>
      <w:r>
        <w:t xml:space="preserve">(accessed Oct 20, 2026).</w:t>
      </w:r>
    </w:p>
  </w:footnote>
  <w:footnote w:id="968">
    <w:p>
      <w:pPr>
        <w:pStyle w:val="FootnoteText"/>
      </w:pPr>
      <w:r>
        <w:rPr>
          <w:rStyle w:val="FootnoteReference"/>
        </w:rPr>
        <w:footnoteRef/>
      </w:r>
      <w:r>
        <w:t xml:space="preserve"> </w:t>
      </w:r>
      <w:r>
        <w:t xml:space="preserve">HashiCorp, terraform-provider-azuread releases (v3.10.0),</w:t>
      </w:r>
      <w:r>
        <w:t xml:space="preserve"> </w:t>
      </w:r>
      <w:hyperlink r:id="rId969">
        <w:r>
          <w:rPr>
            <w:rStyle w:val="Hyperlink"/>
          </w:rPr>
          <w:t xml:space="preserve">https://github.com/hashicorp/terraform-provider-azuread/releases</w:t>
        </w:r>
      </w:hyperlink>
      <w:r>
        <w:t xml:space="preserve"> </w:t>
      </w:r>
      <w:r>
        <w:t xml:space="preserve">(accessed Oct 20, 2026).</w:t>
      </w:r>
    </w:p>
  </w:footnote>
  <w:footnote w:id="970">
    <w:p>
      <w:pPr>
        <w:pStyle w:val="FootnoteText"/>
      </w:pPr>
      <w:r>
        <w:rPr>
          <w:rStyle w:val="FootnoteReference"/>
        </w:rPr>
        <w:footnoteRef/>
      </w:r>
      <w:r>
        <w:t xml:space="preserve"> </w:t>
      </w:r>
      <w:r>
        <w:t xml:space="preserve">HashiCorp, terraform-provider-azuread resource documentation index,</w:t>
      </w:r>
      <w:r>
        <w:t xml:space="preserve"> </w:t>
      </w:r>
      <w:hyperlink r:id="rId971">
        <w:r>
          <w:rPr>
            <w:rStyle w:val="Hyperlink"/>
          </w:rPr>
          <w:t xml:space="preserve">https://github.com/hashicorp/terraform-provider-azuread/tree/main/docs/resources</w:t>
        </w:r>
      </w:hyperlink>
      <w:r>
        <w:t xml:space="preserve"> </w:t>
      </w:r>
      <w:r>
        <w:t xml:space="preserve">(accessed Oct 20, 2026).</w:t>
      </w:r>
    </w:p>
  </w:footnote>
  <w:footnote w:id="972">
    <w:p>
      <w:pPr>
        <w:pStyle w:val="FootnoteText"/>
      </w:pPr>
      <w:r>
        <w:rPr>
          <w:rStyle w:val="FootnoteReference"/>
        </w:rPr>
        <w:footnoteRef/>
      </w:r>
      <w:r>
        <w:t xml:space="preserve"> </w:t>
      </w:r>
      <w:r>
        <w:t xml:space="preserve">HashiCorp, terraform-provider-azuread resource documentation index,</w:t>
      </w:r>
      <w:r>
        <w:t xml:space="preserve"> </w:t>
      </w:r>
      <w:hyperlink r:id="rId971">
        <w:r>
          <w:rPr>
            <w:rStyle w:val="Hyperlink"/>
          </w:rPr>
          <w:t xml:space="preserve">https://github.com/hashicorp/terraform-provider-azuread/tree/main/docs/resources</w:t>
        </w:r>
      </w:hyperlink>
      <w:r>
        <w:t xml:space="preserve"> </w:t>
      </w:r>
      <w:r>
        <w:t xml:space="preserve">(accessed Oct 20, 2026).</w:t>
      </w:r>
    </w:p>
  </w:footnote>
  <w:footnote w:id="973">
    <w:p>
      <w:pPr>
        <w:pStyle w:val="FootnoteText"/>
      </w:pPr>
      <w:r>
        <w:rPr>
          <w:rStyle w:val="FootnoteReference"/>
        </w:rPr>
        <w:footnoteRef/>
      </w:r>
      <w:r>
        <w:t xml:space="preserve"> </w:t>
      </w:r>
      <w:r>
        <w:t xml:space="preserve">HashiCorp,</w:t>
      </w:r>
      <w:r>
        <w:t xml:space="preserve"> </w:t>
      </w:r>
      <w:r>
        <w:t xml:space="preserve">“azuread_conditional_access_policy”</w:t>
      </w:r>
      <w:r>
        <w:t xml:space="preserve"> </w:t>
      </w:r>
      <w:r>
        <w:t xml:space="preserve">resource documentation,</w:t>
      </w:r>
      <w:r>
        <w:t xml:space="preserve"> </w:t>
      </w:r>
      <w:hyperlink r:id="rId974">
        <w:r>
          <w:rPr>
            <w:rStyle w:val="Hyperlink"/>
          </w:rPr>
          <w:t xml:space="preserve">https://github.com/hashicorp/terraform-provider-azuread/blob/main/docs/resources/conditional_access_policy.md</w:t>
        </w:r>
      </w:hyperlink>
      <w:r>
        <w:t xml:space="preserve"> </w:t>
      </w:r>
      <w:r>
        <w:t xml:space="preserve">(accessed Oct 20, 2026).</w:t>
      </w:r>
    </w:p>
  </w:footnote>
  <w:footnote w:id="975">
    <w:p>
      <w:pPr>
        <w:pStyle w:val="FootnoteText"/>
      </w:pPr>
      <w:r>
        <w:rPr>
          <w:rStyle w:val="FootnoteReference"/>
        </w:rPr>
        <w:footnoteRef/>
      </w:r>
      <w:r>
        <w:t xml:space="preserve"> </w:t>
      </w:r>
      <w:r>
        <w:t xml:space="preserve">HashiCorp,</w:t>
      </w:r>
      <w:r>
        <w:t xml:space="preserve"> </w:t>
      </w:r>
      <w:r>
        <w:t xml:space="preserve">“terraform plan command reference,”</w:t>
      </w:r>
      <w:r>
        <w:t xml:space="preserve"> </w:t>
      </w:r>
      <w:hyperlink r:id="rId976">
        <w:r>
          <w:rPr>
            <w:rStyle w:val="Hyperlink"/>
          </w:rPr>
          <w:t xml:space="preserve">https://developer.hashicorp.com/terraform/cli/commands/plan</w:t>
        </w:r>
      </w:hyperlink>
      <w:r>
        <w:t xml:space="preserve"> </w:t>
      </w:r>
      <w:r>
        <w:t xml:space="preserve">(accessed Oct 20, 2026).</w:t>
      </w:r>
    </w:p>
  </w:footnote>
  <w:footnote w:id="978">
    <w:p>
      <w:pPr>
        <w:pStyle w:val="FootnoteText"/>
      </w:pPr>
      <w:r>
        <w:rPr>
          <w:rStyle w:val="FootnoteReference"/>
        </w:rPr>
        <w:footnoteRef/>
      </w:r>
      <w:r>
        <w:t xml:space="preserve"> </w:t>
      </w:r>
      <w:r>
        <w:t xml:space="preserve">Microsoft365DSC, repository README,</w:t>
      </w:r>
      <w:r>
        <w:t xml:space="preserve"> </w:t>
      </w:r>
      <w:hyperlink r:id="rId979">
        <w:r>
          <w:rPr>
            <w:rStyle w:val="Hyperlink"/>
          </w:rPr>
          <w:t xml:space="preserve">https://github.com/Microsoft365DSC/Microsoft365DSC</w:t>
        </w:r>
      </w:hyperlink>
      <w:r>
        <w:t xml:space="preserve"> </w:t>
      </w:r>
      <w:r>
        <w:t xml:space="preserve">(accessed Oct 20, 2026).</w:t>
      </w:r>
    </w:p>
  </w:footnote>
  <w:footnote w:id="980">
    <w:p>
      <w:pPr>
        <w:pStyle w:val="FootnoteText"/>
      </w:pPr>
      <w:r>
        <w:rPr>
          <w:rStyle w:val="FootnoteReference"/>
        </w:rPr>
        <w:footnoteRef/>
      </w:r>
      <w:r>
        <w:t xml:space="preserve"> </w:t>
      </w:r>
      <w:r>
        <w:t xml:space="preserve">Microsoft365DSC, release 2.26.1015.1,</w:t>
      </w:r>
      <w:r>
        <w:t xml:space="preserve"> </w:t>
      </w:r>
      <w:hyperlink r:id="rId981">
        <w:r>
          <w:rPr>
            <w:rStyle w:val="Hyperlink"/>
          </w:rPr>
          <w:t xml:space="preserve">https://github.com/Microsoft365DSC/Microsoft365DSC/releases</w:t>
        </w:r>
      </w:hyperlink>
      <w:r>
        <w:t xml:space="preserve"> </w:t>
      </w:r>
      <w:r>
        <w:t xml:space="preserve">(accessed Oct 20, 2026).</w:t>
      </w:r>
    </w:p>
  </w:footnote>
  <w:footnote w:id="982">
    <w:p>
      <w:pPr>
        <w:pStyle w:val="FootnoteText"/>
      </w:pPr>
      <w:r>
        <w:rPr>
          <w:rStyle w:val="FootnoteReference"/>
        </w:rPr>
        <w:footnoteRef/>
      </w:r>
      <w:r>
        <w:t xml:space="preserve"> </w:t>
      </w:r>
      <w:r>
        <w:t xml:space="preserve">Microsoft365DSC, DSC resource modules,</w:t>
      </w:r>
      <w:r>
        <w:t xml:space="preserve"> </w:t>
      </w:r>
      <w:hyperlink r:id="rId983">
        <w:r>
          <w:rPr>
            <w:rStyle w:val="Hyperlink"/>
          </w:rPr>
          <w:t xml:space="preserve">https://github.com/Microsoft365DSC/Microsoft365DSC/tree/dev/Modules/Microsoft365DSC/DscResources</w:t>
        </w:r>
      </w:hyperlink>
      <w:r>
        <w:t xml:space="preserve"> </w:t>
      </w:r>
      <w:r>
        <w:t xml:space="preserve">(accessed Oct 20, 2026).</w:t>
      </w:r>
    </w:p>
  </w:footnote>
  <w:footnote w:id="984">
    <w:p>
      <w:pPr>
        <w:pStyle w:val="FootnoteText"/>
      </w:pPr>
      <w:r>
        <w:rPr>
          <w:rStyle w:val="FootnoteReference"/>
        </w:rPr>
        <w:footnoteRef/>
      </w:r>
      <w:r>
        <w:t xml:space="preserve"> </w:t>
      </w:r>
      <w:r>
        <w:t xml:space="preserve">Microsoft365DSC,</w:t>
      </w:r>
      <w:r>
        <w:t xml:space="preserve"> </w:t>
      </w:r>
      <w:r>
        <w:rPr>
          <w:rStyle w:val="VerbatimChar"/>
        </w:rPr>
        <w:t xml:space="preserve">Show-PwshWarning.ps1</w:t>
      </w:r>
      <w:r>
        <w:t xml:space="preserve"> </w:t>
      </w:r>
      <w:r>
        <w:t xml:space="preserve">(PowerShell version requirement),</w:t>
      </w:r>
      <w:r>
        <w:t xml:space="preserve"> </w:t>
      </w:r>
      <w:hyperlink r:id="rId985">
        <w:r>
          <w:rPr>
            <w:rStyle w:val="Hyperlink"/>
          </w:rPr>
          <w:t xml:space="preserve">https://github.com/Microsoft365DSC/Microsoft365DSC/blob/dev/Modules/Microsoft365DSC/Show-PwshWarning.ps1</w:t>
        </w:r>
      </w:hyperlink>
      <w:r>
        <w:t xml:space="preserve"> </w:t>
      </w:r>
      <w:r>
        <w:t xml:space="preserve">(accessed Oct 20, 2026).</w:t>
      </w:r>
    </w:p>
  </w:footnote>
  <w:footnote w:id="987">
    <w:p>
      <w:pPr>
        <w:pStyle w:val="FootnoteText"/>
      </w:pPr>
      <w:r>
        <w:rPr>
          <w:rStyle w:val="FootnoteReference"/>
        </w:rPr>
        <w:footnoteRef/>
      </w:r>
      <w:r>
        <w:t xml:space="preserve"> </w:t>
      </w:r>
      <w:r>
        <w:t xml:space="preserve">Microsoft Learn,</w:t>
      </w:r>
      <w:r>
        <w:t xml:space="preserve"> </w:t>
      </w:r>
      <w:r>
        <w:t xml:space="preserve">“Configuration management”</w:t>
      </w:r>
      <w:r>
        <w:t xml:space="preserve"> </w:t>
      </w:r>
      <w:r>
        <w:t xml:space="preserve">(Microsoft Entra Tenant Governance),</w:t>
      </w:r>
      <w:r>
        <w:t xml:space="preserve"> </w:t>
      </w:r>
      <w:hyperlink r:id="rId988">
        <w:r>
          <w:rPr>
            <w:rStyle w:val="Hyperlink"/>
          </w:rPr>
          <w:t xml:space="preserve">https://learn.microsoft.com/entra/id-governance/tenant-governance/configuration-management</w:t>
        </w:r>
      </w:hyperlink>
      <w:r>
        <w:t xml:space="preserve"> </w:t>
      </w:r>
      <w:r>
        <w:t xml:space="preserve">(accessed Oct 20, 2026).</w:t>
      </w:r>
    </w:p>
  </w:footnote>
  <w:footnote w:id="989">
    <w:p>
      <w:pPr>
        <w:pStyle w:val="FootnoteText"/>
      </w:pPr>
      <w:r>
        <w:rPr>
          <w:rStyle w:val="FootnoteReference"/>
        </w:rPr>
        <w:footnoteRef/>
      </w:r>
      <w:r>
        <w:t xml:space="preserve"> </w:t>
      </w:r>
      <w:r>
        <w:t xml:space="preserve">Microsoft Learn,</w:t>
      </w:r>
      <w:r>
        <w:t xml:space="preserve"> </w:t>
      </w:r>
      <w:r>
        <w:t xml:space="preserve">“Configuration management”</w:t>
      </w:r>
      <w:r>
        <w:t xml:space="preserve"> </w:t>
      </w:r>
      <w:r>
        <w:t xml:space="preserve">(Microsoft Entra Tenant Governance),</w:t>
      </w:r>
      <w:r>
        <w:t xml:space="preserve"> </w:t>
      </w:r>
      <w:hyperlink r:id="rId988">
        <w:r>
          <w:rPr>
            <w:rStyle w:val="Hyperlink"/>
          </w:rPr>
          <w:t xml:space="preserve">https://learn.microsoft.com/entra/id-governance/tenant-governance/configuration-management</w:t>
        </w:r>
      </w:hyperlink>
      <w:r>
        <w:t xml:space="preserve"> </w:t>
      </w:r>
      <w:r>
        <w:t xml:space="preserve">(accessed Oct 20, 2026).</w:t>
      </w:r>
    </w:p>
  </w:footnote>
  <w:footnote w:id="990">
    <w:p>
      <w:pPr>
        <w:pStyle w:val="FootnoteText"/>
      </w:pPr>
      <w:r>
        <w:rPr>
          <w:rStyle w:val="FootnoteReference"/>
        </w:rPr>
        <w:footnoteRef/>
      </w:r>
      <w:r>
        <w:t xml:space="preserve"> </w:t>
      </w:r>
      <w:r>
        <w:t xml:space="preserve">Microsoft Learn,</w:t>
      </w:r>
      <w:r>
        <w:t xml:space="preserve"> </w:t>
      </w:r>
      <w:r>
        <w:t xml:space="preserve">“Deploy Microsoft Entra Tenant Governance end to end,”</w:t>
      </w:r>
      <w:r>
        <w:t xml:space="preserve"> </w:t>
      </w:r>
      <w:hyperlink r:id="rId991">
        <w:r>
          <w:rPr>
            <w:rStyle w:val="Hyperlink"/>
          </w:rPr>
          <w:t xml:space="preserve">https://learn.microsoft.com/entra/id-governance/tenant-governance/deployment-guide</w:t>
        </w:r>
      </w:hyperlink>
      <w:r>
        <w:t xml:space="preserve"> </w:t>
      </w:r>
      <w:r>
        <w:t xml:space="preserve">(accessed Oct 20, 2026).</w:t>
      </w:r>
    </w:p>
  </w:footnote>
  <w:footnote w:id="992">
    <w:p>
      <w:pPr>
        <w:pStyle w:val="FootnoteText"/>
      </w:pPr>
      <w:r>
        <w:rPr>
          <w:rStyle w:val="FootnoteReference"/>
        </w:rPr>
        <w:footnoteRef/>
      </w:r>
      <w:r>
        <w:t xml:space="preserve"> </w:t>
      </w:r>
      <w:r>
        <w:t xml:space="preserve">Microsoft Learn,</w:t>
      </w:r>
      <w:r>
        <w:t xml:space="preserve"> </w:t>
      </w:r>
      <w:r>
        <w:t xml:space="preserve">“Supported Microsoft Entra resources for Tenant Configuration Management,”</w:t>
      </w:r>
      <w:r>
        <w:t xml:space="preserve"> </w:t>
      </w:r>
      <w:hyperlink r:id="rId993">
        <w:r>
          <w:rPr>
            <w:rStyle w:val="Hyperlink"/>
          </w:rPr>
          <w:t xml:space="preserve">https://learn.microsoft.com/graph/utcm-entra-resources</w:t>
        </w:r>
      </w:hyperlink>
      <w:r>
        <w:t xml:space="preserve"> </w:t>
      </w:r>
      <w:r>
        <w:t xml:space="preserve">(accessed Oct 20, 2026).</w:t>
      </w:r>
    </w:p>
  </w:footnote>
  <w:footnote w:id="994">
    <w:p>
      <w:pPr>
        <w:pStyle w:val="FootnoteText"/>
      </w:pPr>
      <w:r>
        <w:rPr>
          <w:rStyle w:val="FootnoteReference"/>
        </w:rPr>
        <w:footnoteRef/>
      </w:r>
      <w:r>
        <w:t xml:space="preserve"> </w:t>
      </w:r>
      <w:r>
        <w:t xml:space="preserve">Microsoft Learn,</w:t>
      </w:r>
      <w:r>
        <w:t xml:space="preserve"> </w:t>
      </w:r>
      <w:r>
        <w:t xml:space="preserve">“Use the Tenant Configuration Management APIs in Microsoft Graph,”</w:t>
      </w:r>
      <w:r>
        <w:t xml:space="preserve"> </w:t>
      </w:r>
      <w:hyperlink r:id="rId995">
        <w:r>
          <w:rPr>
            <w:rStyle w:val="Hyperlink"/>
          </w:rPr>
          <w:t xml:space="preserve">https://learn.microsoft.com/graph/api/resources/unified-tenant-configuration-management-api-overview?view=graph-rest-1.0</w:t>
        </w:r>
      </w:hyperlink>
      <w:r>
        <w:t xml:space="preserve"> </w:t>
      </w:r>
      <w:r>
        <w:t xml:space="preserve">(accessed Oct 20, 2026).</w:t>
      </w:r>
    </w:p>
  </w:footnote>
  <w:footnote w:id="996">
    <w:p>
      <w:pPr>
        <w:pStyle w:val="FootnoteText"/>
      </w:pPr>
      <w:r>
        <w:rPr>
          <w:rStyle w:val="FootnoteReference"/>
        </w:rPr>
        <w:footnoteRef/>
      </w:r>
      <w:r>
        <w:t xml:space="preserve"> </w:t>
      </w:r>
      <w:r>
        <w:t xml:space="preserve">Microsoft Learn,</w:t>
      </w:r>
      <w:r>
        <w:t xml:space="preserve"> </w:t>
      </w:r>
      <w:r>
        <w:t xml:space="preserve">“Licensing for Microsoft Entra Tenant Governance,”</w:t>
      </w:r>
      <w:r>
        <w:t xml:space="preserve"> </w:t>
      </w:r>
      <w:hyperlink r:id="rId997">
        <w:r>
          <w:rPr>
            <w:rStyle w:val="Hyperlink"/>
          </w:rPr>
          <w:t xml:space="preserve">https://learn.microsoft.com/entra/id-governance/tenant-governance/licensing</w:t>
        </w:r>
      </w:hyperlink>
      <w:r>
        <w:t xml:space="preserve"> </w:t>
      </w:r>
      <w:r>
        <w:t xml:space="preserve">(accessed Oct 20, 2026).</w:t>
      </w:r>
    </w:p>
  </w:footnote>
  <w:footnote w:id="998">
    <w:p>
      <w:pPr>
        <w:pStyle w:val="FootnoteText"/>
      </w:pPr>
      <w:r>
        <w:rPr>
          <w:rStyle w:val="FootnoteReference"/>
        </w:rPr>
        <w:footnoteRef/>
      </w:r>
      <w:r>
        <w:t xml:space="preserve"> </w:t>
      </w:r>
      <w:r>
        <w:t xml:space="preserve">Microsoft Learn,</w:t>
      </w:r>
      <w:r>
        <w:t xml:space="preserve"> </w:t>
      </w:r>
      <w:r>
        <w:t xml:space="preserve">“Frequently asked questions for Microsoft Entra Tenant Governance,”</w:t>
      </w:r>
      <w:r>
        <w:t xml:space="preserve"> </w:t>
      </w:r>
      <w:hyperlink r:id="rId999">
        <w:r>
          <w:rPr>
            <w:rStyle w:val="Hyperlink"/>
          </w:rPr>
          <w:t xml:space="preserve">https://learn.microsoft.com/entra/id-governance/tenant-governance/faq</w:t>
        </w:r>
      </w:hyperlink>
      <w:r>
        <w:t xml:space="preserve"> </w:t>
      </w:r>
      <w:r>
        <w:t xml:space="preserve">(accessed Oct 20, 2026).</w:t>
      </w:r>
    </w:p>
  </w:footnote>
  <w:footnote w:id="1001">
    <w:p>
      <w:pPr>
        <w:pStyle w:val="FootnoteText"/>
      </w:pPr>
      <w:r>
        <w:rPr>
          <w:rStyle w:val="FootnoteReference"/>
        </w:rPr>
        <w:footnoteRef/>
      </w:r>
      <w:r>
        <w:t xml:space="preserve"> </w:t>
      </w:r>
      <w:r>
        <w:t xml:space="preserve">Microsoft Learn,</w:t>
      </w:r>
      <w:r>
        <w:t xml:space="preserve"> </w:t>
      </w:r>
      <w:r>
        <w:t xml:space="preserve">“Recoverability best practices,”</w:t>
      </w:r>
      <w:r>
        <w:t xml:space="preserve"> </w:t>
      </w:r>
      <w:hyperlink r:id="rId1002">
        <w:r>
          <w:rPr>
            <w:rStyle w:val="Hyperlink"/>
          </w:rPr>
          <w:t xml:space="preserve">https://learn.microsoft.com/entra/architecture/recoverability-overview</w:t>
        </w:r>
      </w:hyperlink>
      <w:r>
        <w:t xml:space="preserve"> </w:t>
      </w:r>
      <w:r>
        <w:t xml:space="preserve">(accessed Oct 20, 2026).</w:t>
      </w:r>
    </w:p>
  </w:footnote>
  <w:footnote w:id="1003">
    <w:p>
      <w:pPr>
        <w:pStyle w:val="FootnoteText"/>
      </w:pPr>
      <w:r>
        <w:rPr>
          <w:rStyle w:val="FootnoteReference"/>
        </w:rPr>
        <w:footnoteRef/>
      </w:r>
      <w:r>
        <w:t xml:space="preserve"> </w:t>
      </w:r>
      <w:r>
        <w:t xml:space="preserve">Microsoft, Microsoft Entra Exporter repository and releases,</w:t>
      </w:r>
      <w:r>
        <w:t xml:space="preserve"> </w:t>
      </w:r>
      <w:hyperlink r:id="rId1004">
        <w:r>
          <w:rPr>
            <w:rStyle w:val="Hyperlink"/>
          </w:rPr>
          <w:t xml:space="preserve">https://github.com/microsoft/EntraExporter</w:t>
        </w:r>
      </w:hyperlink>
      <w:r>
        <w:t xml:space="preserve"> </w:t>
      </w:r>
      <w:r>
        <w:t xml:space="preserve">(accessed Oct 20, 2026).</w:t>
      </w:r>
    </w:p>
  </w:footnote>
  <w:footnote w:id="1008">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hyperlink r:id="rId207">
        <w:r>
          <w:rPr>
            <w:rStyle w:val="Hyperlink"/>
          </w:rPr>
          <w:t xml:space="preserve">https://learn.microsoft.com/graph/api/authenticationstrengthroot-list-policies?view=graph-rest-1.0</w:t>
        </w:r>
      </w:hyperlink>
      <w:r>
        <w:t xml:space="preserve"> </w:t>
      </w:r>
      <w:r>
        <w:t xml:space="preserve">(accessed Oct 20, 2026).</w:t>
      </w:r>
    </w:p>
  </w:footnote>
  <w:footnote w:id="1010">
    <w:p>
      <w:pPr>
        <w:pStyle w:val="FootnoteText"/>
      </w:pPr>
      <w:r>
        <w:rPr>
          <w:rStyle w:val="FootnoteReference"/>
        </w:rPr>
        <w:footnoteRef/>
      </w:r>
      <w:r>
        <w:t xml:space="preserve"> </w:t>
      </w:r>
      <w:r>
        <w:t xml:space="preserve">HashiCorp,</w:t>
      </w:r>
      <w:r>
        <w:t xml:space="preserve"> </w:t>
      </w:r>
      <w:r>
        <w:t xml:space="preserve">“azuread_conditional_access_policy”</w:t>
      </w:r>
      <w:r>
        <w:t xml:space="preserve"> </w:t>
      </w:r>
      <w:r>
        <w:t xml:space="preserve">resource documentation,</w:t>
      </w:r>
      <w:r>
        <w:t xml:space="preserve"> </w:t>
      </w:r>
      <w:hyperlink r:id="rId974">
        <w:r>
          <w:rPr>
            <w:rStyle w:val="Hyperlink"/>
          </w:rPr>
          <w:t xml:space="preserve">https://github.com/hashicorp/terraform-provider-azuread/blob/main/docs/resources/conditional_access_policy.md</w:t>
        </w:r>
      </w:hyperlink>
      <w:r>
        <w:t xml:space="preserve"> </w:t>
      </w:r>
      <w:r>
        <w:t xml:space="preserve">(accessed Oct 20, 2026).</w:t>
      </w:r>
    </w:p>
  </w:footnote>
  <w:footnote w:id="1013">
    <w:p>
      <w:pPr>
        <w:pStyle w:val="FootnoteText"/>
      </w:pPr>
      <w:r>
        <w:rPr>
          <w:rStyle w:val="FootnoteReference"/>
        </w:rPr>
        <w:footnoteRef/>
      </w:r>
      <w:r>
        <w:t xml:space="preserve"> </w:t>
      </w:r>
      <w:r>
        <w:t xml:space="preserve">Microsoft Learn,</w:t>
      </w:r>
      <w:r>
        <w:t xml:space="preserve"> </w:t>
      </w:r>
      <w:r>
        <w:t xml:space="preserve">“New-MgIdentityGovernanceAccessReviewDefinition,”</w:t>
      </w:r>
      <w:r>
        <w:t xml:space="preserve"> </w:t>
      </w:r>
      <w:hyperlink r:id="rId1014">
        <w:r>
          <w:rPr>
            <w:rStyle w:val="Hyperlink"/>
          </w:rPr>
          <w:t xml:space="preserve">https://learn.microsoft.com/powershell/module/microsoft.graph.identity.governance/new-mgidentitygovernanceaccessreviewdefinition?view=graph-powershell-1.0</w:t>
        </w:r>
      </w:hyperlink>
      <w:r>
        <w:t xml:space="preserve"> </w:t>
      </w:r>
      <w:r>
        <w:t xml:space="preserve">(accessed Oct 20, 2026).</w:t>
      </w:r>
    </w:p>
  </w:footnote>
  <w:footnote w:id="1015">
    <w:p>
      <w:pPr>
        <w:pStyle w:val="FootnoteText"/>
      </w:pPr>
      <w:r>
        <w:rPr>
          <w:rStyle w:val="FootnoteReference"/>
        </w:rPr>
        <w:footnoteRef/>
      </w:r>
      <w:r>
        <w:t xml:space="preserve"> </w:t>
      </w:r>
      <w:r>
        <w:t xml:space="preserve">Microsoft Learn,</w:t>
      </w:r>
      <w:r>
        <w:t xml:space="preserve"> </w:t>
      </w:r>
      <w:r>
        <w:t xml:space="preserve">“Review access to security groups using access reviews APIs,”</w:t>
      </w:r>
      <w:r>
        <w:t xml:space="preserve"> </w:t>
      </w:r>
      <w:hyperlink r:id="rId1016">
        <w:r>
          <w:rPr>
            <w:rStyle w:val="Hyperlink"/>
          </w:rPr>
          <w:t xml:space="preserve">https://learn.microsoft.com/graph/tutorial-accessreviews-securitygroup</w:t>
        </w:r>
      </w:hyperlink>
      <w:r>
        <w:t xml:space="preserve"> </w:t>
      </w:r>
      <w:r>
        <w:t xml:space="preserve">(accessed Oct 20, 2026).</w:t>
      </w:r>
    </w:p>
  </w:footnote>
  <w:footnote w:id="1017">
    <w:p>
      <w:pPr>
        <w:pStyle w:val="FootnoteText"/>
      </w:pPr>
      <w:r>
        <w:rPr>
          <w:rStyle w:val="FootnoteReference"/>
        </w:rPr>
        <w:footnoteRef/>
      </w:r>
      <w:r>
        <w:t xml:space="preserve"> </w:t>
      </w:r>
      <w:r>
        <w:t xml:space="preserve">Microsoft Learn,</w:t>
      </w:r>
      <w:r>
        <w:t xml:space="preserve"> </w:t>
      </w:r>
      <w:r>
        <w:t xml:space="preserve">“Configure access reviewers using access reviews APIs,”</w:t>
      </w:r>
      <w:r>
        <w:t xml:space="preserve"> </w:t>
      </w:r>
      <w:hyperlink r:id="rId1018">
        <w:r>
          <w:rPr>
            <w:rStyle w:val="Hyperlink"/>
          </w:rPr>
          <w:t xml:space="preserve">https://learn.microsoft.com/graph/accessreviews-reviewers-concept</w:t>
        </w:r>
      </w:hyperlink>
      <w:r>
        <w:t xml:space="preserve"> </w:t>
      </w:r>
      <w:r>
        <w:t xml:space="preserve">(accessed Oct 20, 2026).</w:t>
      </w:r>
    </w:p>
  </w:footnote>
  <w:footnote w:id="1021">
    <w:p>
      <w:pPr>
        <w:pStyle w:val="FootnoteText"/>
      </w:pPr>
      <w:r>
        <w:rPr>
          <w:rStyle w:val="FootnoteReference"/>
        </w:rPr>
        <w:footnoteRef/>
      </w:r>
      <w:r>
        <w:t xml:space="preserve"> </w:t>
      </w:r>
      <w:r>
        <w:t xml:space="preserve">FedRAMP,</w:t>
      </w:r>
      <w:r>
        <w:t xml:space="preserve"> </w:t>
      </w:r>
      <w:r>
        <w:t xml:space="preserve">“Change Management”</w:t>
      </w:r>
      <w:r>
        <w:t xml:space="preserve"> </w:t>
      </w:r>
      <w:r>
        <w:t xml:space="preserve">(FedRAMP 20x Key Security Indicators, Consolidated Rules for 2026),</w:t>
      </w:r>
      <w:r>
        <w:t xml:space="preserve"> </w:t>
      </w:r>
      <w:hyperlink r:id="rId1022">
        <w:r>
          <w:rPr>
            <w:rStyle w:val="Hyperlink"/>
          </w:rPr>
          <w:t xml:space="preserve">https://fedramp.gov/2026/providers/20x/key-security-indicators/change-management/</w:t>
        </w:r>
      </w:hyperlink>
      <w:r>
        <w:t xml:space="preserve"> </w:t>
      </w:r>
      <w:r>
        <w:t xml:space="preserve">(accessed Oct 20, 2026).</w:t>
      </w:r>
    </w:p>
  </w:footnote>
  <w:footnote w:id="1029">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(with release 5.2.0, August 27, 2025),</w:t>
      </w:r>
      <w:r>
        <w:t xml:space="preserve"> </w:t>
      </w:r>
      <w:hyperlink r:id="rId79">
        <w:r>
          <w:rPr>
            <w:rStyle w:val="Hyperlink"/>
          </w:rPr>
          <w:t xml:space="preserve">https://csrc.nist.gov/pubs/sp/800/53/r5/upd1/final</w:t>
        </w:r>
      </w:hyperlink>
      <w:r>
        <w:t xml:space="preserve"> </w:t>
      </w:r>
      <w:r>
        <w:t xml:space="preserve">(accessed Oct 20, 2026).</w:t>
      </w:r>
    </w:p>
  </w:footnote>
  <w:footnote w:id="1030">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641">
        <w:r>
          <w:rPr>
            <w:rStyle w:val="Hyperlink"/>
          </w:rPr>
          <w:t xml:space="preserve">https://fedramp.gov/2026/reference/controls/access-control/</w:t>
        </w:r>
      </w:hyperlink>
      <w:r>
        <w:t xml:space="preserve"> </w:t>
      </w:r>
      <w:r>
        <w:t xml:space="preserve">(accessed Oct 20, 2026).</w:t>
      </w:r>
    </w:p>
  </w:footnote>
  <w:footnote w:id="1031">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643">
        <w:r>
          <w:rPr>
            <w:rStyle w:val="Hyperlink"/>
          </w:rPr>
          <w:t xml:space="preserve">https://fedramp.gov/2026/reference/controls/identification-and-authentication/</w:t>
        </w:r>
      </w:hyperlink>
      <w:r>
        <w:t xml:space="preserve"> </w:t>
      </w:r>
      <w:r>
        <w:t xml:space="preserve">(accessed Oct 20, 2026).</w:t>
      </w:r>
    </w:p>
  </w:footnote>
  <w:footnote w:id="1032">
    <w:p>
      <w:pPr>
        <w:pStyle w:val="FootnoteText"/>
      </w:pPr>
      <w:r>
        <w:rPr>
          <w:rStyle w:val="FootnoteReference"/>
        </w:rPr>
        <w:footnoteRef/>
      </w:r>
      <w:r>
        <w:t xml:space="preserve"> </w:t>
      </w:r>
      <w:r>
        <w:t xml:space="preserve">FedRAMP,</w:t>
      </w:r>
      <w:r>
        <w:t xml:space="preserve"> </w:t>
      </w:r>
      <w:r>
        <w:t xml:space="preserve">“Assessment, Authorization, and Monitoring”</w:t>
      </w:r>
      <w:r>
        <w:t xml:space="preserve"> </w:t>
      </w:r>
      <w:r>
        <w:t xml:space="preserve">(NIST SP 800-53 Rev. 5 controls, catalog release 5.2.0),</w:t>
      </w:r>
      <w:r>
        <w:t xml:space="preserve"> </w:t>
      </w:r>
      <w:hyperlink r:id="rId1033">
        <w:r>
          <w:rPr>
            <w:rStyle w:val="Hyperlink"/>
          </w:rPr>
          <w:t xml:space="preserve">https://fedramp.gov/2026/reference/controls/assessment-authorization-and-monitoring/</w:t>
        </w:r>
      </w:hyperlink>
      <w:r>
        <w:t xml:space="preserve"> </w:t>
      </w:r>
      <w:r>
        <w:t xml:space="preserve">(accessed Oct 20, 2026).</w:t>
      </w:r>
    </w:p>
  </w:footnote>
  <w:footnote w:id="1034">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641">
        <w:r>
          <w:rPr>
            <w:rStyle w:val="Hyperlink"/>
          </w:rPr>
          <w:t xml:space="preserve">https://fedramp.gov/2026/reference/controls/access-control/</w:t>
        </w:r>
      </w:hyperlink>
      <w:r>
        <w:t xml:space="preserve"> </w:t>
      </w:r>
      <w:r>
        <w:t xml:space="preserve">(accessed Oct 20, 2026).</w:t>
      </w:r>
    </w:p>
  </w:footnote>
  <w:footnote w:id="1036">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645">
        <w:r>
          <w:rPr>
            <w:rStyle w:val="Hyperlink"/>
          </w:rPr>
          <w:t xml:space="preserve">https://fedramp.gov/2026/providers/20x/key-security-indicators/identity-and-access-management/</w:t>
        </w:r>
      </w:hyperlink>
      <w:r>
        <w:t xml:space="preserve"> </w:t>
      </w:r>
      <w:r>
        <w:t xml:space="preserve">(accessed Oct 20, 2026).</w:t>
      </w:r>
    </w:p>
  </w:footnote>
  <w:footnote w:id="1037">
    <w:p>
      <w:pPr>
        <w:pStyle w:val="FootnoteText"/>
      </w:pPr>
      <w:r>
        <w:rPr>
          <w:rStyle w:val="FootnoteReference"/>
        </w:rPr>
        <w:footnoteRef/>
      </w:r>
      <w:r>
        <w:t xml:space="preserve"> </w:t>
      </w:r>
      <w:r>
        <w:t xml:space="preserve">FedRAMP,</w:t>
      </w:r>
      <w:r>
        <w:t xml:space="preserve"> </w:t>
      </w:r>
      <w:r>
        <w:t xml:space="preserve">“Change Management”</w:t>
      </w:r>
      <w:r>
        <w:t xml:space="preserve"> </w:t>
      </w:r>
      <w:r>
        <w:t xml:space="preserve">(FedRAMP 20x Key Security Indicators, Consolidated Rules for 2026),</w:t>
      </w:r>
      <w:r>
        <w:t xml:space="preserve"> </w:t>
      </w:r>
      <w:hyperlink r:id="rId1022">
        <w:r>
          <w:rPr>
            <w:rStyle w:val="Hyperlink"/>
          </w:rPr>
          <w:t xml:space="preserve">https://fedramp.gov/2026/providers/20x/key-security-indicators/change-management/</w:t>
        </w:r>
      </w:hyperlink>
      <w:r>
        <w:t xml:space="preserve"> </w:t>
      </w:r>
      <w:r>
        <w:t xml:space="preserve">(accessed Oct 20, 2026).</w:t>
      </w:r>
    </w:p>
  </w:footnote>
  <w:footnote w:id="1046">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r>
        <w:t xml:space="preserve">(Microsoft Graph v1.0),</w:t>
      </w:r>
      <w:r>
        <w:t xml:space="preserve"> </w:t>
      </w:r>
      <w:hyperlink r:id="rId962">
        <w:r>
          <w:rPr>
            <w:rStyle w:val="Hyperlink"/>
          </w:rPr>
          <w:t xml:space="preserve">https://learn.microsoft.com/graph/api/conditionalaccessroot-post-policies?view=graph-rest-1.0</w:t>
        </w:r>
      </w:hyperlink>
      <w:r>
        <w:t xml:space="preserve"> </w:t>
      </w:r>
      <w:r>
        <w:t xml:space="preserve">(accessed Oct 20, 2026).</w:t>
      </w:r>
    </w:p>
  </w:footnote>
  <w:footnote w:id="1047">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648">
        <w:r>
          <w:rPr>
            <w:rStyle w:val="Hyperlink"/>
          </w:rPr>
          <w:t xml:space="preserve">https://learn.microsoft.com/graph/deployments</w:t>
        </w:r>
      </w:hyperlink>
      <w:r>
        <w:t xml:space="preserve"> </w:t>
      </w:r>
      <w:r>
        <w:t xml:space="preserve">(accessed Oct 20, 2026).</w:t>
      </w:r>
    </w:p>
  </w:footnote>
  <w:footnote w:id="1048">
    <w:p>
      <w:pPr>
        <w:pStyle w:val="FootnoteText"/>
      </w:pPr>
      <w:r>
        <w:rPr>
          <w:rStyle w:val="FootnoteReference"/>
        </w:rPr>
        <w:footnoteRef/>
      </w:r>
      <w:r>
        <w:t xml:space="preserve"> </w:t>
      </w:r>
      <w:r>
        <w:t xml:space="preserve">Microsoft Learn,</w:t>
      </w:r>
      <w:r>
        <w:t xml:space="preserve"> </w:t>
      </w:r>
      <w:r>
        <w:t xml:space="preserve">“conditionalAccessPolicy resource type”</w:t>
      </w:r>
      <w:r>
        <w:t xml:space="preserve"> </w:t>
      </w:r>
      <w:r>
        <w:t xml:space="preserve">(Microsoft Graph v1.0),</w:t>
      </w:r>
      <w:r>
        <w:t xml:space="preserve"> </w:t>
      </w:r>
      <w:hyperlink r:id="rId1049">
        <w:r>
          <w:rPr>
            <w:rStyle w:val="Hyperlink"/>
          </w:rPr>
          <w:t xml:space="preserve">https://learn.microsoft.com/graph/api/resources/conditionalaccesspolicy?view=graph-rest-1.0</w:t>
        </w:r>
      </w:hyperlink>
      <w:r>
        <w:t xml:space="preserve"> </w:t>
      </w:r>
      <w:r>
        <w:t xml:space="preserve">(accessed Oct 20, 2026).</w:t>
      </w:r>
    </w:p>
  </w:footnote>
  <w:footnote w:id="1050">
    <w:p>
      <w:pPr>
        <w:pStyle w:val="FootnoteText"/>
      </w:pPr>
      <w:r>
        <w:rPr>
          <w:rStyle w:val="FootnoteReference"/>
        </w:rPr>
        <w:footnoteRef/>
      </w:r>
      <w:r>
        <w:t xml:space="preserve"> </w:t>
      </w:r>
      <w:r>
        <w:t xml:space="preserve">Microsoft Learn,</w:t>
      </w:r>
      <w:r>
        <w:t xml:space="preserve"> </w:t>
      </w:r>
      <w:r>
        <w:t xml:space="preserve">“conditionalAccessPolicy resource type”</w:t>
      </w:r>
      <w:r>
        <w:t xml:space="preserve"> </w:t>
      </w:r>
      <w:r>
        <w:t xml:space="preserve">(Microsoft Graph v1.0),</w:t>
      </w:r>
      <w:r>
        <w:t xml:space="preserve"> </w:t>
      </w:r>
      <w:hyperlink r:id="rId1049">
        <w:r>
          <w:rPr>
            <w:rStyle w:val="Hyperlink"/>
          </w:rPr>
          <w:t xml:space="preserve">https://learn.microsoft.com/graph/api/resources/conditionalaccesspolicy?view=graph-rest-1.0</w:t>
        </w:r>
      </w:hyperlink>
      <w:r>
        <w:t xml:space="preserve"> </w:t>
      </w:r>
      <w:r>
        <w:t xml:space="preserve">(accessed Oct 20, 2026).</w:t>
      </w:r>
    </w:p>
  </w:footnote>
  <w:footnote w:id="1051">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1052">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1053">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r>
        <w:t xml:space="preserve">(Microsoft Graph v1.0),</w:t>
      </w:r>
      <w:r>
        <w:t xml:space="preserve"> </w:t>
      </w:r>
      <w:hyperlink r:id="rId207">
        <w:r>
          <w:rPr>
            <w:rStyle w:val="Hyperlink"/>
          </w:rPr>
          <w:t xml:space="preserve">https://learn.microsoft.com/graph/api/authenticationstrengthroot-list-policies?view=graph-rest-1.0</w:t>
        </w:r>
      </w:hyperlink>
      <w:r>
        <w:t xml:space="preserve"> </w:t>
      </w:r>
      <w:r>
        <w:t xml:space="preserve">(accessed Oct 20, 2026).</w:t>
      </w:r>
    </w:p>
  </w:footnote>
  <w:footnote w:id="1054">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194">
        <w:r>
          <w:rPr>
            <w:rStyle w:val="Hyperlink"/>
          </w:rPr>
          <w:t xml:space="preserve">https://learn.microsoft.com/entra/identity/conditional-access/migrate-approved-client-app</w:t>
        </w:r>
      </w:hyperlink>
      <w:r>
        <w:t xml:space="preserve"> </w:t>
      </w:r>
      <w:r>
        <w:t xml:space="preserve">(accessed Oct 20, 2026).</w:t>
      </w:r>
    </w:p>
  </w:footnote>
  <w:footnote w:id="1056">
    <w:p>
      <w:pPr>
        <w:pStyle w:val="FootnoteText"/>
      </w:pPr>
      <w:r>
        <w:rPr>
          <w:rStyle w:val="FootnoteReference"/>
        </w:rPr>
        <w:footnoteRef/>
      </w:r>
      <w:r>
        <w:t xml:space="preserve"> </w:t>
      </w:r>
      <w:r>
        <w:t xml:space="preserve">Microsoft Learn,</w:t>
      </w:r>
      <w:r>
        <w:t xml:space="preserve"> </w:t>
      </w:r>
      <w:r>
        <w:t xml:space="preserve">“conditionalAccessPolicy resource type”</w:t>
      </w:r>
      <w:r>
        <w:t xml:space="preserve"> </w:t>
      </w:r>
      <w:r>
        <w:t xml:space="preserve">(Microsoft Graph v1.0),</w:t>
      </w:r>
      <w:r>
        <w:t xml:space="preserve"> </w:t>
      </w:r>
      <w:hyperlink r:id="rId1049">
        <w:r>
          <w:rPr>
            <w:rStyle w:val="Hyperlink"/>
          </w:rPr>
          <w:t xml:space="preserve">https://learn.microsoft.com/graph/api/resources/conditionalaccesspolicy?view=graph-rest-1.0</w:t>
        </w:r>
      </w:hyperlink>
      <w:r>
        <w:t xml:space="preserve"> </w:t>
      </w:r>
      <w:r>
        <w:t xml:space="preserve">(accessed Oct 20, 2026).</w:t>
      </w:r>
    </w:p>
  </w:footnote>
  <w:footnote w:id="1057">
    <w:p>
      <w:pPr>
        <w:pStyle w:val="FootnoteText"/>
      </w:pPr>
      <w:r>
        <w:rPr>
          <w:rStyle w:val="FootnoteReference"/>
        </w:rPr>
        <w:footnoteRef/>
      </w:r>
      <w:r>
        <w:t xml:space="preserve"> </w:t>
      </w:r>
      <w:r>
        <w:t xml:space="preserve">Microsoft Learn,</w:t>
      </w:r>
      <w:r>
        <w:t xml:space="preserve"> </w:t>
      </w:r>
      <w:r>
        <w:t xml:space="preserve">“conditionalAccessUsers resource type”</w:t>
      </w:r>
      <w:r>
        <w:t xml:space="preserve"> </w:t>
      </w:r>
      <w:r>
        <w:t xml:space="preserve">(Microsoft Graph v1.0),</w:t>
      </w:r>
      <w:r>
        <w:t xml:space="preserve"> </w:t>
      </w:r>
      <w:hyperlink r:id="rId1058">
        <w:r>
          <w:rPr>
            <w:rStyle w:val="Hyperlink"/>
          </w:rPr>
          <w:t xml:space="preserve">https://learn.microsoft.com/graph/api/resources/conditionalaccessusers?view=graph-rest-1.0</w:t>
        </w:r>
      </w:hyperlink>
      <w:r>
        <w:t xml:space="preserve"> </w:t>
      </w:r>
      <w:r>
        <w:t xml:space="preserve">(accessed Oct 20, 2026).</w:t>
      </w:r>
    </w:p>
  </w:footnote>
  <w:footnote w:id="1059">
    <w:p>
      <w:pPr>
        <w:pStyle w:val="FootnoteText"/>
      </w:pPr>
      <w:r>
        <w:rPr>
          <w:rStyle w:val="FootnoteReference"/>
        </w:rPr>
        <w:footnoteRef/>
      </w:r>
      <w:r>
        <w:t xml:space="preserve"> </w:t>
      </w:r>
      <w:r>
        <w:t xml:space="preserve">Microsoft Learn,</w:t>
      </w:r>
      <w:r>
        <w:t xml:space="preserve"> </w:t>
      </w:r>
      <w:r>
        <w:t xml:space="preserve">“conditionalAccessGuestsOrExternalUsers resource type”</w:t>
      </w:r>
      <w:r>
        <w:t xml:space="preserve"> </w:t>
      </w:r>
      <w:r>
        <w:t xml:space="preserve">(Microsoft Graph v1.0),</w:t>
      </w:r>
      <w:r>
        <w:t xml:space="preserve"> </w:t>
      </w:r>
      <w:hyperlink r:id="rId1060">
        <w:r>
          <w:rPr>
            <w:rStyle w:val="Hyperlink"/>
          </w:rPr>
          <w:t xml:space="preserve">https://learn.microsoft.com/graph/api/resources/conditionalaccessguestsorexternalusers?view=graph-rest-1.0</w:t>
        </w:r>
      </w:hyperlink>
      <w:r>
        <w:t xml:space="preserve"> </w:t>
      </w:r>
      <w:r>
        <w:t xml:space="preserve">(accessed Oct 20, 2026).</w:t>
      </w:r>
    </w:p>
  </w:footnote>
  <w:footnote w:id="1061">
    <w:p>
      <w:pPr>
        <w:pStyle w:val="FootnoteText"/>
      </w:pPr>
      <w:r>
        <w:rPr>
          <w:rStyle w:val="FootnoteReference"/>
        </w:rPr>
        <w:footnoteRef/>
      </w:r>
      <w:r>
        <w:t xml:space="preserve"> </w:t>
      </w:r>
      <w:r>
        <w:t xml:space="preserve">Microsoft Learn,</w:t>
      </w:r>
      <w:r>
        <w:t xml:space="preserve"> </w:t>
      </w:r>
      <w:r>
        <w:t xml:space="preserve">“conditionalAccessExternalTenants resource type”</w:t>
      </w:r>
      <w:r>
        <w:t xml:space="preserve"> </w:t>
      </w:r>
      <w:r>
        <w:t xml:space="preserve">(Microsoft Graph v1.0),</w:t>
      </w:r>
      <w:r>
        <w:t xml:space="preserve"> </w:t>
      </w:r>
      <w:hyperlink r:id="rId1062">
        <w:r>
          <w:rPr>
            <w:rStyle w:val="Hyperlink"/>
          </w:rPr>
          <w:t xml:space="preserve">https://learn.microsoft.com/graph/api/resources/conditionalaccessexternaltenants?view=graph-rest-1.0</w:t>
        </w:r>
      </w:hyperlink>
      <w:r>
        <w:t xml:space="preserve"> </w:t>
      </w:r>
      <w:r>
        <w:t xml:space="preserve">(accessed Oct 20, 2026).</w:t>
      </w:r>
    </w:p>
  </w:footnote>
  <w:footnote w:id="1063">
    <w:p>
      <w:pPr>
        <w:pStyle w:val="FootnoteText"/>
      </w:pPr>
      <w:r>
        <w:rPr>
          <w:rStyle w:val="FootnoteReference"/>
        </w:rPr>
        <w:footnoteRef/>
      </w:r>
      <w:r>
        <w:t xml:space="preserve"> </w:t>
      </w:r>
      <w:r>
        <w:t xml:space="preserve">Microsoft Learn,</w:t>
      </w:r>
      <w:r>
        <w:t xml:space="preserve"> </w:t>
      </w:r>
      <w:r>
        <w:t xml:space="preserve">“conditionalAccessEnumeratedExternalTenants resource type”</w:t>
      </w:r>
      <w:r>
        <w:t xml:space="preserve"> </w:t>
      </w:r>
      <w:r>
        <w:t xml:space="preserve">(Microsoft Graph v1.0),</w:t>
      </w:r>
      <w:r>
        <w:t xml:space="preserve"> </w:t>
      </w:r>
      <w:hyperlink r:id="rId1064">
        <w:r>
          <w:rPr>
            <w:rStyle w:val="Hyperlink"/>
          </w:rPr>
          <w:t xml:space="preserve">https://learn.microsoft.com/graph/api/resources/conditionalaccessenumeratedexternaltenants?view=graph-rest-1.0</w:t>
        </w:r>
      </w:hyperlink>
      <w:r>
        <w:t xml:space="preserve"> </w:t>
      </w:r>
      <w:r>
        <w:t xml:space="preserve">(accessed Oct 20, 2026).</w:t>
      </w:r>
    </w:p>
  </w:footnote>
  <w:footnote w:id="1065">
    <w:p>
      <w:pPr>
        <w:pStyle w:val="FootnoteText"/>
      </w:pPr>
      <w:r>
        <w:rPr>
          <w:rStyle w:val="FootnoteReference"/>
        </w:rPr>
        <w:footnoteRef/>
      </w:r>
      <w:r>
        <w:t xml:space="preserve"> </w:t>
      </w:r>
      <w:r>
        <w:t xml:space="preserve">Microsoft Learn,</w:t>
      </w:r>
      <w:r>
        <w:t xml:space="preserve"> </w:t>
      </w:r>
      <w:r>
        <w:t xml:space="preserve">“conditionalAccessApplications resource type”</w:t>
      </w:r>
      <w:r>
        <w:t xml:space="preserve"> </w:t>
      </w:r>
      <w:r>
        <w:t xml:space="preserve">(Microsoft Graph v1.0),</w:t>
      </w:r>
      <w:r>
        <w:t xml:space="preserve"> </w:t>
      </w:r>
      <w:hyperlink r:id="rId1066">
        <w:r>
          <w:rPr>
            <w:rStyle w:val="Hyperlink"/>
          </w:rPr>
          <w:t xml:space="preserve">https://learn.microsoft.com/graph/api/resources/conditionalaccessapplications?view=graph-rest-1.0</w:t>
        </w:r>
      </w:hyperlink>
      <w:r>
        <w:t xml:space="preserve"> </w:t>
      </w:r>
      <w:r>
        <w:t xml:space="preserve">(accessed Oct 20, 2026).</w:t>
      </w:r>
    </w:p>
  </w:footnote>
  <w:footnote w:id="1067">
    <w:p>
      <w:pPr>
        <w:pStyle w:val="FootnoteText"/>
      </w:pPr>
      <w:r>
        <w:rPr>
          <w:rStyle w:val="FootnoteReference"/>
        </w:rPr>
        <w:footnoteRef/>
      </w:r>
      <w:r>
        <w:t xml:space="preserve"> </w:t>
      </w:r>
      <w:r>
        <w:t xml:space="preserve">Microsoft Learn,</w:t>
      </w:r>
      <w:r>
        <w:t xml:space="preserve"> </w:t>
      </w:r>
      <w:r>
        <w:t xml:space="preserve">“conditionalAccessClientApplications resource type”</w:t>
      </w:r>
      <w:r>
        <w:t xml:space="preserve"> </w:t>
      </w:r>
      <w:r>
        <w:t xml:space="preserve">(Microsoft Graph v1.0),</w:t>
      </w:r>
      <w:r>
        <w:t xml:space="preserve"> </w:t>
      </w:r>
      <w:hyperlink r:id="rId1068">
        <w:r>
          <w:rPr>
            <w:rStyle w:val="Hyperlink"/>
          </w:rPr>
          <w:t xml:space="preserve">https://learn.microsoft.com/graph/api/resources/conditionalaccessclientapplications?view=graph-rest-1.0</w:t>
        </w:r>
      </w:hyperlink>
      <w:r>
        <w:t xml:space="preserve"> </w:t>
      </w:r>
      <w:r>
        <w:t xml:space="preserve">(accessed Oct 20, 2026).</w:t>
      </w:r>
    </w:p>
  </w:footnote>
  <w:footnote w:id="1069">
    <w:p>
      <w:pPr>
        <w:pStyle w:val="FootnoteText"/>
      </w:pPr>
      <w:r>
        <w:rPr>
          <w:rStyle w:val="FootnoteReference"/>
        </w:rPr>
        <w:footnoteRef/>
      </w:r>
      <w:r>
        <w:t xml:space="preserve"> </w:t>
      </w:r>
      <w:r>
        <w:t xml:space="preserve">Microsoft Learn,</w:t>
      </w:r>
      <w:r>
        <w:t xml:space="preserve"> </w:t>
      </w:r>
      <w:r>
        <w:t xml:space="preserve">“conditionalAccessConditionSet resource type”</w:t>
      </w:r>
      <w:r>
        <w:t xml:space="preserve"> </w:t>
      </w:r>
      <w:r>
        <w:t xml:space="preserve">(Microsoft Graph v1.0),</w:t>
      </w:r>
      <w:r>
        <w:t xml:space="preserve"> </w:t>
      </w:r>
      <w:hyperlink r:id="rId1070">
        <w:r>
          <w:rPr>
            <w:rStyle w:val="Hyperlink"/>
          </w:rPr>
          <w:t xml:space="preserve">https://learn.microsoft.com/graph/api/resources/conditionalaccessconditionset?view=graph-rest-1.0</w:t>
        </w:r>
      </w:hyperlink>
      <w:r>
        <w:t xml:space="preserve"> </w:t>
      </w:r>
      <w:r>
        <w:t xml:space="preserve">(accessed Oct 20, 2026).</w:t>
      </w:r>
    </w:p>
  </w:footnote>
  <w:footnote w:id="1071">
    <w:p>
      <w:pPr>
        <w:pStyle w:val="FootnoteText"/>
      </w:pPr>
      <w:r>
        <w:rPr>
          <w:rStyle w:val="FootnoteReference"/>
        </w:rPr>
        <w:footnoteRef/>
      </w:r>
      <w:r>
        <w:t xml:space="preserve"> </w:t>
      </w:r>
      <w:r>
        <w:t xml:space="preserve">Microsoft Learn,</w:t>
      </w:r>
      <w:r>
        <w:t xml:space="preserve"> </w:t>
      </w:r>
      <w:r>
        <w:t xml:space="preserve">“conditionalAccessLocations resource type”</w:t>
      </w:r>
      <w:r>
        <w:t xml:space="preserve"> </w:t>
      </w:r>
      <w:r>
        <w:t xml:space="preserve">(Microsoft Graph v1.0),</w:t>
      </w:r>
      <w:r>
        <w:t xml:space="preserve"> </w:t>
      </w:r>
      <w:hyperlink r:id="rId1072">
        <w:r>
          <w:rPr>
            <w:rStyle w:val="Hyperlink"/>
          </w:rPr>
          <w:t xml:space="preserve">https://learn.microsoft.com/graph/api/resources/conditionalaccesslocations?view=graph-rest-1.0</w:t>
        </w:r>
      </w:hyperlink>
      <w:r>
        <w:t xml:space="preserve"> </w:t>
      </w:r>
      <w:r>
        <w:t xml:space="preserve">(accessed Oct 20, 2026).</w:t>
      </w:r>
    </w:p>
  </w:footnote>
  <w:footnote w:id="1073">
    <w:p>
      <w:pPr>
        <w:pStyle w:val="FootnoteText"/>
      </w:pPr>
      <w:r>
        <w:rPr>
          <w:rStyle w:val="FootnoteReference"/>
        </w:rPr>
        <w:footnoteRef/>
      </w:r>
      <w:r>
        <w:t xml:space="preserve"> </w:t>
      </w:r>
      <w:r>
        <w:t xml:space="preserve">Microsoft Learn,</w:t>
      </w:r>
      <w:r>
        <w:t xml:space="preserve"> </w:t>
      </w:r>
      <w:r>
        <w:t xml:space="preserve">“conditionalAccessPlatforms resource type”</w:t>
      </w:r>
      <w:r>
        <w:t xml:space="preserve"> </w:t>
      </w:r>
      <w:r>
        <w:t xml:space="preserve">(Microsoft Graph v1.0),</w:t>
      </w:r>
      <w:r>
        <w:t xml:space="preserve"> </w:t>
      </w:r>
      <w:hyperlink r:id="rId1074">
        <w:r>
          <w:rPr>
            <w:rStyle w:val="Hyperlink"/>
          </w:rPr>
          <w:t xml:space="preserve">https://learn.microsoft.com/graph/api/resources/conditionalaccessplatforms?view=graph-rest-1.0</w:t>
        </w:r>
      </w:hyperlink>
      <w:r>
        <w:t xml:space="preserve"> </w:t>
      </w:r>
      <w:r>
        <w:t xml:space="preserve">(accessed Oct 20, 2026).</w:t>
      </w:r>
    </w:p>
  </w:footnote>
  <w:footnote w:id="1075">
    <w:p>
      <w:pPr>
        <w:pStyle w:val="FootnoteText"/>
      </w:pPr>
      <w:r>
        <w:rPr>
          <w:rStyle w:val="FootnoteReference"/>
        </w:rPr>
        <w:footnoteRef/>
      </w:r>
      <w:r>
        <w:t xml:space="preserve"> </w:t>
      </w:r>
      <w:r>
        <w:t xml:space="preserve">Microsoft Learn,</w:t>
      </w:r>
      <w:r>
        <w:t xml:space="preserve"> </w:t>
      </w:r>
      <w:r>
        <w:t xml:space="preserve">“conditionalAccessFilter resource type”</w:t>
      </w:r>
      <w:r>
        <w:t xml:space="preserve"> </w:t>
      </w:r>
      <w:r>
        <w:t xml:space="preserve">(Microsoft Graph v1.0),</w:t>
      </w:r>
      <w:r>
        <w:t xml:space="preserve"> </w:t>
      </w:r>
      <w:hyperlink r:id="rId1076">
        <w:r>
          <w:rPr>
            <w:rStyle w:val="Hyperlink"/>
          </w:rPr>
          <w:t xml:space="preserve">https://learn.microsoft.com/graph/api/resources/conditionalaccessfilter?view=graph-rest-1.0</w:t>
        </w:r>
      </w:hyperlink>
      <w:r>
        <w:t xml:space="preserve"> </w:t>
      </w:r>
      <w:r>
        <w:t xml:space="preserve">(accessed Oct 20, 2026).</w:t>
      </w:r>
    </w:p>
  </w:footnote>
  <w:footnote w:id="1077">
    <w:p>
      <w:pPr>
        <w:pStyle w:val="FootnoteText"/>
      </w:pPr>
      <w:r>
        <w:rPr>
          <w:rStyle w:val="FootnoteReference"/>
        </w:rPr>
        <w:footnoteRef/>
      </w:r>
      <w:r>
        <w:t xml:space="preserve"> </w:t>
      </w:r>
      <w:r>
        <w:t xml:space="preserve">Microsoft Learn,</w:t>
      </w:r>
      <w:r>
        <w:t xml:space="preserve"> </w:t>
      </w:r>
      <w:r>
        <w:t xml:space="preserve">“conditionalAccessConditionSet resource type”</w:t>
      </w:r>
      <w:r>
        <w:t xml:space="preserve"> </w:t>
      </w:r>
      <w:r>
        <w:t xml:space="preserve">(Microsoft Graph v1.0),</w:t>
      </w:r>
      <w:r>
        <w:t xml:space="preserve"> </w:t>
      </w:r>
      <w:hyperlink r:id="rId1070">
        <w:r>
          <w:rPr>
            <w:rStyle w:val="Hyperlink"/>
          </w:rPr>
          <w:t xml:space="preserve">https://learn.microsoft.com/graph/api/resources/conditionalaccessconditionset?view=graph-rest-1.0</w:t>
        </w:r>
      </w:hyperlink>
      <w:r>
        <w:t xml:space="preserve"> </w:t>
      </w:r>
      <w:r>
        <w:t xml:space="preserve">(accessed Oct 20, 2026).</w:t>
      </w:r>
    </w:p>
  </w:footnote>
  <w:footnote w:id="1078">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181">
        <w:r>
          <w:rPr>
            <w:rStyle w:val="Hyperlink"/>
          </w:rPr>
          <w:t xml:space="preserve">https://learn.microsoft.com/entra/identity/conditional-access/concept-authentication-flows</w:t>
        </w:r>
      </w:hyperlink>
      <w:r>
        <w:t xml:space="preserve"> </w:t>
      </w:r>
      <w:r>
        <w:t xml:space="preserve">(accessed Oct 20, 2026).</w:t>
      </w:r>
    </w:p>
  </w:footnote>
  <w:footnote w:id="1079">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199">
        <w:r>
          <w:rPr>
            <w:rStyle w:val="Hyperlink"/>
          </w:rPr>
          <w:t xml:space="preserve">https://learn.microsoft.com/graph/api/resources/conditionalaccessgrantcontrols?view=graph-rest-1.0</w:t>
        </w:r>
      </w:hyperlink>
      <w:r>
        <w:t xml:space="preserve"> </w:t>
      </w:r>
      <w:r>
        <w:t xml:space="preserve">(accessed Oct 20, 2026).</w:t>
      </w:r>
    </w:p>
  </w:footnote>
  <w:footnote w:id="1080">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218">
        <w:r>
          <w:rPr>
            <w:rStyle w:val="Hyperlink"/>
          </w:rPr>
          <w:t xml:space="preserve">https://learn.microsoft.com/graph/api/resources/conditionalaccesssessioncontrols?view=graph-rest-1.0</w:t>
        </w:r>
      </w:hyperlink>
      <w:r>
        <w:t xml:space="preserve"> </w:t>
      </w:r>
      <w:r>
        <w:t xml:space="preserve">(accessed Oct 20, 2026).</w:t>
      </w:r>
    </w:p>
  </w:footnote>
  <w:footnote w:id="1081">
    <w:p>
      <w:pPr>
        <w:pStyle w:val="FootnoteText"/>
      </w:pPr>
      <w:r>
        <w:rPr>
          <w:rStyle w:val="FootnoteReference"/>
        </w:rPr>
        <w:footnoteRef/>
      </w:r>
      <w:r>
        <w:t xml:space="preserve"> </w:t>
      </w:r>
      <w:r>
        <w:t xml:space="preserve">Microsoft Learn,</w:t>
      </w:r>
      <w:r>
        <w:t xml:space="preserve"> </w:t>
      </w:r>
      <w:r>
        <w:t xml:space="preserve">“signInFrequencySessionControl resource type”</w:t>
      </w:r>
      <w:r>
        <w:t xml:space="preserve"> </w:t>
      </w:r>
      <w:r>
        <w:t xml:space="preserve">(Microsoft Graph v1.0),</w:t>
      </w:r>
      <w:r>
        <w:t xml:space="preserve"> </w:t>
      </w:r>
      <w:hyperlink r:id="rId223">
        <w:r>
          <w:rPr>
            <w:rStyle w:val="Hyperlink"/>
          </w:rPr>
          <w:t xml:space="preserve">https://learn.microsoft.com/graph/api/resources/signinfrequencysessioncontrol?view=graph-rest-1.0</w:t>
        </w:r>
      </w:hyperlink>
      <w:r>
        <w:t xml:space="preserve"> </w:t>
      </w:r>
      <w:r>
        <w:t xml:space="preserve">(accessed Oct 20, 2026).</w:t>
      </w:r>
    </w:p>
  </w:footnote>
  <w:footnote w:id="1082">
    <w:p>
      <w:pPr>
        <w:pStyle w:val="FootnoteText"/>
      </w:pPr>
      <w:r>
        <w:rPr>
          <w:rStyle w:val="FootnoteReference"/>
        </w:rPr>
        <w:footnoteRef/>
      </w:r>
      <w:r>
        <w:t xml:space="preserve"> </w:t>
      </w:r>
      <w:r>
        <w:t xml:space="preserve">Microsoft Learn,</w:t>
      </w:r>
      <w:r>
        <w:t xml:space="preserve"> </w:t>
      </w:r>
      <w:r>
        <w:t xml:space="preserve">“persistentBrowserSessionControl resource type”</w:t>
      </w:r>
      <w:r>
        <w:t xml:space="preserve"> </w:t>
      </w:r>
      <w:r>
        <w:t xml:space="preserve">(Microsoft Graph v1.0),</w:t>
      </w:r>
      <w:r>
        <w:t xml:space="preserve"> </w:t>
      </w:r>
      <w:hyperlink r:id="rId1083">
        <w:r>
          <w:rPr>
            <w:rStyle w:val="Hyperlink"/>
          </w:rPr>
          <w:t xml:space="preserve">https://learn.microsoft.com/graph/api/resources/persistentbrowsersessioncontrol?view=graph-rest-1.0</w:t>
        </w:r>
      </w:hyperlink>
      <w:r>
        <w:t xml:space="preserve"> </w:t>
      </w:r>
      <w:r>
        <w:t xml:space="preserve">(accessed Oct 20, 2026).</w:t>
      </w:r>
    </w:p>
  </w:footnote>
  <w:footnote w:id="1084">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199">
        <w:r>
          <w:rPr>
            <w:rStyle w:val="Hyperlink"/>
          </w:rPr>
          <w:t xml:space="preserve">https://learn.microsoft.com/graph/api/resources/conditionalaccessgrantcontrols?view=graph-rest-1.0</w:t>
        </w:r>
      </w:hyperlink>
      <w:r>
        <w:t xml:space="preserve"> </w:t>
      </w:r>
      <w:r>
        <w:t xml:space="preserve">(accessed Oct 20, 2026).</w:t>
      </w:r>
    </w:p>
  </w:footnote>
  <w:footnote w:id="1085">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1088">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145">
        <w:r>
          <w:rPr>
            <w:rStyle w:val="Hyperlink"/>
          </w:rPr>
          <w:t xml:space="preserve">https://learn.microsoft.com/entra/identity/conditional-access/concept-assignment-network</w:t>
        </w:r>
      </w:hyperlink>
      <w:r>
        <w:t xml:space="preserve"> </w:t>
      </w:r>
      <w:r>
        <w:t xml:space="preserve">(accessed Oct 20, 2026).</w:t>
      </w:r>
    </w:p>
  </w:footnote>
  <w:footnote w:id="1089">
    <w:p>
      <w:pPr>
        <w:pStyle w:val="FootnoteText"/>
      </w:pPr>
      <w:r>
        <w:rPr>
          <w:rStyle w:val="FootnoteReference"/>
        </w:rPr>
        <w:footnoteRef/>
      </w:r>
      <w:r>
        <w:t xml:space="preserve"> </w:t>
      </w:r>
      <w:r>
        <w:t xml:space="preserve">Microsoft Learn,</w:t>
      </w:r>
      <w:r>
        <w:t xml:space="preserve"> </w:t>
      </w:r>
      <w:r>
        <w:t xml:space="preserve">“New-MgIdentityConditionalAccessNamedLocation”</w:t>
      </w:r>
      <w:r>
        <w:t xml:space="preserve"> </w:t>
      </w:r>
      <w:r>
        <w:t xml:space="preserve">(Microsoft Graph PowerShell),</w:t>
      </w:r>
      <w:r>
        <w:t xml:space="preserve"> </w:t>
      </w:r>
      <w:hyperlink r:id="rId1090">
        <w:r>
          <w:rPr>
            <w:rStyle w:val="Hyperlink"/>
          </w:rPr>
          <w:t xml:space="preserve">https://learn.microsoft.com/powershell/module/microsoft.graph.identity.signins/new-mgidentityconditionalaccessnamedlocation?view=graph-powershell-1.0</w:t>
        </w:r>
      </w:hyperlink>
      <w:r>
        <w:t xml:space="preserve"> </w:t>
      </w:r>
      <w:r>
        <w:t xml:space="preserve">(accessed Oct 20, 2026).</w:t>
      </w:r>
    </w:p>
  </w:footnote>
  <w:footnote w:id="1092">
    <w:p>
      <w:pPr>
        <w:pStyle w:val="FootnoteText"/>
      </w:pPr>
      <w:r>
        <w:rPr>
          <w:rStyle w:val="FootnoteReference"/>
        </w:rPr>
        <w:footnoteRef/>
      </w:r>
      <w:r>
        <w:t xml:space="preserve"> </w:t>
      </w:r>
      <w:r>
        <w:t xml:space="preserve">Microsoft Learn,</w:t>
      </w:r>
      <w:r>
        <w:t xml:space="preserve"> </w:t>
      </w:r>
      <w:r>
        <w:t xml:space="preserve">“New-MgPolicyAuthenticationStrengthPolicy”</w:t>
      </w:r>
      <w:r>
        <w:t xml:space="preserve"> </w:t>
      </w:r>
      <w:r>
        <w:t xml:space="preserve">(Microsoft Graph PowerShell),</w:t>
      </w:r>
      <w:r>
        <w:t xml:space="preserve"> </w:t>
      </w:r>
      <w:hyperlink r:id="rId562">
        <w:r>
          <w:rPr>
            <w:rStyle w:val="Hyperlink"/>
          </w:rPr>
          <w:t xml:space="preserve">https://learn.microsoft.com/powershell/module/microsoft.graph.identity.signins/new-mgpolicyauthenticationstrengthpolicy?view=graph-powershell-1.0</w:t>
        </w:r>
      </w:hyperlink>
      <w:r>
        <w:t xml:space="preserve"> </w:t>
      </w:r>
      <w:r>
        <w:t xml:space="preserve">(accessed Oct 20, 2026).</w:t>
      </w:r>
    </w:p>
  </w:footnote>
  <w:footnote w:id="1095">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181">
        <w:r>
          <w:rPr>
            <w:rStyle w:val="Hyperlink"/>
          </w:rPr>
          <w:t xml:space="preserve">https://learn.microsoft.com/entra/identity/conditional-access/concept-authentication-flows</w:t>
        </w:r>
      </w:hyperlink>
      <w:r>
        <w:t xml:space="preserve"> </w:t>
      </w:r>
      <w:r>
        <w:t xml:space="preserve">(accessed Oct 20, 2026).</w:t>
      </w:r>
    </w:p>
  </w:footnote>
  <w:footnote w:id="1097">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1098">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44">
        <w:r>
          <w:rPr>
            <w:rStyle w:val="Hyperlink"/>
          </w:rPr>
          <w:t xml:space="preserve">https://learn.microsoft.com/entra/identity/conditional-access/concept-conditional-access-users-groups</w:t>
        </w:r>
      </w:hyperlink>
      <w:r>
        <w:t xml:space="preserve"> </w:t>
      </w:r>
      <w:r>
        <w:t xml:space="preserve">(accessed Oct 20, 2026).</w:t>
      </w:r>
    </w:p>
  </w:footnote>
  <w:footnote w:id="1099">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218">
        <w:r>
          <w:rPr>
            <w:rStyle w:val="Hyperlink"/>
          </w:rPr>
          <w:t xml:space="preserve">https://learn.microsoft.com/graph/api/resources/conditionalaccesssessioncontrols?view=graph-rest-1.0</w:t>
        </w:r>
      </w:hyperlink>
      <w:r>
        <w:t xml:space="preserve"> </w:t>
      </w:r>
      <w:r>
        <w:t xml:space="preserve">(accessed Oct 20, 2026).</w:t>
      </w:r>
    </w:p>
  </w:footnote>
  <w:footnote w:id="1100">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r>
        <w:t xml:space="preserve">(Microsoft Graph v1.0),</w:t>
      </w:r>
      <w:r>
        <w:t xml:space="preserve"> </w:t>
      </w:r>
      <w:hyperlink r:id="rId962">
        <w:r>
          <w:rPr>
            <w:rStyle w:val="Hyperlink"/>
          </w:rPr>
          <w:t xml:space="preserve">https://learn.microsoft.com/graph/api/conditionalaccessroot-post-policies?view=graph-rest-1.0</w:t>
        </w:r>
      </w:hyperlink>
      <w:r>
        <w:t xml:space="preserve"> </w:t>
      </w:r>
      <w:r>
        <w:t xml:space="preserve">(accessed Oct 20, 2026).</w:t>
      </w:r>
    </w:p>
  </w:footnote>
  <w:footnote w:id="1101">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183">
        <w:r>
          <w:rPr>
            <w:rStyle w:val="Hyperlink"/>
          </w:rPr>
          <w:t xml:space="preserve">https://learn.microsoft.com/entra/identity/conditional-access/concept-condition-filters-for-devices</w:t>
        </w:r>
      </w:hyperlink>
      <w:r>
        <w:t xml:space="preserve"> </w:t>
      </w:r>
      <w:r>
        <w:t xml:space="preserve">(accessed Oct 20, 2026).</w:t>
      </w:r>
    </w:p>
  </w:footnote>
  <w:footnote w:id="1103">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190">
        <w:r>
          <w:rPr>
            <w:rStyle w:val="Hyperlink"/>
          </w:rPr>
          <w:t xml:space="preserve">https://learn.microsoft.com/entra/identity/authentication/concept-authentication-strengths</w:t>
        </w:r>
      </w:hyperlink>
      <w:r>
        <w:t xml:space="preserve"> </w:t>
      </w:r>
      <w:r>
        <w:t xml:space="preserve">(accessed Oct 20, 2026).</w:t>
      </w:r>
    </w:p>
  </w:footnote>
  <w:footnote w:id="1104">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r>
        <w:t xml:space="preserve">(Microsoft Graph v1.0),</w:t>
      </w:r>
      <w:r>
        <w:t xml:space="preserve"> </w:t>
      </w:r>
      <w:hyperlink r:id="rId962">
        <w:r>
          <w:rPr>
            <w:rStyle w:val="Hyperlink"/>
          </w:rPr>
          <w:t xml:space="preserve">https://learn.microsoft.com/graph/api/conditionalaccessroot-post-policies?view=graph-rest-1.0</w:t>
        </w:r>
      </w:hyperlink>
      <w:r>
        <w:t xml:space="preserve"> </w:t>
      </w:r>
      <w:r>
        <w:t xml:space="preserve">(accessed Oct 20, 2026).</w:t>
      </w:r>
    </w:p>
  </w:footnote>
  <w:footnote w:id="1105">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199">
        <w:r>
          <w:rPr>
            <w:rStyle w:val="Hyperlink"/>
          </w:rPr>
          <w:t xml:space="preserve">https://learn.microsoft.com/graph/api/resources/conditionalaccessgrantcontrols?view=graph-rest-1.0</w:t>
        </w:r>
      </w:hyperlink>
      <w:r>
        <w:t xml:space="preserve"> </w:t>
      </w:r>
      <w:r>
        <w:t xml:space="preserve">(accessed Oct 20, 2026).</w:t>
      </w:r>
    </w:p>
  </w:footnote>
  <w:footnote w:id="1106">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194">
        <w:r>
          <w:rPr>
            <w:rStyle w:val="Hyperlink"/>
          </w:rPr>
          <w:t xml:space="preserve">https://learn.microsoft.com/entra/identity/conditional-access/migrate-approved-client-app</w:t>
        </w:r>
      </w:hyperlink>
      <w:r>
        <w:t xml:space="preserve"> </w:t>
      </w:r>
      <w:r>
        <w:t xml:space="preserve">(accessed Oct 20, 2026).</w:t>
      </w:r>
    </w:p>
  </w:footnote>
  <w:footnote w:id="1107">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160">
        <w:r>
          <w:rPr>
            <w:rStyle w:val="Hyperlink"/>
          </w:rPr>
          <w:t xml:space="preserve">https://learn.microsoft.com/entra/identity/conditional-access/concept-conditional-access-cloud-apps</w:t>
        </w:r>
      </w:hyperlink>
      <w:r>
        <w:t xml:space="preserve"> </w:t>
      </w:r>
      <w:r>
        <w:t xml:space="preserve">(accessed Oct 20, 2026).</w:t>
      </w:r>
    </w:p>
  </w:footnote>
  <w:footnote w:id="1109">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02">
        <w:r>
          <w:rPr>
            <w:rStyle w:val="Hyperlink"/>
          </w:rPr>
          <w:t xml:space="preserve">https://learn.microsoft.com/entra/identity/conditional-access/managed-policies</w:t>
        </w:r>
      </w:hyperlink>
      <w:r>
        <w:t xml:space="preserve"> </w:t>
      </w:r>
      <w:r>
        <w:t xml:space="preserve">(accessed Oct 20, 2026).</w:t>
      </w:r>
    </w:p>
  </w:footnote>
  <w:footnote w:id="1110">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1111">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43">
        <w:r>
          <w:rPr>
            <w:rStyle w:val="Hyperlink"/>
          </w:rPr>
          <w:t xml:space="preserve">https://learn.microsoft.com/entra/identity/conditional-access/workload-identity</w:t>
        </w:r>
      </w:hyperlink>
      <w:r>
        <w:t xml:space="preserve"> </w:t>
      </w:r>
      <w:r>
        <w:t xml:space="preserve">(accessed Oct 20, 2026).</w:t>
      </w:r>
    </w:p>
  </w:footnote>
  <w:footnote w:id="1112">
    <w:p>
      <w:pPr>
        <w:pStyle w:val="FootnoteText"/>
      </w:pPr>
      <w:r>
        <w:rPr>
          <w:rStyle w:val="FootnoteReference"/>
        </w:rPr>
        <w:footnoteRef/>
      </w:r>
      <w:r>
        <w:t xml:space="preserve"> </w:t>
      </w:r>
      <w:r>
        <w:t xml:space="preserve">Microsoft Learn,</w:t>
      </w:r>
      <w:r>
        <w:t xml:space="preserve"> </w:t>
      </w:r>
      <w:r>
        <w:t xml:space="preserve">“Help dynamically mitigate risks with Adaptive Protection,”</w:t>
      </w:r>
      <w:r>
        <w:t xml:space="preserve"> </w:t>
      </w:r>
      <w:hyperlink r:id="rId597">
        <w:r>
          <w:rPr>
            <w:rStyle w:val="Hyperlink"/>
          </w:rPr>
          <w:t xml:space="preserve">https://learn.microsoft.com/purview/insider-risk-management-adaptive-protection</w:t>
        </w:r>
      </w:hyperlink>
      <w:r>
        <w:t xml:space="preserve"> </w:t>
      </w:r>
      <w:r>
        <w:t xml:space="preserve">(accessed Oct 20, 2026).</w:t>
      </w:r>
    </w:p>
  </w:footnote>
  <w:footnote w:id="1114">
    <w:p>
      <w:pPr>
        <w:pStyle w:val="FootnoteText"/>
      </w:pPr>
      <w:r>
        <w:rPr>
          <w:rStyle w:val="FootnoteReference"/>
        </w:rPr>
        <w:footnoteRef/>
      </w:r>
      <w:r>
        <w:t xml:space="preserve"> </w:t>
      </w:r>
      <w:r>
        <w:t xml:space="preserve">Microsoft Learn,</w:t>
      </w:r>
      <w:r>
        <w:t xml:space="preserve"> </w:t>
      </w:r>
      <w:r>
        <w:t xml:space="preserve">“Filter for applications in Conditional Access policy,”</w:t>
      </w:r>
      <w:r>
        <w:t xml:space="preserve"> </w:t>
      </w:r>
      <w:hyperlink r:id="rId165">
        <w:r>
          <w:rPr>
            <w:rStyle w:val="Hyperlink"/>
          </w:rPr>
          <w:t xml:space="preserve">https://learn.microsoft.com/entra/identity/conditional-access/concept-filter-for-applications</w:t>
        </w:r>
      </w:hyperlink>
      <w:r>
        <w:t xml:space="preserve"> </w:t>
      </w:r>
      <w:r>
        <w:t xml:space="preserve">(accessed Oct 20, 2026).</w:t>
      </w:r>
    </w:p>
  </w:footnote>
  <w:footnote w:id="1121">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1122">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09">
        <w:r>
          <w:rPr>
            <w:rStyle w:val="Hyperlink"/>
          </w:rPr>
          <w:t xml:space="preserve">https://learn.microsoft.com/entra/id-governance/privileged-identity-management/pim-approval-workflow</w:t>
        </w:r>
      </w:hyperlink>
      <w:r>
        <w:t xml:space="preserve"> </w:t>
      </w:r>
      <w:r>
        <w:t xml:space="preserve">(accessed Oct 20, 2026).</w:t>
      </w:r>
    </w:p>
  </w:footnote>
  <w:footnote w:id="112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1125">
    <w:p>
      <w:pPr>
        <w:pStyle w:val="FootnoteText"/>
      </w:pPr>
      <w:r>
        <w:rPr>
          <w:rStyle w:val="FootnoteReference"/>
        </w:rPr>
        <w:footnoteRef/>
      </w:r>
      <w:r>
        <w:t xml:space="preserve"> </w:t>
      </w:r>
      <w:r>
        <w:t xml:space="preserve">Microsoft Learn,</w:t>
      </w:r>
      <w:r>
        <w:t xml:space="preserve"> </w:t>
      </w:r>
      <w:r>
        <w:t xml:space="preserve">“Rules in PIM - mapping guide,”</w:t>
      </w:r>
      <w:r>
        <w:t xml:space="preserve"> </w:t>
      </w:r>
      <w:hyperlink r:id="rId715">
        <w:r>
          <w:rPr>
            <w:rStyle w:val="Hyperlink"/>
          </w:rPr>
          <w:t xml:space="preserve">https://learn.microsoft.com/graph/identity-governance-pim-rules-overview</w:t>
        </w:r>
      </w:hyperlink>
      <w:r>
        <w:t xml:space="preserve"> </w:t>
      </w:r>
      <w:r>
        <w:t xml:space="preserve">(accessed Oct 20, 2026).</w:t>
      </w:r>
    </w:p>
  </w:footnote>
  <w:footnote w:id="1127">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 w:id="1129">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22">
        <w:r>
          <w:rPr>
            <w:rStyle w:val="Hyperlink"/>
          </w:rPr>
          <w:t xml:space="preserve">https://learn.microsoft.com/entra/id-governance/privileged-identity-management/concept-pim-for-groups</w:t>
        </w:r>
      </w:hyperlink>
      <w:r>
        <w:t xml:space="preserve"> </w:t>
      </w:r>
      <w:r>
        <w:t xml:space="preserve">(accessed Oct 20, 2026).</w:t>
      </w:r>
    </w:p>
  </w:footnote>
  <w:footnote w:id="1130">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17">
        <w:r>
          <w:rPr>
            <w:rStyle w:val="Hyperlink"/>
          </w:rPr>
          <w:t xml:space="preserve">https://learn.microsoft.com/entra/identity/role-based-access-control/groups-concept</w:t>
        </w:r>
      </w:hyperlink>
      <w:r>
        <w:t xml:space="preserve"> </w:t>
      </w:r>
      <w:r>
        <w:t xml:space="preserve">(accessed Oct 20, 2026).</w:t>
      </w:r>
    </w:p>
  </w:footnote>
  <w:footnote w:id="1132">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1133">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1134">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17">
        <w:r>
          <w:rPr>
            <w:rStyle w:val="Hyperlink"/>
          </w:rPr>
          <w:t xml:space="preserve">https://learn.microsoft.com/entra/identity/role-based-access-control/groups-concept</w:t>
        </w:r>
      </w:hyperlink>
      <w:r>
        <w:t xml:space="preserve"> </w:t>
      </w:r>
      <w:r>
        <w:t xml:space="preserve">(accessed Oct 20, 2026).</w:t>
      </w:r>
    </w:p>
  </w:footnote>
  <w:footnote w:id="113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113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306">
        <w:r>
          <w:rPr>
            <w:rStyle w:val="Hyperlink"/>
          </w:rPr>
          <w:t xml:space="preserve">https://learn.microsoft.com/entra/id-governance/privileged-identity-management/pim-how-to-change-default-settings</w:t>
        </w:r>
      </w:hyperlink>
      <w:r>
        <w:t xml:space="preserve"> </w:t>
      </w:r>
      <w:r>
        <w:t xml:space="preserve">(accessed Oct 20, 2026).</w:t>
      </w:r>
    </w:p>
  </w:footnote>
  <w:footnote w:id="1139">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751">
        <w:r>
          <w:rPr>
            <w:rStyle w:val="Hyperlink"/>
          </w:rPr>
          <w:t xml:space="preserve">https://learn.microsoft.com/entra/id-governance/privileged-identity-management/pim-email-notifications</w:t>
        </w:r>
      </w:hyperlink>
      <w:r>
        <w:t xml:space="preserve"> </w:t>
      </w:r>
      <w:r>
        <w:t xml:space="preserve">(accessed Oct 20, 2026).</w:t>
      </w:r>
    </w:p>
  </w:footnote>
  <w:footnote w:id="1141">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759">
        <w:r>
          <w:rPr>
            <w:rStyle w:val="Hyperlink"/>
          </w:rPr>
          <w:t xml:space="preserve">https://learn.microsoft.com/entra/id-governance/privileged-identity-management/pim-create-roles-and-resource-roles-review</w:t>
        </w:r>
      </w:hyperlink>
      <w:r>
        <w:t xml:space="preserve"> </w:t>
      </w:r>
      <w:r>
        <w:t xml:space="preserve">(accessed Oct 20, 2026).</w:t>
      </w:r>
    </w:p>
  </w:footnote>
  <w:footnote w:id="1143">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759">
        <w:r>
          <w:rPr>
            <w:rStyle w:val="Hyperlink"/>
          </w:rPr>
          <w:t xml:space="preserve">https://learn.microsoft.com/entra/id-governance/privileged-identity-management/pim-create-roles-and-resource-roles-review</w:t>
        </w:r>
      </w:hyperlink>
      <w:r>
        <w:t xml:space="preserve"> </w:t>
      </w:r>
      <w:r>
        <w:t xml:space="preserve">(accessed Oct 20, 2026).</w:t>
      </w:r>
    </w:p>
  </w:footnote>
  <w:footnote w:id="1145">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85">
        <w:r>
          <w:rPr>
            <w:rStyle w:val="Hyperlink"/>
          </w:rPr>
          <w:t xml:space="preserve">https://learn.microsoft.com/entra/identity/role-based-access-control/permissions-reference</w:t>
        </w:r>
      </w:hyperlink>
      <w:r>
        <w:t xml:space="preserve"> </w:t>
      </w:r>
      <w:r>
        <w:t xml:space="preserve">(accessed Oct 20, 2026).</w:t>
      </w:r>
    </w:p>
  </w:footnote>
  <w:footnote w:id="1146">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87">
        <w:r>
          <w:rPr>
            <w:rStyle w:val="Hyperlink"/>
          </w:rPr>
          <w:t xml:space="preserve">https://learn.microsoft.com/entra/identity/role-based-access-control/privileged-roles-permissions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1"/>
  </w:num>
  <w:num w:numId="106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1" Target="media/rId51.png" /><Relationship Type="http://schemas.openxmlformats.org/officeDocument/2006/relationships/image" Id="rId27" Target="media/rId27.png" /><Relationship Type="http://schemas.openxmlformats.org/officeDocument/2006/relationships/image" Id="rId89" Target="media/rId89.png" /><Relationship Type="http://schemas.openxmlformats.org/officeDocument/2006/relationships/image" Id="rId101" Target="media/rId101.png" /><Relationship Type="http://schemas.openxmlformats.org/officeDocument/2006/relationships/image" Id="rId135" Target="media/rId135.png" /><Relationship Type="http://schemas.openxmlformats.org/officeDocument/2006/relationships/image" Id="rId239" Target="media/rId239.png" /><Relationship Type="http://schemas.openxmlformats.org/officeDocument/2006/relationships/image" Id="rId312" Target="media/rId312.png" /><Relationship Type="http://schemas.openxmlformats.org/officeDocument/2006/relationships/image" Id="rId280" Target="media/rId280.png" /><Relationship Type="http://schemas.openxmlformats.org/officeDocument/2006/relationships/image" Id="rId491" Target="media/rId491.png" /><Relationship Type="http://schemas.openxmlformats.org/officeDocument/2006/relationships/image" Id="rId383" Target="media/rId383.png" /><Relationship Type="http://schemas.openxmlformats.org/officeDocument/2006/relationships/image" Id="rId523" Target="media/rId523.png" /><Relationship Type="http://schemas.openxmlformats.org/officeDocument/2006/relationships/image" Id="rId502" Target="media/rId502.png" /><Relationship Type="http://schemas.openxmlformats.org/officeDocument/2006/relationships/image" Id="rId553" Target="media/rId553.png" /><Relationship Type="http://schemas.openxmlformats.org/officeDocument/2006/relationships/image" Id="rId613" Target="media/rId613.png" /><Relationship Type="http://schemas.openxmlformats.org/officeDocument/2006/relationships/image" Id="rId660" Target="media/rId660.png" /><Relationship Type="http://schemas.openxmlformats.org/officeDocument/2006/relationships/image" Id="rId824" Target="media/rId824.png" /><Relationship Type="http://schemas.openxmlformats.org/officeDocument/2006/relationships/image" Id="rId884" Target="media/rId884.png" /><Relationship Type="http://schemas.openxmlformats.org/officeDocument/2006/relationships/image" Id="rId956" Target="media/rId956.png" /><Relationship Type="http://schemas.openxmlformats.org/officeDocument/2006/relationships/image" Id="rId1025" Target="media/rId1025.png" /><Relationship Type="http://schemas.openxmlformats.org/officeDocument/2006/relationships/hyperlink" Id="rId79" Target="https://csrc.nist.gov/pubs/sp/800/53/r5/upd1/final" TargetMode="External" /><Relationship Type="http://schemas.openxmlformats.org/officeDocument/2006/relationships/hyperlink" Id="rId976" Target="https://developer.hashicorp.com/terraform/cli/commands/plan" TargetMode="External" /><Relationship Type="http://schemas.openxmlformats.org/officeDocument/2006/relationships/hyperlink" Id="rId352" Target="https://docs.aws.amazon.com/IAM/latest/UserGuide/access-analyzer-findings.html" TargetMode="External" /><Relationship Type="http://schemas.openxmlformats.org/officeDocument/2006/relationships/hyperlink" Id="rId350" Target="https://docs.aws.amazon.com/IAM/latest/UserGuide/best-practices.html" TargetMode="External" /><Relationship Type="http://schemas.openxmlformats.org/officeDocument/2006/relationships/hyperlink" Id="rId348" Target="https://docs.aws.amazon.com/singlesignon/latest/userguide/permissionsetsconcept.html" TargetMode="External" /><Relationship Type="http://schemas.openxmlformats.org/officeDocument/2006/relationships/hyperlink" Id="rId354" Target="https://docs.aws.amazon.com/singlesignon/latest/userguide/temporary-elevated-access.html" TargetMode="External" /><Relationship Type="http://schemas.openxmlformats.org/officeDocument/2006/relationships/hyperlink" Id="rId1022" Target="https://fedramp.gov/2026/providers/20x/key-security-indicators/change-management/" TargetMode="External" /><Relationship Type="http://schemas.openxmlformats.org/officeDocument/2006/relationships/hyperlink" Id="rId645" Target="https://fedramp.gov/2026/providers/20x/key-security-indicators/identity-and-access-management/" TargetMode="External" /><Relationship Type="http://schemas.openxmlformats.org/officeDocument/2006/relationships/hyperlink" Id="rId641" Target="https://fedramp.gov/2026/reference/controls/access-control/" TargetMode="External" /><Relationship Type="http://schemas.openxmlformats.org/officeDocument/2006/relationships/hyperlink" Id="rId1033" Target="https://fedramp.gov/2026/reference/controls/assessment-authorization-and-monitoring/" TargetMode="External" /><Relationship Type="http://schemas.openxmlformats.org/officeDocument/2006/relationships/hyperlink" Id="rId643" Target="https://fedramp.gov/2026/reference/controls/identification-and-authentication/" TargetMode="External" /><Relationship Type="http://schemas.openxmlformats.org/officeDocument/2006/relationships/hyperlink" Id="rId979" Target="https://github.com/Microsoft365DSC/Microsoft365DSC" TargetMode="External" /><Relationship Type="http://schemas.openxmlformats.org/officeDocument/2006/relationships/hyperlink" Id="rId985" Target="https://github.com/Microsoft365DSC/Microsoft365DSC/blob/dev/Modules/Microsoft365DSC/Show-PwshWarning.ps1" TargetMode="External" /><Relationship Type="http://schemas.openxmlformats.org/officeDocument/2006/relationships/hyperlink" Id="rId981" Target="https://github.com/Microsoft365DSC/Microsoft365DSC/releases" TargetMode="External" /><Relationship Type="http://schemas.openxmlformats.org/officeDocument/2006/relationships/hyperlink" Id="rId983" Target="https://github.com/Microsoft365DSC/Microsoft365DSC/tree/dev/Modules/Microsoft365DSC/DscResources" TargetMode="External" /><Relationship Type="http://schemas.openxmlformats.org/officeDocument/2006/relationships/hyperlink" Id="rId9" Target="https://github.com/WhalerMike/modernization-workbook/tree/main/archive/b04-access" TargetMode="External" /><Relationship Type="http://schemas.openxmlformats.org/officeDocument/2006/relationships/hyperlink" Id="rId11" Target="https://github.com/WhalerMike/modernization-workbook/tree/main/presentations/b04-access" TargetMode="External" /><Relationship Type="http://schemas.openxmlformats.org/officeDocument/2006/relationships/hyperlink" Id="rId356" Target="https://github.com/aws-samples/iam-identity-center-team" TargetMode="External" /><Relationship Type="http://schemas.openxmlformats.org/officeDocument/2006/relationships/hyperlink" Id="rId569" Target="https://github.com/cisagov/ScubaGear/blob/main/PowerShell/ScubaGear/baselines/aad.md" TargetMode="External" /><Relationship Type="http://schemas.openxmlformats.org/officeDocument/2006/relationships/hyperlink" Id="rId974" Target="https://github.com/hashicorp/terraform-provider-azuread/blob/main/docs/resources/conditional_access_policy.md" TargetMode="External" /><Relationship Type="http://schemas.openxmlformats.org/officeDocument/2006/relationships/hyperlink" Id="rId969" Target="https://github.com/hashicorp/terraform-provider-azuread/releases" TargetMode="External" /><Relationship Type="http://schemas.openxmlformats.org/officeDocument/2006/relationships/hyperlink" Id="rId971" Target="https://github.com/hashicorp/terraform-provider-azuread/tree/main/docs/resources" TargetMode="External" /><Relationship Type="http://schemas.openxmlformats.org/officeDocument/2006/relationships/hyperlink" Id="rId1004" Target="https://github.com/microsoft/EntraExporter" TargetMode="External" /><Relationship Type="http://schemas.openxmlformats.org/officeDocument/2006/relationships/hyperlink" Id="rId376" Target="https://github.com/usnistgov/oscal-content/blob/main/nist.gov/SP800-53/rev5/json/NIST_SP-800-53_rev5_MODERATE-baseline_profile.json" TargetMode="External" /><Relationship Type="http://schemas.openxmlformats.org/officeDocument/2006/relationships/hyperlink" Id="rId625" Target="https://learn.microsoft.com/azure/azure-monitor/reference/tables/signinlogs" TargetMode="External" /><Relationship Type="http://schemas.openxmlformats.org/officeDocument/2006/relationships/hyperlink" Id="rId340" Target="https://learn.microsoft.com/azure/role-based-access-control/best-practices" TargetMode="External" /><Relationship Type="http://schemas.openxmlformats.org/officeDocument/2006/relationships/hyperlink" Id="rId343" Target="https://learn.microsoft.com/azure/role-based-access-control/elevate-access-global-admin" TargetMode="External" /><Relationship Type="http://schemas.openxmlformats.org/officeDocument/2006/relationships/hyperlink" Id="rId331" Target="https://learn.microsoft.com/azure/role-based-access-control/role-assignments-eligible-activate" TargetMode="External" /><Relationship Type="http://schemas.openxmlformats.org/officeDocument/2006/relationships/hyperlink" Id="rId338" Target="https://learn.microsoft.com/azure/role-based-access-control/role-assignments-steps" TargetMode="External" /><Relationship Type="http://schemas.openxmlformats.org/officeDocument/2006/relationships/hyperlink" Id="rId100" Target="https://learn.microsoft.com/en-us/entra/id-governance/privileged-identity-management/pim-configure" TargetMode="External" /><Relationship Type="http://schemas.openxmlformats.org/officeDocument/2006/relationships/hyperlink" Id="rId33" Target="https://learn.microsoft.com/en-us/entra/identity/conditional-access/overview" TargetMode="External" /><Relationship Type="http://schemas.openxmlformats.org/officeDocument/2006/relationships/hyperlink" Id="rId37" Target="https://learn.microsoft.com/en-us/entra/identity/role-based-access-control/best-practices" TargetMode="External" /><Relationship Type="http://schemas.openxmlformats.org/officeDocument/2006/relationships/hyperlink" Id="rId114" Target="https://learn.microsoft.com/en-us/entra/identity/role-based-access-control/security-emergency-access" TargetMode="External" /><Relationship Type="http://schemas.openxmlformats.org/officeDocument/2006/relationships/hyperlink" Id="rId869" Target="https://learn.microsoft.com/entra/architecture/6-secure-access-entitlement-managment" TargetMode="External" /><Relationship Type="http://schemas.openxmlformats.org/officeDocument/2006/relationships/hyperlink" Id="rId1002" Target="https://learn.microsoft.com/entra/architecture/recoverability-overview" TargetMode="External" /><Relationship Type="http://schemas.openxmlformats.org/officeDocument/2006/relationships/hyperlink" Id="rId940" Target="https://learn.microsoft.com/entra/id-governance/access-reviews-downloadable-review-history" TargetMode="External" /><Relationship Type="http://schemas.openxmlformats.org/officeDocument/2006/relationships/hyperlink" Id="rId893" Target="https://learn.microsoft.com/entra/id-governance/access-reviews-faqs" TargetMode="External" /><Relationship Type="http://schemas.openxmlformats.org/officeDocument/2006/relationships/hyperlink" Id="rId937" Target="https://learn.microsoft.com/entra/id-governance/complete-access-review" TargetMode="External" /><Relationship Type="http://schemas.openxmlformats.org/officeDocument/2006/relationships/hyperlink" Id="rId837" Target="https://learn.microsoft.com/entra/id-governance/create-access-review" TargetMode="External" /><Relationship Type="http://schemas.openxmlformats.org/officeDocument/2006/relationships/hyperlink" Id="rId943" Target="https://learn.microsoft.com/entra/id-governance/deploy-access-reviews" TargetMode="External" /><Relationship Type="http://schemas.openxmlformats.org/officeDocument/2006/relationships/hyperlink" Id="rId857" Target="https://learn.microsoft.com/entra/id-governance/entitlement-management-access-package-approval-policy" TargetMode="External" /><Relationship Type="http://schemas.openxmlformats.org/officeDocument/2006/relationships/hyperlink" Id="rId848" Target="https://learn.microsoft.com/entra/id-governance/entitlement-management-access-package-create" TargetMode="External" /><Relationship Type="http://schemas.openxmlformats.org/officeDocument/2006/relationships/hyperlink" Id="rId860" Target="https://learn.microsoft.com/entra/id-governance/entitlement-management-access-package-incompatible" TargetMode="External" /><Relationship Type="http://schemas.openxmlformats.org/officeDocument/2006/relationships/hyperlink" Id="rId865" Target="https://learn.microsoft.com/entra/id-governance/entitlement-management-access-package-lifecycle-policy" TargetMode="External" /><Relationship Type="http://schemas.openxmlformats.org/officeDocument/2006/relationships/hyperlink" Id="rId928" Target="https://learn.microsoft.com/entra/id-governance/entitlement-management-access-package-manage-lifecycle" TargetMode="External" /><Relationship Type="http://schemas.openxmlformats.org/officeDocument/2006/relationships/hyperlink" Id="rId965" Target="https://learn.microsoft.com/entra/id-governance/entitlement-management-access-package-request-policy" TargetMode="External" /><Relationship Type="http://schemas.openxmlformats.org/officeDocument/2006/relationships/hyperlink" Id="rId846" Target="https://learn.microsoft.com/entra/id-governance/entitlement-management-delegate-managers" TargetMode="External" /><Relationship Type="http://schemas.openxmlformats.org/officeDocument/2006/relationships/hyperlink" Id="rId925" Target="https://learn.microsoft.com/entra/id-governance/entitlement-management-external-users" TargetMode="External" /><Relationship Type="http://schemas.openxmlformats.org/officeDocument/2006/relationships/hyperlink" Id="rId843" Target="https://learn.microsoft.com/entra/id-governance/entitlement-management-overview" TargetMode="External" /><Relationship Type="http://schemas.openxmlformats.org/officeDocument/2006/relationships/hyperlink" Id="rId945" Target="https://learn.microsoft.com/entra/id-governance/entitlement-management-reports" TargetMode="External" /><Relationship Type="http://schemas.openxmlformats.org/officeDocument/2006/relationships/hyperlink" Id="rId334" Target="https://learn.microsoft.com/entra/id-governance/entitlement-management-roles" TargetMode="External" /><Relationship Type="http://schemas.openxmlformats.org/officeDocument/2006/relationships/hyperlink" Id="rId933" Target="https://learn.microsoft.com/entra/id-governance/guest-lifecycle-policies" TargetMode="External" /><Relationship Type="http://schemas.openxmlformats.org/officeDocument/2006/relationships/hyperlink" Id="rId328" Target="https://learn.microsoft.com/entra/id-governance/licensing-fundamentals" TargetMode="External" /><Relationship Type="http://schemas.openxmlformats.org/officeDocument/2006/relationships/hyperlink" Id="rId916" Target="https://learn.microsoft.com/entra/id-governance/lifecycle-workflow-execution-conditions" TargetMode="External" /><Relationship Type="http://schemas.openxmlformats.org/officeDocument/2006/relationships/hyperlink" Id="rId918" Target="https://learn.microsoft.com/entra/id-governance/lifecycle-workflow-tasks" TargetMode="External" /><Relationship Type="http://schemas.openxmlformats.org/officeDocument/2006/relationships/hyperlink" Id="rId920" Target="https://learn.microsoft.com/entra/id-governance/lifecycle-workflow-templates" TargetMode="External" /><Relationship Type="http://schemas.openxmlformats.org/officeDocument/2006/relationships/hyperlink" Id="rId322" Target="https://learn.microsoft.com/entra/id-governance/privileged-identity-management/concept-pim-for-groups" TargetMode="External" /><Relationship Type="http://schemas.openxmlformats.org/officeDocument/2006/relationships/hyperlink" Id="rId756" Target="https://learn.microsoft.com/entra/id-governance/privileged-identity-management/pim-apis" TargetMode="External" /><Relationship Type="http://schemas.openxmlformats.org/officeDocument/2006/relationships/hyperlink" Id="rId109" Target="https://learn.microsoft.com/entra/id-governance/privileged-identity-management/pim-approval-workflow" TargetMode="External" /><Relationship Type="http://schemas.openxmlformats.org/officeDocument/2006/relationships/hyperlink" Id="rId680" Target="https://learn.microsoft.com/entra/id-governance/privileged-identity-management/pim-configure" TargetMode="External" /><Relationship Type="http://schemas.openxmlformats.org/officeDocument/2006/relationships/hyperlink" Id="rId759" Target="https://learn.microsoft.com/entra/id-governance/privileged-identity-management/pim-create-roles-and-resource-roles-review" TargetMode="External" /><Relationship Type="http://schemas.openxmlformats.org/officeDocument/2006/relationships/hyperlink" Id="rId751" Target="https://learn.microsoft.com/entra/id-governance/privileged-identity-management/pim-email-notifications" TargetMode="External" /><Relationship Type="http://schemas.openxmlformats.org/officeDocument/2006/relationships/hyperlink" Id="rId107" Target="https://learn.microsoft.com/entra/id-governance/privileged-identity-management/pim-how-to-activate-role" TargetMode="External" /><Relationship Type="http://schemas.openxmlformats.org/officeDocument/2006/relationships/hyperlink" Id="rId734" Target="https://learn.microsoft.com/entra/id-governance/privileged-identity-management/pim-how-to-add-role-to-user" TargetMode="External" /><Relationship Type="http://schemas.openxmlformats.org/officeDocument/2006/relationships/hyperlink" Id="rId306" Target="https://learn.microsoft.com/entra/id-governance/privileged-identity-management/pim-how-to-change-default-settings" TargetMode="External" /><Relationship Type="http://schemas.openxmlformats.org/officeDocument/2006/relationships/hyperlink" Id="rId668" Target="https://learn.microsoft.com/entra/id-governance/privileged-identity-management/pim-how-to-configure-security-alerts" TargetMode="External" /><Relationship Type="http://schemas.openxmlformats.org/officeDocument/2006/relationships/hyperlink" Id="rId787" Target="https://learn.microsoft.com/entra/id-governance/privileged-identity-management/pim-how-to-renew-extend" TargetMode="External" /><Relationship Type="http://schemas.openxmlformats.org/officeDocument/2006/relationships/hyperlink" Id="rId765" Target="https://learn.microsoft.com/entra/id-governance/privileged-identity-management/pim-how-to-use-audit-log" TargetMode="External" /><Relationship Type="http://schemas.openxmlformats.org/officeDocument/2006/relationships/hyperlink" Id="rId988" Target="https://learn.microsoft.com/entra/id-governance/tenant-governance/configuration-management" TargetMode="External" /><Relationship Type="http://schemas.openxmlformats.org/officeDocument/2006/relationships/hyperlink" Id="rId991" Target="https://learn.microsoft.com/entra/id-governance/tenant-governance/deployment-guide" TargetMode="External" /><Relationship Type="http://schemas.openxmlformats.org/officeDocument/2006/relationships/hyperlink" Id="rId999" Target="https://learn.microsoft.com/entra/id-governance/tenant-governance/faq" TargetMode="External" /><Relationship Type="http://schemas.openxmlformats.org/officeDocument/2006/relationships/hyperlink" Id="rId997" Target="https://learn.microsoft.com/entra/id-governance/tenant-governance/licensing" TargetMode="External" /><Relationship Type="http://schemas.openxmlformats.org/officeDocument/2006/relationships/hyperlink" Id="rId388" Target="https://learn.microsoft.com/entra/identity-platform/app-objects-and-service-principals" TargetMode="External" /><Relationship Type="http://schemas.openxmlformats.org/officeDocument/2006/relationships/hyperlink" Id="rId392" Target="https://learn.microsoft.com/entra/identity-platform/how-applications-are-added" TargetMode="External" /><Relationship Type="http://schemas.openxmlformats.org/officeDocument/2006/relationships/hyperlink" Id="rId487" Target="https://learn.microsoft.com/entra/identity-platform/howto-configure-app-instance-property-locks" TargetMode="External" /><Relationship Type="http://schemas.openxmlformats.org/officeDocument/2006/relationships/hyperlink" Id="rId402" Target="https://learn.microsoft.com/entra/identity-platform/howto-update-permissions" TargetMode="External" /><Relationship Type="http://schemas.openxmlformats.org/officeDocument/2006/relationships/hyperlink" Id="rId400" Target="https://learn.microsoft.com/entra/identity-platform/security-best-practices-for-app-registration" TargetMode="External" /><Relationship Type="http://schemas.openxmlformats.org/officeDocument/2006/relationships/hyperlink" Id="rId190" Target="https://learn.microsoft.com/entra/identity/authentication/concept-authentication-strengths" TargetMode="External" /><Relationship Type="http://schemas.openxmlformats.org/officeDocument/2006/relationships/hyperlink" Id="rId372" Target="https://learn.microsoft.com/entra/identity/authentication/concept-mandatory-multifactor-authentication" TargetMode="External" /><Relationship Type="http://schemas.openxmlformats.org/officeDocument/2006/relationships/hyperlink" Id="rId675" Target="https://learn.microsoft.com/entra/identity/authentication/feature-availability" TargetMode="External" /><Relationship Type="http://schemas.openxmlformats.org/officeDocument/2006/relationships/hyperlink" Id="rId602" Target="https://learn.microsoft.com/entra/identity/authentication/how-to-deploy-phishing-resistant-passwordless-authentication" TargetMode="External" /><Relationship Type="http://schemas.openxmlformats.org/officeDocument/2006/relationships/hyperlink" Id="rId653" Target="https://learn.microsoft.com/entra/identity/authentication/howto-password-smart-lockout" TargetMode="External" /><Relationship Type="http://schemas.openxmlformats.org/officeDocument/2006/relationships/hyperlink" Id="rId145" Target="https://learn.microsoft.com/entra/identity/conditional-access/concept-assignment-network" TargetMode="External" /><Relationship Type="http://schemas.openxmlformats.org/officeDocument/2006/relationships/hyperlink" Id="rId181" Target="https://learn.microsoft.com/entra/identity/conditional-access/concept-authentication-flows" TargetMode="External" /><Relationship Type="http://schemas.openxmlformats.org/officeDocument/2006/relationships/hyperlink" Id="rId183" Target="https://learn.microsoft.com/entra/identity/conditional-access/concept-condition-filters-for-devices" TargetMode="External" /><Relationship Type="http://schemas.openxmlformats.org/officeDocument/2006/relationships/hyperlink" Id="rId160" Target="https://learn.microsoft.com/entra/identity/conditional-access/concept-conditional-access-cloud-apps" TargetMode="External" /><Relationship Type="http://schemas.openxmlformats.org/officeDocument/2006/relationships/hyperlink" Id="rId178" Target="https://learn.microsoft.com/entra/identity/conditional-access/concept-conditional-access-conditions" TargetMode="External" /><Relationship Type="http://schemas.openxmlformats.org/officeDocument/2006/relationships/hyperlink" Id="rId157" Target="https://learn.microsoft.com/entra/identity/conditional-access/concept-conditional-access-grant" TargetMode="External" /><Relationship Type="http://schemas.openxmlformats.org/officeDocument/2006/relationships/hyperlink" Id="rId39" Target="https://learn.microsoft.com/entra/identity/conditional-access/concept-conditional-access-policies" TargetMode="External" /><Relationship Type="http://schemas.openxmlformats.org/officeDocument/2006/relationships/hyperlink" Id="rId48" Target="https://learn.microsoft.com/entra/identity/conditional-access/concept-conditional-access-report-only" TargetMode="External" /><Relationship Type="http://schemas.openxmlformats.org/officeDocument/2006/relationships/hyperlink" Id="rId216" Target="https://learn.microsoft.com/entra/identity/conditional-access/concept-conditional-access-session" TargetMode="External" /><Relationship Type="http://schemas.openxmlformats.org/officeDocument/2006/relationships/hyperlink" Id="rId44" Target="https://learn.microsoft.com/entra/identity/conditional-access/concept-conditional-access-users-groups" TargetMode="External" /><Relationship Type="http://schemas.openxmlformats.org/officeDocument/2006/relationships/hyperlink" Id="rId148" Target="https://learn.microsoft.com/entra/identity/conditional-access/concept-continuous-access-evaluation" TargetMode="External" /><Relationship Type="http://schemas.openxmlformats.org/officeDocument/2006/relationships/hyperlink" Id="rId165" Target="https://learn.microsoft.com/entra/identity/conditional-access/concept-filter-for-applications" TargetMode="External" /><Relationship Type="http://schemas.openxmlformats.org/officeDocument/2006/relationships/hyperlink" Id="rId221" Target="https://learn.microsoft.com/entra/identity/conditional-access/concept-session-lifetime" TargetMode="External" /><Relationship Type="http://schemas.openxmlformats.org/officeDocument/2006/relationships/hyperlink" Id="rId202" Target="https://learn.microsoft.com/entra/identity/conditional-access/managed-policies" TargetMode="External" /><Relationship Type="http://schemas.openxmlformats.org/officeDocument/2006/relationships/hyperlink" Id="rId194" Target="https://learn.microsoft.com/entra/identity/conditional-access/migrate-approved-client-app" TargetMode="External" /><Relationship Type="http://schemas.openxmlformats.org/officeDocument/2006/relationships/hyperlink" Id="rId141" Target="https://learn.microsoft.com/entra/identity/conditional-access/overview#license-requirements" TargetMode="External" /><Relationship Type="http://schemas.openxmlformats.org/officeDocument/2006/relationships/hyperlink" Id="rId134" Target="https://learn.microsoft.com/entra/identity/conditional-access/plan-conditional-access" TargetMode="External" /><Relationship Type="http://schemas.openxmlformats.org/officeDocument/2006/relationships/hyperlink" Id="rId566" Target="https://learn.microsoft.com/entra/identity/conditional-access/policy-block-legacy-authentication" TargetMode="External" /><Relationship Type="http://schemas.openxmlformats.org/officeDocument/2006/relationships/hyperlink" Id="rId621" Target="https://learn.microsoft.com/entra/identity/conditional-access/troubleshoot-conditional-access" TargetMode="External" /><Relationship Type="http://schemas.openxmlformats.org/officeDocument/2006/relationships/hyperlink" Id="rId143" Target="https://learn.microsoft.com/entra/identity/conditional-access/workload-identity" TargetMode="External" /><Relationship Type="http://schemas.openxmlformats.org/officeDocument/2006/relationships/hyperlink" Id="rId345" Target="https://learn.microsoft.com/entra/identity/devices/howto-vm-sign-in-azure-ad-linux" TargetMode="External" /><Relationship Type="http://schemas.openxmlformats.org/officeDocument/2006/relationships/hyperlink" Id="rId244" Target="https://learn.microsoft.com/entra/identity/enterprise-apps/application-properties" TargetMode="External" /><Relationship Type="http://schemas.openxmlformats.org/officeDocument/2006/relationships/hyperlink" Id="rId533" Target="https://learn.microsoft.com/entra/identity/enterprise-apps/assign-user-or-group-access-portal" TargetMode="External" /><Relationship Type="http://schemas.openxmlformats.org/officeDocument/2006/relationships/hyperlink" Id="rId437" Target="https://learn.microsoft.com/entra/identity/enterprise-apps/configure-admin-consent-workflow" TargetMode="External" /><Relationship Type="http://schemas.openxmlformats.org/officeDocument/2006/relationships/hyperlink" Id="rId453" Target="https://learn.microsoft.com/entra/identity/enterprise-apps/configure-app-management-policies" TargetMode="External" /><Relationship Type="http://schemas.openxmlformats.org/officeDocument/2006/relationships/hyperlink" Id="rId407" Target="https://learn.microsoft.com/entra/identity/enterprise-apps/configure-permission-classifications" TargetMode="External" /><Relationship Type="http://schemas.openxmlformats.org/officeDocument/2006/relationships/hyperlink" Id="rId413" Target="https://learn.microsoft.com/entra/identity/enterprise-apps/configure-user-consent" TargetMode="External" /><Relationship Type="http://schemas.openxmlformats.org/officeDocument/2006/relationships/hyperlink" Id="rId296" Target="https://learn.microsoft.com/entra/identity/enterprise-apps/grant-admin-consent" TargetMode="External" /><Relationship Type="http://schemas.openxmlformats.org/officeDocument/2006/relationships/hyperlink" Id="rId418" Target="https://learn.microsoft.com/entra/identity/enterprise-apps/manage-app-consent-policies" TargetMode="External" /><Relationship Type="http://schemas.openxmlformats.org/officeDocument/2006/relationships/hyperlink" Id="rId432" Target="https://learn.microsoft.com/entra/identity/enterprise-apps/manage-application-permissions" TargetMode="External" /><Relationship Type="http://schemas.openxmlformats.org/officeDocument/2006/relationships/hyperlink" Id="rId441" Target="https://learn.microsoft.com/entra/identity/enterprise-apps/overview-assign-app-owners" TargetMode="External" /><Relationship Type="http://schemas.openxmlformats.org/officeDocument/2006/relationships/hyperlink" Id="rId457" Target="https://learn.microsoft.com/entra/identity/enterprise-apps/tutorial-enforce-secret-standards" TargetMode="External" /><Relationship Type="http://schemas.openxmlformats.org/officeDocument/2006/relationships/hyperlink" Id="rId410" Target="https://learn.microsoft.com/entra/identity/enterprise-apps/user-admin-consent-overview" TargetMode="External" /><Relationship Type="http://schemas.openxmlformats.org/officeDocument/2006/relationships/hyperlink" Id="rId466" Target="https://learn.microsoft.com/entra/identity/managed-identities-azure-resources/managed-identity-best-practice-recommendations" TargetMode="External" /><Relationship Type="http://schemas.openxmlformats.org/officeDocument/2006/relationships/hyperlink" Id="rId464" Target="https://learn.microsoft.com/entra/identity/managed-identities-azure-resources/overview" TargetMode="External" /><Relationship Type="http://schemas.openxmlformats.org/officeDocument/2006/relationships/hyperlink" Id="rId174" Target="https://learn.microsoft.com/entra/identity/monitoring-health/recommendation-insider-risk-condition" TargetMode="External" /><Relationship Type="http://schemas.openxmlformats.org/officeDocument/2006/relationships/hyperlink" Id="rId548" Target="https://learn.microsoft.com/entra/identity/monitoring-health/reference-reports-data-retention" TargetMode="External" /><Relationship Type="http://schemas.openxmlformats.org/officeDocument/2006/relationships/hyperlink" Id="rId518" Target="https://learn.microsoft.com/entra/identity/role-based-access-control/custom-enterprise-apps" TargetMode="External" /><Relationship Type="http://schemas.openxmlformats.org/officeDocument/2006/relationships/hyperlink" Id="rId394" Target="https://learn.microsoft.com/entra/identity/role-based-access-control/delegate-app-roles" TargetMode="External" /><Relationship Type="http://schemas.openxmlformats.org/officeDocument/2006/relationships/hyperlink" Id="rId293" Target="https://learn.microsoft.com/entra/identity/role-based-access-control/delegate-by-task" TargetMode="External" /><Relationship Type="http://schemas.openxmlformats.org/officeDocument/2006/relationships/hyperlink" Id="rId317" Target="https://learn.microsoft.com/entra/identity/role-based-access-control/groups-concept" TargetMode="External" /><Relationship Type="http://schemas.openxmlformats.org/officeDocument/2006/relationships/hyperlink" Id="rId285" Target="https://learn.microsoft.com/entra/identity/role-based-access-control/permissions-reference" TargetMode="External" /><Relationship Type="http://schemas.openxmlformats.org/officeDocument/2006/relationships/hyperlink" Id="rId287" Target="https://learn.microsoft.com/entra/identity/role-based-access-control/privileged-roles-permissions" TargetMode="External" /><Relationship Type="http://schemas.openxmlformats.org/officeDocument/2006/relationships/hyperlink" Id="rId741" Target="https://learn.microsoft.com/entra/identity/role-based-access-control/protected-actions-add" TargetMode="External" /><Relationship Type="http://schemas.openxmlformats.org/officeDocument/2006/relationships/hyperlink" Id="rId738" Target="https://learn.microsoft.com/entra/identity/role-based-access-control/protected-actions-overview" TargetMode="External" /><Relationship Type="http://schemas.openxmlformats.org/officeDocument/2006/relationships/hyperlink" Id="rId396" Target="https://learn.microsoft.com/entra/identity/role-based-access-control/quickstart-app-registration-limits" TargetMode="External" /><Relationship Type="http://schemas.openxmlformats.org/officeDocument/2006/relationships/hyperlink" Id="rId370" Target="https://learn.microsoft.com/entra/identity/role-based-access-control/security-emergency-access" TargetMode="External" /><Relationship Type="http://schemas.openxmlformats.org/officeDocument/2006/relationships/hyperlink" Id="rId535" Target="https://learn.microsoft.com/entra/identity/users/groups-saasapps" TargetMode="External" /><Relationship Type="http://schemas.openxmlformats.org/officeDocument/2006/relationships/hyperlink" Id="rId59" Target="https://learn.microsoft.com/entra/identity/users/manage-dynamic-group" TargetMode="External" /><Relationship Type="http://schemas.openxmlformats.org/officeDocument/2006/relationships/hyperlink" Id="rId459" Target="https://learn.microsoft.com/entra/workload-id/workload-identities-faqs" TargetMode="External" /><Relationship Type="http://schemas.openxmlformats.org/officeDocument/2006/relationships/hyperlink" Id="rId471" Target="https://learn.microsoft.com/entra/workload-id/workload-identity-federation" TargetMode="External" /><Relationship Type="http://schemas.openxmlformats.org/officeDocument/2006/relationships/hyperlink" Id="rId1018" Target="https://learn.microsoft.com/graph/accessreviews-reviewers-concept" TargetMode="External" /><Relationship Type="http://schemas.openxmlformats.org/officeDocument/2006/relationships/hyperlink" Id="rId207" Target="https://learn.microsoft.com/graph/api/authenticationstrengthroot-list-policies?view=graph-rest-1.0" TargetMode="External" /><Relationship Type="http://schemas.openxmlformats.org/officeDocument/2006/relationships/hyperlink" Id="rId962" Target="https://learn.microsoft.com/graph/api/conditionalaccessroot-post-policies?view=graph-rest-1.0" TargetMode="External" /><Relationship Type="http://schemas.openxmlformats.org/officeDocument/2006/relationships/hyperlink" Id="rId430" Target="https://learn.microsoft.com/graph/api/oauth2permissiongrant-delete?view=graph-rest-1.0" TargetMode="External" /><Relationship Type="http://schemas.openxmlformats.org/officeDocument/2006/relationships/hyperlink" Id="rId673" Target="https://learn.microsoft.com/graph/api/rbacapplication-post-roleeligibilityschedulerequests?view=graph-rest-1.0" TargetMode="External" /><Relationship Type="http://schemas.openxmlformats.org/officeDocument/2006/relationships/hyperlink" Id="rId850" Target="https://learn.microsoft.com/graph/api/resources/accesspackagecatalog?view=graph-rest-1.0" TargetMode="External" /><Relationship Type="http://schemas.openxmlformats.org/officeDocument/2006/relationships/hyperlink" Id="rId455" Target="https://learn.microsoft.com/graph/api/resources/applicationauthenticationmethodpolicy?view=graph-rest-1.0" TargetMode="External" /><Relationship Type="http://schemas.openxmlformats.org/officeDocument/2006/relationships/hyperlink" Id="rId253" Target="https://learn.microsoft.com/graph/api/resources/appliedconditionalaccesspolicy?view=graph-rest-1.0" TargetMode="External" /><Relationship Type="http://schemas.openxmlformats.org/officeDocument/2006/relationships/hyperlink" Id="rId1066" Target="https://learn.microsoft.com/graph/api/resources/conditionalaccessapplications?view=graph-rest-1.0" TargetMode="External" /><Relationship Type="http://schemas.openxmlformats.org/officeDocument/2006/relationships/hyperlink" Id="rId1068" Target="https://learn.microsoft.com/graph/api/resources/conditionalaccessclientapplications?view=graph-rest-1.0" TargetMode="External" /><Relationship Type="http://schemas.openxmlformats.org/officeDocument/2006/relationships/hyperlink" Id="rId1070" Target="https://learn.microsoft.com/graph/api/resources/conditionalaccessconditionset?view=graph-rest-1.0" TargetMode="External" /><Relationship Type="http://schemas.openxmlformats.org/officeDocument/2006/relationships/hyperlink" Id="rId1064" Target="https://learn.microsoft.com/graph/api/resources/conditionalaccessenumeratedexternaltenants?view=graph-rest-1.0" TargetMode="External" /><Relationship Type="http://schemas.openxmlformats.org/officeDocument/2006/relationships/hyperlink" Id="rId1062" Target="https://learn.microsoft.com/graph/api/resources/conditionalaccessexternaltenants?view=graph-rest-1.0" TargetMode="External" /><Relationship Type="http://schemas.openxmlformats.org/officeDocument/2006/relationships/hyperlink" Id="rId1076" Target="https://learn.microsoft.com/graph/api/resources/conditionalaccessfilter?view=graph-rest-1.0" TargetMode="External" /><Relationship Type="http://schemas.openxmlformats.org/officeDocument/2006/relationships/hyperlink" Id="rId199" Target="https://learn.microsoft.com/graph/api/resources/conditionalaccessgrantcontrols?view=graph-rest-1.0" TargetMode="External" /><Relationship Type="http://schemas.openxmlformats.org/officeDocument/2006/relationships/hyperlink" Id="rId1060" Target="https://learn.microsoft.com/graph/api/resources/conditionalaccessguestsorexternalusers?view=graph-rest-1.0" TargetMode="External" /><Relationship Type="http://schemas.openxmlformats.org/officeDocument/2006/relationships/hyperlink" Id="rId1072" Target="https://learn.microsoft.com/graph/api/resources/conditionalaccesslocations?view=graph-rest-1.0" TargetMode="External" /><Relationship Type="http://schemas.openxmlformats.org/officeDocument/2006/relationships/hyperlink" Id="rId1074" Target="https://learn.microsoft.com/graph/api/resources/conditionalaccessplatforms?view=graph-rest-1.0" TargetMode="External" /><Relationship Type="http://schemas.openxmlformats.org/officeDocument/2006/relationships/hyperlink" Id="rId1049" Target="https://learn.microsoft.com/graph/api/resources/conditionalaccesspolicy?view=graph-rest-1.0" TargetMode="External" /><Relationship Type="http://schemas.openxmlformats.org/officeDocument/2006/relationships/hyperlink" Id="rId218" Target="https://learn.microsoft.com/graph/api/resources/conditionalaccesssessioncontrols?view=graph-rest-1.0" TargetMode="External" /><Relationship Type="http://schemas.openxmlformats.org/officeDocument/2006/relationships/hyperlink" Id="rId1058" Target="https://learn.microsoft.com/graph/api/resources/conditionalaccessusers?view=graph-rest-1.0" TargetMode="External" /><Relationship Type="http://schemas.openxmlformats.org/officeDocument/2006/relationships/hyperlink" Id="rId1083" Target="https://learn.microsoft.com/graph/api/resources/persistentbrowsersessioncontrol?view=graph-rest-1.0" TargetMode="External" /><Relationship Type="http://schemas.openxmlformats.org/officeDocument/2006/relationships/hyperlink" Id="rId223" Target="https://learn.microsoft.com/graph/api/resources/signinfrequencysessioncontrol?view=graph-rest-1.0" TargetMode="External" /><Relationship Type="http://schemas.openxmlformats.org/officeDocument/2006/relationships/hyperlink" Id="rId995" Target="https://learn.microsoft.com/graph/api/resources/unified-tenant-configuration-management-api-overview?view=graph-rest-1.0" TargetMode="External" /><Relationship Type="http://schemas.openxmlformats.org/officeDocument/2006/relationships/hyperlink" Id="rId726" Target="https://learn.microsoft.com/graph/api/resources/unifiedrolemanagementpolicyauthenticationcontextrule" TargetMode="External" /><Relationship Type="http://schemas.openxmlformats.org/officeDocument/2006/relationships/hyperlink" Id="rId648" Target="https://learn.microsoft.com/graph/deployments" TargetMode="External" /><Relationship Type="http://schemas.openxmlformats.org/officeDocument/2006/relationships/hyperlink" Id="rId671" Target="https://learn.microsoft.com/graph/how-to-pim-update-rules" TargetMode="External" /><Relationship Type="http://schemas.openxmlformats.org/officeDocument/2006/relationships/hyperlink" Id="rId715" Target="https://learn.microsoft.com/graph/identity-governance-pim-rules-overview" TargetMode="External" /><Relationship Type="http://schemas.openxmlformats.org/officeDocument/2006/relationships/hyperlink" Id="rId404" Target="https://learn.microsoft.com/graph/permissions-reference" TargetMode="External" /><Relationship Type="http://schemas.openxmlformats.org/officeDocument/2006/relationships/hyperlink" Id="rId1016" Target="https://learn.microsoft.com/graph/tutorial-accessreviews-securitygroup" TargetMode="External" /><Relationship Type="http://schemas.openxmlformats.org/officeDocument/2006/relationships/hyperlink" Id="rId320" Target="https://learn.microsoft.com/graph/tutorial-assign-azureadroles" TargetMode="External" /><Relationship Type="http://schemas.openxmlformats.org/officeDocument/2006/relationships/hyperlink" Id="rId993" Target="https://learn.microsoft.com/graph/utcm-entra-resources" TargetMode="External" /><Relationship Type="http://schemas.openxmlformats.org/officeDocument/2006/relationships/hyperlink" Id="rId427" Target="https://learn.microsoft.com/powershell/module/microsoft.graph.beta.identity.signins/new-mgbetaoauth2permissiongrant?view=graph-powershell-beta" TargetMode="External" /><Relationship Type="http://schemas.openxmlformats.org/officeDocument/2006/relationships/hyperlink" Id="rId1014" Target="https://learn.microsoft.com/powershell/module/microsoft.graph.identity.governance/new-mgidentitygovernanceaccessreviewdefinition?view=graph-powershell-1.0" TargetMode="External" /><Relationship Type="http://schemas.openxmlformats.org/officeDocument/2006/relationships/hyperlink" Id="rId1090" Target="https://learn.microsoft.com/powershell/module/microsoft.graph.identity.signins/new-mgidentityconditionalaccessnamedlocation?view=graph-powershell-1.0" TargetMode="External" /><Relationship Type="http://schemas.openxmlformats.org/officeDocument/2006/relationships/hyperlink" Id="rId562" Target="https://learn.microsoft.com/powershell/module/microsoft.graph.identity.signins/new-mgpolicyauthenticationstrengthpolicy?view=graph-powershell-1.0" TargetMode="External" /><Relationship Type="http://schemas.openxmlformats.org/officeDocument/2006/relationships/hyperlink" Id="rId597" Target="https://learn.microsoft.com/purview/insider-risk-management-adaptive-protection" TargetMode="External" /><Relationship Type="http://schemas.openxmlformats.org/officeDocument/2006/relationships/hyperlink" Id="rId300" Target="https://learn.microsoft.com/security/privileged-access-workstations/privileged-access-access-model" TargetMode="External" /><Relationship Type="http://schemas.openxmlformats.org/officeDocument/2006/relationships/hyperlink" Id="rId367" Target="https://learn.microsoft.com/security/privileged-access-workstations/privileged-access-deployment" TargetMode="External" /><Relationship Type="http://schemas.openxmlformats.org/officeDocument/2006/relationships/hyperlink" Id="rId365" Target="https://learn.microsoft.com/security/privileged-access-workstations/privileged-access-devices" TargetMode="External" /><Relationship Type="http://schemas.openxmlformats.org/officeDocument/2006/relationships/hyperlink" Id="rId303" Target="https://learn.microsoft.com/security/privileged-access-workstations/privileged-access-security-levels" TargetMode="External" /><Relationship Type="http://schemas.openxmlformats.org/officeDocument/2006/relationships/hyperlink" Id="rId659" Target="https://learn.microsoft.com/security/zero-trust/dod-zero-trust-strategy-user" TargetMode="External" /><Relationship Type="http://schemas.openxmlformats.org/officeDocument/2006/relationships/hyperlink" Id="rId97" Target="https://learn.microsoft.com/security/zero-trust/security-adoption-discipline-identity-access-privileged-strategy" TargetMode="External" /><Relationship Type="http://schemas.openxmlformats.org/officeDocument/2006/relationships/hyperlink" Id="rId22" Target="https://nvlpubs.nist.gov/nistpubs/SpecialPublications/NIST.SP.800-207.pdf" TargetMode="External" /><Relationship Type="http://schemas.openxmlformats.org/officeDocument/2006/relationships/hyperlink" Id="rId82" Target="https://raw.githubusercontent.com/usnistgov/oscal-content/main/nist.gov/SP800-53/rev5/json/NIST_SP-800-53_rev5_MODERATE-baseline_profile.json" TargetMode="External" /><Relationship Type="http://schemas.openxmlformats.org/officeDocument/2006/relationships/hyperlink" Id="rId361" Target="https://techdocs.broadcom.com/us/en/vmware-cis/vsphere/vsphere/9-0/vsphere-authentication/vsphere-authentication-with-vcenter-single-sign-on/configuring-vcenter-server-identity-provider-federation/configure-vcenter-server-identity-provider-federation-for-azure-ad.html" TargetMode="External" /><Relationship Type="http://schemas.openxmlformats.org/officeDocument/2006/relationships/hyperlink" Id="rId359" Target="https://techdocs.broadcom.com/us/en/vmware-cis/vsphere/vsphere/9-0/vsphere-security/vsphere-permissions-and-user-management-tasks/understanding-authorization-in-vsphere.html" TargetMode="External" /><Relationship Type="http://schemas.openxmlformats.org/officeDocument/2006/relationships/hyperlink" Id="rId72" Target="https://www.cisa.gov/news-events/cybersecurity-advisories/aa23-278a" TargetMode="External" /><Relationship Type="http://schemas.openxmlformats.org/officeDocument/2006/relationships/hyperlink" Id="rId264" Target="https://www.cisa.gov/news-events/directives/bod-25-01-implementing-secure-practices-cloud-services" TargetMode="External" /><Relationship Type="http://schemas.openxmlformats.org/officeDocument/2006/relationships/hyperlink" Id="rId266" Target="https://www.cisa.gov/resources-tools/services/bod-25-01-implementing-secure-practices-cloud-services-required-configurations" TargetMode="External" /><Relationship Type="http://schemas.openxmlformats.org/officeDocument/2006/relationships/hyperlink" Id="rId24" Target="https://www.cisa.gov/sites/default/files/2023-04/CISA_Zero_Trust_Maturity_Model_Version_2_508c.pdf" TargetMode="External" /><Relationship Type="http://schemas.openxmlformats.org/officeDocument/2006/relationships/hyperlink" Id="rId74" Target="https://www.microsoft.com/en-us/security/blog/2024/01/25/midnight-blizzard-guidance-for-responders-on-nation-state-attack/" TargetMode="External" /><Relationship Type="http://schemas.openxmlformats.org/officeDocument/2006/relationships/hyperlink" Id="rId18"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79" Target="https://csrc.nist.gov/pubs/sp/800/53/r5/upd1/final" TargetMode="External" /><Relationship Type="http://schemas.openxmlformats.org/officeDocument/2006/relationships/hyperlink" Id="rId976" Target="https://developer.hashicorp.com/terraform/cli/commands/plan" TargetMode="External" /><Relationship Type="http://schemas.openxmlformats.org/officeDocument/2006/relationships/hyperlink" Id="rId352" Target="https://docs.aws.amazon.com/IAM/latest/UserGuide/access-analyzer-findings.html" TargetMode="External" /><Relationship Type="http://schemas.openxmlformats.org/officeDocument/2006/relationships/hyperlink" Id="rId350" Target="https://docs.aws.amazon.com/IAM/latest/UserGuide/best-practices.html" TargetMode="External" /><Relationship Type="http://schemas.openxmlformats.org/officeDocument/2006/relationships/hyperlink" Id="rId348" Target="https://docs.aws.amazon.com/singlesignon/latest/userguide/permissionsetsconcept.html" TargetMode="External" /><Relationship Type="http://schemas.openxmlformats.org/officeDocument/2006/relationships/hyperlink" Id="rId354" Target="https://docs.aws.amazon.com/singlesignon/latest/userguide/temporary-elevated-access.html" TargetMode="External" /><Relationship Type="http://schemas.openxmlformats.org/officeDocument/2006/relationships/hyperlink" Id="rId1022" Target="https://fedramp.gov/2026/providers/20x/key-security-indicators/change-management/" TargetMode="External" /><Relationship Type="http://schemas.openxmlformats.org/officeDocument/2006/relationships/hyperlink" Id="rId645" Target="https://fedramp.gov/2026/providers/20x/key-security-indicators/identity-and-access-management/" TargetMode="External" /><Relationship Type="http://schemas.openxmlformats.org/officeDocument/2006/relationships/hyperlink" Id="rId641" Target="https://fedramp.gov/2026/reference/controls/access-control/" TargetMode="External" /><Relationship Type="http://schemas.openxmlformats.org/officeDocument/2006/relationships/hyperlink" Id="rId1033" Target="https://fedramp.gov/2026/reference/controls/assessment-authorization-and-monitoring/" TargetMode="External" /><Relationship Type="http://schemas.openxmlformats.org/officeDocument/2006/relationships/hyperlink" Id="rId643" Target="https://fedramp.gov/2026/reference/controls/identification-and-authentication/" TargetMode="External" /><Relationship Type="http://schemas.openxmlformats.org/officeDocument/2006/relationships/hyperlink" Id="rId979" Target="https://github.com/Microsoft365DSC/Microsoft365DSC" TargetMode="External" /><Relationship Type="http://schemas.openxmlformats.org/officeDocument/2006/relationships/hyperlink" Id="rId985" Target="https://github.com/Microsoft365DSC/Microsoft365DSC/blob/dev/Modules/Microsoft365DSC/Show-PwshWarning.ps1" TargetMode="External" /><Relationship Type="http://schemas.openxmlformats.org/officeDocument/2006/relationships/hyperlink" Id="rId981" Target="https://github.com/Microsoft365DSC/Microsoft365DSC/releases" TargetMode="External" /><Relationship Type="http://schemas.openxmlformats.org/officeDocument/2006/relationships/hyperlink" Id="rId983" Target="https://github.com/Microsoft365DSC/Microsoft365DSC/tree/dev/Modules/Microsoft365DSC/DscResources" TargetMode="External" /><Relationship Type="http://schemas.openxmlformats.org/officeDocument/2006/relationships/hyperlink" Id="rId9" Target="https://github.com/WhalerMike/modernization-workbook/tree/main/archive/b04-access" TargetMode="External" /><Relationship Type="http://schemas.openxmlformats.org/officeDocument/2006/relationships/hyperlink" Id="rId11" Target="https://github.com/WhalerMike/modernization-workbook/tree/main/presentations/b04-access" TargetMode="External" /><Relationship Type="http://schemas.openxmlformats.org/officeDocument/2006/relationships/hyperlink" Id="rId356" Target="https://github.com/aws-samples/iam-identity-center-team" TargetMode="External" /><Relationship Type="http://schemas.openxmlformats.org/officeDocument/2006/relationships/hyperlink" Id="rId569" Target="https://github.com/cisagov/ScubaGear/blob/main/PowerShell/ScubaGear/baselines/aad.md" TargetMode="External" /><Relationship Type="http://schemas.openxmlformats.org/officeDocument/2006/relationships/hyperlink" Id="rId974" Target="https://github.com/hashicorp/terraform-provider-azuread/blob/main/docs/resources/conditional_access_policy.md" TargetMode="External" /><Relationship Type="http://schemas.openxmlformats.org/officeDocument/2006/relationships/hyperlink" Id="rId969" Target="https://github.com/hashicorp/terraform-provider-azuread/releases" TargetMode="External" /><Relationship Type="http://schemas.openxmlformats.org/officeDocument/2006/relationships/hyperlink" Id="rId971" Target="https://github.com/hashicorp/terraform-provider-azuread/tree/main/docs/resources" TargetMode="External" /><Relationship Type="http://schemas.openxmlformats.org/officeDocument/2006/relationships/hyperlink" Id="rId1004" Target="https://github.com/microsoft/EntraExporter" TargetMode="External" /><Relationship Type="http://schemas.openxmlformats.org/officeDocument/2006/relationships/hyperlink" Id="rId376" Target="https://github.com/usnistgov/oscal-content/blob/main/nist.gov/SP800-53/rev5/json/NIST_SP-800-53_rev5_MODERATE-baseline_profile.json" TargetMode="External" /><Relationship Type="http://schemas.openxmlformats.org/officeDocument/2006/relationships/hyperlink" Id="rId625" Target="https://learn.microsoft.com/azure/azure-monitor/reference/tables/signinlogs" TargetMode="External" /><Relationship Type="http://schemas.openxmlformats.org/officeDocument/2006/relationships/hyperlink" Id="rId340" Target="https://learn.microsoft.com/azure/role-based-access-control/best-practices" TargetMode="External" /><Relationship Type="http://schemas.openxmlformats.org/officeDocument/2006/relationships/hyperlink" Id="rId343" Target="https://learn.microsoft.com/azure/role-based-access-control/elevate-access-global-admin" TargetMode="External" /><Relationship Type="http://schemas.openxmlformats.org/officeDocument/2006/relationships/hyperlink" Id="rId331" Target="https://learn.microsoft.com/azure/role-based-access-control/role-assignments-eligible-activate" TargetMode="External" /><Relationship Type="http://schemas.openxmlformats.org/officeDocument/2006/relationships/hyperlink" Id="rId338" Target="https://learn.microsoft.com/azure/role-based-access-control/role-assignments-steps" TargetMode="External" /><Relationship Type="http://schemas.openxmlformats.org/officeDocument/2006/relationships/hyperlink" Id="rId100" Target="https://learn.microsoft.com/en-us/entra/id-governance/privileged-identity-management/pim-configure" TargetMode="External" /><Relationship Type="http://schemas.openxmlformats.org/officeDocument/2006/relationships/hyperlink" Id="rId33" Target="https://learn.microsoft.com/en-us/entra/identity/conditional-access/overview" TargetMode="External" /><Relationship Type="http://schemas.openxmlformats.org/officeDocument/2006/relationships/hyperlink" Id="rId37" Target="https://learn.microsoft.com/en-us/entra/identity/role-based-access-control/best-practices" TargetMode="External" /><Relationship Type="http://schemas.openxmlformats.org/officeDocument/2006/relationships/hyperlink" Id="rId114" Target="https://learn.microsoft.com/en-us/entra/identity/role-based-access-control/security-emergency-access" TargetMode="External" /><Relationship Type="http://schemas.openxmlformats.org/officeDocument/2006/relationships/hyperlink" Id="rId869" Target="https://learn.microsoft.com/entra/architecture/6-secure-access-entitlement-managment" TargetMode="External" /><Relationship Type="http://schemas.openxmlformats.org/officeDocument/2006/relationships/hyperlink" Id="rId1002" Target="https://learn.microsoft.com/entra/architecture/recoverability-overview" TargetMode="External" /><Relationship Type="http://schemas.openxmlformats.org/officeDocument/2006/relationships/hyperlink" Id="rId940" Target="https://learn.microsoft.com/entra/id-governance/access-reviews-downloadable-review-history" TargetMode="External" /><Relationship Type="http://schemas.openxmlformats.org/officeDocument/2006/relationships/hyperlink" Id="rId893" Target="https://learn.microsoft.com/entra/id-governance/access-reviews-faqs" TargetMode="External" /><Relationship Type="http://schemas.openxmlformats.org/officeDocument/2006/relationships/hyperlink" Id="rId937" Target="https://learn.microsoft.com/entra/id-governance/complete-access-review" TargetMode="External" /><Relationship Type="http://schemas.openxmlformats.org/officeDocument/2006/relationships/hyperlink" Id="rId837" Target="https://learn.microsoft.com/entra/id-governance/create-access-review" TargetMode="External" /><Relationship Type="http://schemas.openxmlformats.org/officeDocument/2006/relationships/hyperlink" Id="rId943" Target="https://learn.microsoft.com/entra/id-governance/deploy-access-reviews" TargetMode="External" /><Relationship Type="http://schemas.openxmlformats.org/officeDocument/2006/relationships/hyperlink" Id="rId857" Target="https://learn.microsoft.com/entra/id-governance/entitlement-management-access-package-approval-policy" TargetMode="External" /><Relationship Type="http://schemas.openxmlformats.org/officeDocument/2006/relationships/hyperlink" Id="rId848" Target="https://learn.microsoft.com/entra/id-governance/entitlement-management-access-package-create" TargetMode="External" /><Relationship Type="http://schemas.openxmlformats.org/officeDocument/2006/relationships/hyperlink" Id="rId860" Target="https://learn.microsoft.com/entra/id-governance/entitlement-management-access-package-incompatible" TargetMode="External" /><Relationship Type="http://schemas.openxmlformats.org/officeDocument/2006/relationships/hyperlink" Id="rId865" Target="https://learn.microsoft.com/entra/id-governance/entitlement-management-access-package-lifecycle-policy" TargetMode="External" /><Relationship Type="http://schemas.openxmlformats.org/officeDocument/2006/relationships/hyperlink" Id="rId928" Target="https://learn.microsoft.com/entra/id-governance/entitlement-management-access-package-manage-lifecycle" TargetMode="External" /><Relationship Type="http://schemas.openxmlformats.org/officeDocument/2006/relationships/hyperlink" Id="rId965" Target="https://learn.microsoft.com/entra/id-governance/entitlement-management-access-package-request-policy" TargetMode="External" /><Relationship Type="http://schemas.openxmlformats.org/officeDocument/2006/relationships/hyperlink" Id="rId846" Target="https://learn.microsoft.com/entra/id-governance/entitlement-management-delegate-managers" TargetMode="External" /><Relationship Type="http://schemas.openxmlformats.org/officeDocument/2006/relationships/hyperlink" Id="rId925" Target="https://learn.microsoft.com/entra/id-governance/entitlement-management-external-users" TargetMode="External" /><Relationship Type="http://schemas.openxmlformats.org/officeDocument/2006/relationships/hyperlink" Id="rId843" Target="https://learn.microsoft.com/entra/id-governance/entitlement-management-overview" TargetMode="External" /><Relationship Type="http://schemas.openxmlformats.org/officeDocument/2006/relationships/hyperlink" Id="rId945" Target="https://learn.microsoft.com/entra/id-governance/entitlement-management-reports" TargetMode="External" /><Relationship Type="http://schemas.openxmlformats.org/officeDocument/2006/relationships/hyperlink" Id="rId334" Target="https://learn.microsoft.com/entra/id-governance/entitlement-management-roles" TargetMode="External" /><Relationship Type="http://schemas.openxmlformats.org/officeDocument/2006/relationships/hyperlink" Id="rId933" Target="https://learn.microsoft.com/entra/id-governance/guest-lifecycle-policies" TargetMode="External" /><Relationship Type="http://schemas.openxmlformats.org/officeDocument/2006/relationships/hyperlink" Id="rId328" Target="https://learn.microsoft.com/entra/id-governance/licensing-fundamentals" TargetMode="External" /><Relationship Type="http://schemas.openxmlformats.org/officeDocument/2006/relationships/hyperlink" Id="rId916" Target="https://learn.microsoft.com/entra/id-governance/lifecycle-workflow-execution-conditions" TargetMode="External" /><Relationship Type="http://schemas.openxmlformats.org/officeDocument/2006/relationships/hyperlink" Id="rId918" Target="https://learn.microsoft.com/entra/id-governance/lifecycle-workflow-tasks" TargetMode="External" /><Relationship Type="http://schemas.openxmlformats.org/officeDocument/2006/relationships/hyperlink" Id="rId920" Target="https://learn.microsoft.com/entra/id-governance/lifecycle-workflow-templates" TargetMode="External" /><Relationship Type="http://schemas.openxmlformats.org/officeDocument/2006/relationships/hyperlink" Id="rId322" Target="https://learn.microsoft.com/entra/id-governance/privileged-identity-management/concept-pim-for-groups" TargetMode="External" /><Relationship Type="http://schemas.openxmlformats.org/officeDocument/2006/relationships/hyperlink" Id="rId756" Target="https://learn.microsoft.com/entra/id-governance/privileged-identity-management/pim-apis" TargetMode="External" /><Relationship Type="http://schemas.openxmlformats.org/officeDocument/2006/relationships/hyperlink" Id="rId109" Target="https://learn.microsoft.com/entra/id-governance/privileged-identity-management/pim-approval-workflow" TargetMode="External" /><Relationship Type="http://schemas.openxmlformats.org/officeDocument/2006/relationships/hyperlink" Id="rId680" Target="https://learn.microsoft.com/entra/id-governance/privileged-identity-management/pim-configure" TargetMode="External" /><Relationship Type="http://schemas.openxmlformats.org/officeDocument/2006/relationships/hyperlink" Id="rId759" Target="https://learn.microsoft.com/entra/id-governance/privileged-identity-management/pim-create-roles-and-resource-roles-review" TargetMode="External" /><Relationship Type="http://schemas.openxmlformats.org/officeDocument/2006/relationships/hyperlink" Id="rId751" Target="https://learn.microsoft.com/entra/id-governance/privileged-identity-management/pim-email-notifications" TargetMode="External" /><Relationship Type="http://schemas.openxmlformats.org/officeDocument/2006/relationships/hyperlink" Id="rId107" Target="https://learn.microsoft.com/entra/id-governance/privileged-identity-management/pim-how-to-activate-role" TargetMode="External" /><Relationship Type="http://schemas.openxmlformats.org/officeDocument/2006/relationships/hyperlink" Id="rId734" Target="https://learn.microsoft.com/entra/id-governance/privileged-identity-management/pim-how-to-add-role-to-user" TargetMode="External" /><Relationship Type="http://schemas.openxmlformats.org/officeDocument/2006/relationships/hyperlink" Id="rId306" Target="https://learn.microsoft.com/entra/id-governance/privileged-identity-management/pim-how-to-change-default-settings" TargetMode="External" /><Relationship Type="http://schemas.openxmlformats.org/officeDocument/2006/relationships/hyperlink" Id="rId668" Target="https://learn.microsoft.com/entra/id-governance/privileged-identity-management/pim-how-to-configure-security-alerts" TargetMode="External" /><Relationship Type="http://schemas.openxmlformats.org/officeDocument/2006/relationships/hyperlink" Id="rId787" Target="https://learn.microsoft.com/entra/id-governance/privileged-identity-management/pim-how-to-renew-extend" TargetMode="External" /><Relationship Type="http://schemas.openxmlformats.org/officeDocument/2006/relationships/hyperlink" Id="rId765" Target="https://learn.microsoft.com/entra/id-governance/privileged-identity-management/pim-how-to-use-audit-log" TargetMode="External" /><Relationship Type="http://schemas.openxmlformats.org/officeDocument/2006/relationships/hyperlink" Id="rId988" Target="https://learn.microsoft.com/entra/id-governance/tenant-governance/configuration-management" TargetMode="External" /><Relationship Type="http://schemas.openxmlformats.org/officeDocument/2006/relationships/hyperlink" Id="rId991" Target="https://learn.microsoft.com/entra/id-governance/tenant-governance/deployment-guide" TargetMode="External" /><Relationship Type="http://schemas.openxmlformats.org/officeDocument/2006/relationships/hyperlink" Id="rId999" Target="https://learn.microsoft.com/entra/id-governance/tenant-governance/faq" TargetMode="External" /><Relationship Type="http://schemas.openxmlformats.org/officeDocument/2006/relationships/hyperlink" Id="rId997" Target="https://learn.microsoft.com/entra/id-governance/tenant-governance/licensing" TargetMode="External" /><Relationship Type="http://schemas.openxmlformats.org/officeDocument/2006/relationships/hyperlink" Id="rId388" Target="https://learn.microsoft.com/entra/identity-platform/app-objects-and-service-principals" TargetMode="External" /><Relationship Type="http://schemas.openxmlformats.org/officeDocument/2006/relationships/hyperlink" Id="rId392" Target="https://learn.microsoft.com/entra/identity-platform/how-applications-are-added" TargetMode="External" /><Relationship Type="http://schemas.openxmlformats.org/officeDocument/2006/relationships/hyperlink" Id="rId487" Target="https://learn.microsoft.com/entra/identity-platform/howto-configure-app-instance-property-locks" TargetMode="External" /><Relationship Type="http://schemas.openxmlformats.org/officeDocument/2006/relationships/hyperlink" Id="rId402" Target="https://learn.microsoft.com/entra/identity-platform/howto-update-permissions" TargetMode="External" /><Relationship Type="http://schemas.openxmlformats.org/officeDocument/2006/relationships/hyperlink" Id="rId400" Target="https://learn.microsoft.com/entra/identity-platform/security-best-practices-for-app-registration" TargetMode="External" /><Relationship Type="http://schemas.openxmlformats.org/officeDocument/2006/relationships/hyperlink" Id="rId190" Target="https://learn.microsoft.com/entra/identity/authentication/concept-authentication-strengths" TargetMode="External" /><Relationship Type="http://schemas.openxmlformats.org/officeDocument/2006/relationships/hyperlink" Id="rId372" Target="https://learn.microsoft.com/entra/identity/authentication/concept-mandatory-multifactor-authentication" TargetMode="External" /><Relationship Type="http://schemas.openxmlformats.org/officeDocument/2006/relationships/hyperlink" Id="rId675" Target="https://learn.microsoft.com/entra/identity/authentication/feature-availability" TargetMode="External" /><Relationship Type="http://schemas.openxmlformats.org/officeDocument/2006/relationships/hyperlink" Id="rId602" Target="https://learn.microsoft.com/entra/identity/authentication/how-to-deploy-phishing-resistant-passwordless-authentication" TargetMode="External" /><Relationship Type="http://schemas.openxmlformats.org/officeDocument/2006/relationships/hyperlink" Id="rId653" Target="https://learn.microsoft.com/entra/identity/authentication/howto-password-smart-lockout" TargetMode="External" /><Relationship Type="http://schemas.openxmlformats.org/officeDocument/2006/relationships/hyperlink" Id="rId145" Target="https://learn.microsoft.com/entra/identity/conditional-access/concept-assignment-network" TargetMode="External" /><Relationship Type="http://schemas.openxmlformats.org/officeDocument/2006/relationships/hyperlink" Id="rId181" Target="https://learn.microsoft.com/entra/identity/conditional-access/concept-authentication-flows" TargetMode="External" /><Relationship Type="http://schemas.openxmlformats.org/officeDocument/2006/relationships/hyperlink" Id="rId183" Target="https://learn.microsoft.com/entra/identity/conditional-access/concept-condition-filters-for-devices" TargetMode="External" /><Relationship Type="http://schemas.openxmlformats.org/officeDocument/2006/relationships/hyperlink" Id="rId160" Target="https://learn.microsoft.com/entra/identity/conditional-access/concept-conditional-access-cloud-apps" TargetMode="External" /><Relationship Type="http://schemas.openxmlformats.org/officeDocument/2006/relationships/hyperlink" Id="rId178" Target="https://learn.microsoft.com/entra/identity/conditional-access/concept-conditional-access-conditions" TargetMode="External" /><Relationship Type="http://schemas.openxmlformats.org/officeDocument/2006/relationships/hyperlink" Id="rId157" Target="https://learn.microsoft.com/entra/identity/conditional-access/concept-conditional-access-grant" TargetMode="External" /><Relationship Type="http://schemas.openxmlformats.org/officeDocument/2006/relationships/hyperlink" Id="rId39" Target="https://learn.microsoft.com/entra/identity/conditional-access/concept-conditional-access-policies" TargetMode="External" /><Relationship Type="http://schemas.openxmlformats.org/officeDocument/2006/relationships/hyperlink" Id="rId48" Target="https://learn.microsoft.com/entra/identity/conditional-access/concept-conditional-access-report-only" TargetMode="External" /><Relationship Type="http://schemas.openxmlformats.org/officeDocument/2006/relationships/hyperlink" Id="rId216" Target="https://learn.microsoft.com/entra/identity/conditional-access/concept-conditional-access-session" TargetMode="External" /><Relationship Type="http://schemas.openxmlformats.org/officeDocument/2006/relationships/hyperlink" Id="rId44" Target="https://learn.microsoft.com/entra/identity/conditional-access/concept-conditional-access-users-groups" TargetMode="External" /><Relationship Type="http://schemas.openxmlformats.org/officeDocument/2006/relationships/hyperlink" Id="rId148" Target="https://learn.microsoft.com/entra/identity/conditional-access/concept-continuous-access-evaluation" TargetMode="External" /><Relationship Type="http://schemas.openxmlformats.org/officeDocument/2006/relationships/hyperlink" Id="rId165" Target="https://learn.microsoft.com/entra/identity/conditional-access/concept-filter-for-applications" TargetMode="External" /><Relationship Type="http://schemas.openxmlformats.org/officeDocument/2006/relationships/hyperlink" Id="rId221" Target="https://learn.microsoft.com/entra/identity/conditional-access/concept-session-lifetime" TargetMode="External" /><Relationship Type="http://schemas.openxmlformats.org/officeDocument/2006/relationships/hyperlink" Id="rId202" Target="https://learn.microsoft.com/entra/identity/conditional-access/managed-policies" TargetMode="External" /><Relationship Type="http://schemas.openxmlformats.org/officeDocument/2006/relationships/hyperlink" Id="rId194" Target="https://learn.microsoft.com/entra/identity/conditional-access/migrate-approved-client-app" TargetMode="External" /><Relationship Type="http://schemas.openxmlformats.org/officeDocument/2006/relationships/hyperlink" Id="rId141" Target="https://learn.microsoft.com/entra/identity/conditional-access/overview#license-requirements" TargetMode="External" /><Relationship Type="http://schemas.openxmlformats.org/officeDocument/2006/relationships/hyperlink" Id="rId134" Target="https://learn.microsoft.com/entra/identity/conditional-access/plan-conditional-access" TargetMode="External" /><Relationship Type="http://schemas.openxmlformats.org/officeDocument/2006/relationships/hyperlink" Id="rId566" Target="https://learn.microsoft.com/entra/identity/conditional-access/policy-block-legacy-authentication" TargetMode="External" /><Relationship Type="http://schemas.openxmlformats.org/officeDocument/2006/relationships/hyperlink" Id="rId621" Target="https://learn.microsoft.com/entra/identity/conditional-access/troubleshoot-conditional-access" TargetMode="External" /><Relationship Type="http://schemas.openxmlformats.org/officeDocument/2006/relationships/hyperlink" Id="rId143" Target="https://learn.microsoft.com/entra/identity/conditional-access/workload-identity" TargetMode="External" /><Relationship Type="http://schemas.openxmlformats.org/officeDocument/2006/relationships/hyperlink" Id="rId345" Target="https://learn.microsoft.com/entra/identity/devices/howto-vm-sign-in-azure-ad-linux" TargetMode="External" /><Relationship Type="http://schemas.openxmlformats.org/officeDocument/2006/relationships/hyperlink" Id="rId244" Target="https://learn.microsoft.com/entra/identity/enterprise-apps/application-properties" TargetMode="External" /><Relationship Type="http://schemas.openxmlformats.org/officeDocument/2006/relationships/hyperlink" Id="rId533" Target="https://learn.microsoft.com/entra/identity/enterprise-apps/assign-user-or-group-access-portal" TargetMode="External" /><Relationship Type="http://schemas.openxmlformats.org/officeDocument/2006/relationships/hyperlink" Id="rId437" Target="https://learn.microsoft.com/entra/identity/enterprise-apps/configure-admin-consent-workflow" TargetMode="External" /><Relationship Type="http://schemas.openxmlformats.org/officeDocument/2006/relationships/hyperlink" Id="rId453" Target="https://learn.microsoft.com/entra/identity/enterprise-apps/configure-app-management-policies" TargetMode="External" /><Relationship Type="http://schemas.openxmlformats.org/officeDocument/2006/relationships/hyperlink" Id="rId407" Target="https://learn.microsoft.com/entra/identity/enterprise-apps/configure-permission-classifications" TargetMode="External" /><Relationship Type="http://schemas.openxmlformats.org/officeDocument/2006/relationships/hyperlink" Id="rId413" Target="https://learn.microsoft.com/entra/identity/enterprise-apps/configure-user-consent" TargetMode="External" /><Relationship Type="http://schemas.openxmlformats.org/officeDocument/2006/relationships/hyperlink" Id="rId296" Target="https://learn.microsoft.com/entra/identity/enterprise-apps/grant-admin-consent" TargetMode="External" /><Relationship Type="http://schemas.openxmlformats.org/officeDocument/2006/relationships/hyperlink" Id="rId418" Target="https://learn.microsoft.com/entra/identity/enterprise-apps/manage-app-consent-policies" TargetMode="External" /><Relationship Type="http://schemas.openxmlformats.org/officeDocument/2006/relationships/hyperlink" Id="rId432" Target="https://learn.microsoft.com/entra/identity/enterprise-apps/manage-application-permissions" TargetMode="External" /><Relationship Type="http://schemas.openxmlformats.org/officeDocument/2006/relationships/hyperlink" Id="rId441" Target="https://learn.microsoft.com/entra/identity/enterprise-apps/overview-assign-app-owners" TargetMode="External" /><Relationship Type="http://schemas.openxmlformats.org/officeDocument/2006/relationships/hyperlink" Id="rId457" Target="https://learn.microsoft.com/entra/identity/enterprise-apps/tutorial-enforce-secret-standards" TargetMode="External" /><Relationship Type="http://schemas.openxmlformats.org/officeDocument/2006/relationships/hyperlink" Id="rId410" Target="https://learn.microsoft.com/entra/identity/enterprise-apps/user-admin-consent-overview" TargetMode="External" /><Relationship Type="http://schemas.openxmlformats.org/officeDocument/2006/relationships/hyperlink" Id="rId466" Target="https://learn.microsoft.com/entra/identity/managed-identities-azure-resources/managed-identity-best-practice-recommendations" TargetMode="External" /><Relationship Type="http://schemas.openxmlformats.org/officeDocument/2006/relationships/hyperlink" Id="rId464" Target="https://learn.microsoft.com/entra/identity/managed-identities-azure-resources/overview" TargetMode="External" /><Relationship Type="http://schemas.openxmlformats.org/officeDocument/2006/relationships/hyperlink" Id="rId174" Target="https://learn.microsoft.com/entra/identity/monitoring-health/recommendation-insider-risk-condition" TargetMode="External" /><Relationship Type="http://schemas.openxmlformats.org/officeDocument/2006/relationships/hyperlink" Id="rId548" Target="https://learn.microsoft.com/entra/identity/monitoring-health/reference-reports-data-retention" TargetMode="External" /><Relationship Type="http://schemas.openxmlformats.org/officeDocument/2006/relationships/hyperlink" Id="rId518" Target="https://learn.microsoft.com/entra/identity/role-based-access-control/custom-enterprise-apps" TargetMode="External" /><Relationship Type="http://schemas.openxmlformats.org/officeDocument/2006/relationships/hyperlink" Id="rId394" Target="https://learn.microsoft.com/entra/identity/role-based-access-control/delegate-app-roles" TargetMode="External" /><Relationship Type="http://schemas.openxmlformats.org/officeDocument/2006/relationships/hyperlink" Id="rId293" Target="https://learn.microsoft.com/entra/identity/role-based-access-control/delegate-by-task" TargetMode="External" /><Relationship Type="http://schemas.openxmlformats.org/officeDocument/2006/relationships/hyperlink" Id="rId317" Target="https://learn.microsoft.com/entra/identity/role-based-access-control/groups-concept" TargetMode="External" /><Relationship Type="http://schemas.openxmlformats.org/officeDocument/2006/relationships/hyperlink" Id="rId285" Target="https://learn.microsoft.com/entra/identity/role-based-access-control/permissions-reference" TargetMode="External" /><Relationship Type="http://schemas.openxmlformats.org/officeDocument/2006/relationships/hyperlink" Id="rId287" Target="https://learn.microsoft.com/entra/identity/role-based-access-control/privileged-roles-permissions" TargetMode="External" /><Relationship Type="http://schemas.openxmlformats.org/officeDocument/2006/relationships/hyperlink" Id="rId741" Target="https://learn.microsoft.com/entra/identity/role-based-access-control/protected-actions-add" TargetMode="External" /><Relationship Type="http://schemas.openxmlformats.org/officeDocument/2006/relationships/hyperlink" Id="rId738" Target="https://learn.microsoft.com/entra/identity/role-based-access-control/protected-actions-overview" TargetMode="External" /><Relationship Type="http://schemas.openxmlformats.org/officeDocument/2006/relationships/hyperlink" Id="rId396" Target="https://learn.microsoft.com/entra/identity/role-based-access-control/quickstart-app-registration-limits" TargetMode="External" /><Relationship Type="http://schemas.openxmlformats.org/officeDocument/2006/relationships/hyperlink" Id="rId370" Target="https://learn.microsoft.com/entra/identity/role-based-access-control/security-emergency-access" TargetMode="External" /><Relationship Type="http://schemas.openxmlformats.org/officeDocument/2006/relationships/hyperlink" Id="rId535" Target="https://learn.microsoft.com/entra/identity/users/groups-saasapps" TargetMode="External" /><Relationship Type="http://schemas.openxmlformats.org/officeDocument/2006/relationships/hyperlink" Id="rId59" Target="https://learn.microsoft.com/entra/identity/users/manage-dynamic-group" TargetMode="External" /><Relationship Type="http://schemas.openxmlformats.org/officeDocument/2006/relationships/hyperlink" Id="rId459" Target="https://learn.microsoft.com/entra/workload-id/workload-identities-faqs" TargetMode="External" /><Relationship Type="http://schemas.openxmlformats.org/officeDocument/2006/relationships/hyperlink" Id="rId471" Target="https://learn.microsoft.com/entra/workload-id/workload-identity-federation" TargetMode="External" /><Relationship Type="http://schemas.openxmlformats.org/officeDocument/2006/relationships/hyperlink" Id="rId1018" Target="https://learn.microsoft.com/graph/accessreviews-reviewers-concept" TargetMode="External" /><Relationship Type="http://schemas.openxmlformats.org/officeDocument/2006/relationships/hyperlink" Id="rId207" Target="https://learn.microsoft.com/graph/api/authenticationstrengthroot-list-policies?view=graph-rest-1.0" TargetMode="External" /><Relationship Type="http://schemas.openxmlformats.org/officeDocument/2006/relationships/hyperlink" Id="rId962" Target="https://learn.microsoft.com/graph/api/conditionalaccessroot-post-policies?view=graph-rest-1.0" TargetMode="External" /><Relationship Type="http://schemas.openxmlformats.org/officeDocument/2006/relationships/hyperlink" Id="rId430" Target="https://learn.microsoft.com/graph/api/oauth2permissiongrant-delete?view=graph-rest-1.0" TargetMode="External" /><Relationship Type="http://schemas.openxmlformats.org/officeDocument/2006/relationships/hyperlink" Id="rId673" Target="https://learn.microsoft.com/graph/api/rbacapplication-post-roleeligibilityschedulerequests?view=graph-rest-1.0" TargetMode="External" /><Relationship Type="http://schemas.openxmlformats.org/officeDocument/2006/relationships/hyperlink" Id="rId850" Target="https://learn.microsoft.com/graph/api/resources/accesspackagecatalog?view=graph-rest-1.0" TargetMode="External" /><Relationship Type="http://schemas.openxmlformats.org/officeDocument/2006/relationships/hyperlink" Id="rId455" Target="https://learn.microsoft.com/graph/api/resources/applicationauthenticationmethodpolicy?view=graph-rest-1.0" TargetMode="External" /><Relationship Type="http://schemas.openxmlformats.org/officeDocument/2006/relationships/hyperlink" Id="rId253" Target="https://learn.microsoft.com/graph/api/resources/appliedconditionalaccesspolicy?view=graph-rest-1.0" TargetMode="External" /><Relationship Type="http://schemas.openxmlformats.org/officeDocument/2006/relationships/hyperlink" Id="rId1066" Target="https://learn.microsoft.com/graph/api/resources/conditionalaccessapplications?view=graph-rest-1.0" TargetMode="External" /><Relationship Type="http://schemas.openxmlformats.org/officeDocument/2006/relationships/hyperlink" Id="rId1068" Target="https://learn.microsoft.com/graph/api/resources/conditionalaccessclientapplications?view=graph-rest-1.0" TargetMode="External" /><Relationship Type="http://schemas.openxmlformats.org/officeDocument/2006/relationships/hyperlink" Id="rId1070" Target="https://learn.microsoft.com/graph/api/resources/conditionalaccessconditionset?view=graph-rest-1.0" TargetMode="External" /><Relationship Type="http://schemas.openxmlformats.org/officeDocument/2006/relationships/hyperlink" Id="rId1064" Target="https://learn.microsoft.com/graph/api/resources/conditionalaccessenumeratedexternaltenants?view=graph-rest-1.0" TargetMode="External" /><Relationship Type="http://schemas.openxmlformats.org/officeDocument/2006/relationships/hyperlink" Id="rId1062" Target="https://learn.microsoft.com/graph/api/resources/conditionalaccessexternaltenants?view=graph-rest-1.0" TargetMode="External" /><Relationship Type="http://schemas.openxmlformats.org/officeDocument/2006/relationships/hyperlink" Id="rId1076" Target="https://learn.microsoft.com/graph/api/resources/conditionalaccessfilter?view=graph-rest-1.0" TargetMode="External" /><Relationship Type="http://schemas.openxmlformats.org/officeDocument/2006/relationships/hyperlink" Id="rId199" Target="https://learn.microsoft.com/graph/api/resources/conditionalaccessgrantcontrols?view=graph-rest-1.0" TargetMode="External" /><Relationship Type="http://schemas.openxmlformats.org/officeDocument/2006/relationships/hyperlink" Id="rId1060" Target="https://learn.microsoft.com/graph/api/resources/conditionalaccessguestsorexternalusers?view=graph-rest-1.0" TargetMode="External" /><Relationship Type="http://schemas.openxmlformats.org/officeDocument/2006/relationships/hyperlink" Id="rId1072" Target="https://learn.microsoft.com/graph/api/resources/conditionalaccesslocations?view=graph-rest-1.0" TargetMode="External" /><Relationship Type="http://schemas.openxmlformats.org/officeDocument/2006/relationships/hyperlink" Id="rId1074" Target="https://learn.microsoft.com/graph/api/resources/conditionalaccessplatforms?view=graph-rest-1.0" TargetMode="External" /><Relationship Type="http://schemas.openxmlformats.org/officeDocument/2006/relationships/hyperlink" Id="rId1049" Target="https://learn.microsoft.com/graph/api/resources/conditionalaccesspolicy?view=graph-rest-1.0" TargetMode="External" /><Relationship Type="http://schemas.openxmlformats.org/officeDocument/2006/relationships/hyperlink" Id="rId218" Target="https://learn.microsoft.com/graph/api/resources/conditionalaccesssessioncontrols?view=graph-rest-1.0" TargetMode="External" /><Relationship Type="http://schemas.openxmlformats.org/officeDocument/2006/relationships/hyperlink" Id="rId1058" Target="https://learn.microsoft.com/graph/api/resources/conditionalaccessusers?view=graph-rest-1.0" TargetMode="External" /><Relationship Type="http://schemas.openxmlformats.org/officeDocument/2006/relationships/hyperlink" Id="rId1083" Target="https://learn.microsoft.com/graph/api/resources/persistentbrowsersessioncontrol?view=graph-rest-1.0" TargetMode="External" /><Relationship Type="http://schemas.openxmlformats.org/officeDocument/2006/relationships/hyperlink" Id="rId223" Target="https://learn.microsoft.com/graph/api/resources/signinfrequencysessioncontrol?view=graph-rest-1.0" TargetMode="External" /><Relationship Type="http://schemas.openxmlformats.org/officeDocument/2006/relationships/hyperlink" Id="rId995" Target="https://learn.microsoft.com/graph/api/resources/unified-tenant-configuration-management-api-overview?view=graph-rest-1.0" TargetMode="External" /><Relationship Type="http://schemas.openxmlformats.org/officeDocument/2006/relationships/hyperlink" Id="rId726" Target="https://learn.microsoft.com/graph/api/resources/unifiedrolemanagementpolicyauthenticationcontextrule" TargetMode="External" /><Relationship Type="http://schemas.openxmlformats.org/officeDocument/2006/relationships/hyperlink" Id="rId648" Target="https://learn.microsoft.com/graph/deployments" TargetMode="External" /><Relationship Type="http://schemas.openxmlformats.org/officeDocument/2006/relationships/hyperlink" Id="rId671" Target="https://learn.microsoft.com/graph/how-to-pim-update-rules" TargetMode="External" /><Relationship Type="http://schemas.openxmlformats.org/officeDocument/2006/relationships/hyperlink" Id="rId715" Target="https://learn.microsoft.com/graph/identity-governance-pim-rules-overview" TargetMode="External" /><Relationship Type="http://schemas.openxmlformats.org/officeDocument/2006/relationships/hyperlink" Id="rId404" Target="https://learn.microsoft.com/graph/permissions-reference" TargetMode="External" /><Relationship Type="http://schemas.openxmlformats.org/officeDocument/2006/relationships/hyperlink" Id="rId1016" Target="https://learn.microsoft.com/graph/tutorial-accessreviews-securitygroup" TargetMode="External" /><Relationship Type="http://schemas.openxmlformats.org/officeDocument/2006/relationships/hyperlink" Id="rId320" Target="https://learn.microsoft.com/graph/tutorial-assign-azureadroles" TargetMode="External" /><Relationship Type="http://schemas.openxmlformats.org/officeDocument/2006/relationships/hyperlink" Id="rId993" Target="https://learn.microsoft.com/graph/utcm-entra-resources" TargetMode="External" /><Relationship Type="http://schemas.openxmlformats.org/officeDocument/2006/relationships/hyperlink" Id="rId427" Target="https://learn.microsoft.com/powershell/module/microsoft.graph.beta.identity.signins/new-mgbetaoauth2permissiongrant?view=graph-powershell-beta" TargetMode="External" /><Relationship Type="http://schemas.openxmlformats.org/officeDocument/2006/relationships/hyperlink" Id="rId1014" Target="https://learn.microsoft.com/powershell/module/microsoft.graph.identity.governance/new-mgidentitygovernanceaccessreviewdefinition?view=graph-powershell-1.0" TargetMode="External" /><Relationship Type="http://schemas.openxmlformats.org/officeDocument/2006/relationships/hyperlink" Id="rId1090" Target="https://learn.microsoft.com/powershell/module/microsoft.graph.identity.signins/new-mgidentityconditionalaccessnamedlocation?view=graph-powershell-1.0" TargetMode="External" /><Relationship Type="http://schemas.openxmlformats.org/officeDocument/2006/relationships/hyperlink" Id="rId562" Target="https://learn.microsoft.com/powershell/module/microsoft.graph.identity.signins/new-mgpolicyauthenticationstrengthpolicy?view=graph-powershell-1.0" TargetMode="External" /><Relationship Type="http://schemas.openxmlformats.org/officeDocument/2006/relationships/hyperlink" Id="rId597" Target="https://learn.microsoft.com/purview/insider-risk-management-adaptive-protection" TargetMode="External" /><Relationship Type="http://schemas.openxmlformats.org/officeDocument/2006/relationships/hyperlink" Id="rId300" Target="https://learn.microsoft.com/security/privileged-access-workstations/privileged-access-access-model" TargetMode="External" /><Relationship Type="http://schemas.openxmlformats.org/officeDocument/2006/relationships/hyperlink" Id="rId367" Target="https://learn.microsoft.com/security/privileged-access-workstations/privileged-access-deployment" TargetMode="External" /><Relationship Type="http://schemas.openxmlformats.org/officeDocument/2006/relationships/hyperlink" Id="rId365" Target="https://learn.microsoft.com/security/privileged-access-workstations/privileged-access-devices" TargetMode="External" /><Relationship Type="http://schemas.openxmlformats.org/officeDocument/2006/relationships/hyperlink" Id="rId303" Target="https://learn.microsoft.com/security/privileged-access-workstations/privileged-access-security-levels" TargetMode="External" /><Relationship Type="http://schemas.openxmlformats.org/officeDocument/2006/relationships/hyperlink" Id="rId659" Target="https://learn.microsoft.com/security/zero-trust/dod-zero-trust-strategy-user" TargetMode="External" /><Relationship Type="http://schemas.openxmlformats.org/officeDocument/2006/relationships/hyperlink" Id="rId97" Target="https://learn.microsoft.com/security/zero-trust/security-adoption-discipline-identity-access-privileged-strategy" TargetMode="External" /><Relationship Type="http://schemas.openxmlformats.org/officeDocument/2006/relationships/hyperlink" Id="rId22" Target="https://nvlpubs.nist.gov/nistpubs/SpecialPublications/NIST.SP.800-207.pdf" TargetMode="External" /><Relationship Type="http://schemas.openxmlformats.org/officeDocument/2006/relationships/hyperlink" Id="rId82" Target="https://raw.githubusercontent.com/usnistgov/oscal-content/main/nist.gov/SP800-53/rev5/json/NIST_SP-800-53_rev5_MODERATE-baseline_profile.json" TargetMode="External" /><Relationship Type="http://schemas.openxmlformats.org/officeDocument/2006/relationships/hyperlink" Id="rId361" Target="https://techdocs.broadcom.com/us/en/vmware-cis/vsphere/vsphere/9-0/vsphere-authentication/vsphere-authentication-with-vcenter-single-sign-on/configuring-vcenter-server-identity-provider-federation/configure-vcenter-server-identity-provider-federation-for-azure-ad.html" TargetMode="External" /><Relationship Type="http://schemas.openxmlformats.org/officeDocument/2006/relationships/hyperlink" Id="rId359" Target="https://techdocs.broadcom.com/us/en/vmware-cis/vsphere/vsphere/9-0/vsphere-security/vsphere-permissions-and-user-management-tasks/understanding-authorization-in-vsphere.html" TargetMode="External" /><Relationship Type="http://schemas.openxmlformats.org/officeDocument/2006/relationships/hyperlink" Id="rId72" Target="https://www.cisa.gov/news-events/cybersecurity-advisories/aa23-278a" TargetMode="External" /><Relationship Type="http://schemas.openxmlformats.org/officeDocument/2006/relationships/hyperlink" Id="rId264" Target="https://www.cisa.gov/news-events/directives/bod-25-01-implementing-secure-practices-cloud-services" TargetMode="External" /><Relationship Type="http://schemas.openxmlformats.org/officeDocument/2006/relationships/hyperlink" Id="rId266" Target="https://www.cisa.gov/resources-tools/services/bod-25-01-implementing-secure-practices-cloud-services-required-configurations" TargetMode="External" /><Relationship Type="http://schemas.openxmlformats.org/officeDocument/2006/relationships/hyperlink" Id="rId24" Target="https://www.cisa.gov/sites/default/files/2023-04/CISA_Zero_Trust_Maturity_Model_Version_2_508c.pdf" TargetMode="External" /><Relationship Type="http://schemas.openxmlformats.org/officeDocument/2006/relationships/hyperlink" Id="rId74" Target="https://www.microsoft.com/en-us/security/blog/2024/01/25/midnight-blizzard-guidance-for-responders-on-nation-state-attack/" TargetMode="External" /><Relationship Type="http://schemas.openxmlformats.org/officeDocument/2006/relationships/hyperlink" Id="rId18"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04 — Access &amp; Privilege</dc:title>
  <dc:creator/>
  <cp:keywords/>
  <dcterms:created xsi:type="dcterms:W3CDTF">2026-10-20T23:38:18Z</dcterms:created>
  <dcterms:modified xsi:type="dcterms:W3CDTF">2026-10-20T23:38:18Z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Every access decision is a policy decision — Modernization Workbook, combined edition</vt:lpwstr>
  </property>
</Properties>
</file>