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Override PartName="/word/media/rId47.png" ContentType="image/png"/>
  <Override PartName="/word/media/rId87.png" ContentType="image/png"/>
  <Override PartName="/word/media/rId142.png" ContentType="image/png"/>
  <Override PartName="/word/media/rId262.png" ContentType="image/png"/>
  <Override PartName="/word/media/rId172.png" ContentType="image/png"/>
  <Override PartName="/word/media/rId353.png" ContentType="image/png"/>
  <Override PartName="/word/media/rId310.png" ContentType="image/png"/>
  <Override PartName="/word/media/rId420.png" ContentType="image/png"/>
  <Override PartName="/word/media/rId452.png" ContentType="image/png"/>
  <Override PartName="/word/media/rId562.png" ContentType="image/png"/>
  <Override PartName="/word/media/rId480.png" ContentType="image/png"/>
  <Override PartName="/word/media/rId680.png" ContentType="image/png"/>
  <Override PartName="/word/media/rId622.png" ContentType="image/png"/>
  <Override PartName="/word/media/rId798.png" ContentType="image/png"/>
  <Override PartName="/word/media/rId7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07 — PKI &amp; Certificates</w:t>
      </w:r>
    </w:p>
    <w:p>
      <w:pPr>
        <w:pStyle w:val="Subtitle"/>
      </w:pPr>
      <w:r>
        <w:t xml:space="preserve">AD CS to Cloud PKI, Entra CBA and Federal PKI — Modernization Workbook, combined edition</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927" w:history="1">
            <w:r>
              <w:t xml:space="preserve">Book 07 — PKI &amp; Certificates: AD CS to Cloud PKI, Entra CBA and Federal PKI</w:t>
            </w:r>
          </w:hyperlink>
        </w:p>
        <w:p>
          <w:pPr>
            <w:pStyle w:val="TOC2"/>
          </w:pPr>
          <w:hyperlink w:anchor="_Toc00000928" w:history="1">
            <w:r>
              <w:t xml:space="preserve">Status — draft book</w:t>
            </w:r>
          </w:hyperlink>
        </w:p>
        <w:p>
          <w:pPr>
            <w:pStyle w:val="TOC2"/>
          </w:pPr>
          <w:hyperlink w:anchor="_Toc00000929" w:history="1">
            <w:r>
              <w:t xml:space="preserve">Why, what, who, how</w:t>
            </w:r>
          </w:hyperlink>
        </w:p>
        <w:p>
          <w:pPr>
            <w:pStyle w:val="TOC2"/>
          </w:pPr>
          <w:hyperlink w:anchor="_Toc00000930" w:history="1">
            <w:r>
              <w:t xml:space="preserve">Reading paths</w:t>
            </w:r>
          </w:hyperlink>
        </w:p>
        <w:p>
          <w:pPr>
            <w:pStyle w:val="TOC2"/>
          </w:pPr>
          <w:hyperlink w:anchor="_Toc00000931" w:history="1">
            <w:r>
              <w:t xml:space="preserve">Where this book sits in the workbook</w:t>
            </w:r>
          </w:hyperlink>
        </w:p>
        <w:p>
          <w:pPr>
            <w:pStyle w:val="TOC1"/>
          </w:pPr>
          <w:hyperlink w:anchor="_Toc00000932" w:history="1">
            <w:r>
              <w:t xml:space="preserve">Chapter 01 — Why Certificates Outlive Every Migration</w:t>
            </w:r>
          </w:hyperlink>
        </w:p>
        <w:p>
          <w:pPr>
            <w:pStyle w:val="TOC2"/>
          </w:pPr>
          <w:hyperlink w:anchor="_Toc00000933" w:history="1">
            <w:r>
              <w:t xml:space="preserve">In this chapter</w:t>
            </w:r>
          </w:hyperlink>
        </w:p>
        <w:p>
          <w:pPr>
            <w:pStyle w:val="TOC2"/>
          </w:pPr>
          <w:hyperlink w:anchor="_Toc00000934" w:history="1">
            <w:r>
              <w:t xml:space="preserve">A certificate is a naming claim</w:t>
            </w:r>
          </w:hyperlink>
        </w:p>
        <w:p>
          <w:pPr>
            <w:pStyle w:val="TOC2"/>
          </w:pPr>
          <w:hyperlink w:anchor="_Toc00000935" w:history="1">
            <w:r>
              <w:t xml:space="preserve">What leans on certificates</w:t>
            </w:r>
          </w:hyperlink>
        </w:p>
        <w:p>
          <w:pPr>
            <w:pStyle w:val="TOC2"/>
          </w:pPr>
          <w:hyperlink w:anchor="_Toc00000936" w:history="1">
            <w:r>
              <w:t xml:space="preserve">Why the dependency survives the directory move</w:t>
            </w:r>
          </w:hyperlink>
        </w:p>
        <w:p>
          <w:pPr>
            <w:pStyle w:val="TOC2"/>
          </w:pPr>
          <w:hyperlink w:anchor="_Toc00000937" w:history="1">
            <w:r>
              <w:t xml:space="preserve">The rules are moving under certificates already issued</w:t>
            </w:r>
          </w:hyperlink>
        </w:p>
        <w:p>
          <w:pPr>
            <w:pStyle w:val="TOC2"/>
          </w:pPr>
          <w:hyperlink w:anchor="_Toc00000938" w:history="1">
            <w:r>
              <w:t xml:space="preserve">Manual lifecycle management breaks</w:t>
            </w:r>
          </w:hyperlink>
        </w:p>
        <w:p>
          <w:pPr>
            <w:pStyle w:val="TOC2"/>
          </w:pPr>
          <w:hyperlink w:anchor="_Toc00000939" w:history="1">
            <w:r>
              <w:t xml:space="preserve">Why the move off AD CS is its own program</w:t>
            </w:r>
          </w:hyperlink>
        </w:p>
        <w:p>
          <w:pPr>
            <w:pStyle w:val="TOC2"/>
          </w:pPr>
          <w:hyperlink w:anchor="_Toc00000940" w:history="1">
            <w:r>
              <w:t xml:space="preserve">What this book covers</w:t>
            </w:r>
          </w:hyperlink>
        </w:p>
        <w:p>
          <w:pPr>
            <w:pStyle w:val="TOC2"/>
          </w:pPr>
          <w:hyperlink w:anchor="_Toc00000941" w:history="1">
            <w:r>
              <w:t xml:space="preserve">The short version</w:t>
            </w:r>
          </w:hyperlink>
        </w:p>
        <w:p>
          <w:pPr>
            <w:pStyle w:val="TOC2"/>
          </w:pPr>
          <w:hyperlink w:anchor="_Toc00000942" w:history="1">
            <w:r>
              <w:t xml:space="preserve">Continue the book</w:t>
            </w:r>
          </w:hyperlink>
        </w:p>
        <w:p>
          <w:pPr>
            <w:pStyle w:val="TOC1"/>
          </w:pPr>
          <w:hyperlink w:anchor="_Toc00000943" w:history="1">
            <w:r>
              <w:t xml:space="preserve">Chapter 02 — What AD CS Holds Up</w:t>
            </w:r>
          </w:hyperlink>
        </w:p>
        <w:p>
          <w:pPr>
            <w:pStyle w:val="TOC2"/>
          </w:pPr>
          <w:hyperlink w:anchor="_Toc00000944" w:history="1">
            <w:r>
              <w:t xml:space="preserve">In this chapter</w:t>
            </w:r>
          </w:hyperlink>
        </w:p>
        <w:p>
          <w:pPr>
            <w:pStyle w:val="TOC2"/>
          </w:pPr>
          <w:hyperlink w:anchor="_Toc00000945" w:history="1">
            <w:r>
              <w:t xml:space="preserve">The baseline comes first</w:t>
            </w:r>
          </w:hyperlink>
        </w:p>
        <w:p>
          <w:pPr>
            <w:pStyle w:val="TOC2"/>
          </w:pPr>
          <w:hyperlink w:anchor="_Toc00000946" w:history="1">
            <w:r>
              <w:t xml:space="preserve">The typical topology</w:t>
            </w:r>
          </w:hyperlink>
        </w:p>
        <w:p>
          <w:pPr>
            <w:pStyle w:val="TOC2"/>
          </w:pPr>
          <w:hyperlink w:anchor="_Toc00000947" w:history="1">
            <w:r>
              <w:t xml:space="preserve">Template categories</w:t>
            </w:r>
          </w:hyperlink>
        </w:p>
        <w:p>
          <w:pPr>
            <w:pStyle w:val="TOC2"/>
          </w:pPr>
          <w:hyperlink w:anchor="_Toc00000948" w:history="1">
            <w:r>
              <w:t xml:space="preserve">Autoenrollment</w:t>
            </w:r>
          </w:hyperlink>
        </w:p>
        <w:p>
          <w:pPr>
            <w:pStyle w:val="TOC2"/>
          </w:pPr>
          <w:hyperlink w:anchor="_Toc00000949" w:history="1">
            <w:r>
              <w:t xml:space="preserve">What the certificate inventory collects</w:t>
            </w:r>
          </w:hyperlink>
        </w:p>
        <w:p>
          <w:pPr>
            <w:pStyle w:val="TOC2"/>
          </w:pPr>
          <w:hyperlink w:anchor="_Toc00000950" w:history="1">
            <w:r>
              <w:t xml:space="preserve">Classifying every use case</w:t>
            </w:r>
          </w:hyperlink>
        </w:p>
        <w:p>
          <w:pPr>
            <w:pStyle w:val="TOC2"/>
          </w:pPr>
          <w:hyperlink w:anchor="_Toc00000951" w:history="1">
            <w:r>
              <w:t xml:space="preserve">The use-case map</w:t>
            </w:r>
          </w:hyperlink>
        </w:p>
        <w:p>
          <w:pPr>
            <w:pStyle w:val="TOC2"/>
          </w:pPr>
          <w:hyperlink w:anchor="_Toc00000952" w:history="1">
            <w:r>
              <w:t xml:space="preserve">What this chapter hands on</w:t>
            </w:r>
          </w:hyperlink>
        </w:p>
        <w:p>
          <w:pPr>
            <w:pStyle w:val="TOC2"/>
          </w:pPr>
          <w:hyperlink w:anchor="_Toc00000953" w:history="1">
            <w:r>
              <w:t xml:space="preserve">Continue the book</w:t>
            </w:r>
          </w:hyperlink>
        </w:p>
        <w:p>
          <w:pPr>
            <w:pStyle w:val="TOC1"/>
          </w:pPr>
          <w:hyperlink w:anchor="_Toc00000954" w:history="1">
            <w:r>
              <w:t xml:space="preserve">Chapter 03 — Hardening What Stays</w:t>
            </w:r>
          </w:hyperlink>
        </w:p>
        <w:p>
          <w:pPr>
            <w:pStyle w:val="TOC2"/>
          </w:pPr>
          <w:hyperlink w:anchor="_Toc00000955" w:history="1">
            <w:r>
              <w:t xml:space="preserve">In this chapter</w:t>
            </w:r>
          </w:hyperlink>
        </w:p>
        <w:p>
          <w:pPr>
            <w:pStyle w:val="TOC2"/>
          </w:pPr>
          <w:hyperlink w:anchor="_Toc00000956" w:history="1">
            <w:r>
              <w:t xml:space="preserve">The migration gate</w:t>
            </w:r>
          </w:hyperlink>
        </w:p>
        <w:p>
          <w:pPr>
            <w:pStyle w:val="TOC2"/>
          </w:pPr>
          <w:hyperlink w:anchor="_Toc00000957" w:history="1">
            <w:r>
              <w:t xml:space="preserve">The ESC taxonomy</w:t>
            </w:r>
          </w:hyperlink>
        </w:p>
        <w:p>
          <w:pPr>
            <w:pStyle w:val="TOC2"/>
          </w:pPr>
          <w:hyperlink w:anchor="_Toc00000958" w:history="1">
            <w:r>
              <w:t xml:space="preserve">Turn on CA auditing</w:t>
            </w:r>
          </w:hyperlink>
        </w:p>
        <w:p>
          <w:pPr>
            <w:pStyle w:val="TOC2"/>
          </w:pPr>
          <w:hyperlink w:anchor="_Toc00000959" w:history="1">
            <w:r>
              <w:t xml:space="preserve">The risk-scoring matrix</w:t>
            </w:r>
          </w:hyperlink>
        </w:p>
        <w:p>
          <w:pPr>
            <w:pStyle w:val="TOC2"/>
          </w:pPr>
          <w:hyperlink w:anchor="_Toc00000960" w:history="1">
            <w:r>
              <w:t xml:space="preserve">Hardening the AD CS that remains</w:t>
            </w:r>
          </w:hyperlink>
        </w:p>
        <w:p>
          <w:pPr>
            <w:pStyle w:val="TOC2"/>
          </w:pPr>
          <w:hyperlink w:anchor="_Toc00000961" w:history="1">
            <w:r>
              <w:t xml:space="preserve">Hardening Microsoft Cloud PKI</w:t>
            </w:r>
          </w:hyperlink>
        </w:p>
        <w:p>
          <w:pPr>
            <w:pStyle w:val="TOC2"/>
          </w:pPr>
          <w:hyperlink w:anchor="_Toc00000962" w:history="1">
            <w:r>
              <w:t xml:space="preserve">Hardening Entra certificate-based authentication</w:t>
            </w:r>
          </w:hyperlink>
        </w:p>
        <w:p>
          <w:pPr>
            <w:pStyle w:val="TOC2"/>
          </w:pPr>
          <w:hyperlink w:anchor="_Toc00000963" w:history="1">
            <w:r>
              <w:t xml:space="preserve">Continue the book</w:t>
            </w:r>
          </w:hyperlink>
        </w:p>
        <w:p>
          <w:pPr>
            <w:pStyle w:val="TOC1"/>
          </w:pPr>
          <w:hyperlink w:anchor="_Toc00000964" w:history="1">
            <w:r>
              <w:t xml:space="preserve">Chapter 04 — The Target PKI: Cloud PKI, AD CS and Federal PKI</w:t>
            </w:r>
          </w:hyperlink>
        </w:p>
        <w:p>
          <w:pPr>
            <w:pStyle w:val="TOC2"/>
          </w:pPr>
          <w:hyperlink w:anchor="_Toc00000965" w:history="1">
            <w:r>
              <w:t xml:space="preserve">In this chapter</w:t>
            </w:r>
          </w:hyperlink>
        </w:p>
        <w:p>
          <w:pPr>
            <w:pStyle w:val="TOC2"/>
          </w:pPr>
          <w:hyperlink w:anchor="_Toc00000966" w:history="1">
            <w:r>
              <w:t xml:space="preserve">Microsoft Cloud PKI</w:t>
            </w:r>
          </w:hyperlink>
        </w:p>
        <w:p>
          <w:pPr>
            <w:pStyle w:val="TOC2"/>
          </w:pPr>
          <w:hyperlink w:anchor="_Toc00000967" w:history="1">
            <w:r>
              <w:t xml:space="preserve">Two deployment models</w:t>
            </w:r>
          </w:hyperlink>
        </w:p>
        <w:p>
          <w:pPr>
            <w:pStyle w:val="TOC2"/>
          </w:pPr>
          <w:hyperlink w:anchor="_Toc00000968" w:history="1">
            <w:r>
              <w:t xml:space="preserve">AD CS, retained for what only it can do</w:t>
            </w:r>
          </w:hyperlink>
        </w:p>
        <w:p>
          <w:pPr>
            <w:pStyle w:val="TOC2"/>
          </w:pPr>
          <w:hyperlink w:anchor="_Toc00000969" w:history="1">
            <w:r>
              <w:t xml:space="preserve">Federal PKI for PIV</w:t>
            </w:r>
          </w:hyperlink>
        </w:p>
        <w:p>
          <w:pPr>
            <w:pStyle w:val="TOC2"/>
          </w:pPr>
          <w:hyperlink w:anchor="_Toc00000970" w:history="1">
            <w:r>
              <w:t xml:space="preserve">Certificate lifecycle management</w:t>
            </w:r>
          </w:hyperlink>
        </w:p>
        <w:p>
          <w:pPr>
            <w:pStyle w:val="TOC2"/>
          </w:pPr>
          <w:hyperlink w:anchor="_Toc00000971" w:history="1">
            <w:r>
              <w:t xml:space="preserve">Continue the book</w:t>
            </w:r>
          </w:hyperlink>
        </w:p>
        <w:p>
          <w:pPr>
            <w:pStyle w:val="TOC1"/>
          </w:pPr>
          <w:hyperlink w:anchor="_Toc00000972" w:history="1">
            <w:r>
              <w:t xml:space="preserve">Chapter 05 — Who Owns the Certificate Estate</w:t>
            </w:r>
          </w:hyperlink>
        </w:p>
        <w:p>
          <w:pPr>
            <w:pStyle w:val="TOC2"/>
          </w:pPr>
          <w:hyperlink w:anchor="_Toc00000973" w:history="1">
            <w:r>
              <w:t xml:space="preserve">In this chapter</w:t>
            </w:r>
          </w:hyperlink>
        </w:p>
        <w:p>
          <w:pPr>
            <w:pStyle w:val="TOC2"/>
          </w:pPr>
          <w:hyperlink w:anchor="_Toc00000974" w:history="1">
            <w:r>
              <w:t xml:space="preserve">Decision rights and work are different things</w:t>
            </w:r>
          </w:hyperlink>
        </w:p>
        <w:p>
          <w:pPr>
            <w:pStyle w:val="TOC2"/>
          </w:pPr>
          <w:hyperlink w:anchor="_Toc00000975" w:history="1">
            <w:r>
              <w:t xml:space="preserve">The roles</w:t>
            </w:r>
          </w:hyperlink>
        </w:p>
        <w:p>
          <w:pPr>
            <w:pStyle w:val="TOC2"/>
          </w:pPr>
          <w:hyperlink w:anchor="_Toc00000976" w:history="1">
            <w:r>
              <w:t xml:space="preserve">The responsibility matrix</w:t>
            </w:r>
          </w:hyperlink>
        </w:p>
        <w:p>
          <w:pPr>
            <w:pStyle w:val="TOC2"/>
          </w:pPr>
          <w:hyperlink w:anchor="_Toc00000977" w:history="1">
            <w:r>
              <w:t xml:space="preserve">Renewal ownership per certificate class</w:t>
            </w:r>
          </w:hyperlink>
        </w:p>
        <w:p>
          <w:pPr>
            <w:pStyle w:val="TOC2"/>
          </w:pPr>
          <w:hyperlink w:anchor="_Toc00000978" w:history="1">
            <w:r>
              <w:t xml:space="preserve">Four permission systems, one access model</w:t>
            </w:r>
          </w:hyperlink>
        </w:p>
        <w:p>
          <w:pPr>
            <w:pStyle w:val="TOC2"/>
          </w:pPr>
          <w:hyperlink w:anchor="_Toc00000979" w:history="1">
            <w:r>
              <w:t xml:space="preserve">What changes from “whoever installed the CA”</w:t>
            </w:r>
          </w:hyperlink>
        </w:p>
        <w:p>
          <w:pPr>
            <w:pStyle w:val="TOC2"/>
          </w:pPr>
          <w:hyperlink w:anchor="_Toc00000980" w:history="1">
            <w:r>
              <w:t xml:space="preserve">Continue the book</w:t>
            </w:r>
          </w:hyperlink>
        </w:p>
        <w:p>
          <w:pPr>
            <w:pStyle w:val="TOC1"/>
          </w:pPr>
          <w:hyperlink w:anchor="_Toc00000981" w:history="1">
            <w:r>
              <w:t xml:space="preserve">Chapter 06 — Device and User Certificates: Intune and Entra CBA</w:t>
            </w:r>
          </w:hyperlink>
        </w:p>
        <w:p>
          <w:pPr>
            <w:pStyle w:val="TOC2"/>
          </w:pPr>
          <w:hyperlink w:anchor="_Toc00000982" w:history="1">
            <w:r>
              <w:t xml:space="preserve">In this chapter</w:t>
            </w:r>
          </w:hyperlink>
        </w:p>
        <w:p>
          <w:pPr>
            <w:pStyle w:val="TOC2"/>
          </w:pPr>
          <w:hyperlink w:anchor="_Toc00000983" w:history="1">
            <w:r>
              <w:t xml:space="preserve">Two jobs, two failure modes</w:t>
            </w:r>
          </w:hyperlink>
        </w:p>
        <w:p>
          <w:pPr>
            <w:pStyle w:val="TOC2"/>
          </w:pPr>
          <w:hyperlink w:anchor="_Toc00000984" w:history="1">
            <w:r>
              <w:t xml:space="preserve">The trusted certificate profile comes first</w:t>
            </w:r>
          </w:hyperlink>
        </w:p>
        <w:p>
          <w:pPr>
            <w:pStyle w:val="TOC2"/>
          </w:pPr>
          <w:hyperlink w:anchor="_Toc00000985" w:history="1">
            <w:r>
              <w:t xml:space="preserve">SCEP profiles</w:t>
            </w:r>
          </w:hyperlink>
        </w:p>
        <w:p>
          <w:pPr>
            <w:pStyle w:val="TOC2"/>
          </w:pPr>
          <w:hyperlink w:anchor="_Toc00000986" w:history="1">
            <w:r>
              <w:t xml:space="preserve">PKCS and imported PKCS profiles</w:t>
            </w:r>
          </w:hyperlink>
        </w:p>
        <w:p>
          <w:pPr>
            <w:pStyle w:val="TOC2"/>
          </w:pPr>
          <w:hyperlink w:anchor="_Toc00000987" w:history="1">
            <w:r>
              <w:t xml:space="preserve">Which profile for which use</w:t>
            </w:r>
          </w:hyperlink>
        </w:p>
        <w:p>
          <w:pPr>
            <w:pStyle w:val="TOC2"/>
          </w:pPr>
          <w:hyperlink w:anchor="_Toc00000988" w:history="1">
            <w:r>
              <w:t xml:space="preserve">Strong certificate mapping (KB5014754)</w:t>
            </w:r>
          </w:hyperlink>
        </w:p>
        <w:p>
          <w:pPr>
            <w:pStyle w:val="TOC2"/>
          </w:pPr>
          <w:hyperlink w:anchor="_Toc00000989" w:history="1">
            <w:r>
              <w:t xml:space="preserve">Illustrative, not tested against a production forest</w:t>
            </w:r>
          </w:hyperlink>
        </w:p>
        <w:p>
          <w:pPr>
            <w:pStyle w:val="TOC2"/>
          </w:pPr>
          <w:hyperlink w:anchor="_Toc00000990" w:history="1">
            <w:r>
              <w:t xml:space="preserve">Entra certificate-based authentication</w:t>
            </w:r>
          </w:hyperlink>
        </w:p>
        <w:p>
          <w:pPr>
            <w:pStyle w:val="TOC2"/>
          </w:pPr>
          <w:hyperlink w:anchor="_Toc00000991" w:history="1">
            <w:r>
              <w:t xml:space="preserve">What Chapter 07 takes from here</w:t>
            </w:r>
          </w:hyperlink>
        </w:p>
        <w:p>
          <w:pPr>
            <w:pStyle w:val="TOC2"/>
          </w:pPr>
          <w:hyperlink w:anchor="_Toc00000992" w:history="1">
            <w:r>
              <w:t xml:space="preserve">Continue the book</w:t>
            </w:r>
          </w:hyperlink>
        </w:p>
        <w:p>
          <w:pPr>
            <w:pStyle w:val="TOC1"/>
          </w:pPr>
          <w:hyperlink w:anchor="_Toc00000993" w:history="1">
            <w:r>
              <w:t xml:space="preserve">Chapter 07 — Coexistence and Migration</w:t>
            </w:r>
          </w:hyperlink>
        </w:p>
        <w:p>
          <w:pPr>
            <w:pStyle w:val="TOC2"/>
          </w:pPr>
          <w:hyperlink w:anchor="_Toc00000994" w:history="1">
            <w:r>
              <w:t xml:space="preserve">In this chapter</w:t>
            </w:r>
          </w:hyperlink>
        </w:p>
        <w:p>
          <w:pPr>
            <w:pStyle w:val="TOC2"/>
          </w:pPr>
          <w:hyperlink w:anchor="_Toc00000995" w:history="1">
            <w:r>
              <w:t xml:space="preserve">Two PKIs, one estate</w:t>
            </w:r>
          </w:hyperlink>
        </w:p>
        <w:p>
          <w:pPr>
            <w:pStyle w:val="TOC2"/>
          </w:pPr>
          <w:hyperlink w:anchor="_Toc00000996" w:history="1">
            <w:r>
              <w:t xml:space="preserve">What stays on AD CS until Active Directory retires</w:t>
            </w:r>
          </w:hyperlink>
        </w:p>
        <w:p>
          <w:pPr>
            <w:pStyle w:val="TOC2"/>
          </w:pPr>
          <w:hyperlink w:anchor="_Toc00000997" w:history="1">
            <w:r>
              <w:t xml:space="preserve">Trust in both directions</w:t>
            </w:r>
          </w:hyperlink>
        </w:p>
        <w:p>
          <w:pPr>
            <w:pStyle w:val="TOC2"/>
          </w:pPr>
          <w:hyperlink w:anchor="_Toc00000998" w:history="1">
            <w:r>
              <w:t xml:space="preserve">CRL availability</w:t>
            </w:r>
          </w:hyperlink>
        </w:p>
        <w:p>
          <w:pPr>
            <w:pStyle w:val="TOC2"/>
          </w:pPr>
          <w:hyperlink w:anchor="_Toc00000999" w:history="1">
            <w:r>
              <w:t xml:space="preserve">Renewal while two issuers overlap</w:t>
            </w:r>
          </w:hyperlink>
        </w:p>
        <w:p>
          <w:pPr>
            <w:pStyle w:val="TOC2"/>
          </w:pPr>
          <w:hyperlink w:anchor="_Toc00001000" w:history="1">
            <w:r>
              <w:t xml:space="preserve">The migration playbook</w:t>
            </w:r>
          </w:hyperlink>
        </w:p>
        <w:p>
          <w:pPr>
            <w:pStyle w:val="TOC2"/>
          </w:pPr>
          <w:hyperlink w:anchor="_Toc00001001" w:history="1">
            <w:r>
              <w:t xml:space="preserve">Rollback rules that hold across waves</w:t>
            </w:r>
          </w:hyperlink>
        </w:p>
        <w:p>
          <w:pPr>
            <w:pStyle w:val="TOC2"/>
          </w:pPr>
          <w:hyperlink w:anchor="_Toc00001002" w:history="1">
            <w:r>
              <w:t xml:space="preserve">Continue the book</w:t>
            </w:r>
          </w:hyperlink>
        </w:p>
        <w:p>
          <w:pPr>
            <w:pStyle w:val="TOC1"/>
          </w:pPr>
          <w:hyperlink w:anchor="_Toc00001003" w:history="1">
            <w:r>
              <w:t xml:space="preserve">Chapter 08 — Lifecycle, Monitoring and Decommissioning</w:t>
            </w:r>
          </w:hyperlink>
        </w:p>
        <w:p>
          <w:pPr>
            <w:pStyle w:val="TOC2"/>
          </w:pPr>
          <w:hyperlink w:anchor="_Toc00001004" w:history="1">
            <w:r>
              <w:t xml:space="preserve">In this chapter</w:t>
            </w:r>
          </w:hyperlink>
        </w:p>
        <w:p>
          <w:pPr>
            <w:pStyle w:val="TOC2"/>
          </w:pPr>
          <w:hyperlink w:anchor="_Toc00001005" w:history="1">
            <w:r>
              <w:t xml:space="preserve">Renewal at scale as lifetimes shrink</w:t>
            </w:r>
          </w:hyperlink>
        </w:p>
        <w:p>
          <w:pPr>
            <w:pStyle w:val="TOC2"/>
          </w:pPr>
          <w:hyperlink w:anchor="_Toc00001006" w:history="1">
            <w:r>
              <w:t xml:space="preserve">Revocation and CRL availability</w:t>
            </w:r>
          </w:hyperlink>
        </w:p>
        <w:p>
          <w:pPr>
            <w:pStyle w:val="TOC2"/>
          </w:pPr>
          <w:hyperlink w:anchor="_Toc00001007" w:history="1">
            <w:r>
              <w:t xml:space="preserve">Monitoring</w:t>
            </w:r>
          </w:hyperlink>
        </w:p>
        <w:p>
          <w:pPr>
            <w:pStyle w:val="TOC2"/>
          </w:pPr>
          <w:hyperlink w:anchor="_Toc00001008" w:history="1">
            <w:r>
              <w:t xml:space="preserve">Compliance and drift detection</w:t>
            </w:r>
          </w:hyperlink>
        </w:p>
        <w:p>
          <w:pPr>
            <w:pStyle w:val="TOC2"/>
          </w:pPr>
          <w:hyperlink w:anchor="_Toc00001009" w:history="1">
            <w:r>
              <w:t xml:space="preserve">Troubleshooting reference</w:t>
            </w:r>
          </w:hyperlink>
        </w:p>
        <w:p>
          <w:pPr>
            <w:pStyle w:val="TOC2"/>
          </w:pPr>
          <w:hyperlink w:anchor="_Toc00001010" w:history="1">
            <w:r>
              <w:t xml:space="preserve">Decommissioning AD CS</w:t>
            </w:r>
          </w:hyperlink>
        </w:p>
        <w:p>
          <w:pPr>
            <w:pStyle w:val="TOC2"/>
          </w:pPr>
          <w:hyperlink w:anchor="_Toc00001011" w:history="1">
            <w:r>
              <w:t xml:space="preserve">The evidence an assessor reads</w:t>
            </w:r>
          </w:hyperlink>
        </w:p>
        <w:p>
          <w:pPr>
            <w:pStyle w:val="TOC2"/>
          </w:pPr>
          <w:hyperlink w:anchor="_Toc00001012" w:history="1">
            <w:r>
              <w:t xml:space="preserve">Where to go next</w:t>
            </w:r>
          </w:hyperlink>
        </w:p>
        <w:p>
          <w:pPr>
            <w:pStyle w:val="TOC2"/>
          </w:pPr>
          <w:hyperlink w:anchor="_Toc00001013" w:history="1">
            <w:r>
              <w:t xml:space="preserve">Continue the book</w:t>
            </w:r>
          </w:hyperlink>
        </w:p>
        <w:p>
          <w:pPr>
            <w:pStyle w:val="TOC1"/>
          </w:pPr>
          <w:hyperlink w:anchor="_Toc00001014" w:history="1">
            <w:r>
              <w:t xml:space="preserve">Appendix A — Cloud PKI and CBA Deployment Checklists</w:t>
            </w:r>
          </w:hyperlink>
        </w:p>
        <w:p>
          <w:pPr>
            <w:pStyle w:val="TOC2"/>
          </w:pPr>
          <w:hyperlink w:anchor="_Toc00001015" w:history="1">
            <w:r>
              <w:t xml:space="preserve">In this appendix</w:t>
            </w:r>
          </w:hyperlink>
        </w:p>
        <w:p>
          <w:pPr>
            <w:pStyle w:val="TOC2"/>
          </w:pPr>
          <w:hyperlink w:anchor="_Toc00001016" w:history="1">
            <w:r>
              <w:t xml:space="preserve">Illustrative, not tested against a production tenant</w:t>
            </w:r>
          </w:hyperlink>
        </w:p>
        <w:p>
          <w:pPr>
            <w:pStyle w:val="TOC2"/>
          </w:pPr>
          <w:hyperlink w:anchor="_Toc00001017" w:history="1">
            <w:r>
              <w:t xml:space="preserve">A.1 Cloud PKI deployment checklist</w:t>
            </w:r>
          </w:hyperlink>
        </w:p>
        <w:p>
          <w:pPr>
            <w:pStyle w:val="TOC2"/>
          </w:pPr>
          <w:hyperlink w:anchor="_Toc00001018" w:history="1">
            <w:r>
              <w:t xml:space="preserve">A.2 Entra CBA configuration checklist</w:t>
            </w:r>
          </w:hyperlink>
        </w:p>
        <w:p>
          <w:pPr>
            <w:pStyle w:val="TOC2"/>
          </w:pPr>
          <w:hyperlink w:anchor="_Toc00001019" w:history="1">
            <w:r>
              <w:t xml:space="preserve">Continue the book</w:t>
            </w:r>
          </w:hyperlink>
        </w:p>
        <w:p>
          <w:pPr>
            <w:pStyle w:val="TOC1"/>
          </w:pPr>
          <w:hyperlink w:anchor="_Toc00001020" w:history="1">
            <w:r>
              <w:t xml:space="preserve">Appendix B — Certificate Template Migration Matrix</w:t>
            </w:r>
          </w:hyperlink>
        </w:p>
        <w:p>
          <w:pPr>
            <w:pStyle w:val="TOC2"/>
          </w:pPr>
          <w:hyperlink w:anchor="_Toc00001021" w:history="1">
            <w:r>
              <w:t xml:space="preserve">In this appendix</w:t>
            </w:r>
          </w:hyperlink>
        </w:p>
        <w:p>
          <w:pPr>
            <w:pStyle w:val="TOC2"/>
          </w:pPr>
          <w:hyperlink w:anchor="_Toc00001022" w:history="1">
            <w:r>
              <w:t xml:space="preserve">How to use the matrix</w:t>
            </w:r>
          </w:hyperlink>
        </w:p>
        <w:p>
          <w:pPr>
            <w:pStyle w:val="TOC2"/>
          </w:pPr>
          <w:hyperlink w:anchor="_Toc00001023" w:history="1">
            <w:r>
              <w:t xml:space="preserve">The matrix</w:t>
            </w:r>
          </w:hyperlink>
        </w:p>
        <w:p>
          <w:pPr>
            <w:pStyle w:val="TOC2"/>
          </w:pPr>
          <w:hyperlink w:anchor="_Toc00001024" w:history="1">
            <w:r>
              <w:t xml:space="preserve">What to check before a row moves</w:t>
            </w:r>
          </w:hyperlink>
        </w:p>
        <w:p>
          <w:pPr>
            <w:pStyle w:val="TOC2"/>
          </w:pPr>
          <w:hyperlink w:anchor="_Toc00001025" w:history="1">
            <w:r>
              <w:t xml:space="preserve">Continue the book</w:t>
            </w:r>
          </w:hyperlink>
          <w:r>
            <w:fldChar w:fldCharType="end"/>
          </w:r>
        </w:p>
      </w:sdtContent>
    </w:sdt>
    <w:bookmarkStart w:id="15" w:name="X139e7c5ec35ff0390ee42ccab05a92d2009bdd5"/>
    <w:p>
      <w:pPr>
        <w:pStyle w:val="Heading1"/>
      </w:pPr>
      <w:bookmarkStart w:id="927" w:name="_Toc00000927"/>
      <w:r>
        <w:t xml:space="preserve">Book 07 — PKI &amp; Certificates: AD CS to Cloud PKI, Entra CBA and Federal PKI</w:t>
      </w:r>
      <w:bookmarkEnd w:id="927"/>
    </w:p>
    <w:bookmarkStart w:id="10" w:name="status-draft-book"/>
    <w:p>
      <w:pPr>
        <w:pStyle w:val="Heading2"/>
      </w:pPr>
      <w:bookmarkStart w:id="928" w:name="_Toc00000928"/>
      <w:r>
        <w:t xml:space="preserve">Status — draft book</w:t>
      </w:r>
      <w:bookmarkEnd w:id="928"/>
    </w:p>
    <w:p>
      <w:pPr>
        <w:pStyle w:val="FirstParagraph"/>
      </w:pPr>
      <w:r>
        <w:t xml:space="preserve">This book replaces the workbook’s PKI Modernization Guide with one ordered book. Every external claim was checked against a primary source on October 20, 2026 and carries a footnote. The guide’s PowerShell assessment module isn’t reproduced here: it stays in the repository’s</w:t>
      </w:r>
      <w:r>
        <w:t xml:space="preserve"> </w:t>
      </w:r>
      <w:hyperlink r:id="rId9">
        <w:r>
          <w:rPr>
            <w:rStyle w:val="VerbatimChar"/>
          </w:rPr>
          <w:t xml:space="preserve">archive/b07-pki/</w:t>
        </w:r>
      </w:hyperlink>
      <w:r>
        <w:t xml:space="preserve"> </w:t>
      </w:r>
      <w:r>
        <w:t xml:space="preserve">folder, with the rest of the original guide, until it has had a technical review. The guide’s old address forwards to this page.</w:t>
      </w:r>
    </w:p>
    <w:bookmarkEnd w:id="10"/>
    <w:p>
      <w:pPr>
        <w:pStyle w:val="BodyText"/>
      </w:pPr>
      <w:r>
        <w:rPr>
          <w:b/>
          <w:bCs/>
        </w:rPr>
        <w:t xml:space="preserve">15-minute presentation</w:t>
      </w:r>
      <w:r>
        <w:t xml:space="preserve">: the Why / What / Who / How deck and its narrated, self-running version are in the repository under</w:t>
      </w:r>
      <w:r>
        <w:t xml:space="preserve"> </w:t>
      </w:r>
      <w:hyperlink r:id="rId11">
        <w:r>
          <w:rPr>
            <w:rStyle w:val="VerbatimChar"/>
          </w:rPr>
          <w:t xml:space="preserve">presentations/b07-pki/</w:t>
        </w:r>
      </w:hyperlink>
      <w:r>
        <w:t xml:space="preserve">.</w:t>
      </w:r>
    </w:p>
    <w:p>
      <w:pPr>
        <w:pStyle w:val="BodyText"/>
      </w:pPr>
      <w:r>
        <w:t xml:space="preserve">Every other migration in this workbook changes which system answers</w:t>
      </w:r>
      <w:r>
        <w:t xml:space="preserve"> </w:t>
      </w:r>
      <w:r>
        <w:t xml:space="preserve">“who is this?”</w:t>
      </w:r>
      <w:r>
        <w:t xml:space="preserve"> </w:t>
      </w:r>
      <w:r>
        <w:t xml:space="preserve">Certificates are how that answer gets proved: domain controllers prove themselves with them, Wi-Fi and VPN trust devices because of them, servers encrypt with them, and PIV cards are them. They also run on their own clock. A certificate issued last year keeps working after the directory it came from is cut over, right up to the day it expires and finds nothing to renew it. That’s why the PKI can’t be retired on the directory’s schedule. The target isn’t one replacement for AD CS but four issuers, each serving the subjects only it can: Microsoft Cloud PKI for Intune-managed devices, a smaller and hardened AD CS for what still depends on Active Directory, the Federal PKI for PIV, and a public CA for names the internet must trust. One lifecycle platform keeps them owned and renewed. For this program that platform is CyberArk Certificate Manager (now part of Palo Alto Networks), because the program already has a CyberArk relationship and doesn’t need a second certificate-lifecycle vendor.</w:t>
      </w:r>
    </w:p>
    <w:bookmarkStart w:id="12" w:name="why-what-who-how"/>
    <w:p>
      <w:pPr>
        <w:pStyle w:val="Heading2"/>
      </w:pPr>
      <w:bookmarkStart w:id="929" w:name="_Toc00000929"/>
      <w:r>
        <w:t xml:space="preserve">Why, what, who, how</w:t>
      </w:r>
      <w:bookmarkEnd w:id="92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do certificates outlive every migration?</w:t>
            </w:r>
          </w:p>
        </w:tc>
        <w:tc>
          <w:tcPr/>
          <w:p>
            <w:pPr>
              <w:pStyle w:val="Compact"/>
            </w:pPr>
            <w:r>
              <w:t xml:space="preserve">01</w:t>
            </w:r>
          </w:p>
        </w:tc>
      </w:tr>
      <w:tr>
        <w:tc>
          <w:tcPr/>
          <w:p>
            <w:pPr>
              <w:pStyle w:val="Compact"/>
            </w:pPr>
            <w:r>
              <w:rPr>
                <w:b/>
                <w:bCs/>
              </w:rPr>
              <w:t xml:space="preserve">What</w:t>
            </w:r>
          </w:p>
        </w:tc>
        <w:tc>
          <w:tcPr/>
          <w:p>
            <w:pPr>
              <w:pStyle w:val="Compact"/>
            </w:pPr>
            <w:r>
              <w:t xml:space="preserve">What AD CS holds up today, how to harden what stays, and what the target PKI is</w:t>
            </w:r>
          </w:p>
        </w:tc>
        <w:tc>
          <w:tcPr/>
          <w:p>
            <w:pPr>
              <w:pStyle w:val="Compact"/>
            </w:pPr>
            <w:r>
              <w:t xml:space="preserve">02, 03, 04</w:t>
            </w:r>
          </w:p>
        </w:tc>
      </w:tr>
      <w:tr>
        <w:tc>
          <w:tcPr/>
          <w:p>
            <w:pPr>
              <w:pStyle w:val="Compact"/>
            </w:pPr>
            <w:r>
              <w:rPr>
                <w:b/>
                <w:bCs/>
              </w:rPr>
              <w:t xml:space="preserve">Who</w:t>
            </w:r>
          </w:p>
        </w:tc>
        <w:tc>
          <w:tcPr/>
          <w:p>
            <w:pPr>
              <w:pStyle w:val="Compact"/>
            </w:pPr>
            <w:r>
              <w:t xml:space="preserve">Who decides and who does the work for the certificate estate</w:t>
            </w:r>
          </w:p>
        </w:tc>
        <w:tc>
          <w:tcPr/>
          <w:p>
            <w:pPr>
              <w:pStyle w:val="Compact"/>
            </w:pPr>
            <w:r>
              <w:t xml:space="preserve">05</w:t>
            </w:r>
          </w:p>
        </w:tc>
      </w:tr>
      <w:tr>
        <w:tc>
          <w:tcPr/>
          <w:p>
            <w:pPr>
              <w:pStyle w:val="Compact"/>
            </w:pPr>
            <w:r>
              <w:rPr>
                <w:b/>
                <w:bCs/>
              </w:rPr>
              <w:t xml:space="preserve">How</w:t>
            </w:r>
          </w:p>
        </w:tc>
        <w:tc>
          <w:tcPr/>
          <w:p>
            <w:pPr>
              <w:pStyle w:val="Compact"/>
            </w:pPr>
            <w:r>
              <w:t xml:space="preserve">Issue device and user certificates, run both PKIs through the migration, and keep the estate renewed and checkable until the old CAs retire</w:t>
            </w:r>
          </w:p>
        </w:tc>
        <w:tc>
          <w:tcPr/>
          <w:p>
            <w:pPr>
              <w:pStyle w:val="Compact"/>
            </w:pPr>
            <w:r>
              <w:t xml:space="preserve">06, 07, 08</w:t>
            </w:r>
          </w:p>
        </w:tc>
      </w:tr>
    </w:tbl>
    <w:p>
      <w:pPr>
        <w:pStyle w:val="BodyText"/>
      </w:pPr>
      <w:r>
        <w:t xml:space="preserve">Appendices: A — Cloud PKI and CBA deployment checklists · B — Certificate template migration matrix</w:t>
      </w:r>
    </w:p>
    <w:bookmarkEnd w:id="12"/>
    <w:bookmarkStart w:id="13" w:name="reading-paths"/>
    <w:p>
      <w:pPr>
        <w:pStyle w:val="Heading2"/>
      </w:pPr>
      <w:bookmarkStart w:id="930" w:name="_Toc00000930"/>
      <w:r>
        <w:t xml:space="preserve">Reading paths</w:t>
      </w:r>
      <w:bookmarkEnd w:id="930"/>
    </w:p>
    <w:p>
      <w:pPr>
        <w:pStyle w:val="Compact"/>
        <w:numPr>
          <w:ilvl w:val="0"/>
          <w:numId w:val="1001"/>
        </w:numPr>
      </w:pPr>
      <w:r>
        <w:rPr>
          <w:b/>
          <w:bCs/>
        </w:rPr>
        <w:t xml:space="preserve">Executives (20 minutes):</w:t>
      </w:r>
      <w:r>
        <w:t xml:space="preserve"> </w:t>
      </w:r>
      <w:r>
        <w:t xml:space="preserve">Chapters 01, 04 and 05, or the 15-minute presentation.</w:t>
      </w:r>
    </w:p>
    <w:p>
      <w:pPr>
        <w:pStyle w:val="Compact"/>
        <w:numPr>
          <w:ilvl w:val="0"/>
          <w:numId w:val="1001"/>
        </w:numPr>
      </w:pPr>
      <w:r>
        <w:rPr>
          <w:b/>
          <w:bCs/>
        </w:rPr>
        <w:t xml:space="preserve">Architects:</w:t>
      </w:r>
      <w:r>
        <w:t xml:space="preserve"> </w:t>
      </w:r>
      <w:r>
        <w:t xml:space="preserve">Chapters 01–05, then 07.</w:t>
      </w:r>
    </w:p>
    <w:p>
      <w:pPr>
        <w:pStyle w:val="Compact"/>
        <w:numPr>
          <w:ilvl w:val="0"/>
          <w:numId w:val="1001"/>
        </w:numPr>
      </w:pPr>
      <w:r>
        <w:rPr>
          <w:b/>
          <w:bCs/>
        </w:rPr>
        <w:t xml:space="preserve">PKI, identity and endpoint engineers:</w:t>
      </w:r>
      <w:r>
        <w:t xml:space="preserve"> </w:t>
      </w:r>
      <w:r>
        <w:t xml:space="preserve">Chapters 02–03 and 06–08, with both appendices at hand.</w:t>
      </w:r>
    </w:p>
    <w:p>
      <w:pPr>
        <w:pStyle w:val="Compact"/>
        <w:numPr>
          <w:ilvl w:val="0"/>
          <w:numId w:val="1001"/>
        </w:numPr>
      </w:pPr>
      <w:r>
        <w:rPr>
          <w:b/>
          <w:bCs/>
        </w:rPr>
        <w:t xml:space="preserve">Security operations and assessors:</w:t>
      </w:r>
      <w:r>
        <w:t xml:space="preserve"> </w:t>
      </w:r>
      <w:r>
        <w:t xml:space="preserve">Chapters 03, 05 and 08.</w:t>
      </w:r>
    </w:p>
    <w:bookmarkEnd w:id="13"/>
    <w:bookmarkStart w:id="14" w:name="where-this-book-sits-in-the-workbook"/>
    <w:p>
      <w:pPr>
        <w:pStyle w:val="Heading2"/>
      </w:pPr>
      <w:bookmarkStart w:id="931" w:name="_Toc00000931"/>
      <w:r>
        <w:t xml:space="preserve">Where this book sits in the workbook</w:t>
      </w:r>
      <w:bookmarkEnd w:id="931"/>
    </w:p>
    <w:p>
      <w:pPr>
        <w:pStyle w:val="FirstParagraph"/>
      </w:pPr>
      <w:r>
        <w:t xml:space="preserve">This is Book 07 of the Modernization Workbook. Book 02 — Identity &amp; Directory finds the PKI as one of the hidden dependencies on Active Directory. Book 03 — HR-Driven Identity covers PIV issuance and termination. Book 05 — Devices &amp; Endpoints covers the Intune certificate profiles, and Book 06 — Data Platform covers where SQL Server depends on AD CS. For control-level depth on certificates, tokens and cryptographic identity, see the Federal Compliance book Certificates, Tokens and Cryptographic Identity.</w:t>
      </w:r>
    </w:p>
    <w:bookmarkEnd w:id="14"/>
    <w:bookmarkEnd w:id="15"/>
    <w:bookmarkStart w:id="80" w:name="X5301d5e9a7d31269b00f8295b4cf14758900cce"/>
    <w:p>
      <w:pPr>
        <w:pStyle w:val="Heading1"/>
      </w:pPr>
      <w:bookmarkStart w:id="932" w:name="_Toc00000932"/>
      <w:r>
        <w:t xml:space="preserve">Chapter 01 — Why Certificates Outlive Every Migration</w:t>
      </w:r>
      <w:bookmarkEnd w:id="932"/>
    </w:p>
    <w:p>
      <w:pPr>
        <w:pStyle w:val="FirstParagraph"/>
      </w:pPr>
      <w:r>
        <w:rPr>
          <w:i/>
          <w:iCs/>
        </w:rPr>
        <w:t xml:space="preserve">Every other migration changes which system answers</w:t>
      </w:r>
      <w:r>
        <w:rPr>
          <w:i/>
          <w:iCs/>
        </w:rPr>
        <w:t xml:space="preserve"> </w:t>
      </w:r>
      <w:r>
        <w:rPr>
          <w:i/>
          <w:iCs/>
        </w:rPr>
        <w:t xml:space="preserve">“who is this?”</w:t>
      </w:r>
      <w:r>
        <w:rPr>
          <w:i/>
          <w:iCs/>
        </w:rPr>
        <w:t xml:space="preserve">; certificates are how the answer gets proved, so they have to keep working on both sides of every cutover.</w:t>
      </w:r>
    </w:p>
    <w:bookmarkStart w:id="16" w:name="in-this-chapter"/>
    <w:p>
      <w:pPr>
        <w:pStyle w:val="Heading2"/>
      </w:pPr>
      <w:bookmarkStart w:id="933" w:name="_Toc00000933"/>
      <w:r>
        <w:t xml:space="preserve">In this chapter</w:t>
      </w:r>
      <w:bookmarkEnd w:id="933"/>
    </w:p>
    <w:p>
      <w:pPr>
        <w:pStyle w:val="FirstParagraph"/>
      </w:pPr>
      <w:r>
        <w:t xml:space="preserve">What a certificate does and why so much of the estate quietly depends on one: domain controllers, LDAPS, 802.1X, smart card and PIV sign-in, TLS listeners including SQL Server, code signing and encryption. Why the certificate’s failure clock runs past the directory’s cutover date. How shrinking public TLS lifetimes, strong-mapping enforcement and the post-quantum transition make manual lifecycle management fail. Why the move off Active Directory Certificate Services (AD CS) is a program of its own, and what the rest of this book covers.</w:t>
      </w:r>
    </w:p>
    <w:bookmarkEnd w:id="16"/>
    <w:bookmarkStart w:id="23" w:name="a-certificate-is-a-naming-claim"/>
    <w:p>
      <w:pPr>
        <w:pStyle w:val="Heading2"/>
      </w:pPr>
      <w:bookmarkStart w:id="934" w:name="_Toc00000934"/>
      <w:r>
        <w:t xml:space="preserve">A certificate is a naming claim</w:t>
      </w:r>
      <w:bookmarkEnd w:id="934"/>
    </w:p>
    <w:p>
      <w:pPr>
        <w:pStyle w:val="FirstParagraph"/>
      </w:pPr>
      <w:r>
        <w:t xml:space="preserve">Strip away the ceremony and an X.509 certificate makes one statement: the holder of this private key is entitled to this name. The name might be a DNS name, a user principal name, a device identifier or a service; the key belongs to the subject; and the certification authority (CA) vouches for the binding. Every relying party that accepts the certificate is trusting that the CA checked the binding, and that the binding is still true. The Federal Compliance book on certificates and tokens develops this argument in depth, including why certificate issuance, revocation checking and DNS are one substrate (Vol I Book 03).</w:t>
      </w:r>
    </w:p>
    <w:p>
      <w:pPr>
        <w:pStyle w:val="BodyText"/>
      </w:pPr>
      <w:r>
        <w:t xml:space="preserve">That makes a certificate a different kind of object from the accounts, groups and policies the rest of the workbook migrates. An account is a record in a directory, and when you move the directory you move the record. A certificate is a signed statement that has already been handed out. It sits in device stores, on smart cards, in load balancers, in SQL Server configuration and in trust stores on systems nobody remembers configuring. It doesn’t move when the directory moves. It keeps working, unchanged, until it expires or is revoked, and then whatever relied on it stops.</w:t>
      </w:r>
    </w:p>
    <w:p>
      <w:pPr>
        <w:pStyle w:val="BodyText"/>
      </w:pPr>
      <w:r>
        <w:t xml:space="preserve">AD CS is how most agencies make those statements today. Microsoft lists the applications AD CS supports: S/MIME, secure wireless networks, VPN, IPsec, Encrypting File System (EFS), smart card sign-in, TLS and digital signatures.</w:t>
      </w:r>
      <w:r>
        <w:rPr>
          <w:rStyle w:val="FootnoteReference"/>
        </w:rPr>
        <w:footnoteReference w:id="17"/>
      </w:r>
      <w:r>
        <w:t xml:space="preserve"> </w:t>
      </w:r>
      <w:r>
        <w:t xml:space="preserve">That list is close to a map of the estate’s trust relationships. Book 02, Chapter 04 names PKI as one of the critical Active Directory dependency adapters for exactly this reason: certificates keep working until they expire, so a missing replacement shows up weeks or months after the migration is declared complete.</w:t>
      </w:r>
    </w:p>
    <w:bookmarkStart w:id="22" w:name="fig-ch01-certificate-consumers"/>
    <w:p>
      <w:pPr>
        <w:pStyle w:val="CaptionedFigure"/>
      </w:pPr>
      <w:r>
        <w:drawing>
          <wp:inline>
            <wp:extent cx="5334000" cy="2466550"/>
            <wp:effectExtent b="0" l="0" r="0" t="0"/>
            <wp:docPr descr="One internal hierarchy issues the certificates that directory trust, network access and servers depend on; each consumer fails when its certificate expires, not when the directory is cut over." title="" id="20" name="Picture"/>
            <a:graphic>
              <a:graphicData uri="http://schemas.openxmlformats.org/drawingml/2006/picture">
                <pic:pic>
                  <pic:nvPicPr>
                    <pic:cNvPr descr="/home/runner/work/modernization-workbook/modernization-workbook/docs/images/diagrams/b07-pki/png/ch01-certificate-consumers.png" id="21" name="Picture"/>
                    <pic:cNvPicPr>
                      <a:picLocks noChangeArrowheads="1" noChangeAspect="1"/>
                    </pic:cNvPicPr>
                  </pic:nvPicPr>
                  <pic:blipFill>
                    <a:blip r:embed="rId19"/>
                    <a:stretch>
                      <a:fillRect/>
                    </a:stretch>
                  </pic:blipFill>
                  <pic:spPr bwMode="auto">
                    <a:xfrm>
                      <a:off x="0" y="0"/>
                      <a:ext cx="5334000" cy="2466550"/>
                    </a:xfrm>
                    <a:prstGeom prst="rect">
                      <a:avLst/>
                    </a:prstGeom>
                    <a:noFill/>
                    <a:ln w="9525">
                      <a:noFill/>
                      <a:headEnd/>
                      <a:tailEnd/>
                    </a:ln>
                  </pic:spPr>
                </pic:pic>
              </a:graphicData>
            </a:graphic>
          </wp:inline>
        </w:drawing>
      </w:r>
    </w:p>
    <w:p>
      <w:pPr>
        <w:pStyle w:val="ImageCaption"/>
      </w:pPr>
      <w:r>
        <w:t xml:space="preserve">One internal hierarchy issues the certificates that directory trust, network access and servers depend on; each consumer fails when its certificate expires, not when the directory is cut over.</w:t>
      </w:r>
    </w:p>
    <w:bookmarkEnd w:id="22"/>
    <w:bookmarkEnd w:id="23"/>
    <w:bookmarkStart w:id="38" w:name="what-leans-on-certificates"/>
    <w:p>
      <w:pPr>
        <w:pStyle w:val="Heading2"/>
      </w:pPr>
      <w:bookmarkStart w:id="935" w:name="_Toc00000935"/>
      <w:r>
        <w:t xml:space="preserve">What leans on certificates</w:t>
      </w:r>
      <w:bookmarkEnd w:id="935"/>
    </w:p>
    <w:p>
      <w:pPr>
        <w:pStyle w:val="FirstParagraph"/>
      </w:pPr>
      <w:r>
        <w:t xml:space="preserve">The consumers below are the ones every other book in the workbook touches. Each one has a certificate requirement that Microsoft documents, and each one fails in its own way when the certificate lapses or its issuer disappears.</w:t>
      </w:r>
    </w:p>
    <w:p>
      <w:pPr>
        <w:pStyle w:val="TableCaption"/>
      </w:pPr>
      <w:r>
        <w:t xml:space="preserve">The certificate consumers every other migration touches</w:t>
      </w:r>
    </w:p>
    <w:tbl>
      <w:tblPr>
        <w:tblStyle w:val="Table"/>
        <w:tblW w:type="pct" w:w="5000"/>
        <w:tblLayout w:type="fixed"/>
        <w:tblLook w:firstRow="1" w:lastRow="0" w:firstColumn="0" w:lastColumn="0" w:noHBand="0" w:noVBand="0" w:val="0020"/>
        <w:tblCaption w:val="The certificate consumers every other migration touches"/>
      </w:tblPr>
      <w:tblGrid>
        <w:gridCol w:w="1980"/>
        <w:gridCol w:w="1980"/>
        <w:gridCol w:w="1980"/>
        <w:gridCol w:w="1980"/>
      </w:tblGrid>
      <w:tr>
        <w:trPr>
          <w:tblHeader w:val="on"/>
        </w:trPr>
        <w:tc>
          <w:tcPr/>
          <w:p>
            <w:pPr>
              <w:pStyle w:val="Compact"/>
            </w:pPr>
            <w:r>
              <w:t xml:space="preserve">Consumer</w:t>
            </w:r>
          </w:p>
        </w:tc>
        <w:tc>
          <w:tcPr/>
          <w:p>
            <w:pPr>
              <w:pStyle w:val="Compact"/>
            </w:pPr>
            <w:r>
              <w:t xml:space="preserve">What the certificate does</w:t>
            </w:r>
          </w:p>
        </w:tc>
        <w:tc>
          <w:tcPr/>
          <w:p>
            <w:pPr>
              <w:pStyle w:val="Compact"/>
            </w:pPr>
            <w:r>
              <w:t xml:space="preserve">What happens without it</w:t>
            </w:r>
          </w:p>
        </w:tc>
        <w:tc>
          <w:tcPr/>
          <w:p>
            <w:pPr>
              <w:pStyle w:val="Compact"/>
            </w:pPr>
            <w:r>
              <w:t xml:space="preserve">Where the workbook migrates it</w:t>
            </w:r>
          </w:p>
        </w:tc>
      </w:tr>
      <w:tr>
        <w:tc>
          <w:tcPr/>
          <w:p>
            <w:pPr>
              <w:pStyle w:val="Compact"/>
            </w:pPr>
            <w:r>
              <w:t xml:space="preserve">Domain controllers (Kerberos)</w:t>
            </w:r>
          </w:p>
        </w:tc>
        <w:tc>
          <w:tcPr/>
          <w:p>
            <w:pPr>
              <w:pStyle w:val="Compact"/>
            </w:pPr>
            <w:r>
              <w:t xml:space="preserve">Lets the Key Distribution Center prove its identity to clients; the certificate needs the KDC Authentication EKU, which the Kerberos Authentication template carries</w:t>
            </w:r>
            <w:r>
              <w:rPr>
                <w:rStyle w:val="FootnoteReference"/>
              </w:rPr>
              <w:footnoteReference w:id="24"/>
            </w:r>
          </w:p>
        </w:tc>
        <w:tc>
          <w:tcPr/>
          <w:p>
            <w:pPr>
              <w:pStyle w:val="Compact"/>
            </w:pPr>
            <w:r>
              <w:t xml:space="preserve">Certificate-based sign-in to the domain, including smart cards and Windows Hello for Business certificate trust, can’t validate the DC</w:t>
            </w:r>
          </w:p>
        </w:tc>
        <w:tc>
          <w:tcPr/>
          <w:p>
            <w:pPr>
              <w:pStyle w:val="Compact"/>
            </w:pPr>
            <w:r>
              <w:t xml:space="preserve">Stays as long as domain controllers exist (Book 02)</w:t>
            </w:r>
          </w:p>
        </w:tc>
      </w:tr>
      <w:tr>
        <w:tc>
          <w:tcPr/>
          <w:p>
            <w:pPr>
              <w:pStyle w:val="Compact"/>
            </w:pPr>
            <w:r>
              <w:t xml:space="preserve">LDAPS</w:t>
            </w:r>
          </w:p>
        </w:tc>
        <w:tc>
          <w:tcPr/>
          <w:p>
            <w:pPr>
              <w:pStyle w:val="Compact"/>
            </w:pPr>
            <w:r>
              <w:t xml:space="preserve">A Server Authentication certificate with the DC’s FQDN turns on LDAP over TLS on ports 636 and 3269; there’s no other switch</w:t>
            </w:r>
            <w:r>
              <w:rPr>
                <w:rStyle w:val="FootnoteReference"/>
              </w:rPr>
              <w:footnoteReference w:id="26"/>
            </w:r>
          </w:p>
        </w:tc>
        <w:tc>
          <w:tcPr/>
          <w:p>
            <w:pPr>
              <w:pStyle w:val="Compact"/>
            </w:pPr>
            <w:r>
              <w:t xml:space="preserve">LDAPS clients, often appliances and line-of-business applications, can’t connect</w:t>
            </w:r>
          </w:p>
        </w:tc>
        <w:tc>
          <w:tcPr/>
          <w:p>
            <w:pPr>
              <w:pStyle w:val="Compact"/>
            </w:pPr>
            <w:r>
              <w:t xml:space="preserve">Stays with the domain controllers</w:t>
            </w:r>
          </w:p>
        </w:tc>
      </w:tr>
      <w:tr>
        <w:tc>
          <w:tcPr/>
          <w:p>
            <w:pPr>
              <w:pStyle w:val="Compact"/>
            </w:pPr>
            <w:r>
              <w:t xml:space="preserve">Smart card and PIV logon to Windows</w:t>
            </w:r>
          </w:p>
        </w:tc>
        <w:tc>
          <w:tcPr/>
          <w:p>
            <w:pPr>
              <w:pStyle w:val="Compact"/>
            </w:pPr>
            <w:r>
              <w:t xml:space="preserve">The issuing CA must be in the forest’s NTAuth store, and every DC that authenticates smart card users needs a domain controller certificate; revocation checking must succeed on both the client and the DC</w:t>
            </w:r>
            <w:r>
              <w:rPr>
                <w:rStyle w:val="FootnoteReference"/>
              </w:rPr>
              <w:footnoteReference w:id="28"/>
            </w:r>
          </w:p>
        </w:tc>
        <w:tc>
          <w:tcPr/>
          <w:p>
            <w:pPr>
              <w:pStyle w:val="Compact"/>
            </w:pPr>
            <w:r>
              <w:t xml:space="preserve">“Credentials could not be verified”</w:t>
            </w:r>
            <w:r>
              <w:t xml:space="preserve"> </w:t>
            </w:r>
            <w:r>
              <w:t xml:space="preserve">at the sign-in screen</w:t>
            </w:r>
          </w:p>
        </w:tc>
        <w:tc>
          <w:tcPr/>
          <w:p>
            <w:pPr>
              <w:pStyle w:val="Compact"/>
            </w:pPr>
            <w:r>
              <w:t xml:space="preserve">PIV issuance and binding: Book 03, Chapter 09</w:t>
            </w:r>
          </w:p>
        </w:tc>
      </w:tr>
      <w:tr>
        <w:tc>
          <w:tcPr/>
          <w:p>
            <w:pPr>
              <w:pStyle w:val="Compact"/>
            </w:pPr>
            <w:r>
              <w:t xml:space="preserve">802.1X and VPN (NPS)</w:t>
            </w:r>
          </w:p>
        </w:tc>
        <w:tc>
          <w:tcPr/>
          <w:p>
            <w:pPr>
              <w:pStyle w:val="Compact"/>
            </w:pPr>
            <w:r>
              <w:t xml:space="preserve">Every NPS needs a server certificate, issued by a CA the clients trust, for EAP-TLS, PEAP-TLS and PEAP-MS-CHAP v2</w:t>
            </w:r>
            <w:r>
              <w:rPr>
                <w:rStyle w:val="FootnoteReference"/>
              </w:rPr>
              <w:footnoteReference w:id="30"/>
            </w:r>
            <w:r>
              <w:t xml:space="preserve">; EAP-TLS clients present their own certificates</w:t>
            </w:r>
          </w:p>
        </w:tc>
        <w:tc>
          <w:tcPr/>
          <w:p>
            <w:pPr>
              <w:pStyle w:val="Compact"/>
            </w:pPr>
            <w:r>
              <w:t xml:space="preserve">Clients can’t validate the RADIUS server; the network doesn’t admit them</w:t>
            </w:r>
          </w:p>
        </w:tc>
        <w:tc>
          <w:tcPr/>
          <w:p>
            <w:pPr>
              <w:pStyle w:val="Compact"/>
            </w:pPr>
            <w:r>
              <w:t xml:space="preserve">Device certificates through Intune profiles (Book 05, and Chapter 06 of this book)</w:t>
            </w:r>
          </w:p>
        </w:tc>
      </w:tr>
      <w:tr>
        <w:tc>
          <w:tcPr/>
          <w:p>
            <w:pPr>
              <w:pStyle w:val="Compact"/>
            </w:pPr>
            <w:r>
              <w:t xml:space="preserve">Certificates used to sign in against the KDC</w:t>
            </w:r>
          </w:p>
        </w:tc>
        <w:tc>
          <w:tcPr/>
          <w:p>
            <w:pPr>
              <w:pStyle w:val="Compact"/>
            </w:pPr>
            <w:r>
              <w:t xml:space="preserve">Since full enforcement of KB5014754, the KDC requires a strong mapping between certificate and account</w:t>
            </w:r>
            <w:r>
              <w:rPr>
                <w:rStyle w:val="FootnoteReference"/>
              </w:rPr>
              <w:footnoteReference w:id="32"/>
            </w:r>
          </w:p>
        </w:tc>
        <w:tc>
          <w:tcPr/>
          <w:p>
            <w:pPr>
              <w:pStyle w:val="Compact"/>
            </w:pPr>
            <w:r>
              <w:t xml:space="preserve">Authentication is denied</w:t>
            </w:r>
          </w:p>
        </w:tc>
        <w:tc>
          <w:tcPr/>
          <w:p>
            <w:pPr>
              <w:pStyle w:val="Compact"/>
            </w:pPr>
            <w:r>
              <w:t xml:space="preserve">Intune profiles must add the SID to the certificate</w:t>
            </w:r>
            <w:r>
              <w:rPr>
                <w:rStyle w:val="FootnoteReference"/>
              </w:rPr>
              <w:footnoteReference w:id="34"/>
            </w:r>
            <w:r>
              <w:t xml:space="preserve"> </w:t>
            </w:r>
            <w:r>
              <w:t xml:space="preserve">(Chapter 06)</w:t>
            </w:r>
          </w:p>
        </w:tc>
      </w:tr>
      <w:tr>
        <w:tc>
          <w:tcPr/>
          <w:p>
            <w:pPr>
              <w:pStyle w:val="Compact"/>
            </w:pPr>
            <w:r>
              <w:t xml:space="preserve">TLS listeners, including SQL Server</w:t>
            </w:r>
          </w:p>
        </w:tc>
        <w:tc>
          <w:tcPr/>
          <w:p>
            <w:pPr>
              <w:pStyle w:val="Compact"/>
            </w:pPr>
            <w:r>
              <w:t xml:space="preserve">Proves the server’s name to clients and encrypts the session</w:t>
            </w:r>
          </w:p>
        </w:tc>
        <w:tc>
          <w:tcPr/>
          <w:p>
            <w:pPr>
              <w:pStyle w:val="Compact"/>
            </w:pPr>
            <w:r>
              <w:t xml:space="preserve">Clients that validate the certificate refuse the connection</w:t>
            </w:r>
          </w:p>
        </w:tc>
        <w:tc>
          <w:tcPr/>
          <w:p>
            <w:pPr>
              <w:pStyle w:val="Compact"/>
            </w:pPr>
            <w:r>
              <w:t xml:space="preserve">Book 06, Chapter 22 for SQL Server; servers generally in Chapter 04</w:t>
            </w:r>
          </w:p>
        </w:tc>
      </w:tr>
      <w:tr>
        <w:tc>
          <w:tcPr/>
          <w:p>
            <w:pPr>
              <w:pStyle w:val="Compact"/>
            </w:pPr>
            <w:r>
              <w:t xml:space="preserve">Code signing</w:t>
            </w:r>
          </w:p>
        </w:tc>
        <w:tc>
          <w:tcPr/>
          <w:p>
            <w:pPr>
              <w:pStyle w:val="Compact"/>
            </w:pPr>
            <w:r>
              <w:t xml:space="preserve">Lets a system decide whether to run a script, package or binary</w:t>
            </w:r>
          </w:p>
        </w:tc>
        <w:tc>
          <w:tcPr/>
          <w:p>
            <w:pPr>
              <w:pStyle w:val="Compact"/>
            </w:pPr>
            <w:r>
              <w:t xml:space="preserve">Signed content fails validation once the chain can’t be built or the signature isn’t trusted</w:t>
            </w:r>
          </w:p>
        </w:tc>
        <w:tc>
          <w:tcPr/>
          <w:p>
            <w:pPr>
              <w:pStyle w:val="Compact"/>
            </w:pPr>
            <w:r>
              <w:t xml:space="preserve">Retained or re-homed (Chapter 02)</w:t>
            </w:r>
          </w:p>
        </w:tc>
      </w:tr>
      <w:tr>
        <w:tc>
          <w:tcPr/>
          <w:p>
            <w:pPr>
              <w:pStyle w:val="Compact"/>
            </w:pPr>
            <w:r>
              <w:t xml:space="preserve">Encryption (S/MIME, EFS)</w:t>
            </w:r>
          </w:p>
        </w:tc>
        <w:tc>
          <w:tcPr/>
          <w:p>
            <w:pPr>
              <w:pStyle w:val="Compact"/>
            </w:pPr>
            <w:r>
              <w:t xml:space="preserve">The private key decrypts data that was encrypted to it</w:t>
            </w:r>
          </w:p>
        </w:tc>
        <w:tc>
          <w:tcPr/>
          <w:p>
            <w:pPr>
              <w:pStyle w:val="Compact"/>
            </w:pPr>
            <w:r>
              <w:t xml:space="preserve">Old mail and files can’t be opened if the keys are lost</w:t>
            </w:r>
          </w:p>
        </w:tc>
        <w:tc>
          <w:tcPr/>
          <w:p>
            <w:pPr>
              <w:pStyle w:val="Compact"/>
            </w:pPr>
            <w:r>
              <w:t xml:space="preserve">Key history must survive the migration (Chapter 02)</w:t>
            </w:r>
          </w:p>
        </w:tc>
      </w:tr>
      <w:tr>
        <w:tc>
          <w:tcPr/>
          <w:p>
            <w:pPr>
              <w:pStyle w:val="Compact"/>
            </w:pPr>
            <w:r>
              <w:t xml:space="preserve">Microsoft Entra certificate-based authentication</w:t>
            </w:r>
          </w:p>
        </w:tc>
        <w:tc>
          <w:tcPr/>
          <w:p>
            <w:pPr>
              <w:pStyle w:val="Compact"/>
            </w:pPr>
            <w:r>
              <w:t xml:space="preserve">A relying party: it validates certificates against CAs uploaded to the tenant and reads their CRLs from an internet-facing HTTP address; Microsoft doesn’t provide the PKI that creates client certificates</w:t>
            </w:r>
            <w:r>
              <w:rPr>
                <w:rStyle w:val="FootnoteReference"/>
              </w:rPr>
              <w:footnoteReference w:id="36"/>
            </w:r>
          </w:p>
        </w:tc>
        <w:tc>
          <w:tcPr/>
          <w:p>
            <w:pPr>
              <w:pStyle w:val="Compact"/>
            </w:pPr>
            <w:r>
              <w:t xml:space="preserve">No CRL means no revocation; an unreachable CRL means failed sign-ins</w:t>
            </w:r>
          </w:p>
        </w:tc>
        <w:tc>
          <w:tcPr/>
          <w:p>
            <w:pPr>
              <w:pStyle w:val="Compact"/>
            </w:pPr>
            <w:r>
              <w:t xml:space="preserve">Book 02, Chapter 04; Book 03, Chapter 09</w:t>
            </w:r>
          </w:p>
        </w:tc>
      </w:tr>
    </w:tbl>
    <w:p>
      <w:pPr>
        <w:pStyle w:val="BodyText"/>
      </w:pPr>
      <w:r>
        <w:t xml:space="preserve">Read the last column again. The identity, workforce, device and data-platform books each migrate one slice of these consumers. None of them owns the issuer underneath all of them.</w:t>
      </w:r>
    </w:p>
    <w:bookmarkEnd w:id="38"/>
    <w:bookmarkStart w:id="51" w:name="X3cfe1f5b92260de510f9ebe2419ed99eeadfb17"/>
    <w:p>
      <w:pPr>
        <w:pStyle w:val="Heading2"/>
      </w:pPr>
      <w:bookmarkStart w:id="936" w:name="_Toc00000936"/>
      <w:r>
        <w:t xml:space="preserve">Why the dependency survives the directory move</w:t>
      </w:r>
      <w:bookmarkEnd w:id="936"/>
    </w:p>
    <w:p>
      <w:pPr>
        <w:pStyle w:val="FirstParagraph"/>
      </w:pPr>
      <w:r>
        <w:t xml:space="preserve">Three properties of AD CS make it the part of Active Directory that is hardest to leave.</w:t>
      </w:r>
    </w:p>
    <w:p>
      <w:pPr>
        <w:pStyle w:val="BodyText"/>
      </w:pPr>
      <w:r>
        <w:t xml:space="preserve">First, an enterprise CA is wired into the forest. Its templates, enrollment services, NTAuth trust, AIA and CRL publication points all live in the Public Key Services container of the forest’s configuration partition, and a change there can affect clients far beyond the CA you’re looking at.</w:t>
      </w:r>
      <w:r>
        <w:rPr>
          <w:rStyle w:val="FootnoteReference"/>
        </w:rPr>
        <w:footnoteReference w:id="39"/>
      </w:r>
      <w:r>
        <w:t xml:space="preserve"> </w:t>
      </w:r>
      <w:r>
        <w:t xml:space="preserve">Domain members find the CA and enroll through Group Policy autoenrollment. An Entra-joined device managed by Intune has no Group Policy channel at all (Book 05, Chapter 01), so autoenrollment doesn’t follow it into the cloud.</w:t>
      </w:r>
    </w:p>
    <w:p>
      <w:pPr>
        <w:pStyle w:val="BodyText"/>
      </w:pPr>
      <w:r>
        <w:t xml:space="preserve">Second, the cloud replacements cover only part of the estate. Microsoft Cloud PKI issues leaf certificates through SCEP to Intune-managed devices, and hosts the CRL and AIA endpoints for its CAs.</w:t>
      </w:r>
      <w:r>
        <w:rPr>
          <w:rStyle w:val="FootnoteReference"/>
        </w:rPr>
        <w:footnoteReference w:id="41"/>
      </w:r>
      <w:r>
        <w:t xml:space="preserve"> </w:t>
      </w:r>
      <w:r>
        <w:t xml:space="preserve">That’s a clean path for laptops, phones and other managed endpoints. It isn’t a path for servers: Intune’s supported platforms are client operating systems, not Windows Server,</w:t>
      </w:r>
      <w:r>
        <w:rPr>
          <w:rStyle w:val="FootnoteReference"/>
        </w:rPr>
        <w:footnoteReference w:id="43"/>
      </w:r>
      <w:r>
        <w:t xml:space="preserve"> </w:t>
      </w:r>
      <w:r>
        <w:t xml:space="preserve">so a web server, an NPS server, a SQL Server host or a domain controller can’t get its certificate from Cloud PKI directly. Book 05 and Book 06 reach the same conclusion from their own sides. Entra certificate-based authentication doesn’t close the gap either, because it validates certificates and doesn’t issue them.</w:t>
      </w:r>
      <w:r>
        <w:rPr>
          <w:rStyle w:val="FootnoteReference"/>
        </w:rPr>
        <w:footnoteReference w:id="45"/>
      </w:r>
    </w:p>
    <w:p>
      <w:pPr>
        <w:pStyle w:val="BodyText"/>
      </w:pPr>
      <w:r>
        <w:t xml:space="preserve">Third, the domain controllers need certificates for as long as domain controllers exist. Kerberos certificate trust, LDAPS and smart card logon all hang off them. The program can retire AD CS for every device that moves to Intune and still need an issuer for the forest until the forest itself is gone. Microsoft’s own guidance for the Public Key Services data makes the same point about the publication side: treat CRL and AIA URLs as long-lived dependencies, and don’t remove a DNS name, virtual directory or directory publication point while unexpired certificates can still reference it.</w:t>
      </w:r>
      <w:r>
        <w:rPr>
          <w:rStyle w:val="FootnoteReference"/>
        </w:rPr>
        <w:footnoteReference w:id="46"/>
      </w:r>
    </w:p>
    <w:p>
      <w:pPr>
        <w:pStyle w:val="BodyText"/>
      </w:pPr>
      <w:r>
        <w:t xml:space="preserve">So the certificate estate outlives the directory migration twice over. Issued certificates outlive the cutover by however long they have left to run, and some of the issuer’s duties outlive it until the last domain controller is decommissioned.</w:t>
      </w:r>
    </w:p>
    <w:bookmarkStart w:id="50" w:name="fig-ch01-two-clocks"/>
    <w:p>
      <w:pPr>
        <w:pStyle w:val="CaptionedFigure"/>
      </w:pPr>
      <w:r>
        <w:drawing>
          <wp:inline>
            <wp:extent cx="5334000" cy="3147799"/>
            <wp:effectExtent b="0" l="0" r="0" t="0"/>
            <wp:docPr descr="On the directory’s clock, issued certificates keep working after cutover until the first expiry wave finds no issuer; on the certificate’s clock, the replacement issuer is live before that wave and AD CS is retired last." title="" id="48" name="Picture"/>
            <a:graphic>
              <a:graphicData uri="http://schemas.openxmlformats.org/drawingml/2006/picture">
                <pic:pic>
                  <pic:nvPicPr>
                    <pic:cNvPr descr="/home/runner/work/modernization-workbook/modernization-workbook/docs/images/diagrams/b07-pki/png/ch01-two-clocks.png" id="49" name="Picture"/>
                    <pic:cNvPicPr>
                      <a:picLocks noChangeArrowheads="1" noChangeAspect="1"/>
                    </pic:cNvPicPr>
                  </pic:nvPicPr>
                  <pic:blipFill>
                    <a:blip r:embed="rId47"/>
                    <a:stretch>
                      <a:fillRect/>
                    </a:stretch>
                  </pic:blipFill>
                  <pic:spPr bwMode="auto">
                    <a:xfrm>
                      <a:off x="0" y="0"/>
                      <a:ext cx="5334000" cy="3147799"/>
                    </a:xfrm>
                    <a:prstGeom prst="rect">
                      <a:avLst/>
                    </a:prstGeom>
                    <a:noFill/>
                    <a:ln w="9525">
                      <a:noFill/>
                      <a:headEnd/>
                      <a:tailEnd/>
                    </a:ln>
                  </pic:spPr>
                </pic:pic>
              </a:graphicData>
            </a:graphic>
          </wp:inline>
        </w:drawing>
      </w:r>
    </w:p>
    <w:p>
      <w:pPr>
        <w:pStyle w:val="ImageCaption"/>
      </w:pPr>
      <w:r>
        <w:t xml:space="preserve">On the directory’s clock, issued certificates keep working after cutover until the first expiry wave finds no issuer; on the certificate’s clock, the replacement issuer is live before that wave and AD CS is retired last.</w:t>
      </w:r>
    </w:p>
    <w:bookmarkEnd w:id="50"/>
    <w:bookmarkEnd w:id="51"/>
    <w:bookmarkStart w:id="68" w:name="X9a20f534faa9892b707b0bd68683c4012819e3a"/>
    <w:p>
      <w:pPr>
        <w:pStyle w:val="Heading2"/>
      </w:pPr>
      <w:bookmarkStart w:id="937" w:name="_Toc00000937"/>
      <w:r>
        <w:t xml:space="preserve">The rules are moving under certificates already issued</w:t>
      </w:r>
      <w:bookmarkEnd w:id="937"/>
    </w:p>
    <w:p>
      <w:pPr>
        <w:pStyle w:val="FirstParagraph"/>
      </w:pPr>
      <w:r>
        <w:t xml:space="preserve">A certificate estate used to be something you could leave alone between renewals. Three changes have ended that, and each one is a reason the estate needs continuous management rather than a one-time migration.</w:t>
      </w:r>
    </w:p>
    <w:bookmarkStart w:id="56" w:name="X6d9cf4ea859e8c2b164cbb6b60f423c4840cd37"/>
    <w:p>
      <w:pPr>
        <w:pStyle w:val="Heading3"/>
      </w:pPr>
      <w:r>
        <w:t xml:space="preserve">Public TLS lifetimes are shrinking on a fixed schedule</w:t>
      </w:r>
    </w:p>
    <w:p>
      <w:pPr>
        <w:pStyle w:val="FirstParagraph"/>
      </w:pPr>
      <w:r>
        <w:t xml:space="preserve">In April 2025 the CA/Browser Forum adopted Ballot SC-081v3, which sets a schedule for reducing the maximum validity of publicly trusted TLS certificates from 398 days to 47 days, and the reuse period for domain validation data from 398 days to 10 days, between March 2026 and March 2029. Certificate issuers voted 25 in favor with none against, and all four browser vendors (Apple, Google, Microsoft and Mozilla) voted yes.</w:t>
      </w:r>
      <w:r>
        <w:rPr>
          <w:rStyle w:val="FootnoteReference"/>
        </w:rPr>
        <w:footnoteReference w:id="52"/>
      </w:r>
      <w:r>
        <w:t xml:space="preserve"> </w:t>
      </w:r>
      <w:r>
        <w:t xml:space="preserve">The current Baseline Requirements (version 2.3.1, October 4, 2026) list the steps:</w:t>
      </w:r>
      <w:r>
        <w:rPr>
          <w:rStyle w:val="FootnoteReference"/>
        </w:rPr>
        <w:footnoteReference w:id="54"/>
      </w:r>
    </w:p>
    <w:p>
      <w:pPr>
        <w:pStyle w:val="TableCaption"/>
      </w:pPr>
      <w:r>
        <w:t xml:space="preserve">Public TLS maximum validity under the CA/Browser Forum schedule, with the renewal workload it implies (the last two columns are program arithmetic, assuming 250 working days and no renewal before the deadline)</w:t>
      </w:r>
    </w:p>
    <w:tbl>
      <w:tblPr>
        <w:tblStyle w:val="Table"/>
        <w:tblW w:type="pct" w:w="5000"/>
        <w:tblLayout w:type="fixed"/>
        <w:tblLook w:firstRow="1" w:lastRow="0" w:firstColumn="0" w:lastColumn="0" w:noHBand="0" w:noVBand="0" w:val="0020"/>
        <w:tblCaption w:val="Public TLS maximum validity under the CA/Browser Forum schedule, with the renewal workload it implies (the last two columns are program arithmetic, assuming 250 working days and no renewal before the deadline)"/>
      </w:tblPr>
      <w:tblGrid>
        <w:gridCol w:w="1980"/>
        <w:gridCol w:w="1980"/>
        <w:gridCol w:w="1980"/>
        <w:gridCol w:w="1980"/>
      </w:tblGrid>
      <w:tr>
        <w:trPr>
          <w:tblHeader w:val="on"/>
        </w:trPr>
        <w:tc>
          <w:tcPr/>
          <w:p>
            <w:pPr>
              <w:pStyle w:val="Compact"/>
            </w:pPr>
            <w:r>
              <w:t xml:space="preserve">Certificates issued</w:t>
            </w:r>
          </w:p>
        </w:tc>
        <w:tc>
          <w:tcPr/>
          <w:p>
            <w:pPr>
              <w:pStyle w:val="Compact"/>
            </w:pPr>
            <w:r>
              <w:t xml:space="preserve">Maximum validity</w:t>
            </w:r>
          </w:p>
        </w:tc>
        <w:tc>
          <w:tcPr/>
          <w:p>
            <w:pPr>
              <w:pStyle w:val="Compact"/>
            </w:pPr>
            <w:r>
              <w:t xml:space="preserve">Renewals per certificate per year (at least)</w:t>
            </w:r>
          </w:p>
        </w:tc>
        <w:tc>
          <w:tcPr/>
          <w:p>
            <w:pPr>
              <w:pStyle w:val="Compact"/>
            </w:pPr>
            <w:r>
              <w:t xml:space="preserve">Renewals per working day for 1,000 certificates</w:t>
            </w:r>
          </w:p>
        </w:tc>
      </w:tr>
      <w:tr>
        <w:tc>
          <w:tcPr/>
          <w:p>
            <w:pPr>
              <w:pStyle w:val="Compact"/>
            </w:pPr>
            <w:r>
              <w:t xml:space="preserve">Before March 15, 2026</w:t>
            </w:r>
          </w:p>
        </w:tc>
        <w:tc>
          <w:tcPr/>
          <w:p>
            <w:pPr>
              <w:pStyle w:val="Compact"/>
            </w:pPr>
            <w:r>
              <w:t xml:space="preserve">398 days</w:t>
            </w:r>
          </w:p>
        </w:tc>
        <w:tc>
          <w:tcPr/>
          <w:p>
            <w:pPr>
              <w:pStyle w:val="Compact"/>
            </w:pPr>
            <w:r>
              <w:t xml:space="preserve">about 1</w:t>
            </w:r>
          </w:p>
        </w:tc>
        <w:tc>
          <w:tcPr/>
          <w:p>
            <w:pPr>
              <w:pStyle w:val="Compact"/>
            </w:pPr>
            <w:r>
              <w:t xml:space="preserve">about 4</w:t>
            </w:r>
          </w:p>
        </w:tc>
      </w:tr>
      <w:tr>
        <w:tc>
          <w:tcPr/>
          <w:p>
            <w:pPr>
              <w:pStyle w:val="Compact"/>
            </w:pPr>
            <w:r>
              <w:t xml:space="preserve">From March 15, 2026 (in force today)</w:t>
            </w:r>
          </w:p>
        </w:tc>
        <w:tc>
          <w:tcPr/>
          <w:p>
            <w:pPr>
              <w:pStyle w:val="Compact"/>
            </w:pPr>
            <w:r>
              <w:t xml:space="preserve">200 days</w:t>
            </w:r>
          </w:p>
        </w:tc>
        <w:tc>
          <w:tcPr/>
          <w:p>
            <w:pPr>
              <w:pStyle w:val="Compact"/>
            </w:pPr>
            <w:r>
              <w:t xml:space="preserve">about 2</w:t>
            </w:r>
          </w:p>
        </w:tc>
        <w:tc>
          <w:tcPr/>
          <w:p>
            <w:pPr>
              <w:pStyle w:val="Compact"/>
            </w:pPr>
            <w:r>
              <w:t xml:space="preserve">about 7</w:t>
            </w:r>
          </w:p>
        </w:tc>
      </w:tr>
      <w:tr>
        <w:tc>
          <w:tcPr/>
          <w:p>
            <w:pPr>
              <w:pStyle w:val="Compact"/>
            </w:pPr>
            <w:r>
              <w:t xml:space="preserve">From March 15, 2027</w:t>
            </w:r>
          </w:p>
        </w:tc>
        <w:tc>
          <w:tcPr/>
          <w:p>
            <w:pPr>
              <w:pStyle w:val="Compact"/>
            </w:pPr>
            <w:r>
              <w:t xml:space="preserve">100 days</w:t>
            </w:r>
          </w:p>
        </w:tc>
        <w:tc>
          <w:tcPr/>
          <w:p>
            <w:pPr>
              <w:pStyle w:val="Compact"/>
            </w:pPr>
            <w:r>
              <w:t xml:space="preserve">about 4</w:t>
            </w:r>
          </w:p>
        </w:tc>
        <w:tc>
          <w:tcPr/>
          <w:p>
            <w:pPr>
              <w:pStyle w:val="Compact"/>
            </w:pPr>
            <w:r>
              <w:t xml:space="preserve">about 15</w:t>
            </w:r>
          </w:p>
        </w:tc>
      </w:tr>
      <w:tr>
        <w:tc>
          <w:tcPr/>
          <w:p>
            <w:pPr>
              <w:pStyle w:val="Compact"/>
            </w:pPr>
            <w:r>
              <w:t xml:space="preserve">From March 15, 2029</w:t>
            </w:r>
          </w:p>
        </w:tc>
        <w:tc>
          <w:tcPr/>
          <w:p>
            <w:pPr>
              <w:pStyle w:val="Compact"/>
            </w:pPr>
            <w:r>
              <w:t xml:space="preserve">47 days</w:t>
            </w:r>
          </w:p>
        </w:tc>
        <w:tc>
          <w:tcPr/>
          <w:p>
            <w:pPr>
              <w:pStyle w:val="Compact"/>
            </w:pPr>
            <w:r>
              <w:t xml:space="preserve">about 8</w:t>
            </w:r>
          </w:p>
        </w:tc>
        <w:tc>
          <w:tcPr/>
          <w:p>
            <w:pPr>
              <w:pStyle w:val="Compact"/>
            </w:pPr>
            <w:r>
              <w:t xml:space="preserve">about 31</w:t>
            </w:r>
          </w:p>
        </w:tc>
      </w:tr>
    </w:tbl>
    <w:p>
      <w:pPr>
        <w:pStyle w:val="BodyText"/>
      </w:pPr>
      <w:r>
        <w:t xml:space="preserve">The Baseline Requirements govern publicly trusted TLS certificates, not an agency’s internal CA. But every agency runs public-facing services, and the internal estate is held to the same arithmetic by a different force: the program’s own policy is to keep internal lifetimes short as well, because a short-lived certificate limits how long a compromised key is useful and turns most revocation into simple non-renewal (Vol I Book 03 makes the full case). The 100-day step arrives in five months. At 47 days, an estate tracked by spreadsheet and calendar reminder can’t keep up even in principle, and the 10-day reuse period means domain validation has to be automated too.</w:t>
      </w:r>
    </w:p>
    <w:bookmarkEnd w:id="56"/>
    <w:bookmarkStart w:id="60" w:name="X1e735422989153c90cb568f89e5a2ad81b918de"/>
    <w:p>
      <w:pPr>
        <w:pStyle w:val="Heading3"/>
      </w:pPr>
      <w:r>
        <w:t xml:space="preserve">Mapping rules changed for certificates already in use</w:t>
      </w:r>
    </w:p>
    <w:p>
      <w:pPr>
        <w:pStyle w:val="FirstParagraph"/>
      </w:pPr>
      <w:r>
        <w:t xml:space="preserve">KB5014754 is the example of a rule that changed under certificates that were already issued and working. Microsoft moved domain controllers that weren’t already in enforcement mode to full enforcement on February 11, 2025, and after the September 9, 2025 update the registry setting that allowed a return to compatibility mode is no longer supported.</w:t>
      </w:r>
      <w:r>
        <w:rPr>
          <w:rStyle w:val="FootnoteReference"/>
        </w:rPr>
        <w:footnoteReference w:id="57"/>
      </w:r>
      <w:r>
        <w:t xml:space="preserve"> </w:t>
      </w:r>
      <w:r>
        <w:t xml:space="preserve">A certificate used to authenticate against the KDC now needs a strong mapping to its account, either a SID extension in the certificate or a mapping based on an identifier that can’t be reused; weak mappings such as subject or email address aren’t enough.</w:t>
      </w:r>
      <w:r>
        <w:rPr>
          <w:rStyle w:val="FootnoteReference"/>
        </w:rPr>
        <w:footnoteReference w:id="58"/>
      </w:r>
      <w:r>
        <w:t xml:space="preserve"> </w:t>
      </w:r>
      <w:r>
        <w:t xml:space="preserve">For certificates delivered by Intune, that means adding the on-premises SID to the SCEP profile’s subject alternative name; the requirement applies to user certificates on every platform and to device certificates on Microsoft Entra hybrid-joined Windows devices.</w:t>
      </w:r>
      <w:r>
        <w:rPr>
          <w:rStyle w:val="FootnoteReference"/>
        </w:rPr>
        <w:footnoteReference w:id="59"/>
      </w:r>
      <w:r>
        <w:t xml:space="preserve"> </w:t>
      </w:r>
      <w:r>
        <w:t xml:space="preserve">An inventory that recorded only expiry dates would have missed every certificate this change broke.</w:t>
      </w:r>
    </w:p>
    <w:bookmarkEnd w:id="60"/>
    <w:bookmarkStart w:id="67" w:name="the-algorithms-themselves-are-on-a-clock"/>
    <w:p>
      <w:pPr>
        <w:pStyle w:val="Heading3"/>
      </w:pPr>
      <w:r>
        <w:t xml:space="preserve">The algorithms themselves are on a clock</w:t>
      </w:r>
    </w:p>
    <w:p>
      <w:pPr>
        <w:pStyle w:val="FirstParagraph"/>
      </w:pPr>
      <w:r>
        <w:t xml:space="preserve">NIST’s draft transition plan for post-quantum cryptography (IR 8547, an initial public draft from November 2024) proposes deprecating RSA and ECDSA signatures at the 112-bit security level, which includes RSA-2048, after 2030, and disallowing RSA and ECDSA signatures at every strength after 2035.</w:t>
      </w:r>
      <w:r>
        <w:rPr>
          <w:rStyle w:val="FootnoteReference"/>
        </w:rPr>
        <w:footnoteReference w:id="61"/>
      </w:r>
      <w:r>
        <w:t xml:space="preserve"> </w:t>
      </w:r>
      <w:r>
        <w:t xml:space="preserve">The same draft notes that the journey from algorithm standard to full integration can take 10 to 20 years, and that infrastructure such as PKI has to support the new algorithms before the applications that rely on it can migrate.</w:t>
      </w:r>
      <w:r>
        <w:rPr>
          <w:rStyle w:val="FootnoteReference"/>
        </w:rPr>
        <w:footnoteReference w:id="63"/>
      </w:r>
      <w:r>
        <w:t xml:space="preserve"> </w:t>
      </w:r>
      <w:r>
        <w:t xml:space="preserve">Microsoft has started: AD CS now supports the ML-DSA signature algorithm on Windows Server 2025 with the May 2026 security update or later, with ML-KEM and composite certificates planned, and post-quantum support requires CNG key storage providers rather than legacy CSPs.</w:t>
      </w:r>
      <w:r>
        <w:rPr>
          <w:rStyle w:val="FootnoteReference"/>
        </w:rPr>
        <w:footnoteReference w:id="64"/>
      </w:r>
      <w:r>
        <w:t xml:space="preserve"> </w:t>
      </w:r>
      <w:r>
        <w:t xml:space="preserve">Microsoft’s reason is the one that matters here: root CA and code signing certificates issued today must stay trustworthy for their whole validity period.</w:t>
      </w:r>
      <w:r>
        <w:rPr>
          <w:rStyle w:val="FootnoteReference"/>
        </w:rPr>
        <w:footnoteReference w:id="66"/>
      </w:r>
      <w:r>
        <w:t xml:space="preserve"> </w:t>
      </w:r>
      <w:r>
        <w:t xml:space="preserve">A root CA built in 2026 with a 20-year life expires in 2046, eleven years after the draft’s last date for RSA signatures.</w:t>
      </w:r>
    </w:p>
    <w:p>
      <w:pPr>
        <w:pStyle w:val="BodyText"/>
      </w:pPr>
      <w:r>
        <w:t xml:space="preserve">Taken together: lifetimes are getting shorter, mapping rules can change after issuance, and the algorithms have a horizon. Each of these turns a certificate inventory from a migration artifact into a standing operational record.</w:t>
      </w:r>
    </w:p>
    <w:bookmarkEnd w:id="67"/>
    <w:bookmarkEnd w:id="68"/>
    <w:bookmarkStart w:id="73" w:name="manual-lifecycle-management-breaks"/>
    <w:p>
      <w:pPr>
        <w:pStyle w:val="Heading2"/>
      </w:pPr>
      <w:bookmarkStart w:id="938" w:name="_Toc00000938"/>
      <w:r>
        <w:t xml:space="preserve">Manual lifecycle management breaks</w:t>
      </w:r>
      <w:bookmarkEnd w:id="938"/>
    </w:p>
    <w:p>
      <w:pPr>
        <w:pStyle w:val="FirstParagraph"/>
      </w:pPr>
      <w:r>
        <w:t xml:space="preserve">The spreadsheet model of certificate management fails in ways that are familiar enough to list. A certificate expires because the reminder went to someone who left. A scan finds a certificate on a production listener that’s in no inventory, from an unknown issuer, with an unknown key holder, so it’s left alone. A service presents the same key for years because every renewal reused the request. Vol I Book 03 calls this the spreadsheet CA and walks through why its failure modes are arithmetic, not staffing.</w:t>
      </w:r>
    </w:p>
    <w:p>
      <w:pPr>
        <w:pStyle w:val="BodyText"/>
      </w:pPr>
      <w:r>
        <w:t xml:space="preserve">The replacement has four parts, and the rest of this book builds them:</w:t>
      </w:r>
    </w:p>
    <w:p>
      <w:pPr>
        <w:pStyle w:val="Compact"/>
        <w:numPr>
          <w:ilvl w:val="0"/>
          <w:numId w:val="1002"/>
        </w:numPr>
      </w:pPr>
      <w:r>
        <w:rPr>
          <w:b/>
          <w:bCs/>
        </w:rPr>
        <w:t xml:space="preserve">Discovery.</w:t>
      </w:r>
      <w:r>
        <w:t xml:space="preserve"> </w:t>
      </w:r>
      <w:r>
        <w:t xml:space="preserve">Every certificate in use, whoever issued it, found on the network and in the CA databases, not only the ones someone recorded (Chapter 02).</w:t>
      </w:r>
    </w:p>
    <w:p>
      <w:pPr>
        <w:pStyle w:val="Compact"/>
        <w:numPr>
          <w:ilvl w:val="0"/>
          <w:numId w:val="1002"/>
        </w:numPr>
      </w:pPr>
      <w:r>
        <w:rPr>
          <w:b/>
          <w:bCs/>
        </w:rPr>
        <w:t xml:space="preserve">Ownership.</w:t>
      </w:r>
      <w:r>
        <w:t xml:space="preserve"> </w:t>
      </w:r>
      <w:r>
        <w:t xml:space="preserve">A named owner for every template and every certificate population, and a clear split between who decides policy and who operates issuance (Chapter 05).</w:t>
      </w:r>
    </w:p>
    <w:p>
      <w:pPr>
        <w:pStyle w:val="Compact"/>
        <w:numPr>
          <w:ilvl w:val="0"/>
          <w:numId w:val="1002"/>
        </w:numPr>
      </w:pPr>
      <w:r>
        <w:rPr>
          <w:b/>
          <w:bCs/>
        </w:rPr>
        <w:t xml:space="preserve">Automated issuance and renewal.</w:t>
      </w:r>
      <w:r>
        <w:t xml:space="preserve"> </w:t>
      </w:r>
      <w:r>
        <w:t xml:space="preserve">Intune and Microsoft Cloud PKI for managed devices; Group Policy autoenrollment for the domain workloads that stay while AD stays; automated issuance and installation for servers and appliances (Chapters 04, 06 and 07).</w:t>
      </w:r>
    </w:p>
    <w:p>
      <w:pPr>
        <w:pStyle w:val="Compact"/>
        <w:numPr>
          <w:ilvl w:val="0"/>
          <w:numId w:val="1002"/>
        </w:numPr>
      </w:pPr>
      <w:r>
        <w:rPr>
          <w:b/>
          <w:bCs/>
        </w:rPr>
        <w:t xml:space="preserve">Evidence.</w:t>
      </w:r>
      <w:r>
        <w:t xml:space="preserve"> </w:t>
      </w:r>
      <w:r>
        <w:t xml:space="preserve">Expiry horizons, issuance outside the pipeline and renewal failures watched as signals, not discovered as outages (Chapter 08).</w:t>
      </w:r>
    </w:p>
    <w:p>
      <w:pPr>
        <w:pStyle w:val="FirstParagraph"/>
      </w:pPr>
      <w:r>
        <w:t xml:space="preserve">Where Microsoft covers the need, the program uses Microsoft-native tooling. For discovery and lifecycle automation across everything else (public TLS, servers, load balancers and appliances), the program’s certificate lifecycle management tool is CyberArk Certificate Manager, formerly Venafi, from the program’s existing machine-identity vendor. The program consolidates certificate lifecycle management on that existing platform and doesn’t add a second lifecycle vendor. One naming note for procurement and documentation: Palo Alto Networks completed its acquisition of CyberArk on February 11, 2026,</w:t>
      </w:r>
      <w:r>
        <w:rPr>
          <w:rStyle w:val="FootnoteReference"/>
        </w:rPr>
        <w:footnoteReference w:id="69"/>
      </w:r>
      <w:r>
        <w:t xml:space="preserve"> </w:t>
      </w:r>
      <w:r>
        <w:t xml:space="preserve">and now markets the SaaS edition as part of Next-Generation Trust Security (NGTS), describing it as the successor to the offering previously known as Venafi TLS Protect and then CyberArk Certificate Manager SaaS; the self-hosted edition continues as Certificate Manager, Self-Hosted.</w:t>
      </w:r>
      <w:r>
        <w:rPr>
          <w:rStyle w:val="FootnoteReference"/>
        </w:rPr>
        <w:footnoteReference w:id="71"/>
      </w:r>
      <w:r>
        <w:t xml:space="preserve"> </w:t>
      </w:r>
      <w:r>
        <w:t xml:space="preserve">Chapter 08 covers how the tool fits into the operating model.</w:t>
      </w:r>
    </w:p>
    <w:bookmarkEnd w:id="73"/>
    <w:bookmarkStart w:id="76" w:name="Xfd0ef6e3af0eb3f099428fb564e47aa5c00984f"/>
    <w:p>
      <w:pPr>
        <w:pStyle w:val="Heading2"/>
      </w:pPr>
      <w:bookmarkStart w:id="939" w:name="_Toc00000939"/>
      <w:r>
        <w:t xml:space="preserve">Why the move off AD CS is its own program</w:t>
      </w:r>
      <w:bookmarkEnd w:id="939"/>
    </w:p>
    <w:p>
      <w:pPr>
        <w:pStyle w:val="FirstParagraph"/>
      </w:pPr>
      <w:r>
        <w:t xml:space="preserve">It would be tidy to treat the PKI as a workstream inside the directory migration. The program doesn’t, for five reasons.</w:t>
      </w:r>
    </w:p>
    <w:p>
      <w:pPr>
        <w:pStyle w:val="Compact"/>
        <w:numPr>
          <w:ilvl w:val="0"/>
          <w:numId w:val="1003"/>
        </w:numPr>
      </w:pPr>
      <w:r>
        <w:rPr>
          <w:b/>
          <w:bCs/>
        </w:rPr>
        <w:t xml:space="preserve">It fails on a different clock.</w:t>
      </w:r>
      <w:r>
        <w:t xml:space="preserve"> </w:t>
      </w:r>
      <w:r>
        <w:t xml:space="preserve">Directory work fails at cutover, where someone is watching. Certificate work fails at expiry, which can be months later and far from its cause. A program that measures progress by cutover dates will report success on the PKI right up to the outage.</w:t>
      </w:r>
    </w:p>
    <w:p>
      <w:pPr>
        <w:pStyle w:val="Compact"/>
        <w:numPr>
          <w:ilvl w:val="0"/>
          <w:numId w:val="1003"/>
        </w:numPr>
      </w:pPr>
      <w:r>
        <w:rPr>
          <w:b/>
          <w:bCs/>
        </w:rPr>
        <w:t xml:space="preserve">It belongs to everyone, so it belongs to no one.</w:t>
      </w:r>
      <w:r>
        <w:t xml:space="preserve"> </w:t>
      </w:r>
      <w:r>
        <w:t xml:space="preserve">Identity, workforce identity, devices, network access and the data platform all consume certificates, and each book in the workbook migrates its own consumers. The issuer underneath them needs an owner who answers for all of them at once (Chapter 05).</w:t>
      </w:r>
    </w:p>
    <w:p>
      <w:pPr>
        <w:pStyle w:val="Compact"/>
        <w:numPr>
          <w:ilvl w:val="0"/>
          <w:numId w:val="1003"/>
        </w:numPr>
      </w:pPr>
      <w:r>
        <w:rPr>
          <w:b/>
          <w:bCs/>
        </w:rPr>
        <w:t xml:space="preserve">Its sequence is fixed by expiry dates.</w:t>
      </w:r>
      <w:r>
        <w:t xml:space="preserve"> </w:t>
      </w:r>
      <w:r>
        <w:t xml:space="preserve">The replacement issuer has to be live and trusted before the first expiry wave of each use case, and AD CS has to be retired last, after every renewal is confirmed through the new issuer. That is Book 02’s acceptance condition for the PKI adapter, and it can’t be scheduled around the directory’s milestones.</w:t>
      </w:r>
    </w:p>
    <w:p>
      <w:pPr>
        <w:pStyle w:val="Compact"/>
        <w:numPr>
          <w:ilvl w:val="0"/>
          <w:numId w:val="1003"/>
        </w:numPr>
      </w:pPr>
      <w:r>
        <w:rPr>
          <w:b/>
          <w:bCs/>
        </w:rPr>
        <w:t xml:space="preserve">There’s no single replacement.</w:t>
      </w:r>
      <w:r>
        <w:t xml:space="preserve"> </w:t>
      </w:r>
      <w:r>
        <w:t xml:space="preserve">Cloud PKI covers Intune-managed devices. Entra certificate-based authentication covers sign-in to the tenant but issues nothing. PIV credentials come from the Federal PKI through the card management system, not from AD CS (Book 03, Chapter 09). Servers, domain controllers, network equipment, code signing and encryption keys each need a decision of their own (Chapter 04).</w:t>
      </w:r>
    </w:p>
    <w:p>
      <w:pPr>
        <w:pStyle w:val="Compact"/>
        <w:numPr>
          <w:ilvl w:val="0"/>
          <w:numId w:val="1003"/>
        </w:numPr>
      </w:pPr>
      <w:r>
        <w:rPr>
          <w:b/>
          <w:bCs/>
        </w:rPr>
        <w:t xml:space="preserve">What stays has to be hardened.</w:t>
      </w:r>
      <w:r>
        <w:t xml:space="preserve"> </w:t>
      </w:r>
      <w:r>
        <w:t xml:space="preserve">AD CS doesn’t disappear on day one; parts of it may run for years. Misconfigured templates and CA settings are a well-documented route to domain-wide compromise, so the AD CS that remains has to be reviewed, fixed and monitored while it runs (Chapter 03).</w:t>
      </w:r>
    </w:p>
    <w:p>
      <w:pPr>
        <w:pStyle w:val="FirstParagraph"/>
      </w:pPr>
      <w:r>
        <w:t xml:space="preserve">Federal policy raises the stakes. OMB M-22-09 requires phishing-resistant MFA for agency staff, contractors and partners, and names the PIV standard as one phishing-resistant approach.</w:t>
      </w:r>
      <w:r>
        <w:rPr>
          <w:rStyle w:val="FootnoteReference"/>
        </w:rPr>
        <w:footnoteReference w:id="74"/>
      </w:r>
      <w:r>
        <w:t xml:space="preserve"> </w:t>
      </w:r>
      <w:r>
        <w:t xml:space="preserve">For most of the federal workforce, phishing-resistant sign-in is a certificate on a card. A PKI program that stalls doesn’t just risk outages; it puts the agency’s zero trust commitments at risk too.</w:t>
      </w:r>
    </w:p>
    <w:bookmarkEnd w:id="76"/>
    <w:bookmarkStart w:id="77" w:name="what-this-book-covers"/>
    <w:p>
      <w:pPr>
        <w:pStyle w:val="Heading2"/>
      </w:pPr>
      <w:bookmarkStart w:id="940" w:name="_Toc00000940"/>
      <w:r>
        <w:t xml:space="preserve">What this book covers</w:t>
      </w:r>
      <w:bookmarkEnd w:id="940"/>
    </w:p>
    <w:p>
      <w:pPr>
        <w:pStyle w:val="FirstParagraph"/>
      </w:pPr>
      <w:r>
        <w:t xml:space="preserve">The book follows the workbook’s Why, What, Who and How structure. It covers assessment of the existing AD CS estate, hardening of what stays, the target design (Microsoft Cloud PKI, the parts of AD CS that remain, and the Federal PKI’s role), Intune certificate profiles with strong mapping, Entra certificate-based authentication and its staged rollout, coexistence during the transition, the migration sequence and rollback, and monitoring, drift detection and decommissioning.</w:t>
      </w:r>
    </w:p>
    <w:p>
      <w:pPr>
        <w:pStyle w:val="TableCaption"/>
      </w:pPr>
      <w:r>
        <w:t xml:space="preserve">The book at a glance</w:t>
      </w:r>
    </w:p>
    <w:tbl>
      <w:tblPr>
        <w:tblStyle w:val="Table"/>
        <w:tblW w:type="pct" w:w="5000"/>
        <w:tblLayout w:type="fixed"/>
        <w:tblLook w:firstRow="1" w:lastRow="0" w:firstColumn="0" w:lastColumn="0" w:noHBand="0" w:noVBand="0" w:val="0020"/>
        <w:tblCaption w:val="The book at a glance"/>
      </w:tblPr>
      <w:tblGrid>
        <w:gridCol w:w="2640"/>
        <w:gridCol w:w="2640"/>
        <w:gridCol w:w="2640"/>
      </w:tblGrid>
      <w:tr>
        <w:trPr>
          <w:tblHeader w:val="on"/>
        </w:trPr>
        <w:tc>
          <w:tcPr/>
          <w:p>
            <w:pPr>
              <w:pStyle w:val="Compact"/>
            </w:pPr>
            <w:r>
              <w:t xml:space="preserve">Part</w:t>
            </w:r>
          </w:p>
        </w:tc>
        <w:tc>
          <w:tcPr/>
          <w:p>
            <w:pPr>
              <w:pStyle w:val="Compact"/>
            </w:pPr>
            <w:r>
              <w:t xml:space="preserve">Chapters</w:t>
            </w:r>
          </w:p>
        </w:tc>
        <w:tc>
          <w:tcPr/>
          <w:p>
            <w:pPr>
              <w:pStyle w:val="Compact"/>
            </w:pPr>
            <w:r>
              <w:t xml:space="preserve">Question it answers</w:t>
            </w:r>
          </w:p>
        </w:tc>
      </w:tr>
      <w:tr>
        <w:tc>
          <w:tcPr/>
          <w:p>
            <w:pPr>
              <w:pStyle w:val="Compact"/>
            </w:pPr>
            <w:r>
              <w:t xml:space="preserve">Why</w:t>
            </w:r>
          </w:p>
        </w:tc>
        <w:tc>
          <w:tcPr/>
          <w:p>
            <w:pPr>
              <w:pStyle w:val="Compact"/>
            </w:pPr>
            <w:r>
              <w:t xml:space="preserve">Chapter 01</w:t>
            </w:r>
          </w:p>
        </w:tc>
        <w:tc>
          <w:tcPr/>
          <w:p>
            <w:pPr>
              <w:pStyle w:val="Compact"/>
            </w:pPr>
            <w:r>
              <w:t xml:space="preserve">Why does the certificate estate need its own program?</w:t>
            </w:r>
          </w:p>
        </w:tc>
      </w:tr>
      <w:tr>
        <w:tc>
          <w:tcPr/>
          <w:p>
            <w:pPr>
              <w:pStyle w:val="Compact"/>
            </w:pPr>
            <w:r>
              <w:t xml:space="preserve">What</w:t>
            </w:r>
          </w:p>
        </w:tc>
        <w:tc>
          <w:tcPr/>
          <w:p>
            <w:pPr>
              <w:pStyle w:val="Compact"/>
            </w:pPr>
            <w:r>
              <w:t xml:space="preserve">Chapter 02, Chapter 03, Chapter 04</w:t>
            </w:r>
          </w:p>
        </w:tc>
        <w:tc>
          <w:tcPr/>
          <w:p>
            <w:pPr>
              <w:pStyle w:val="Compact"/>
            </w:pPr>
            <w:r>
              <w:t xml:space="preserve">What does AD CS hold up today, how is what stays made safe, and what is the target?</w:t>
            </w:r>
          </w:p>
        </w:tc>
      </w:tr>
      <w:tr>
        <w:tc>
          <w:tcPr/>
          <w:p>
            <w:pPr>
              <w:pStyle w:val="Compact"/>
            </w:pPr>
            <w:r>
              <w:t xml:space="preserve">Who</w:t>
            </w:r>
          </w:p>
        </w:tc>
        <w:tc>
          <w:tcPr/>
          <w:p>
            <w:pPr>
              <w:pStyle w:val="Compact"/>
            </w:pPr>
            <w:r>
              <w:t xml:space="preserve">Chapter 05</w:t>
            </w:r>
          </w:p>
        </w:tc>
        <w:tc>
          <w:tcPr/>
          <w:p>
            <w:pPr>
              <w:pStyle w:val="Compact"/>
            </w:pPr>
            <w:r>
              <w:t xml:space="preserve">Who owns the issuer, the templates and the certificates?</w:t>
            </w:r>
          </w:p>
        </w:tc>
      </w:tr>
      <w:tr>
        <w:tc>
          <w:tcPr/>
          <w:p>
            <w:pPr>
              <w:pStyle w:val="Compact"/>
            </w:pPr>
            <w:r>
              <w:t xml:space="preserve">How</w:t>
            </w:r>
          </w:p>
        </w:tc>
        <w:tc>
          <w:tcPr/>
          <w:p>
            <w:pPr>
              <w:pStyle w:val="Compact"/>
            </w:pPr>
            <w:r>
              <w:t xml:space="preserve">Chapter 06, Chapter 07, Chapter 08</w:t>
            </w:r>
          </w:p>
        </w:tc>
        <w:tc>
          <w:tcPr/>
          <w:p>
            <w:pPr>
              <w:pStyle w:val="Compact"/>
            </w:pPr>
            <w:r>
              <w:t xml:space="preserve">How are certificates issued, moved, watched and finally retired?</w:t>
            </w:r>
          </w:p>
        </w:tc>
      </w:tr>
      <w:tr>
        <w:tc>
          <w:tcPr/>
          <w:p>
            <w:pPr>
              <w:pStyle w:val="Compact"/>
            </w:pPr>
            <w:r>
              <w:t xml:space="preserve">Appendices</w:t>
            </w:r>
          </w:p>
        </w:tc>
        <w:tc>
          <w:tcPr/>
          <w:p>
            <w:pPr>
              <w:pStyle w:val="Compact"/>
            </w:pPr>
            <w:r>
              <w:t xml:space="preserve">Appendix A, Appendix B</w:t>
            </w:r>
          </w:p>
        </w:tc>
        <w:tc>
          <w:tcPr/>
          <w:p>
            <w:pPr>
              <w:pStyle w:val="Compact"/>
            </w:pPr>
            <w:r>
              <w:t xml:space="preserve">Deployment checklists and the template-by-template migration matrix</w:t>
            </w:r>
          </w:p>
        </w:tc>
      </w:tr>
    </w:tbl>
    <w:p>
      <w:pPr>
        <w:pStyle w:val="BodyText"/>
      </w:pPr>
      <w:r>
        <w:t xml:space="preserve">The book is written for PKI administrators and certificate services operators, identity and access management architects, Intune and endpoint administrators, security operations and compliance teams, and the governance leads and project managers who have to schedule work that fails on someone else’s clock.</w:t>
      </w:r>
    </w:p>
    <w:bookmarkEnd w:id="77"/>
    <w:bookmarkStart w:id="78" w:name="the-short-version"/>
    <w:p>
      <w:pPr>
        <w:pStyle w:val="Heading2"/>
      </w:pPr>
      <w:bookmarkStart w:id="941" w:name="_Toc00000941"/>
      <w:r>
        <w:t xml:space="preserve">The short version</w:t>
      </w:r>
      <w:bookmarkEnd w:id="941"/>
    </w:p>
    <w:p>
      <w:pPr>
        <w:pStyle w:val="Compact"/>
        <w:numPr>
          <w:ilvl w:val="0"/>
          <w:numId w:val="1004"/>
        </w:numPr>
      </w:pPr>
      <w:r>
        <w:t xml:space="preserve">A certificate is a signed naming claim that has already been handed out. It doesn’t move when the directory moves; it works until it expires, and then whatever relied on it stops.</w:t>
      </w:r>
    </w:p>
    <w:p>
      <w:pPr>
        <w:pStyle w:val="Compact"/>
        <w:numPr>
          <w:ilvl w:val="0"/>
          <w:numId w:val="1004"/>
        </w:numPr>
      </w:pPr>
      <w:r>
        <w:t xml:space="preserve">Domain controllers, LDAPS, smart card and PIV logon, 802.1X and VPN, TLS listeners including SQL Server, code signing and encryption all lean on the internal PKI that every other book migrates around.</w:t>
      </w:r>
    </w:p>
    <w:p>
      <w:pPr>
        <w:pStyle w:val="Compact"/>
        <w:numPr>
          <w:ilvl w:val="0"/>
          <w:numId w:val="1004"/>
        </w:numPr>
      </w:pPr>
      <w:r>
        <w:t xml:space="preserve">Cloud PKI issues only to Intune-managed devices, Intune doesn’t manage Windows Server, and Entra CBA issues nothing, so servers and the forest itself need another issuer.</w:t>
      </w:r>
    </w:p>
    <w:p>
      <w:pPr>
        <w:pStyle w:val="Compact"/>
        <w:numPr>
          <w:ilvl w:val="0"/>
          <w:numId w:val="1004"/>
        </w:numPr>
      </w:pPr>
      <w:r>
        <w:t xml:space="preserve">Public TLS maximum validity is 200 days today, 100 days from March 15, 2027 and 47 days from March 15, 2029. Strong-mapping enforcement and the post-quantum transition show the rules change under certificates already issued. Manual lifecycle management can’t keep up.</w:t>
      </w:r>
    </w:p>
    <w:p>
      <w:pPr>
        <w:pStyle w:val="Compact"/>
        <w:numPr>
          <w:ilvl w:val="0"/>
          <w:numId w:val="1004"/>
        </w:numPr>
      </w:pPr>
      <w:r>
        <w:t xml:space="preserve">The move off AD CS runs as its own program: inventory first, replacement issuers live before each expiry wave, CyberArk Certificate Manager for lifecycle automation beyond what Microsoft covers, and AD CS retired last, with evidence.</w:t>
      </w:r>
    </w:p>
    <w:bookmarkEnd w:id="78"/>
    <w:bookmarkStart w:id="79" w:name="continue-the-book"/>
    <w:p>
      <w:pPr>
        <w:pStyle w:val="Heading2"/>
      </w:pPr>
      <w:bookmarkStart w:id="942" w:name="_Toc00000942"/>
      <w:r>
        <w:t xml:space="preserve">Continue the book</w:t>
      </w:r>
      <w:bookmarkEnd w:id="942"/>
    </w:p>
    <w:p>
      <w:pPr>
        <w:pStyle w:val="FirstParagraph"/>
      </w:pPr>
      <w:r>
        <w:t xml:space="preserve">← Previous: Book index · Book index · Next: Chapter 02 — What AD CS Holds Up →</w:t>
      </w:r>
    </w:p>
    <w:bookmarkEnd w:id="79"/>
    <w:bookmarkEnd w:id="80"/>
    <w:bookmarkStart w:id="167" w:name="chapter-02-what-ad-cs-holds-up"/>
    <w:p>
      <w:pPr>
        <w:pStyle w:val="Heading1"/>
      </w:pPr>
      <w:bookmarkStart w:id="943" w:name="_Toc00000943"/>
      <w:r>
        <w:t xml:space="preserve">Chapter 02 — What AD CS Holds Up</w:t>
      </w:r>
      <w:bookmarkEnd w:id="943"/>
    </w:p>
    <w:p>
      <w:pPr>
        <w:pStyle w:val="FirstParagraph"/>
      </w:pPr>
      <w:r>
        <w:rPr>
          <w:i/>
          <w:iCs/>
        </w:rPr>
        <w:t xml:space="preserve">AD CS isn’t one server: it’s a hierarchy, a set of forest-wide directory objects and a Group Policy channel, and every published template is a promise that some system depends on.</w:t>
      </w:r>
    </w:p>
    <w:bookmarkStart w:id="81" w:name="in-this-chapter-1"/>
    <w:p>
      <w:pPr>
        <w:pStyle w:val="Heading2"/>
      </w:pPr>
      <w:bookmarkStart w:id="944" w:name="_Toc00000944"/>
      <w:r>
        <w:t xml:space="preserve">In this chapter</w:t>
      </w:r>
      <w:bookmarkEnd w:id="944"/>
    </w:p>
    <w:p>
      <w:pPr>
        <w:pStyle w:val="FirstParagraph"/>
      </w:pPr>
      <w:r>
        <w:t xml:space="preserve">The typical two-tier AD CS topology and what each component does, and the objects AD CS keeps in the forest’s configuration partition. The CA inventory record. The common template categories and their extended key usages, and how autoenrollment works. What a certificate inventory collects, at the CA, template, issued-certificate and relying-party layers. The MIGRATE, BRIDGE, RETAIN and RETIRE classification, and the use-case map that applies it, corrected where the source overstated what Cloud PKI and Intune can replace.</w:t>
      </w:r>
    </w:p>
    <w:bookmarkEnd w:id="81"/>
    <w:bookmarkStart w:id="82" w:name="the-baseline-comes-first"/>
    <w:p>
      <w:pPr>
        <w:pStyle w:val="Heading2"/>
      </w:pPr>
      <w:bookmarkStart w:id="945" w:name="_Toc00000945"/>
      <w:r>
        <w:t xml:space="preserve">The baseline comes first</w:t>
      </w:r>
      <w:bookmarkEnd w:id="945"/>
    </w:p>
    <w:p>
      <w:pPr>
        <w:pStyle w:val="FirstParagraph"/>
      </w:pPr>
      <w:r>
        <w:t xml:space="preserve">Before any certificate moves, the program establishes what the existing Active Directory Certificate Services (AD CS) estate actually is: which CAs exist, what they publish into the forest, which templates are live, who can enroll, what has been issued and who trusts it. Chapter 01 explained why the certificate estate fails on its own clock. This chapter is the map that lets the program read that clock: every later decision, from hardening in Chapter 03 to the template-by-template plan in Appendix B, starts from the inventory described here.</w:t>
      </w:r>
    </w:p>
    <w:bookmarkEnd w:id="82"/>
    <w:bookmarkStart w:id="112" w:name="the-typical-topology"/>
    <w:p>
      <w:pPr>
        <w:pStyle w:val="Heading2"/>
      </w:pPr>
      <w:bookmarkStart w:id="946" w:name="_Toc00000946"/>
      <w:r>
        <w:t xml:space="preserve">The typical topology</w:t>
      </w:r>
      <w:bookmarkEnd w:id="946"/>
    </w:p>
    <w:p>
      <w:pPr>
        <w:pStyle w:val="FirstParagraph"/>
      </w:pPr>
      <w:r>
        <w:t xml:space="preserve">Most enterprise AD CS deployments use a two-tier hierarchy, sometimes three. Microsoft’s guidance is the reason: if the root CA is compromised, every CA beneath it and every certificate it ever issued is compromised too, so the root is best kept disconnected from the network, with subordinate CAs doing the issuing.</w:t>
      </w:r>
      <w:r>
        <w:rPr>
          <w:rStyle w:val="FootnoteReference"/>
        </w:rPr>
        <w:footnoteReference w:id="83"/>
      </w:r>
      <w:r>
        <w:t xml:space="preserve"> </w:t>
      </w:r>
      <w:r>
        <w:t xml:space="preserve">Microsoft’s current deployment guidance recommends a standalone root CA that is taken offline after it issues the subordinate CA certificate as production best practice.</w:t>
      </w:r>
      <w:r>
        <w:rPr>
          <w:rStyle w:val="FootnoteReference"/>
        </w:rPr>
        <w:footnoteReference w:id="85"/>
      </w:r>
    </w:p>
    <w:bookmarkStart w:id="90" w:name="fig-ch02-adcs-topology"/>
    <w:p>
      <w:pPr>
        <w:pStyle w:val="CaptionedFigure"/>
      </w:pPr>
      <w:r>
        <w:drawing>
          <wp:inline>
            <wp:extent cx="5334000" cy="3833812"/>
            <wp:effectExtent b="0" l="0" r="0" t="0"/>
            <wp:docPr descr="The typical two-tier AD CS topology: an offline root signs the enterprise issuing CAs, which publish into the forest’s Public Key Services container and issue through autoenrollment, NDES and CES/CEP, while CRL, AIA and OCSP endpoints let relying parties check status." title="" id="88" name="Picture"/>
            <a:graphic>
              <a:graphicData uri="http://schemas.openxmlformats.org/drawingml/2006/picture">
                <pic:pic>
                  <pic:nvPicPr>
                    <pic:cNvPr descr="/home/runner/work/modernization-workbook/modernization-workbook/docs/images/diagrams/b07-pki/png/ch02-adcs-topology.png" id="89" name="Picture"/>
                    <pic:cNvPicPr>
                      <a:picLocks noChangeArrowheads="1" noChangeAspect="1"/>
                    </pic:cNvPicPr>
                  </pic:nvPicPr>
                  <pic:blipFill>
                    <a:blip r:embed="rId87"/>
                    <a:stretch>
                      <a:fillRect/>
                    </a:stretch>
                  </pic:blipFill>
                  <pic:spPr bwMode="auto">
                    <a:xfrm>
                      <a:off x="0" y="0"/>
                      <a:ext cx="5334000" cy="3833812"/>
                    </a:xfrm>
                    <a:prstGeom prst="rect">
                      <a:avLst/>
                    </a:prstGeom>
                    <a:noFill/>
                    <a:ln w="9525">
                      <a:noFill/>
                      <a:headEnd/>
                      <a:tailEnd/>
                    </a:ln>
                  </pic:spPr>
                </pic:pic>
              </a:graphicData>
            </a:graphic>
          </wp:inline>
        </w:drawing>
      </w:r>
    </w:p>
    <w:p>
      <w:pPr>
        <w:pStyle w:val="ImageCaption"/>
      </w:pPr>
      <w:r>
        <w:t xml:space="preserve">The typical two-tier AD CS topology: an offline root signs the enterprise issuing CAs, which publish into the forest’s Public Key Services container and issue through autoenrollment, NDES and CES/CEP, while CRL, AIA and OCSP endpoints let relying parties check status.</w:t>
      </w:r>
    </w:p>
    <w:bookmarkEnd w:id="90"/>
    <w:p>
      <w:pPr>
        <w:pStyle w:val="TableCaption"/>
      </w:pPr>
      <w:r>
        <w:t xml:space="preserve">AD CS components in a typical deployment</w:t>
      </w:r>
    </w:p>
    <w:tbl>
      <w:tblPr>
        <w:tblStyle w:val="Table"/>
        <w:tblW w:type="pct" w:w="5000"/>
        <w:tblLayout w:type="fixed"/>
        <w:tblLook w:firstRow="1" w:lastRow="0" w:firstColumn="0" w:lastColumn="0" w:noHBand="0" w:noVBand="0" w:val="0020"/>
        <w:tblCaption w:val="AD CS components in a typical deployment"/>
      </w:tblPr>
      <w:tblGrid>
        <w:gridCol w:w="2640"/>
        <w:gridCol w:w="2640"/>
        <w:gridCol w:w="2640"/>
      </w:tblGrid>
      <w:tr>
        <w:trPr>
          <w:tblHeader w:val="on"/>
        </w:trPr>
        <w:tc>
          <w:tcPr/>
          <w:p>
            <w:pPr>
              <w:pStyle w:val="Compact"/>
            </w:pPr>
            <w:r>
              <w:t xml:space="preserve">Component</w:t>
            </w:r>
          </w:p>
        </w:tc>
        <w:tc>
          <w:tcPr/>
          <w:p>
            <w:pPr>
              <w:pStyle w:val="Compact"/>
            </w:pPr>
            <w:r>
              <w:t xml:space="preserve">What it does</w:t>
            </w:r>
          </w:p>
        </w:tc>
        <w:tc>
          <w:tcPr/>
          <w:p>
            <w:pPr>
              <w:pStyle w:val="Compact"/>
            </w:pPr>
            <w:r>
              <w:t xml:space="preserve">Notes for the migration</w:t>
            </w:r>
          </w:p>
        </w:tc>
      </w:tr>
      <w:tr>
        <w:tc>
          <w:tcPr/>
          <w:p>
            <w:pPr>
              <w:pStyle w:val="Compact"/>
            </w:pPr>
            <w:r>
              <w:t xml:space="preserve">Offline root CA</w:t>
            </w:r>
          </w:p>
        </w:tc>
        <w:tc>
          <w:tcPr/>
          <w:p>
            <w:pPr>
              <w:pStyle w:val="Compact"/>
            </w:pPr>
            <w:r>
              <w:t xml:space="preserve">Signs the issuing CA certificates and its own CRL; otherwise powered off</w:t>
            </w:r>
          </w:p>
        </w:tc>
        <w:tc>
          <w:tcPr/>
          <w:p>
            <w:pPr>
              <w:pStyle w:val="Compact"/>
            </w:pPr>
            <w:r>
              <w:t xml:space="preserve">Usually a standalone CA on a hardened, non-domain-joined server, brought online for issuing-CA renewal and CRL signing</w:t>
            </w:r>
          </w:p>
        </w:tc>
      </w:tr>
      <w:tr>
        <w:tc>
          <w:tcPr/>
          <w:p>
            <w:pPr>
              <w:pStyle w:val="Compact"/>
            </w:pPr>
            <w:r>
              <w:t xml:space="preserve">Enterprise issuing CAs</w:t>
            </w:r>
          </w:p>
        </w:tc>
        <w:tc>
          <w:tcPr/>
          <w:p>
            <w:pPr>
              <w:pStyle w:val="Compact"/>
            </w:pPr>
            <w:r>
              <w:t xml:space="preserve">Domain-joined CAs that do day-to-day issuance; only enterprise CAs issue from certificate templates, which AD DS stores and every CA in the forest shares</w:t>
            </w:r>
            <w:r>
              <w:rPr>
                <w:rStyle w:val="FootnoteReference"/>
              </w:rPr>
              <w:footnoteReference w:id="91"/>
            </w:r>
          </w:p>
        </w:tc>
        <w:tc>
          <w:tcPr/>
          <w:p>
            <w:pPr>
              <w:pStyle w:val="Compact"/>
            </w:pPr>
            <w:r>
              <w:t xml:space="preserve">Each one publishes itself into the forest for enrollment discovery</w:t>
            </w:r>
          </w:p>
        </w:tc>
      </w:tr>
      <w:tr>
        <w:tc>
          <w:tcPr/>
          <w:p>
            <w:pPr>
              <w:pStyle w:val="Compact"/>
            </w:pPr>
            <w:r>
              <w:t xml:space="preserve">Network Device Enrollment Service (NDES)</w:t>
            </w:r>
          </w:p>
        </w:tc>
        <w:tc>
          <w:tcPr/>
          <w:p>
            <w:pPr>
              <w:pStyle w:val="Compact"/>
            </w:pPr>
            <w:r>
              <w:t xml:space="preserve">A registration authority that lets routers and other devices without domain credentials obtain certificates over SCEP</w:t>
            </w:r>
            <w:r>
              <w:rPr>
                <w:rStyle w:val="FootnoteReference"/>
              </w:rPr>
              <w:footnoteReference w:id="93"/>
            </w:r>
          </w:p>
        </w:tc>
        <w:tc>
          <w:tcPr/>
          <w:p>
            <w:pPr>
              <w:pStyle w:val="Compact"/>
            </w:pPr>
            <w:r>
              <w:t xml:space="preserve">Intune SCEP profiles that use a Microsoft CA need an NDES server and the Certificate Connector for Microsoft Intune</w:t>
            </w:r>
            <w:r>
              <w:rPr>
                <w:rStyle w:val="FootnoteReference"/>
              </w:rPr>
              <w:footnoteReference w:id="95"/>
            </w:r>
          </w:p>
        </w:tc>
      </w:tr>
      <w:tr>
        <w:tc>
          <w:tcPr/>
          <w:p>
            <w:pPr>
              <w:pStyle w:val="Compact"/>
            </w:pPr>
            <w:r>
              <w:t xml:space="preserve">Certificate Enrollment Web Service (CES) and Certificate Enrollment Policy Web Service (CEP)</w:t>
            </w:r>
          </w:p>
        </w:tc>
        <w:tc>
          <w:tcPr/>
          <w:p>
            <w:pPr>
              <w:pStyle w:val="Compact"/>
            </w:pPr>
            <w:r>
              <w:t xml:space="preserve">Policy-based enrollment over HTTPS for computers that aren’t domain members, or are away from the corporate network; CES also allows enrollment across forest boundaries</w:t>
            </w:r>
            <w:r>
              <w:rPr>
                <w:rStyle w:val="FootnoteReference"/>
              </w:rPr>
              <w:footnoteReference w:id="97"/>
            </w:r>
            <w:r>
              <w:rPr>
                <w:rStyle w:val="FootnoteReference"/>
              </w:rPr>
              <w:footnoteReference w:id="99"/>
            </w:r>
          </w:p>
        </w:tc>
        <w:tc>
          <w:tcPr/>
          <w:p>
            <w:pPr>
              <w:pStyle w:val="Compact"/>
            </w:pPr>
            <w:r>
              <w:t xml:space="preserve">Often placed in the perimeter network so internet-based clients can enroll</w:t>
            </w:r>
            <w:r>
              <w:rPr>
                <w:rStyle w:val="FootnoteReference"/>
              </w:rPr>
              <w:footnoteReference w:id="101"/>
            </w:r>
          </w:p>
        </w:tc>
      </w:tr>
      <w:tr>
        <w:tc>
          <w:tcPr/>
          <w:p>
            <w:pPr>
              <w:pStyle w:val="Compact"/>
            </w:pPr>
            <w:r>
              <w:t xml:space="preserve">CA Web Enrollment</w:t>
            </w:r>
          </w:p>
        </w:tc>
        <w:tc>
          <w:tcPr/>
          <w:p>
            <w:pPr>
              <w:pStyle w:val="Compact"/>
            </w:pPr>
            <w:r>
              <w:t xml:space="preserve">Browser-based, interactive certificate requests; the usual way to reach a standalone CA</w:t>
            </w:r>
            <w:r>
              <w:rPr>
                <w:rStyle w:val="FootnoteReference"/>
              </w:rPr>
              <w:footnoteReference w:id="102"/>
            </w:r>
          </w:p>
        </w:tc>
        <w:tc>
          <w:tcPr/>
          <w:p>
            <w:pPr>
              <w:pStyle w:val="Compact"/>
            </w:pPr>
            <w:r>
              <w:t xml:space="preserve">Interactive requests are hard to inventory; find out who still uses it</w:t>
            </w:r>
          </w:p>
        </w:tc>
      </w:tr>
      <w:tr>
        <w:tc>
          <w:tcPr/>
          <w:p>
            <w:pPr>
              <w:pStyle w:val="Compact"/>
            </w:pPr>
            <w:r>
              <w:t xml:space="preserve">CRL distribution points (CDP)</w:t>
            </w:r>
          </w:p>
        </w:tc>
        <w:tc>
          <w:tcPr/>
          <w:p>
            <w:pPr>
              <w:pStyle w:val="Compact"/>
            </w:pPr>
            <w:r>
              <w:t xml:space="preserve">HTTP and LDAP locations where CRLs are published</w:t>
            </w:r>
          </w:p>
        </w:tc>
        <w:tc>
          <w:tcPr/>
          <w:p>
            <w:pPr>
              <w:pStyle w:val="Compact"/>
            </w:pPr>
            <w:r>
              <w:t xml:space="preserve">Entra CBA accepts only one HTTP CRL location per CA; it doesn’t use LDAP or OCSP</w:t>
            </w:r>
            <w:r>
              <w:rPr>
                <w:rStyle w:val="FootnoteReference"/>
              </w:rPr>
              <w:footnoteReference w:id="104"/>
            </w:r>
          </w:p>
        </w:tc>
      </w:tr>
      <w:tr>
        <w:tc>
          <w:tcPr/>
          <w:p>
            <w:pPr>
              <w:pStyle w:val="Compact"/>
            </w:pPr>
            <w:r>
              <w:t xml:space="preserve">Authority Information Access (AIA)</w:t>
            </w:r>
          </w:p>
        </w:tc>
        <w:tc>
          <w:tcPr/>
          <w:p>
            <w:pPr>
              <w:pStyle w:val="Compact"/>
            </w:pPr>
            <w:r>
              <w:t xml:space="preserve">HTTP and LDAP locations from which relying parties retrieve CA certificates to build the chain</w:t>
            </w:r>
          </w:p>
        </w:tc>
        <w:tc>
          <w:tcPr/>
          <w:p>
            <w:pPr>
              <w:pStyle w:val="Compact"/>
            </w:pPr>
            <w:r>
              <w:t xml:space="preserve">LDAP locations are useful only to clients that can query the forest’s directory</w:t>
            </w:r>
          </w:p>
        </w:tc>
      </w:tr>
      <w:tr>
        <w:tc>
          <w:tcPr/>
          <w:p>
            <w:pPr>
              <w:pStyle w:val="Compact"/>
            </w:pPr>
            <w:r>
              <w:t xml:space="preserve">Online Responder (optional)</w:t>
            </w:r>
          </w:p>
        </w:tc>
        <w:tc>
          <w:tcPr/>
          <w:p>
            <w:pPr>
              <w:pStyle w:val="Compact"/>
            </w:pPr>
            <w:r>
              <w:t xml:space="preserve">Answers OCSP requests with a signed status for individual certificates</w:t>
            </w:r>
            <w:r>
              <w:rPr>
                <w:rStyle w:val="FootnoteReference"/>
              </w:rPr>
              <w:footnoteReference w:id="106"/>
            </w:r>
          </w:p>
        </w:tc>
        <w:tc>
          <w:tcPr/>
          <w:p>
            <w:pPr>
              <w:pStyle w:val="Compact"/>
            </w:pPr>
            <w:r>
              <w:t xml:space="preserve">Serves only the CAs it’s configured for; see the use-case map below</w:t>
            </w:r>
          </w:p>
        </w:tc>
      </w:tr>
    </w:tbl>
    <w:bookmarkStart w:id="109" w:name="what-ad-cs-keeps-in-the-forest"/>
    <w:p>
      <w:pPr>
        <w:pStyle w:val="Heading3"/>
      </w:pPr>
      <w:r>
        <w:t xml:space="preserve">What AD CS keeps in the forest</w:t>
      </w:r>
    </w:p>
    <w:p>
      <w:pPr>
        <w:pStyle w:val="FirstParagraph"/>
      </w:pPr>
      <w:r>
        <w:t xml:space="preserve">An enterprise CA isn’t only a server; it’s a set of objects in the Public Key Services branch of the forest’s configuration partition. Microsoft describes what each holds:</w:t>
      </w:r>
      <w:r>
        <w:rPr>
          <w:rStyle w:val="FootnoteReference"/>
        </w:rPr>
        <w:footnoteReference w:id="107"/>
      </w:r>
    </w:p>
    <w:p>
      <w:pPr>
        <w:pStyle w:val="TableCaption"/>
      </w:pPr>
      <w:r>
        <w:t xml:space="preserve">The Public Key Services objects an enterprise PKI depends on</w:t>
      </w:r>
    </w:p>
    <w:tbl>
      <w:tblPr>
        <w:tblStyle w:val="Table"/>
        <w:tblW w:type="pct" w:w="5000"/>
        <w:tblLayout w:type="fixed"/>
        <w:tblLook w:firstRow="1" w:lastRow="0" w:firstColumn="0" w:lastColumn="0" w:noHBand="0" w:noVBand="0" w:val="0020"/>
        <w:tblCaption w:val="The Public Key Services objects an enterprise PKI depends on"/>
      </w:tblPr>
      <w:tblGrid>
        <w:gridCol w:w="3960"/>
        <w:gridCol w:w="3960"/>
      </w:tblGrid>
      <w:tr>
        <w:trPr>
          <w:tblHeader w:val="on"/>
        </w:trPr>
        <w:tc>
          <w:tcPr/>
          <w:p>
            <w:pPr>
              <w:pStyle w:val="Compact"/>
            </w:pPr>
            <w:r>
              <w:t xml:space="preserve">Container or object</w:t>
            </w:r>
          </w:p>
        </w:tc>
        <w:tc>
          <w:tcPr/>
          <w:p>
            <w:pPr>
              <w:pStyle w:val="Compact"/>
            </w:pPr>
            <w:r>
              <w:t xml:space="preserve">What it holds</w:t>
            </w:r>
          </w:p>
        </w:tc>
      </w:tr>
      <w:tr>
        <w:tc>
          <w:tcPr/>
          <w:p>
            <w:pPr>
              <w:pStyle w:val="Compact"/>
            </w:pPr>
            <w:r>
              <w:t xml:space="preserve">AIA</w:t>
            </w:r>
          </w:p>
        </w:tc>
        <w:tc>
          <w:tcPr/>
          <w:p>
            <w:pPr>
              <w:pStyle w:val="Compact"/>
            </w:pPr>
            <w:r>
              <w:t xml:space="preserve">A</w:t>
            </w:r>
            <w:r>
              <w:t xml:space="preserve"> </w:t>
            </w:r>
            <w:r>
              <w:rPr>
                <w:rStyle w:val="VerbatimChar"/>
              </w:rPr>
              <w:t xml:space="preserve">certificateAuthority</w:t>
            </w:r>
            <w:r>
              <w:t xml:space="preserve"> </w:t>
            </w:r>
            <w:r>
              <w:t xml:space="preserve">object per CA, the directory AIA location clients use to build chains</w:t>
            </w:r>
          </w:p>
        </w:tc>
      </w:tr>
      <w:tr>
        <w:tc>
          <w:tcPr/>
          <w:p>
            <w:pPr>
              <w:pStyle w:val="Compact"/>
            </w:pPr>
            <w:r>
              <w:t xml:space="preserve">CDP</w:t>
            </w:r>
          </w:p>
        </w:tc>
        <w:tc>
          <w:tcPr/>
          <w:p>
            <w:pPr>
              <w:pStyle w:val="Compact"/>
            </w:pPr>
            <w:r>
              <w:t xml:space="preserve">A</w:t>
            </w:r>
            <w:r>
              <w:t xml:space="preserve"> </w:t>
            </w:r>
            <w:r>
              <w:rPr>
                <w:rStyle w:val="VerbatimChar"/>
              </w:rPr>
              <w:t xml:space="preserve">crlDistributionPoint</w:t>
            </w:r>
            <w:r>
              <w:t xml:space="preserve"> </w:t>
            </w:r>
            <w:r>
              <w:t xml:space="preserve">object per CA server, holding the CRLs it publishes</w:t>
            </w:r>
          </w:p>
        </w:tc>
      </w:tr>
      <w:tr>
        <w:tc>
          <w:tcPr/>
          <w:p>
            <w:pPr>
              <w:pStyle w:val="Compact"/>
            </w:pPr>
            <w:r>
              <w:t xml:space="preserve">Certification Authorities</w:t>
            </w:r>
          </w:p>
        </w:tc>
        <w:tc>
          <w:tcPr/>
          <w:p>
            <w:pPr>
              <w:pStyle w:val="Compact"/>
            </w:pPr>
            <w:r>
              <w:t xml:space="preserve">The forest’s root CA trust store</w:t>
            </w:r>
          </w:p>
        </w:tc>
      </w:tr>
      <w:tr>
        <w:tc>
          <w:tcPr/>
          <w:p>
            <w:pPr>
              <w:pStyle w:val="Compact"/>
            </w:pPr>
            <w:r>
              <w:t xml:space="preserve">Enrollment Services</w:t>
            </w:r>
          </w:p>
        </w:tc>
        <w:tc>
          <w:tcPr/>
          <w:p>
            <w:pPr>
              <w:pStyle w:val="Compact"/>
            </w:pPr>
            <w:r>
              <w:t xml:space="preserve">The</w:t>
            </w:r>
            <w:r>
              <w:t xml:space="preserve"> </w:t>
            </w:r>
            <w:r>
              <w:rPr>
                <w:rStyle w:val="VerbatimChar"/>
              </w:rPr>
              <w:t xml:space="preserve">pKIEnrollmentService</w:t>
            </w:r>
            <w:r>
              <w:t xml:space="preserve"> </w:t>
            </w:r>
            <w:r>
              <w:t xml:space="preserve">object each enterprise CA creates, which records the certificate types it can issue; its permissions control who can enroll against that CA</w:t>
            </w:r>
          </w:p>
        </w:tc>
      </w:tr>
      <w:tr>
        <w:tc>
          <w:tcPr/>
          <w:p>
            <w:pPr>
              <w:pStyle w:val="Compact"/>
            </w:pPr>
            <w:r>
              <w:t xml:space="preserve">Certificate Templates</w:t>
            </w:r>
          </w:p>
        </w:tc>
        <w:tc>
          <w:tcPr/>
          <w:p>
            <w:pPr>
              <w:pStyle w:val="Compact"/>
            </w:pPr>
            <w:r>
              <w:t xml:space="preserve">The templates enterprise CAs issue from</w:t>
            </w:r>
          </w:p>
        </w:tc>
      </w:tr>
      <w:tr>
        <w:tc>
          <w:tcPr/>
          <w:p>
            <w:pPr>
              <w:pStyle w:val="Compact"/>
            </w:pPr>
            <w:r>
              <w:t xml:space="preserve">KRA</w:t>
            </w:r>
          </w:p>
        </w:tc>
        <w:tc>
          <w:tcPr/>
          <w:p>
            <w:pPr>
              <w:pStyle w:val="Compact"/>
            </w:pPr>
            <w:r>
              <w:t xml:space="preserve">Key recovery agent certificate information for CAs that archive keys</w:t>
            </w:r>
          </w:p>
        </w:tc>
      </w:tr>
      <w:tr>
        <w:tc>
          <w:tcPr/>
          <w:p>
            <w:pPr>
              <w:pStyle w:val="Compact"/>
            </w:pPr>
            <w:r>
              <w:t xml:space="preserve">OID</w:t>
            </w:r>
          </w:p>
        </w:tc>
        <w:tc>
          <w:tcPr/>
          <w:p>
            <w:pPr>
              <w:pStyle w:val="Compact"/>
            </w:pPr>
            <w:r>
              <w:t xml:space="preserve">Enterprise object identifiers for template, EKU, application policy and issuance policy names</w:t>
            </w:r>
          </w:p>
        </w:tc>
      </w:tr>
      <w:tr>
        <w:tc>
          <w:tcPr/>
          <w:p>
            <w:pPr>
              <w:pStyle w:val="Compact"/>
            </w:pPr>
            <w:r>
              <w:t xml:space="preserve">NTAuthCertificates</w:t>
            </w:r>
          </w:p>
        </w:tc>
        <w:tc>
          <w:tcPr/>
          <w:p>
            <w:pPr>
              <w:pStyle w:val="Compact"/>
            </w:pPr>
            <w:r>
              <w:t xml:space="preserve">CA certificates trusted to issue authentication certificates, such as smart card logon and domain controller certificates; enterprise CAs publish themselves here automatically</w:t>
            </w:r>
          </w:p>
        </w:tc>
      </w:tr>
    </w:tbl>
    <w:p>
      <w:pPr>
        <w:pStyle w:val="BodyText"/>
      </w:pPr>
      <w:r>
        <w:t xml:space="preserve">These objects are forest-wide, so a change to any of them can reach clients well beyond the CA in view, and they are exactly what ties AD CS to Active Directory.</w:t>
      </w:r>
      <w:r>
        <w:rPr>
          <w:rStyle w:val="FootnoteReference"/>
        </w:rPr>
        <w:footnoteReference w:id="108"/>
      </w:r>
      <w:r>
        <w:t xml:space="preserve"> </w:t>
      </w:r>
      <w:r>
        <w:t xml:space="preserve">The inventory captures them; the decommissioning steps in Chapter 08 remove them last.</w:t>
      </w:r>
    </w:p>
    <w:bookmarkEnd w:id="109"/>
    <w:bookmarkStart w:id="111" w:name="the-ca-inventory-record"/>
    <w:p>
      <w:pPr>
        <w:pStyle w:val="Heading3"/>
      </w:pPr>
      <w:r>
        <w:t xml:space="preserve">The CA inventory record</w:t>
      </w:r>
    </w:p>
    <w:p>
      <w:pPr>
        <w:pStyle w:val="FirstParagraph"/>
      </w:pPr>
      <w:r>
        <w:t xml:space="preserve">Record each CA with the same attributes. The values below are illustrative of a common deployment, not a recommendation; Chapter 03 and Chapter 04 set the program’s targets.</w:t>
      </w:r>
    </w:p>
    <w:p>
      <w:pPr>
        <w:pStyle w:val="TableCaption"/>
      </w:pPr>
      <w:r>
        <w:t xml:space="preserve">CA inventory record, with illustrative values</w:t>
      </w:r>
    </w:p>
    <w:tbl>
      <w:tblPr>
        <w:tblStyle w:val="Table"/>
        <w:tblW w:type="pct" w:w="5000"/>
        <w:tblLayout w:type="fixed"/>
        <w:tblLook w:firstRow="1" w:lastRow="0" w:firstColumn="0" w:lastColumn="0" w:noHBand="0" w:noVBand="0" w:val="0020"/>
        <w:tblCaption w:val="CA inventory record, with illustrative values"/>
      </w:tblPr>
      <w:tblGrid>
        <w:gridCol w:w="1980"/>
        <w:gridCol w:w="1980"/>
        <w:gridCol w:w="1980"/>
        <w:gridCol w:w="1980"/>
      </w:tblGrid>
      <w:tr>
        <w:trPr>
          <w:tblHeader w:val="on"/>
        </w:trPr>
        <w:tc>
          <w:tcPr/>
          <w:p>
            <w:pPr>
              <w:pStyle w:val="Compact"/>
            </w:pPr>
            <w:r>
              <w:t xml:space="preserve">Attribute</w:t>
            </w:r>
          </w:p>
        </w:tc>
        <w:tc>
          <w:tcPr/>
          <w:p>
            <w:pPr>
              <w:pStyle w:val="Compact"/>
            </w:pPr>
            <w:r>
              <w:t xml:space="preserve">Root CA</w:t>
            </w:r>
          </w:p>
        </w:tc>
        <w:tc>
          <w:tcPr/>
          <w:p>
            <w:pPr>
              <w:pStyle w:val="Compact"/>
            </w:pPr>
            <w:r>
              <w:t xml:space="preserve">Issuing CA 1</w:t>
            </w:r>
          </w:p>
        </w:tc>
        <w:tc>
          <w:tcPr/>
          <w:p>
            <w:pPr>
              <w:pStyle w:val="Compact"/>
            </w:pPr>
            <w:r>
              <w:t xml:space="preserve">Issuing CA 2</w:t>
            </w:r>
          </w:p>
        </w:tc>
      </w:tr>
      <w:tr>
        <w:tc>
          <w:tcPr/>
          <w:p>
            <w:pPr>
              <w:pStyle w:val="Compact"/>
            </w:pPr>
            <w:r>
              <w:t xml:space="preserve">CA type</w:t>
            </w:r>
          </w:p>
        </w:tc>
        <w:tc>
          <w:tcPr/>
          <w:p>
            <w:pPr>
              <w:pStyle w:val="Compact"/>
            </w:pPr>
            <w:r>
              <w:t xml:space="preserve">Standalone root</w:t>
            </w:r>
          </w:p>
        </w:tc>
        <w:tc>
          <w:tcPr/>
          <w:p>
            <w:pPr>
              <w:pStyle w:val="Compact"/>
            </w:pPr>
            <w:r>
              <w:t xml:space="preserve">Enterprise subordinate</w:t>
            </w:r>
          </w:p>
        </w:tc>
        <w:tc>
          <w:tcPr/>
          <w:p>
            <w:pPr>
              <w:pStyle w:val="Compact"/>
            </w:pPr>
            <w:r>
              <w:t xml:space="preserve">Enterprise subordinate</w:t>
            </w:r>
          </w:p>
        </w:tc>
      </w:tr>
      <w:tr>
        <w:tc>
          <w:tcPr/>
          <w:p>
            <w:pPr>
              <w:pStyle w:val="Compact"/>
            </w:pPr>
            <w:r>
              <w:t xml:space="preserve">Server name</w:t>
            </w:r>
          </w:p>
        </w:tc>
        <w:tc>
          <w:tcPr/>
          <w:p>
            <w:pPr>
              <w:pStyle w:val="Compact"/>
            </w:pPr>
            <w:r>
              <w:rPr>
                <w:rStyle w:val="VerbatimChar"/>
              </w:rPr>
              <w:t xml:space="preserve">FMP-ROOT-CA</w:t>
            </w:r>
          </w:p>
        </w:tc>
        <w:tc>
          <w:tcPr/>
          <w:p>
            <w:pPr>
              <w:pStyle w:val="Compact"/>
            </w:pPr>
            <w:r>
              <w:rPr>
                <w:rStyle w:val="VerbatimChar"/>
              </w:rPr>
              <w:t xml:space="preserve">FMP-ISS-CA01</w:t>
            </w:r>
          </w:p>
        </w:tc>
        <w:tc>
          <w:tcPr/>
          <w:p>
            <w:pPr>
              <w:pStyle w:val="Compact"/>
            </w:pPr>
            <w:r>
              <w:rPr>
                <w:rStyle w:val="VerbatimChar"/>
              </w:rPr>
              <w:t xml:space="preserve">FMP-ISS-CA02</w:t>
            </w:r>
          </w:p>
        </w:tc>
      </w:tr>
      <w:tr>
        <w:tc>
          <w:tcPr/>
          <w:p>
            <w:pPr>
              <w:pStyle w:val="Compact"/>
            </w:pPr>
            <w:r>
              <w:t xml:space="preserve">Operating system</w:t>
            </w:r>
          </w:p>
        </w:tc>
        <w:tc>
          <w:tcPr/>
          <w:p>
            <w:pPr>
              <w:pStyle w:val="Compact"/>
            </w:pPr>
            <w:r>
              <w:t xml:space="preserve">Windows Server 2019</w:t>
            </w:r>
          </w:p>
        </w:tc>
        <w:tc>
          <w:tcPr/>
          <w:p>
            <w:pPr>
              <w:pStyle w:val="Compact"/>
            </w:pPr>
            <w:r>
              <w:t xml:space="preserve">Windows Server 2022</w:t>
            </w:r>
          </w:p>
        </w:tc>
        <w:tc>
          <w:tcPr/>
          <w:p>
            <w:pPr>
              <w:pStyle w:val="Compact"/>
            </w:pPr>
            <w:r>
              <w:t xml:space="preserve">Windows Server 2022</w:t>
            </w:r>
          </w:p>
        </w:tc>
      </w:tr>
      <w:tr>
        <w:tc>
          <w:tcPr/>
          <w:p>
            <w:pPr>
              <w:pStyle w:val="Compact"/>
            </w:pPr>
            <w:r>
              <w:t xml:space="preserve">Key algorithm and length</w:t>
            </w:r>
          </w:p>
        </w:tc>
        <w:tc>
          <w:tcPr/>
          <w:p>
            <w:pPr>
              <w:pStyle w:val="Compact"/>
            </w:pPr>
            <w:r>
              <w:t xml:space="preserve">RSA 4096</w:t>
            </w:r>
          </w:p>
        </w:tc>
        <w:tc>
          <w:tcPr/>
          <w:p>
            <w:pPr>
              <w:pStyle w:val="Compact"/>
            </w:pPr>
            <w:r>
              <w:t xml:space="preserve">RSA 2048</w:t>
            </w:r>
          </w:p>
        </w:tc>
        <w:tc>
          <w:tcPr/>
          <w:p>
            <w:pPr>
              <w:pStyle w:val="Compact"/>
            </w:pPr>
            <w:r>
              <w:t xml:space="preserve">RSA 2048</w:t>
            </w:r>
          </w:p>
        </w:tc>
      </w:tr>
      <w:tr>
        <w:tc>
          <w:tcPr/>
          <w:p>
            <w:pPr>
              <w:pStyle w:val="Compact"/>
            </w:pPr>
            <w:r>
              <w:t xml:space="preserve">Key storage provider</w:t>
            </w:r>
          </w:p>
        </w:tc>
        <w:tc>
          <w:tcPr/>
          <w:p>
            <w:pPr>
              <w:pStyle w:val="Compact"/>
            </w:pPr>
            <w:r>
              <w:t xml:space="preserve">CNG or legacy CSP</w:t>
            </w:r>
          </w:p>
        </w:tc>
        <w:tc>
          <w:tcPr/>
          <w:p>
            <w:pPr>
              <w:pStyle w:val="Compact"/>
            </w:pPr>
            <w:r>
              <w:t xml:space="preserve">CNG or legacy CSP</w:t>
            </w:r>
          </w:p>
        </w:tc>
        <w:tc>
          <w:tcPr/>
          <w:p>
            <w:pPr>
              <w:pStyle w:val="Compact"/>
            </w:pPr>
            <w:r>
              <w:t xml:space="preserve">CNG or legacy CSP</w:t>
            </w:r>
          </w:p>
        </w:tc>
      </w:tr>
      <w:tr>
        <w:tc>
          <w:tcPr/>
          <w:p>
            <w:pPr>
              <w:pStyle w:val="Compact"/>
            </w:pPr>
            <w:r>
              <w:t xml:space="preserve">Hash algorithm</w:t>
            </w:r>
          </w:p>
        </w:tc>
        <w:tc>
          <w:tcPr/>
          <w:p>
            <w:pPr>
              <w:pStyle w:val="Compact"/>
            </w:pPr>
            <w:r>
              <w:t xml:space="preserve">SHA-256</w:t>
            </w:r>
          </w:p>
        </w:tc>
        <w:tc>
          <w:tcPr/>
          <w:p>
            <w:pPr>
              <w:pStyle w:val="Compact"/>
            </w:pPr>
            <w:r>
              <w:t xml:space="preserve">SHA-256</w:t>
            </w:r>
          </w:p>
        </w:tc>
        <w:tc>
          <w:tcPr/>
          <w:p>
            <w:pPr>
              <w:pStyle w:val="Compact"/>
            </w:pPr>
            <w:r>
              <w:t xml:space="preserve">SHA-256</w:t>
            </w:r>
          </w:p>
        </w:tc>
      </w:tr>
      <w:tr>
        <w:tc>
          <w:tcPr/>
          <w:p>
            <w:pPr>
              <w:pStyle w:val="Compact"/>
            </w:pPr>
            <w:r>
              <w:t xml:space="preserve">CA certificate validity</w:t>
            </w:r>
          </w:p>
        </w:tc>
        <w:tc>
          <w:tcPr/>
          <w:p>
            <w:pPr>
              <w:pStyle w:val="Compact"/>
            </w:pPr>
            <w:r>
              <w:t xml:space="preserve">20 years</w:t>
            </w:r>
          </w:p>
        </w:tc>
        <w:tc>
          <w:tcPr/>
          <w:p>
            <w:pPr>
              <w:pStyle w:val="Compact"/>
            </w:pPr>
            <w:r>
              <w:t xml:space="preserve">5 years</w:t>
            </w:r>
          </w:p>
        </w:tc>
        <w:tc>
          <w:tcPr/>
          <w:p>
            <w:pPr>
              <w:pStyle w:val="Compact"/>
            </w:pPr>
            <w:r>
              <w:t xml:space="preserve">5 years</w:t>
            </w:r>
          </w:p>
        </w:tc>
      </w:tr>
      <w:tr>
        <w:tc>
          <w:tcPr/>
          <w:p>
            <w:pPr>
              <w:pStyle w:val="Compact"/>
            </w:pPr>
            <w:r>
              <w:t xml:space="preserve">CRL distribution points</w:t>
            </w:r>
          </w:p>
        </w:tc>
        <w:tc>
          <w:tcPr/>
          <w:p>
            <w:pPr>
              <w:pStyle w:val="Compact"/>
            </w:pPr>
            <w:r>
              <w:t xml:space="preserve">HTTP, LDAP</w:t>
            </w:r>
          </w:p>
        </w:tc>
        <w:tc>
          <w:tcPr/>
          <w:p>
            <w:pPr>
              <w:pStyle w:val="Compact"/>
            </w:pPr>
            <w:r>
              <w:t xml:space="preserve">HTTP, LDAP</w:t>
            </w:r>
          </w:p>
        </w:tc>
        <w:tc>
          <w:tcPr/>
          <w:p>
            <w:pPr>
              <w:pStyle w:val="Compact"/>
            </w:pPr>
            <w:r>
              <w:t xml:space="preserve">HTTP, LDAP</w:t>
            </w:r>
          </w:p>
        </w:tc>
      </w:tr>
      <w:tr>
        <w:tc>
          <w:tcPr/>
          <w:p>
            <w:pPr>
              <w:pStyle w:val="Compact"/>
            </w:pPr>
            <w:r>
              <w:t xml:space="preserve">AIA locations</w:t>
            </w:r>
          </w:p>
        </w:tc>
        <w:tc>
          <w:tcPr/>
          <w:p>
            <w:pPr>
              <w:pStyle w:val="Compact"/>
            </w:pPr>
            <w:r>
              <w:t xml:space="preserve">HTTP, LDAP</w:t>
            </w:r>
          </w:p>
        </w:tc>
        <w:tc>
          <w:tcPr/>
          <w:p>
            <w:pPr>
              <w:pStyle w:val="Compact"/>
            </w:pPr>
            <w:r>
              <w:t xml:space="preserve">HTTP, LDAP</w:t>
            </w:r>
          </w:p>
        </w:tc>
        <w:tc>
          <w:tcPr/>
          <w:p>
            <w:pPr>
              <w:pStyle w:val="Compact"/>
            </w:pPr>
            <w:r>
              <w:t xml:space="preserve">HTTP, LDAP</w:t>
            </w:r>
          </w:p>
        </w:tc>
      </w:tr>
      <w:tr>
        <w:tc>
          <w:tcPr/>
          <w:p>
            <w:pPr>
              <w:pStyle w:val="Compact"/>
            </w:pPr>
            <w:r>
              <w:t xml:space="preserve">CRL size and publication interval</w:t>
            </w:r>
          </w:p>
        </w:tc>
        <w:tc>
          <w:tcPr/>
          <w:p>
            <w:pPr>
              <w:pStyle w:val="Compact"/>
            </w:pPr>
            <w:r>
              <w:t xml:space="preserve">—</w:t>
            </w:r>
          </w:p>
        </w:tc>
        <w:tc>
          <w:tcPr/>
          <w:p>
            <w:pPr>
              <w:pStyle w:val="Compact"/>
            </w:pPr>
            <w:r>
              <w:t xml:space="preserve">Record both</w:t>
            </w:r>
          </w:p>
        </w:tc>
        <w:tc>
          <w:tcPr/>
          <w:p>
            <w:pPr>
              <w:pStyle w:val="Compact"/>
            </w:pPr>
            <w:r>
              <w:t xml:space="preserve">Record both</w:t>
            </w:r>
          </w:p>
        </w:tc>
      </w:tr>
      <w:tr>
        <w:tc>
          <w:tcPr/>
          <w:p>
            <w:pPr>
              <w:pStyle w:val="Compact"/>
            </w:pPr>
            <w:r>
              <w:t xml:space="preserve">OCSP configured</w:t>
            </w:r>
          </w:p>
        </w:tc>
        <w:tc>
          <w:tcPr/>
          <w:p>
            <w:pPr>
              <w:pStyle w:val="Compact"/>
            </w:pPr>
            <w:r>
              <w:t xml:space="preserve">No</w:t>
            </w:r>
          </w:p>
        </w:tc>
        <w:tc>
          <w:tcPr/>
          <w:p>
            <w:pPr>
              <w:pStyle w:val="Compact"/>
            </w:pPr>
            <w:r>
              <w:t xml:space="preserve">Yes or no</w:t>
            </w:r>
          </w:p>
        </w:tc>
        <w:tc>
          <w:tcPr/>
          <w:p>
            <w:pPr>
              <w:pStyle w:val="Compact"/>
            </w:pPr>
            <w:r>
              <w:t xml:space="preserve">Yes or no</w:t>
            </w:r>
          </w:p>
        </w:tc>
      </w:tr>
      <w:tr>
        <w:tc>
          <w:tcPr/>
          <w:p>
            <w:pPr>
              <w:pStyle w:val="Compact"/>
            </w:pPr>
            <w:r>
              <w:t xml:space="preserve">Key protected by an HSM</w:t>
            </w:r>
          </w:p>
        </w:tc>
        <w:tc>
          <w:tcPr/>
          <w:p>
            <w:pPr>
              <w:pStyle w:val="Compact"/>
            </w:pPr>
            <w:r>
              <w:t xml:space="preserve">Yes or no</w:t>
            </w:r>
          </w:p>
        </w:tc>
        <w:tc>
          <w:tcPr/>
          <w:p>
            <w:pPr>
              <w:pStyle w:val="Compact"/>
            </w:pPr>
            <w:r>
              <w:t xml:space="preserve">Yes or no</w:t>
            </w:r>
          </w:p>
        </w:tc>
        <w:tc>
          <w:tcPr/>
          <w:p>
            <w:pPr>
              <w:pStyle w:val="Compact"/>
            </w:pPr>
            <w:r>
              <w:t xml:space="preserve">Yes or no</w:t>
            </w:r>
          </w:p>
        </w:tc>
      </w:tr>
      <w:tr>
        <w:tc>
          <w:tcPr/>
          <w:p>
            <w:pPr>
              <w:pStyle w:val="Compact"/>
            </w:pPr>
            <w:r>
              <w:t xml:space="preserve">Templates published</w:t>
            </w:r>
          </w:p>
        </w:tc>
        <w:tc>
          <w:tcPr/>
          <w:p>
            <w:pPr>
              <w:pStyle w:val="Compact"/>
            </w:pPr>
            <w:r>
              <w:t xml:space="preserve">None</w:t>
            </w:r>
          </w:p>
        </w:tc>
        <w:tc>
          <w:tcPr/>
          <w:p>
            <w:pPr>
              <w:pStyle w:val="Compact"/>
            </w:pPr>
            <w:r>
              <w:t xml:space="preserve">List</w:t>
            </w:r>
          </w:p>
        </w:tc>
        <w:tc>
          <w:tcPr/>
          <w:p>
            <w:pPr>
              <w:pStyle w:val="Compact"/>
            </w:pPr>
            <w:r>
              <w:t xml:space="preserve">List</w:t>
            </w:r>
          </w:p>
        </w:tc>
      </w:tr>
    </w:tbl>
    <w:p>
      <w:pPr>
        <w:pStyle w:val="BodyText"/>
      </w:pPr>
      <w:r>
        <w:t xml:space="preserve">Two rows were added to the source’s template because the target depends on them. The key storage provider matters because AD CS post-quantum support requires CNG providers and doesn’t support legacy CSPs.</w:t>
      </w:r>
      <w:r>
        <w:rPr>
          <w:rStyle w:val="FootnoteReference"/>
        </w:rPr>
        <w:footnoteReference w:id="110"/>
      </w:r>
      <w:r>
        <w:t xml:space="preserve"> </w:t>
      </w:r>
      <w:r>
        <w:t xml:space="preserve">The CRL size matters because Entra CBA downloads each trusted CA’s CRL and enforces size limits (Book 03, Chapter 09 gives them).</w:t>
      </w:r>
    </w:p>
    <w:bookmarkEnd w:id="111"/>
    <w:bookmarkEnd w:id="112"/>
    <w:bookmarkStart w:id="120" w:name="template-categories"/>
    <w:p>
      <w:pPr>
        <w:pStyle w:val="Heading2"/>
      </w:pPr>
      <w:bookmarkStart w:id="947" w:name="_Toc00000947"/>
      <w:r>
        <w:t xml:space="preserve">Template categories</w:t>
      </w:r>
      <w:bookmarkEnd w:id="947"/>
    </w:p>
    <w:p>
      <w:pPr>
        <w:pStyle w:val="FirstParagraph"/>
      </w:pPr>
      <w:r>
        <w:t xml:space="preserve">Templates are organized by use case, and the extended key usage (EKU) a template stamps on its certificates says what the certificate may be used for. The categories below appear in most deployments. The template names are AD CS defaults</w:t>
      </w:r>
      <w:r>
        <w:rPr>
          <w:rStyle w:val="FootnoteReference"/>
        </w:rPr>
        <w:footnoteReference w:id="113"/>
      </w:r>
      <w:r>
        <w:t xml:space="preserve"> </w:t>
      </w:r>
      <w:r>
        <w:t xml:space="preserve">(custom templates are usually duplicates of them), and the OIDs are Microsoft’s.</w:t>
      </w:r>
      <w:r>
        <w:rPr>
          <w:rStyle w:val="FootnoteReference"/>
        </w:rPr>
        <w:footnoteReference w:id="115"/>
      </w:r>
    </w:p>
    <w:p>
      <w:pPr>
        <w:pStyle w:val="TableCaption"/>
      </w:pPr>
      <w:r>
        <w:t xml:space="preserve">Common AD CS template categories</w:t>
      </w:r>
    </w:p>
    <w:tbl>
      <w:tblPr>
        <w:tblStyle w:val="Table"/>
        <w:tblW w:type="pct" w:w="5000"/>
        <w:tblLayout w:type="fixed"/>
        <w:tblLook w:firstRow="1" w:lastRow="0" w:firstColumn="0" w:lastColumn="0" w:noHBand="0" w:noVBand="0" w:val="0020"/>
        <w:tblCaption w:val="Common AD CS template categories"/>
      </w:tblPr>
      <w:tblGrid>
        <w:gridCol w:w="1980"/>
        <w:gridCol w:w="1980"/>
        <w:gridCol w:w="1980"/>
        <w:gridCol w:w="1980"/>
      </w:tblGrid>
      <w:tr>
        <w:trPr>
          <w:tblHeader w:val="on"/>
        </w:trPr>
        <w:tc>
          <w:tcPr/>
          <w:p>
            <w:pPr>
              <w:pStyle w:val="Compact"/>
            </w:pPr>
            <w:r>
              <w:t xml:space="preserve">Category</w:t>
            </w:r>
          </w:p>
        </w:tc>
        <w:tc>
          <w:tcPr/>
          <w:p>
            <w:pPr>
              <w:pStyle w:val="Compact"/>
            </w:pPr>
            <w:r>
              <w:t xml:space="preserve">Typical templates</w:t>
            </w:r>
          </w:p>
        </w:tc>
        <w:tc>
          <w:tcPr/>
          <w:p>
            <w:pPr>
              <w:pStyle w:val="Compact"/>
            </w:pPr>
            <w:r>
              <w:t xml:space="preserve">EKU (OID)</w:t>
            </w:r>
          </w:p>
        </w:tc>
        <w:tc>
          <w:tcPr/>
          <w:p>
            <w:pPr>
              <w:pStyle w:val="Compact"/>
            </w:pPr>
            <w:r>
              <w:t xml:space="preserve">Typical subjects</w:t>
            </w:r>
          </w:p>
        </w:tc>
      </w:tr>
      <w:tr>
        <w:tc>
          <w:tcPr/>
          <w:p>
            <w:pPr>
              <w:pStyle w:val="Compact"/>
            </w:pPr>
            <w:r>
              <w:t xml:space="preserve">User authentication</w:t>
            </w:r>
          </w:p>
        </w:tc>
        <w:tc>
          <w:tcPr/>
          <w:p>
            <w:pPr>
              <w:pStyle w:val="Compact"/>
            </w:pPr>
            <w:r>
              <w:t xml:space="preserve">User, Smartcard User</w:t>
            </w:r>
          </w:p>
        </w:tc>
        <w:tc>
          <w:tcPr/>
          <w:p>
            <w:pPr>
              <w:pStyle w:val="Compact"/>
            </w:pPr>
            <w:r>
              <w:t xml:space="preserve">Client Authentication (</w:t>
            </w:r>
            <w:r>
              <w:rPr>
                <w:rStyle w:val="VerbatimChar"/>
              </w:rPr>
              <w:t xml:space="preserve">1.3.6.1.5.5.7.3.2</w:t>
            </w:r>
            <w:r>
              <w:t xml:space="preserve">)</w:t>
            </w:r>
          </w:p>
        </w:tc>
        <w:tc>
          <w:tcPr/>
          <w:p>
            <w:pPr>
              <w:pStyle w:val="Compact"/>
            </w:pPr>
            <w:r>
              <w:t xml:space="preserve">Domain users</w:t>
            </w:r>
          </w:p>
        </w:tc>
      </w:tr>
      <w:tr>
        <w:tc>
          <w:tcPr/>
          <w:p>
            <w:pPr>
              <w:pStyle w:val="Compact"/>
            </w:pPr>
            <w:r>
              <w:t xml:space="preserve">Computer authentication</w:t>
            </w:r>
          </w:p>
        </w:tc>
        <w:tc>
          <w:tcPr/>
          <w:p>
            <w:pPr>
              <w:pStyle w:val="Compact"/>
            </w:pPr>
            <w:r>
              <w:t xml:space="preserve">Computer (Machine), Workstation Authentication</w:t>
            </w:r>
          </w:p>
        </w:tc>
        <w:tc>
          <w:tcPr/>
          <w:p>
            <w:pPr>
              <w:pStyle w:val="Compact"/>
            </w:pPr>
            <w:r>
              <w:t xml:space="preserve">Client Authentication (</w:t>
            </w:r>
            <w:r>
              <w:rPr>
                <w:rStyle w:val="VerbatimChar"/>
              </w:rPr>
              <w:t xml:space="preserve">1.3.6.1.5.5.7.3.2</w:t>
            </w:r>
            <w:r>
              <w:t xml:space="preserve">)</w:t>
            </w:r>
          </w:p>
        </w:tc>
        <w:tc>
          <w:tcPr/>
          <w:p>
            <w:pPr>
              <w:pStyle w:val="Compact"/>
            </w:pPr>
            <w:r>
              <w:t xml:space="preserve">Domain-joined computers</w:t>
            </w:r>
          </w:p>
        </w:tc>
      </w:tr>
      <w:tr>
        <w:tc>
          <w:tcPr/>
          <w:p>
            <w:pPr>
              <w:pStyle w:val="Compact"/>
            </w:pPr>
            <w:r>
              <w:t xml:space="preserve">Web server TLS</w:t>
            </w:r>
          </w:p>
        </w:tc>
        <w:tc>
          <w:tcPr/>
          <w:p>
            <w:pPr>
              <w:pStyle w:val="Compact"/>
            </w:pPr>
            <w:r>
              <w:t xml:space="preserve">Web Server</w:t>
            </w:r>
          </w:p>
        </w:tc>
        <w:tc>
          <w:tcPr/>
          <w:p>
            <w:pPr>
              <w:pStyle w:val="Compact"/>
            </w:pPr>
            <w:r>
              <w:t xml:space="preserve">Server Authentication (</w:t>
            </w:r>
            <w:r>
              <w:rPr>
                <w:rStyle w:val="VerbatimChar"/>
              </w:rPr>
              <w:t xml:space="preserve">1.3.6.1.5.5.7.3.1</w:t>
            </w:r>
            <w:r>
              <w:t xml:space="preserve">)</w:t>
            </w:r>
          </w:p>
        </w:tc>
        <w:tc>
          <w:tcPr/>
          <w:p>
            <w:pPr>
              <w:pStyle w:val="Compact"/>
            </w:pPr>
            <w:r>
              <w:t xml:space="preserve">IIS servers, load balancers, other TLS listeners</w:t>
            </w:r>
          </w:p>
        </w:tc>
      </w:tr>
      <w:tr>
        <w:tc>
          <w:tcPr/>
          <w:p>
            <w:pPr>
              <w:pStyle w:val="Compact"/>
            </w:pPr>
            <w:r>
              <w:t xml:space="preserve">Network access servers</w:t>
            </w:r>
          </w:p>
        </w:tc>
        <w:tc>
          <w:tcPr/>
          <w:p>
            <w:pPr>
              <w:pStyle w:val="Compact"/>
            </w:pPr>
            <w:r>
              <w:t xml:space="preserve">RAS and IAS Server</w:t>
            </w:r>
          </w:p>
        </w:tc>
        <w:tc>
          <w:tcPr/>
          <w:p>
            <w:pPr>
              <w:pStyle w:val="Compact"/>
            </w:pPr>
            <w:r>
              <w:t xml:space="preserve">Server Authentication (</w:t>
            </w:r>
            <w:r>
              <w:rPr>
                <w:rStyle w:val="VerbatimChar"/>
              </w:rPr>
              <w:t xml:space="preserve">1.3.6.1.5.5.7.3.1</w:t>
            </w:r>
            <w:r>
              <w:t xml:space="preserve">)</w:t>
            </w:r>
          </w:p>
        </w:tc>
        <w:tc>
          <w:tcPr/>
          <w:p>
            <w:pPr>
              <w:pStyle w:val="Compact"/>
            </w:pPr>
            <w:r>
              <w:t xml:space="preserve">NPS and RRAS servers</w:t>
            </w:r>
            <w:r>
              <w:rPr>
                <w:rStyle w:val="FootnoteReference"/>
              </w:rPr>
              <w:footnoteReference w:id="117"/>
            </w:r>
          </w:p>
        </w:tc>
      </w:tr>
      <w:tr>
        <w:tc>
          <w:tcPr/>
          <w:p>
            <w:pPr>
              <w:pStyle w:val="Compact"/>
            </w:pPr>
            <w:r>
              <w:t xml:space="preserve">Code signing</w:t>
            </w:r>
          </w:p>
        </w:tc>
        <w:tc>
          <w:tcPr/>
          <w:p>
            <w:pPr>
              <w:pStyle w:val="Compact"/>
            </w:pPr>
            <w:r>
              <w:t xml:space="preserve">Code Signing</w:t>
            </w:r>
          </w:p>
        </w:tc>
        <w:tc>
          <w:tcPr/>
          <w:p>
            <w:pPr>
              <w:pStyle w:val="Compact"/>
            </w:pPr>
            <w:r>
              <w:t xml:space="preserve">Code Signing (</w:t>
            </w:r>
            <w:r>
              <w:rPr>
                <w:rStyle w:val="VerbatimChar"/>
              </w:rPr>
              <w:t xml:space="preserve">1.3.6.1.5.5.7.3.3</w:t>
            </w:r>
            <w:r>
              <w:t xml:space="preserve">)</w:t>
            </w:r>
          </w:p>
        </w:tc>
        <w:tc>
          <w:tcPr/>
          <w:p>
            <w:pPr>
              <w:pStyle w:val="Compact"/>
            </w:pPr>
            <w:r>
              <w:t xml:space="preserve">Developers, build servers</w:t>
            </w:r>
          </w:p>
        </w:tc>
      </w:tr>
      <w:tr>
        <w:tc>
          <w:tcPr/>
          <w:p>
            <w:pPr>
              <w:pStyle w:val="Compact"/>
            </w:pPr>
            <w:r>
              <w:t xml:space="preserve">Secure email</w:t>
            </w:r>
          </w:p>
        </w:tc>
        <w:tc>
          <w:tcPr/>
          <w:p>
            <w:pPr>
              <w:pStyle w:val="Compact"/>
            </w:pPr>
            <w:r>
              <w:t xml:space="preserve">Exchange User, User, Smartcard User</w:t>
            </w:r>
          </w:p>
        </w:tc>
        <w:tc>
          <w:tcPr/>
          <w:p>
            <w:pPr>
              <w:pStyle w:val="Compact"/>
            </w:pPr>
            <w:r>
              <w:t xml:space="preserve">Secure Email (</w:t>
            </w:r>
            <w:r>
              <w:rPr>
                <w:rStyle w:val="VerbatimChar"/>
              </w:rPr>
              <w:t xml:space="preserve">1.3.6.1.5.5.7.3.4</w:t>
            </w:r>
            <w:r>
              <w:t xml:space="preserve">)</w:t>
            </w:r>
          </w:p>
        </w:tc>
        <w:tc>
          <w:tcPr/>
          <w:p>
            <w:pPr>
              <w:pStyle w:val="Compact"/>
            </w:pPr>
            <w:r>
              <w:t xml:space="preserve">Mail users</w:t>
            </w:r>
          </w:p>
        </w:tc>
      </w:tr>
      <w:tr>
        <w:tc>
          <w:tcPr/>
          <w:p>
            <w:pPr>
              <w:pStyle w:val="Compact"/>
            </w:pPr>
            <w:r>
              <w:t xml:space="preserve">EFS</w:t>
            </w:r>
          </w:p>
        </w:tc>
        <w:tc>
          <w:tcPr/>
          <w:p>
            <w:pPr>
              <w:pStyle w:val="Compact"/>
            </w:pPr>
            <w:r>
              <w:t xml:space="preserve">Basic EFS, EFS Recovery Agent</w:t>
            </w:r>
          </w:p>
        </w:tc>
        <w:tc>
          <w:tcPr/>
          <w:p>
            <w:pPr>
              <w:pStyle w:val="Compact"/>
            </w:pPr>
            <w:r>
              <w:t xml:space="preserve">Encrypting File System (</w:t>
            </w:r>
            <w:r>
              <w:rPr>
                <w:rStyle w:val="VerbatimChar"/>
              </w:rPr>
              <w:t xml:space="preserve">1.3.6.1.4.1.311.10.3.4</w:t>
            </w:r>
            <w:r>
              <w:t xml:space="preserve">); File Recovery (</w:t>
            </w:r>
            <w:r>
              <w:rPr>
                <w:rStyle w:val="VerbatimChar"/>
              </w:rPr>
              <w:t xml:space="preserve">1.3.6.1.4.1.311.10.3.4.1</w:t>
            </w:r>
            <w:r>
              <w:t xml:space="preserve">)</w:t>
            </w:r>
          </w:p>
        </w:tc>
        <w:tc>
          <w:tcPr/>
          <w:p>
            <w:pPr>
              <w:pStyle w:val="Compact"/>
            </w:pPr>
            <w:r>
              <w:t xml:space="preserve">Domain users, recovery agents</w:t>
            </w:r>
          </w:p>
        </w:tc>
      </w:tr>
      <w:tr>
        <w:tc>
          <w:tcPr/>
          <w:p>
            <w:pPr>
              <w:pStyle w:val="Compact"/>
            </w:pPr>
            <w:r>
              <w:t xml:space="preserve">Smart card logon</w:t>
            </w:r>
          </w:p>
        </w:tc>
        <w:tc>
          <w:tcPr/>
          <w:p>
            <w:pPr>
              <w:pStyle w:val="Compact"/>
            </w:pPr>
            <w:r>
              <w:t xml:space="preserve">Smartcard Logon</w:t>
            </w:r>
          </w:p>
        </w:tc>
        <w:tc>
          <w:tcPr/>
          <w:p>
            <w:pPr>
              <w:pStyle w:val="Compact"/>
            </w:pPr>
            <w:r>
              <w:t xml:space="preserve">Smart Card Logon (</w:t>
            </w:r>
            <w:r>
              <w:rPr>
                <w:rStyle w:val="VerbatimChar"/>
              </w:rPr>
              <w:t xml:space="preserve">1.3.6.1.4.1.311.20.2.2</w:t>
            </w:r>
            <w:r>
              <w:t xml:space="preserve">)</w:t>
            </w:r>
          </w:p>
        </w:tc>
        <w:tc>
          <w:tcPr/>
          <w:p>
            <w:pPr>
              <w:pStyle w:val="Compact"/>
            </w:pPr>
            <w:r>
              <w:t xml:space="preserve">Smart card holders not served by PIV</w:t>
            </w:r>
          </w:p>
        </w:tc>
      </w:tr>
      <w:tr>
        <w:tc>
          <w:tcPr/>
          <w:p>
            <w:pPr>
              <w:pStyle w:val="Compact"/>
            </w:pPr>
            <w:r>
              <w:t xml:space="preserve">Domain controller authentication</w:t>
            </w:r>
          </w:p>
        </w:tc>
        <w:tc>
          <w:tcPr/>
          <w:p>
            <w:pPr>
              <w:pStyle w:val="Compact"/>
            </w:pPr>
            <w:r>
              <w:t xml:space="preserve">Kerberos Authentication; older Domain Controller and Domain Controller Authentication</w:t>
            </w:r>
          </w:p>
        </w:tc>
        <w:tc>
          <w:tcPr/>
          <w:p>
            <w:pPr>
              <w:pStyle w:val="Compact"/>
            </w:pPr>
            <w:r>
              <w:t xml:space="preserve">KDC Authentication (</w:t>
            </w:r>
            <w:r>
              <w:rPr>
                <w:rStyle w:val="VerbatimChar"/>
              </w:rPr>
              <w:t xml:space="preserve">1.3.6.1.5.2.3.5</w:t>
            </w:r>
            <w:r>
              <w:t xml:space="preserve">) plus Client and Server Authentication</w:t>
            </w:r>
          </w:p>
        </w:tc>
        <w:tc>
          <w:tcPr/>
          <w:p>
            <w:pPr>
              <w:pStyle w:val="Compact"/>
            </w:pPr>
            <w:r>
              <w:t xml:space="preserve">Domain controllers</w:t>
            </w:r>
          </w:p>
        </w:tc>
      </w:tr>
      <w:tr>
        <w:tc>
          <w:tcPr/>
          <w:p>
            <w:pPr>
              <w:pStyle w:val="Compact"/>
            </w:pPr>
            <w:r>
              <w:t xml:space="preserve">OCSP signing</w:t>
            </w:r>
          </w:p>
        </w:tc>
        <w:tc>
          <w:tcPr/>
          <w:p>
            <w:pPr>
              <w:pStyle w:val="Compact"/>
            </w:pPr>
            <w:r>
              <w:t xml:space="preserve">OCSP Response Signing</w:t>
            </w:r>
          </w:p>
        </w:tc>
        <w:tc>
          <w:tcPr/>
          <w:p>
            <w:pPr>
              <w:pStyle w:val="Compact"/>
            </w:pPr>
            <w:r>
              <w:t xml:space="preserve">OCSP Signing (</w:t>
            </w:r>
            <w:r>
              <w:rPr>
                <w:rStyle w:val="VerbatimChar"/>
              </w:rPr>
              <w:t xml:space="preserve">1.3.6.1.5.5.7.3.9</w:t>
            </w:r>
            <w:r>
              <w:t xml:space="preserve">)</w:t>
            </w:r>
          </w:p>
        </w:tc>
        <w:tc>
          <w:tcPr/>
          <w:p>
            <w:pPr>
              <w:pStyle w:val="Compact"/>
            </w:pPr>
            <w:r>
              <w:t xml:space="preserve">Online Responders</w:t>
            </w:r>
          </w:p>
        </w:tc>
      </w:tr>
      <w:tr>
        <w:tc>
          <w:tcPr/>
          <w:p>
            <w:pPr>
              <w:pStyle w:val="Compact"/>
            </w:pPr>
            <w:r>
              <w:t xml:space="preserve">IPsec</w:t>
            </w:r>
          </w:p>
        </w:tc>
        <w:tc>
          <w:tcPr/>
          <w:p>
            <w:pPr>
              <w:pStyle w:val="Compact"/>
            </w:pPr>
            <w:r>
              <w:t xml:space="preserve">IPSec (Offline request)</w:t>
            </w:r>
          </w:p>
        </w:tc>
        <w:tc>
          <w:tcPr/>
          <w:p>
            <w:pPr>
              <w:pStyle w:val="Compact"/>
            </w:pPr>
            <w:r>
              <w:t xml:space="preserve">IP Security IKE Intermediate (</w:t>
            </w:r>
            <w:r>
              <w:rPr>
                <w:rStyle w:val="VerbatimChar"/>
              </w:rPr>
              <w:t xml:space="preserve">1.3.6.1.5.5.8.2.2</w:t>
            </w:r>
            <w:r>
              <w:t xml:space="preserve">)</w:t>
            </w:r>
          </w:p>
        </w:tc>
        <w:tc>
          <w:tcPr/>
          <w:p>
            <w:pPr>
              <w:pStyle w:val="Compact"/>
            </w:pPr>
            <w:r>
              <w:t xml:space="preserve">VPN gateways</w:t>
            </w:r>
          </w:p>
        </w:tc>
      </w:tr>
      <w:tr>
        <w:tc>
          <w:tcPr/>
          <w:p>
            <w:pPr>
              <w:pStyle w:val="Compact"/>
            </w:pPr>
            <w:r>
              <w:t xml:space="preserve">Enrollment agent</w:t>
            </w:r>
          </w:p>
        </w:tc>
        <w:tc>
          <w:tcPr/>
          <w:p>
            <w:pPr>
              <w:pStyle w:val="Compact"/>
            </w:pPr>
            <w:r>
              <w:t xml:space="preserve">Enrollment Agent</w:t>
            </w:r>
          </w:p>
        </w:tc>
        <w:tc>
          <w:tcPr/>
          <w:p>
            <w:pPr>
              <w:pStyle w:val="Compact"/>
            </w:pPr>
            <w:r>
              <w:t xml:space="preserve">Certificate Request Agent (</w:t>
            </w:r>
            <w:r>
              <w:rPr>
                <w:rStyle w:val="VerbatimChar"/>
              </w:rPr>
              <w:t xml:space="preserve">1.3.6.1.4.1.311.20.2.1</w:t>
            </w:r>
            <w:r>
              <w:t xml:space="preserve">)</w:t>
            </w:r>
          </w:p>
        </w:tc>
        <w:tc>
          <w:tcPr/>
          <w:p>
            <w:pPr>
              <w:pStyle w:val="Compact"/>
            </w:pPr>
            <w:r>
              <w:t xml:space="preserve">Enrollment stations, registration authorities</w:t>
            </w:r>
          </w:p>
        </w:tc>
      </w:tr>
    </w:tbl>
    <w:p>
      <w:pPr>
        <w:pStyle w:val="BodyText"/>
      </w:pPr>
      <w:r>
        <w:t xml:space="preserve">Two notes on the table. Domain controllers automatically request a domain controller certificate when an enterprise CA appears in the forest, but certificates from the Domain Controller and Domain Controller Authentication templates don’t include the KDC Authentication OID, so Microsoft’s guidance is to base the DC certificate on the Kerberos Authentication template.</w:t>
      </w:r>
      <w:r>
        <w:rPr>
          <w:rStyle w:val="FootnoteReference"/>
        </w:rPr>
        <w:footnoteReference w:id="119"/>
      </w:r>
      <w:r>
        <w:t xml:space="preserve"> </w:t>
      </w:r>
      <w:r>
        <w:t xml:space="preserve">And a template’s EKUs aren’t a full description of what it allows: who can enroll, whether the requester supplies the subject, and whether the key can be exported matter as much. Those settings are what Chapter 03 checks.</w:t>
      </w:r>
    </w:p>
    <w:bookmarkEnd w:id="120"/>
    <w:bookmarkStart w:id="130" w:name="autoenrollment"/>
    <w:p>
      <w:pPr>
        <w:pStyle w:val="Heading2"/>
      </w:pPr>
      <w:bookmarkStart w:id="948" w:name="_Toc00000948"/>
      <w:r>
        <w:t xml:space="preserve">Autoenrollment</w:t>
      </w:r>
      <w:bookmarkEnd w:id="948"/>
    </w:p>
    <w:p>
      <w:pPr>
        <w:pStyle w:val="FirstParagraph"/>
      </w:pPr>
      <w:r>
        <w:t xml:space="preserve">Autoenrollment is how domain members get and renew certificates without anyone asking. It has three parts.</w:t>
      </w:r>
    </w:p>
    <w:p>
      <w:pPr>
        <w:pStyle w:val="Compact"/>
        <w:numPr>
          <w:ilvl w:val="0"/>
          <w:numId w:val="1005"/>
        </w:numPr>
      </w:pPr>
      <w:r>
        <w:rPr>
          <w:b/>
          <w:bCs/>
        </w:rPr>
        <w:t xml:space="preserve">The Group Policy setting.</w:t>
      </w:r>
      <w:r>
        <w:t xml:space="preserve"> </w:t>
      </w:r>
      <w:r>
        <w:t xml:space="preserve">Under Computer Configuration (and separately User Configuration) &gt; Policies &gt; Windows Settings &gt; Security Settings &gt; Public Key Policies,</w:t>
      </w:r>
      <w:r>
        <w:t xml:space="preserve"> </w:t>
      </w:r>
      <w:r>
        <w:rPr>
          <w:i/>
          <w:iCs/>
        </w:rPr>
        <w:t xml:space="preserve">Certificate Services Client – Auto-Enrollment</w:t>
      </w:r>
      <w:r>
        <w:t xml:space="preserve"> </w:t>
      </w:r>
      <w:r>
        <w:t xml:space="preserve">is set to</w:t>
      </w:r>
      <w:r>
        <w:t xml:space="preserve"> </w:t>
      </w:r>
      <w:r>
        <w:rPr>
          <w:i/>
          <w:iCs/>
        </w:rPr>
        <w:t xml:space="preserve">Enabled</w:t>
      </w:r>
      <w:r>
        <w:t xml:space="preserve">, with</w:t>
      </w:r>
      <w:r>
        <w:t xml:space="preserve"> </w:t>
      </w:r>
      <w:r>
        <w:rPr>
          <w:i/>
          <w:iCs/>
        </w:rPr>
        <w:t xml:space="preserve">Renew expired certificates, update pending certificates, and remove revoked certificates</w:t>
      </w:r>
      <w:r>
        <w:t xml:space="preserve"> </w:t>
      </w:r>
      <w:r>
        <w:t xml:space="preserve">and</w:t>
      </w:r>
      <w:r>
        <w:t xml:space="preserve"> </w:t>
      </w:r>
      <w:r>
        <w:rPr>
          <w:i/>
          <w:iCs/>
        </w:rPr>
        <w:t xml:space="preserve">Update certificates that use certificate templates</w:t>
      </w:r>
      <w:r>
        <w:t xml:space="preserve"> </w:t>
      </w:r>
      <w:r>
        <w:t xml:space="preserve">both selected.</w:t>
      </w:r>
      <w:r>
        <w:rPr>
          <w:rStyle w:val="FootnoteReference"/>
        </w:rPr>
        <w:footnoteReference w:id="121"/>
      </w:r>
    </w:p>
    <w:p>
      <w:pPr>
        <w:pStyle w:val="Compact"/>
        <w:numPr>
          <w:ilvl w:val="0"/>
          <w:numId w:val="1005"/>
        </w:numPr>
      </w:pPr>
      <w:r>
        <w:rPr>
          <w:b/>
          <w:bCs/>
        </w:rPr>
        <w:t xml:space="preserve">Template permissions.</w:t>
      </w:r>
      <w:r>
        <w:t xml:space="preserve"> </w:t>
      </w:r>
      <w:r>
        <w:t xml:space="preserve">The groups that should receive the certificate need Read, Enroll and Autoenroll on the template; Microsoft’s example grants Read and Autoenroll and warns not to clear Enroll.</w:t>
      </w:r>
      <w:r>
        <w:rPr>
          <w:rStyle w:val="FootnoteReference"/>
        </w:rPr>
        <w:footnoteReference w:id="123"/>
      </w:r>
      <w:r>
        <w:t xml:space="preserve"> </w:t>
      </w:r>
      <w:r>
        <w:t xml:space="preserve">The template also has to be published on a CA.</w:t>
      </w:r>
    </w:p>
    <w:p>
      <w:pPr>
        <w:pStyle w:val="Compact"/>
        <w:numPr>
          <w:ilvl w:val="0"/>
          <w:numId w:val="1005"/>
        </w:numPr>
      </w:pPr>
      <w:r>
        <w:rPr>
          <w:b/>
          <w:bCs/>
        </w:rPr>
        <w:t xml:space="preserve">Timing.</w:t>
      </w:r>
      <w:r>
        <w:t xml:space="preserve"> </w:t>
      </w:r>
      <w:r>
        <w:t xml:space="preserve">Autoenrollment runs every eight hours. A certificate is renewed once it has passed 80 percent of its validity period and is within the template’s renewal period, so Microsoft recommends a renewal period longer than eight hours and shorter than 20 percent of the validity period.</w:t>
      </w:r>
      <w:r>
        <w:rPr>
          <w:rStyle w:val="FootnoteReference"/>
        </w:rPr>
        <w:footnoteReference w:id="125"/>
      </w:r>
    </w:p>
    <w:p>
      <w:pPr>
        <w:pStyle w:val="FirstParagraph"/>
      </w:pPr>
      <w:r>
        <w:t xml:space="preserve">Enrollment agents can request certificates on behalf of other users, which makes the Enrollment Agent certificate an impersonation capability. Microsoft’s guidance is to restrict who can enroll for that template and to define the templates and subject populations each agent may request for.</w:t>
      </w:r>
      <w:r>
        <w:rPr>
          <w:rStyle w:val="FootnoteReference"/>
        </w:rPr>
        <w:footnoteReference w:id="127"/>
      </w:r>
      <w:r>
        <w:t xml:space="preserve"> </w:t>
      </w:r>
      <w:r>
        <w:t xml:space="preserve">Microsoft notes that it doesn’t currently publish a Windows Server 2025 step-by-step procedure for enrollment-agent restrictions on the CA, and advises validating the existing restriction configuration in a lab before relying on it.</w:t>
      </w:r>
      <w:r>
        <w:rPr>
          <w:rStyle w:val="FootnoteReference"/>
        </w:rPr>
        <w:footnoteReference w:id="129"/>
      </w:r>
      <w:r>
        <w:t xml:space="preserve"> </w:t>
      </w:r>
      <w:r>
        <w:t xml:space="preserve">The source’s console path for those restrictions is therefore not repeated here; Chapter 03 treats the review.</w:t>
      </w:r>
    </w:p>
    <w:p>
      <w:pPr>
        <w:pStyle w:val="BodyText"/>
      </w:pPr>
      <w:r>
        <w:t xml:space="preserve">Capture the current autoenrollment configuration before anything moves: the GPOs, where they’re linked, any security filtering, and the templates each one effectively delivers. During the transition the same GPOs have to be scoped to exclude devices that have moved to Intune certificate profiles, or those devices keep receiving AD CS certificates in parallel. Devices that are Entra-joined and Intune-managed don’t process Group Policy at all (Book 05, Chapter 01), so for them the autoenrollment channel ends at the join, whatever the GPO says.</w:t>
      </w:r>
    </w:p>
    <w:bookmarkEnd w:id="130"/>
    <w:bookmarkStart w:id="141" w:name="what-the-certificate-inventory-collects"/>
    <w:p>
      <w:pPr>
        <w:pStyle w:val="Heading2"/>
      </w:pPr>
      <w:bookmarkStart w:id="949" w:name="_Toc00000949"/>
      <w:r>
        <w:t xml:space="preserve">What the certificate inventory collects</w:t>
      </w:r>
      <w:bookmarkEnd w:id="949"/>
    </w:p>
    <w:p>
      <w:pPr>
        <w:pStyle w:val="FirstParagraph"/>
      </w:pPr>
      <w:r>
        <w:t xml:space="preserve">The inventory has four layers. The source guide included a PowerShell function for the template layer; it stays in the archived guide pending a technical review, together with the guide’s assessment module, and isn’t reproduced here. Two weaknesses found while reviewing it explain why the book describes the inventory instead of shipping that code. Its EKU auto-classification used a PowerShell</w:t>
      </w:r>
      <w:r>
        <w:t xml:space="preserve"> </w:t>
      </w:r>
      <w:r>
        <w:rPr>
          <w:rStyle w:val="VerbatimChar"/>
        </w:rPr>
        <w:t xml:space="preserve">switch</w:t>
      </w:r>
      <w:r>
        <w:t xml:space="preserve">, which runs every matching clause rather than stopping at the first,</w:t>
      </w:r>
      <w:r>
        <w:rPr>
          <w:rStyle w:val="FootnoteReference"/>
        </w:rPr>
        <w:footnoteReference w:id="131"/>
      </w:r>
      <w:r>
        <w:t xml:space="preserve"> </w:t>
      </w:r>
      <w:r>
        <w:t xml:space="preserve">so a template with several EKUs got whichever label matched last; the default User template, which carries EFS, secure email and client authentication EKUs,</w:t>
      </w:r>
      <w:r>
        <w:rPr>
          <w:rStyle w:val="FootnoteReference"/>
        </w:rPr>
        <w:footnoteReference w:id="133"/>
      </w:r>
      <w:r>
        <w:t xml:space="preserve"> </w:t>
      </w:r>
      <w:r>
        <w:t xml:space="preserve">would have been classified RETIRE. And its permission check read only the Enroll right, not Autoenroll or the rights that let someone change the template.</w:t>
      </w:r>
    </w:p>
    <w:bookmarkStart w:id="136" w:name="ca-layer"/>
    <w:p>
      <w:pPr>
        <w:pStyle w:val="Heading3"/>
      </w:pPr>
      <w:r>
        <w:t xml:space="preserve">CA layer</w:t>
      </w:r>
    </w:p>
    <w:p>
      <w:pPr>
        <w:pStyle w:val="FirstParagraph"/>
      </w:pPr>
      <w:r>
        <w:t xml:space="preserve">For each CA, the record in the previous section, plus the health of what it publishes: whether each CRL and AIA URL embedded in issued certificates is reachable from the networks its relying parties sit on, when each CRL next updates, and how large it is. Test the URL in an actual certificate, not the one the CA is configured to write; Microsoft’s troubleshooting guidance makes the same distinction.</w:t>
      </w:r>
      <w:r>
        <w:rPr>
          <w:rStyle w:val="FootnoteReference"/>
        </w:rPr>
        <w:footnoteReference w:id="135"/>
      </w:r>
    </w:p>
    <w:bookmarkEnd w:id="136"/>
    <w:bookmarkStart w:id="138" w:name="template-layer"/>
    <w:p>
      <w:pPr>
        <w:pStyle w:val="Heading3"/>
      </w:pPr>
      <w:r>
        <w:t xml:space="preserve">Template layer</w:t>
      </w:r>
    </w:p>
    <w:p>
      <w:pPr>
        <w:pStyle w:val="FirstParagraph"/>
      </w:pPr>
      <w:r>
        <w:t xml:space="preserve">For each template in the forest’s Certificate Templates container, published or not:</w:t>
      </w:r>
    </w:p>
    <w:p>
      <w:pPr>
        <w:pStyle w:val="Compact"/>
        <w:numPr>
          <w:ilvl w:val="0"/>
          <w:numId w:val="1006"/>
        </w:numPr>
      </w:pPr>
      <w:r>
        <w:t xml:space="preserve">name, display name, schema version and revision;</w:t>
      </w:r>
    </w:p>
    <w:p>
      <w:pPr>
        <w:pStyle w:val="Compact"/>
        <w:numPr>
          <w:ilvl w:val="0"/>
          <w:numId w:val="1006"/>
        </w:numPr>
      </w:pPr>
      <w:r>
        <w:t xml:space="preserve">EKUs and application policies;</w:t>
      </w:r>
    </w:p>
    <w:p>
      <w:pPr>
        <w:pStyle w:val="Compact"/>
        <w:numPr>
          <w:ilvl w:val="0"/>
          <w:numId w:val="1006"/>
        </w:numPr>
      </w:pPr>
      <w:r>
        <w:t xml:space="preserve">the subject name settings, especially whether the enrollee supplies the subject;</w:t>
      </w:r>
    </w:p>
    <w:p>
      <w:pPr>
        <w:pStyle w:val="Compact"/>
        <w:numPr>
          <w:ilvl w:val="0"/>
          <w:numId w:val="1006"/>
        </w:numPr>
      </w:pPr>
      <w:r>
        <w:t xml:space="preserve">enrollment settings, including manager approval and authorized signatures;</w:t>
      </w:r>
    </w:p>
    <w:p>
      <w:pPr>
        <w:pStyle w:val="Compact"/>
        <w:numPr>
          <w:ilvl w:val="0"/>
          <w:numId w:val="1006"/>
        </w:numPr>
      </w:pPr>
      <w:r>
        <w:t xml:space="preserve">private key settings: minimum key size, provider, whether the key is exportable or archived;</w:t>
      </w:r>
    </w:p>
    <w:p>
      <w:pPr>
        <w:pStyle w:val="Compact"/>
        <w:numPr>
          <w:ilvl w:val="0"/>
          <w:numId w:val="1006"/>
        </w:numPr>
      </w:pPr>
      <w:r>
        <w:t xml:space="preserve">validity and renewal periods (</w:t>
      </w:r>
      <w:r>
        <w:rPr>
          <w:rStyle w:val="VerbatimChar"/>
        </w:rPr>
        <w:t xml:space="preserve">pKIExpirationPeriod</w:t>
      </w:r>
      <w:r>
        <w:t xml:space="preserve"> </w:t>
      </w:r>
      <w:r>
        <w:t xml:space="preserve">and</w:t>
      </w:r>
      <w:r>
        <w:t xml:space="preserve"> </w:t>
      </w:r>
      <w:r>
        <w:rPr>
          <w:rStyle w:val="VerbatimChar"/>
        </w:rPr>
        <w:t xml:space="preserve">pKIOverlapPeriod</w:t>
      </w:r>
      <w:r>
        <w:t xml:space="preserve">)</w:t>
      </w:r>
      <w:r>
        <w:rPr>
          <w:rStyle w:val="FootnoteReference"/>
        </w:rPr>
        <w:footnoteReference w:id="137"/>
      </w:r>
      <w:r>
        <w:t xml:space="preserve">;</w:t>
      </w:r>
    </w:p>
    <w:p>
      <w:pPr>
        <w:pStyle w:val="Compact"/>
        <w:numPr>
          <w:ilvl w:val="0"/>
          <w:numId w:val="1006"/>
        </w:numPr>
      </w:pPr>
      <w:r>
        <w:t xml:space="preserve">the security descriptor: which principals hold Read, Enroll, Autoenroll and the write rights that let them change the template;</w:t>
      </w:r>
    </w:p>
    <w:p>
      <w:pPr>
        <w:pStyle w:val="Compact"/>
        <w:numPr>
          <w:ilvl w:val="0"/>
          <w:numId w:val="1006"/>
        </w:numPr>
      </w:pPr>
      <w:r>
        <w:t xml:space="preserve">which CAs publish it.</w:t>
      </w:r>
    </w:p>
    <w:bookmarkEnd w:id="138"/>
    <w:bookmarkStart w:id="139" w:name="issued-certificate-layer"/>
    <w:p>
      <w:pPr>
        <w:pStyle w:val="Heading3"/>
      </w:pPr>
      <w:r>
        <w:t xml:space="preserve">Issued-certificate layer</w:t>
      </w:r>
    </w:p>
    <w:p>
      <w:pPr>
        <w:pStyle w:val="FirstParagraph"/>
      </w:pPr>
      <w:r>
        <w:t xml:space="preserve">From each CA database: the active certificates per template, their subjects and subject alternative names, requesters, expiry dates and revocation status. This is where the expiry waves of Chapter 01 become dates on a calendar. Certificates issued outside AD CS, by public CAs, appliances or self-signing, won’t appear here; finding them takes network discovery, which the program runs through CyberArk Certificate Manager (Chapter 08).</w:t>
      </w:r>
    </w:p>
    <w:bookmarkEnd w:id="139"/>
    <w:bookmarkStart w:id="140" w:name="relying-party-layer"/>
    <w:p>
      <w:pPr>
        <w:pStyle w:val="Heading3"/>
      </w:pPr>
      <w:r>
        <w:t xml:space="preserve">Relying-party layer</w:t>
      </w:r>
    </w:p>
    <w:p>
      <w:pPr>
        <w:pStyle w:val="FirstParagraph"/>
      </w:pPr>
      <w:r>
        <w:t xml:space="preserve">For each chain, who trusts it and how: RADIUS and NPS servers, VPN gateways, Wi-Fi controllers and switches, web applications, SQL Server clients (Book 06, Chapter 22), the forest’s NTAuth store, and the Entra CBA trust store. A replacement issuer is only useful once every relying party for that use case trusts it, so this layer decides the order of work in Chapter 07.</w:t>
      </w:r>
    </w:p>
    <w:p>
      <w:pPr>
        <w:pStyle w:val="BodyText"/>
      </w:pPr>
      <w:r>
        <w:t xml:space="preserve">Store every inventory run as a dated, versioned record so that drift is visible between runs; Chapter 08 covers the evidence model.</w:t>
      </w:r>
    </w:p>
    <w:bookmarkEnd w:id="140"/>
    <w:bookmarkEnd w:id="141"/>
    <w:bookmarkStart w:id="146" w:name="classifying-every-use-case"/>
    <w:p>
      <w:pPr>
        <w:pStyle w:val="Heading2"/>
      </w:pPr>
      <w:bookmarkStart w:id="950" w:name="_Toc00000950"/>
      <w:r>
        <w:t xml:space="preserve">Classifying every use case</w:t>
      </w:r>
      <w:bookmarkEnd w:id="950"/>
    </w:p>
    <w:p>
      <w:pPr>
        <w:pStyle w:val="FirstParagraph"/>
      </w:pPr>
      <w:r>
        <w:t xml:space="preserve">Not every certificate workload can move at once. Some have a direct cloud equivalent, some need both issuers to run in parallel, some have no cloud equivalent, and some are serving things that are going away. The program classifies every template and use case into one of four categories.</w:t>
      </w:r>
    </w:p>
    <w:p>
      <w:pPr>
        <w:pStyle w:val="TableCaption"/>
      </w:pPr>
      <w:r>
        <w:t xml:space="preserve">The four classifications</w:t>
      </w:r>
    </w:p>
    <w:tbl>
      <w:tblPr>
        <w:tblStyle w:val="Table"/>
        <w:tblW w:type="pct" w:w="5000"/>
        <w:tblLayout w:type="fixed"/>
        <w:tblLook w:firstRow="1" w:lastRow="0" w:firstColumn="0" w:lastColumn="0" w:noHBand="0" w:noVBand="0" w:val="0020"/>
        <w:tblCaption w:val="The four classifications"/>
      </w:tblPr>
      <w:tblGrid>
        <w:gridCol w:w="1980"/>
        <w:gridCol w:w="1980"/>
        <w:gridCol w:w="1980"/>
        <w:gridCol w:w="1980"/>
      </w:tblGrid>
      <w:tr>
        <w:trPr>
          <w:tblHeader w:val="on"/>
        </w:trPr>
        <w:tc>
          <w:tcPr/>
          <w:p>
            <w:pPr>
              <w:pStyle w:val="Compact"/>
            </w:pPr>
            <w:r>
              <w:t xml:space="preserve">Classification</w:t>
            </w:r>
          </w:p>
        </w:tc>
        <w:tc>
          <w:tcPr/>
          <w:p>
            <w:pPr>
              <w:pStyle w:val="Compact"/>
            </w:pPr>
            <w:r>
              <w:t xml:space="preserve">Definition</w:t>
            </w:r>
          </w:p>
        </w:tc>
        <w:tc>
          <w:tcPr/>
          <w:p>
            <w:pPr>
              <w:pStyle w:val="Compact"/>
            </w:pPr>
            <w:r>
              <w:t xml:space="preserve">Examples</w:t>
            </w:r>
          </w:p>
        </w:tc>
        <w:tc>
          <w:tcPr/>
          <w:p>
            <w:pPr>
              <w:pStyle w:val="Compact"/>
            </w:pPr>
            <w:r>
              <w:t xml:space="preserve">Action</w:t>
            </w:r>
          </w:p>
        </w:tc>
      </w:tr>
      <w:tr>
        <w:tc>
          <w:tcPr/>
          <w:p>
            <w:pPr>
              <w:pStyle w:val="Compact"/>
            </w:pPr>
            <w:r>
              <w:rPr>
                <w:b/>
                <w:bCs/>
              </w:rPr>
              <w:t xml:space="preserve">MIGRATE</w:t>
            </w:r>
          </w:p>
        </w:tc>
        <w:tc>
          <w:tcPr/>
          <w:p>
            <w:pPr>
              <w:pStyle w:val="Compact"/>
            </w:pPr>
            <w:r>
              <w:t xml:space="preserve">A cloud path replaces the certificate: Cloud PKI through Intune for a managed device, or Entra CBA for sign-in</w:t>
            </w:r>
          </w:p>
        </w:tc>
        <w:tc>
          <w:tcPr/>
          <w:p>
            <w:pPr>
              <w:pStyle w:val="Compact"/>
            </w:pPr>
            <w:r>
              <w:t xml:space="preserve">Wi-Fi and wired 802.1X, VPN client certificates, device authentication, user sign-in to the tenant</w:t>
            </w:r>
          </w:p>
        </w:tc>
        <w:tc>
          <w:tcPr/>
          <w:p>
            <w:pPr>
              <w:pStyle w:val="Compact"/>
            </w:pPr>
            <w:r>
              <w:t xml:space="preserve">Deploy the cloud profile or method; let the AD CS certificate expire naturally; don’t renew it from AD CS</w:t>
            </w:r>
          </w:p>
        </w:tc>
      </w:tr>
      <w:tr>
        <w:tc>
          <w:tcPr/>
          <w:p>
            <w:pPr>
              <w:pStyle w:val="Compact"/>
            </w:pPr>
            <w:r>
              <w:rPr>
                <w:b/>
                <w:bCs/>
              </w:rPr>
              <w:t xml:space="preserve">BRIDGE</w:t>
            </w:r>
          </w:p>
        </w:tc>
        <w:tc>
          <w:tcPr/>
          <w:p>
            <w:pPr>
              <w:pStyle w:val="Compact"/>
            </w:pPr>
            <w:r>
              <w:t xml:space="preserve">Both issuers have to run in parallel because the consumer depends on AD or on a server the cloud path can’t reach</w:t>
            </w:r>
          </w:p>
        </w:tc>
        <w:tc>
          <w:tcPr/>
          <w:p>
            <w:pPr>
              <w:pStyle w:val="Compact"/>
            </w:pPr>
            <w:r>
              <w:t xml:space="preserve">Domain controller certificates, LDAPS, NPS and RADIUS server certificates, smart card logon trust in NTAuth, internal server TLS until its issuer is decided</w:t>
            </w:r>
          </w:p>
        </w:tc>
        <w:tc>
          <w:tcPr/>
          <w:p>
            <w:pPr>
              <w:pStyle w:val="Compact"/>
            </w:pPr>
            <w:r>
              <w:t xml:space="preserve">Keep AD CS issuing for these during the transition; plan its retention until AD or the consuming service retires, or until another issuer takes over</w:t>
            </w:r>
          </w:p>
        </w:tc>
      </w:tr>
      <w:tr>
        <w:tc>
          <w:tcPr/>
          <w:p>
            <w:pPr>
              <w:pStyle w:val="Compact"/>
            </w:pPr>
            <w:r>
              <w:rPr>
                <w:b/>
                <w:bCs/>
              </w:rPr>
              <w:t xml:space="preserve">RETAIN</w:t>
            </w:r>
          </w:p>
        </w:tc>
        <w:tc>
          <w:tcPr/>
          <w:p>
            <w:pPr>
              <w:pStyle w:val="Compact"/>
            </w:pPr>
            <w:r>
              <w:t xml:space="preserve">No cloud equivalent exists; the workload stays on an on-premises issuer until the consumer is decommissioned</w:t>
            </w:r>
          </w:p>
        </w:tc>
        <w:tc>
          <w:tcPr/>
          <w:p>
            <w:pPr>
              <w:pStyle w:val="Compact"/>
            </w:pPr>
            <w:r>
              <w:t xml:space="preserve">Legacy mutual-TLS applications, HSM-protected code signing, custom-OID certificates, network equipment enrolling through on-premises SCEP</w:t>
            </w:r>
          </w:p>
        </w:tc>
        <w:tc>
          <w:tcPr/>
          <w:p>
            <w:pPr>
              <w:pStyle w:val="Compact"/>
            </w:pPr>
            <w:r>
              <w:t xml:space="preserve">Keep issuing; record each one as technical debt with an owner and review date; include it in long-term decommissioning</w:t>
            </w:r>
          </w:p>
        </w:tc>
      </w:tr>
      <w:tr>
        <w:tc>
          <w:tcPr/>
          <w:p>
            <w:pPr>
              <w:pStyle w:val="Compact"/>
            </w:pPr>
            <w:r>
              <w:rPr>
                <w:b/>
                <w:bCs/>
              </w:rPr>
              <w:t xml:space="preserve">RETIRE</w:t>
            </w:r>
          </w:p>
        </w:tc>
        <w:tc>
          <w:tcPr/>
          <w:p>
            <w:pPr>
              <w:pStyle w:val="Compact"/>
            </w:pPr>
            <w:r>
              <w:t xml:space="preserve">The consuming application or service has been or will be decommissioned</w:t>
            </w:r>
          </w:p>
        </w:tc>
        <w:tc>
          <w:tcPr/>
          <w:p>
            <w:pPr>
              <w:pStyle w:val="Compact"/>
            </w:pPr>
            <w:r>
              <w:t xml:space="preserve">EFS on file shares that have migrated, VPN certificates for retired concentrators, 802.1X for retired SSIDs</w:t>
            </w:r>
          </w:p>
        </w:tc>
        <w:tc>
          <w:tcPr/>
          <w:p>
            <w:pPr>
              <w:pStyle w:val="Compact"/>
            </w:pPr>
            <w:r>
              <w:t xml:space="preserve">Let the certificates expire; remove the template from autoenrollment; archive the template configuration before deleting it; keep any decryption keys that old data still needs</w:t>
            </w:r>
          </w:p>
        </w:tc>
      </w:tr>
    </w:tbl>
    <w:bookmarkStart w:id="145" w:name="fig-ch02-classification"/>
    <w:p>
      <w:pPr>
        <w:pStyle w:val="CaptionedFigure"/>
      </w:pPr>
      <w:r>
        <w:drawing>
          <wp:inline>
            <wp:extent cx="5334000" cy="3473767"/>
            <wp:effectExtent b="0" l="0" r="0" t="0"/>
            <wp:docPr descr="Three questions, asked in order, classify each template and use case: RETIRE if the consumer is going away, MIGRATE if an Intune or Entra path replaces it, BRIDGE if it depends on AD itself, and RETAIN otherwise." title="" id="143" name="Picture"/>
            <a:graphic>
              <a:graphicData uri="http://schemas.openxmlformats.org/drawingml/2006/picture">
                <pic:pic>
                  <pic:nvPicPr>
                    <pic:cNvPr descr="/home/runner/work/modernization-workbook/modernization-workbook/docs/images/diagrams/b07-pki/png/ch02-classification.png" id="144" name="Picture"/>
                    <pic:cNvPicPr>
                      <a:picLocks noChangeArrowheads="1" noChangeAspect="1"/>
                    </pic:cNvPicPr>
                  </pic:nvPicPr>
                  <pic:blipFill>
                    <a:blip r:embed="rId142"/>
                    <a:stretch>
                      <a:fillRect/>
                    </a:stretch>
                  </pic:blipFill>
                  <pic:spPr bwMode="auto">
                    <a:xfrm>
                      <a:off x="0" y="0"/>
                      <a:ext cx="5334000" cy="3473767"/>
                    </a:xfrm>
                    <a:prstGeom prst="rect">
                      <a:avLst/>
                    </a:prstGeom>
                    <a:noFill/>
                    <a:ln w="9525">
                      <a:noFill/>
                      <a:headEnd/>
                      <a:tailEnd/>
                    </a:ln>
                  </pic:spPr>
                </pic:pic>
              </a:graphicData>
            </a:graphic>
          </wp:inline>
        </w:drawing>
      </w:r>
    </w:p>
    <w:p>
      <w:pPr>
        <w:pStyle w:val="ImageCaption"/>
      </w:pPr>
      <w:r>
        <w:t xml:space="preserve">Three questions, asked in order, classify each template and use case: RETIRE if the consumer is going away, MIGRATE if an Intune or Entra path replaces it, BRIDGE if it depends on AD itself, and RETAIN otherwise.</w:t>
      </w:r>
    </w:p>
    <w:bookmarkEnd w:id="145"/>
    <w:p>
      <w:pPr>
        <w:pStyle w:val="BodyText"/>
      </w:pPr>
      <w:r>
        <w:t xml:space="preserve">The questions run in that order on purpose. Retirement comes first because migrating a certificate for a service that’s going away is wasted work. MIGRATE comes before BRIDGE because the default is to move. RETAIN is what’s left, and it should be a short list with a name next to every entry. An EKU can suggest a starting classification, but the template’s owner makes the call; Appendix B records it template by template.</w:t>
      </w:r>
    </w:p>
    <w:bookmarkEnd w:id="146"/>
    <w:bookmarkStart w:id="164" w:name="the-use-case-map"/>
    <w:p>
      <w:pPr>
        <w:pStyle w:val="Heading2"/>
      </w:pPr>
      <w:bookmarkStart w:id="951" w:name="_Toc00000951"/>
      <w:r>
        <w:t xml:space="preserve">The use-case map</w:t>
      </w:r>
      <w:bookmarkEnd w:id="951"/>
    </w:p>
    <w:p>
      <w:pPr>
        <w:pStyle w:val="FirstParagraph"/>
      </w:pPr>
      <w:r>
        <w:t xml:space="preserve">The map below applies the classification to the common use cases. It corrects the source in several rows, mostly where the source assumed that Cloud PKI or Intune could issue to servers or replace an issuer it can’t. The</w:t>
      </w:r>
      <w:r>
        <w:t xml:space="preserve"> </w:t>
      </w:r>
      <w:r>
        <w:t xml:space="preserve">“Cloud path”</w:t>
      </w:r>
      <w:r>
        <w:t xml:space="preserve"> </w:t>
      </w:r>
      <w:r>
        <w:t xml:space="preserve">column names the replacement, if there is one.</w:t>
      </w:r>
    </w:p>
    <w:p>
      <w:pPr>
        <w:pStyle w:val="TableCaption"/>
      </w:pPr>
      <w:r>
        <w:t xml:space="preserve">Certificate use cases and their migration paths</w:t>
      </w:r>
    </w:p>
    <w:tbl>
      <w:tblPr>
        <w:tblStyle w:val="Table"/>
        <w:tblW w:type="pct" w:w="5000"/>
        <w:tblLayout w:type="fixed"/>
        <w:tblLook w:firstRow="1" w:lastRow="0" w:firstColumn="0" w:lastColumn="0" w:noHBand="0" w:noVBand="0" w:val="0020"/>
        <w:tblCaption w:val="Certificate use cases and their migration paths"/>
      </w:tblPr>
      <w:tblGrid>
        <w:gridCol w:w="1320"/>
        <w:gridCol w:w="1320"/>
        <w:gridCol w:w="1320"/>
        <w:gridCol w:w="1320"/>
        <w:gridCol w:w="1320"/>
        <w:gridCol w:w="1320"/>
      </w:tblGrid>
      <w:tr>
        <w:trPr>
          <w:tblHeader w:val="on"/>
        </w:trPr>
        <w:tc>
          <w:tcPr/>
          <w:p>
            <w:pPr>
              <w:pStyle w:val="Compact"/>
            </w:pPr>
            <w:r>
              <w:t xml:space="preserve">Use case</w:t>
            </w:r>
          </w:p>
        </w:tc>
        <w:tc>
          <w:tcPr/>
          <w:p>
            <w:pPr>
              <w:pStyle w:val="Compact"/>
            </w:pPr>
            <w:r>
              <w:t xml:space="preserve">AD CS template</w:t>
            </w:r>
          </w:p>
        </w:tc>
        <w:tc>
          <w:tcPr/>
          <w:p>
            <w:pPr>
              <w:pStyle w:val="Compact"/>
            </w:pPr>
            <w:r>
              <w:t xml:space="preserve">Classification</w:t>
            </w:r>
          </w:p>
        </w:tc>
        <w:tc>
          <w:tcPr/>
          <w:p>
            <w:pPr>
              <w:pStyle w:val="Compact"/>
            </w:pPr>
            <w:r>
              <w:t xml:space="preserve">Cloud path</w:t>
            </w:r>
          </w:p>
        </w:tc>
        <w:tc>
          <w:tcPr/>
          <w:p>
            <w:pPr>
              <w:pStyle w:val="Compact"/>
            </w:pPr>
            <w:r>
              <w:t xml:space="preserve">Delivery</w:t>
            </w:r>
          </w:p>
        </w:tc>
        <w:tc>
          <w:tcPr/>
          <w:p>
            <w:pPr>
              <w:pStyle w:val="Compact"/>
            </w:pPr>
            <w:r>
              <w:t xml:space="preserve">Dependencies and notes</w:t>
            </w:r>
          </w:p>
        </w:tc>
      </w:tr>
      <w:tr>
        <w:tc>
          <w:tcPr/>
          <w:p>
            <w:pPr>
              <w:pStyle w:val="Compact"/>
            </w:pPr>
            <w:r>
              <w:t xml:space="preserve">Wi-Fi 802.1X (EAP-TLS)</w:t>
            </w:r>
          </w:p>
        </w:tc>
        <w:tc>
          <w:tcPr/>
          <w:p>
            <w:pPr>
              <w:pStyle w:val="Compact"/>
            </w:pPr>
            <w:r>
              <w:t xml:space="preserve">Computer, User</w:t>
            </w:r>
          </w:p>
        </w:tc>
        <w:tc>
          <w:tcPr/>
          <w:p>
            <w:pPr>
              <w:pStyle w:val="Compact"/>
            </w:pPr>
            <w:r>
              <w:t xml:space="preserve">MIGRATE</w:t>
            </w:r>
          </w:p>
        </w:tc>
        <w:tc>
          <w:tcPr/>
          <w:p>
            <w:pPr>
              <w:pStyle w:val="Compact"/>
            </w:pPr>
            <w:r>
              <w:t xml:space="preserve">Cloud PKI</w:t>
            </w:r>
          </w:p>
        </w:tc>
        <w:tc>
          <w:tcPr/>
          <w:p>
            <w:pPr>
              <w:pStyle w:val="Compact"/>
            </w:pPr>
            <w:r>
              <w:t xml:space="preserve">Intune SCEP and trusted certificate profiles</w:t>
            </w:r>
          </w:p>
        </w:tc>
        <w:tc>
          <w:tcPr/>
          <w:p>
            <w:pPr>
              <w:pStyle w:val="Compact"/>
            </w:pPr>
            <w:r>
              <w:t xml:space="preserve">RADIUS servers must trust the Cloud PKI chain; Cloud PKI issues to Intune-managed devices through SCEP</w:t>
            </w:r>
            <w:r>
              <w:rPr>
                <w:rStyle w:val="FootnoteReference"/>
              </w:rPr>
              <w:footnoteReference w:id="147"/>
            </w:r>
          </w:p>
        </w:tc>
      </w:tr>
      <w:tr>
        <w:tc>
          <w:tcPr/>
          <w:p>
            <w:pPr>
              <w:pStyle w:val="Compact"/>
            </w:pPr>
            <w:r>
              <w:t xml:space="preserve">VPN client certificate</w:t>
            </w:r>
          </w:p>
        </w:tc>
        <w:tc>
          <w:tcPr/>
          <w:p>
            <w:pPr>
              <w:pStyle w:val="Compact"/>
            </w:pPr>
            <w:r>
              <w:t xml:space="preserve">User VPN (custom)</w:t>
            </w:r>
          </w:p>
        </w:tc>
        <w:tc>
          <w:tcPr/>
          <w:p>
            <w:pPr>
              <w:pStyle w:val="Compact"/>
            </w:pPr>
            <w:r>
              <w:t xml:space="preserve">MIGRATE</w:t>
            </w:r>
          </w:p>
        </w:tc>
        <w:tc>
          <w:tcPr/>
          <w:p>
            <w:pPr>
              <w:pStyle w:val="Compact"/>
            </w:pPr>
            <w:r>
              <w:t xml:space="preserve">Cloud PKI</w:t>
            </w:r>
          </w:p>
        </w:tc>
        <w:tc>
          <w:tcPr/>
          <w:p>
            <w:pPr>
              <w:pStyle w:val="Compact"/>
            </w:pPr>
            <w:r>
              <w:t xml:space="preserve">Intune SCEP</w:t>
            </w:r>
          </w:p>
        </w:tc>
        <w:tc>
          <w:tcPr/>
          <w:p>
            <w:pPr>
              <w:pStyle w:val="Compact"/>
            </w:pPr>
            <w:r>
              <w:t xml:space="preserve">VPN gateways must trust the new chain</w:t>
            </w:r>
          </w:p>
        </w:tc>
      </w:tr>
      <w:tr>
        <w:tc>
          <w:tcPr/>
          <w:p>
            <w:pPr>
              <w:pStyle w:val="Compact"/>
            </w:pPr>
            <w:r>
              <w:t xml:space="preserve">Device authentication</w:t>
            </w:r>
          </w:p>
        </w:tc>
        <w:tc>
          <w:tcPr/>
          <w:p>
            <w:pPr>
              <w:pStyle w:val="Compact"/>
            </w:pPr>
            <w:r>
              <w:t xml:space="preserve">Computer (Machine)</w:t>
            </w:r>
          </w:p>
        </w:tc>
        <w:tc>
          <w:tcPr/>
          <w:p>
            <w:pPr>
              <w:pStyle w:val="Compact"/>
            </w:pPr>
            <w:r>
              <w:t xml:space="preserve">MIGRATE</w:t>
            </w:r>
          </w:p>
        </w:tc>
        <w:tc>
          <w:tcPr/>
          <w:p>
            <w:pPr>
              <w:pStyle w:val="Compact"/>
            </w:pPr>
            <w:r>
              <w:t xml:space="preserve">Cloud PKI</w:t>
            </w:r>
          </w:p>
        </w:tc>
        <w:tc>
          <w:tcPr/>
          <w:p>
            <w:pPr>
              <w:pStyle w:val="Compact"/>
            </w:pPr>
            <w:r>
              <w:t xml:space="preserve">Intune SCEP</w:t>
            </w:r>
          </w:p>
        </w:tc>
        <w:tc>
          <w:tcPr/>
          <w:p>
            <w:pPr>
              <w:pStyle w:val="Compact"/>
            </w:pPr>
            <w:r>
              <w:t xml:space="preserve">The device must be Intune-enrolled; certificates used against the KDC need the SID in the SAN</w:t>
            </w:r>
            <w:r>
              <w:rPr>
                <w:rStyle w:val="FootnoteReference"/>
              </w:rPr>
              <w:footnoteReference w:id="148"/>
            </w:r>
          </w:p>
        </w:tc>
      </w:tr>
      <w:tr>
        <w:tc>
          <w:tcPr/>
          <w:p>
            <w:pPr>
              <w:pStyle w:val="Compact"/>
            </w:pPr>
            <w:r>
              <w:t xml:space="preserve">User sign-in to the tenant</w:t>
            </w:r>
          </w:p>
        </w:tc>
        <w:tc>
          <w:tcPr/>
          <w:p>
            <w:pPr>
              <w:pStyle w:val="Compact"/>
            </w:pPr>
            <w:r>
              <w:t xml:space="preserve">User, Smartcard User</w:t>
            </w:r>
          </w:p>
        </w:tc>
        <w:tc>
          <w:tcPr/>
          <w:p>
            <w:pPr>
              <w:pStyle w:val="Compact"/>
            </w:pPr>
            <w:r>
              <w:t xml:space="preserve">MIGRATE</w:t>
            </w:r>
          </w:p>
        </w:tc>
        <w:tc>
          <w:tcPr/>
          <w:p>
            <w:pPr>
              <w:pStyle w:val="Compact"/>
            </w:pPr>
            <w:r>
              <w:t xml:space="preserve">Entra CBA</w:t>
            </w:r>
          </w:p>
        </w:tc>
        <w:tc>
          <w:tcPr/>
          <w:p>
            <w:pPr>
              <w:pStyle w:val="Compact"/>
            </w:pPr>
            <w:r>
              <w:t xml:space="preserve">Intune SCEP for software certificates; cards for hardware</w:t>
            </w:r>
          </w:p>
        </w:tc>
        <w:tc>
          <w:tcPr/>
          <w:p>
            <w:pPr>
              <w:pStyle w:val="Compact"/>
            </w:pPr>
            <w:r>
              <w:t xml:space="preserve">Entra CBA configured with trusted CAs and username bindings (Chapter 06)</w:t>
            </w:r>
          </w:p>
        </w:tc>
      </w:tr>
      <w:tr>
        <w:tc>
          <w:tcPr/>
          <w:p>
            <w:pPr>
              <w:pStyle w:val="Compact"/>
            </w:pPr>
            <w:r>
              <w:t xml:space="preserve">PIV and smart card sign-in</w:t>
            </w:r>
          </w:p>
        </w:tc>
        <w:tc>
          <w:tcPr/>
          <w:p>
            <w:pPr>
              <w:pStyle w:val="Compact"/>
            </w:pPr>
            <w:r>
              <w:t xml:space="preserve">Smartcard Logon (non-PIV cards only)</w:t>
            </w:r>
          </w:p>
        </w:tc>
        <w:tc>
          <w:tcPr/>
          <w:p>
            <w:pPr>
              <w:pStyle w:val="Compact"/>
            </w:pPr>
            <w:r>
              <w:t xml:space="preserve">MIGRATE for the sign-in path; the issuer doesn’t change</w:t>
            </w:r>
          </w:p>
        </w:tc>
        <w:tc>
          <w:tcPr/>
          <w:p>
            <w:pPr>
              <w:pStyle w:val="Compact"/>
            </w:pPr>
            <w:r>
              <w:t xml:space="preserve">Entra CBA</w:t>
            </w:r>
          </w:p>
        </w:tc>
        <w:tc>
          <w:tcPr/>
          <w:p>
            <w:pPr>
              <w:pStyle w:val="Compact"/>
            </w:pPr>
            <w:r>
              <w:t xml:space="preserve">The card</w:t>
            </w:r>
          </w:p>
        </w:tc>
        <w:tc>
          <w:tcPr/>
          <w:p>
            <w:pPr>
              <w:pStyle w:val="Compact"/>
            </w:pPr>
            <w:r>
              <w:t xml:space="preserve">PIV certificates come from a Federal PKI CA through the card management system, not from AD CS (Book 03, Chapter 09); smart card logon to the domain still needs the issuing CA in NTAuth and certificates on every DC</w:t>
            </w:r>
            <w:r>
              <w:rPr>
                <w:rStyle w:val="FootnoteReference"/>
              </w:rPr>
              <w:footnoteReference w:id="149"/>
            </w:r>
          </w:p>
        </w:tc>
      </w:tr>
      <w:tr>
        <w:tc>
          <w:tcPr/>
          <w:p>
            <w:pPr>
              <w:pStyle w:val="Compact"/>
            </w:pPr>
            <w:r>
              <w:t xml:space="preserve">Domain controller authentication</w:t>
            </w:r>
          </w:p>
        </w:tc>
        <w:tc>
          <w:tcPr/>
          <w:p>
            <w:pPr>
              <w:pStyle w:val="Compact"/>
            </w:pPr>
            <w:r>
              <w:t xml:space="preserve">Kerberos Authentication</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Needed for as long as DCs exist</w:t>
            </w:r>
          </w:p>
        </w:tc>
      </w:tr>
      <w:tr>
        <w:tc>
          <w:tcPr/>
          <w:p>
            <w:pPr>
              <w:pStyle w:val="Compact"/>
            </w:pPr>
            <w:r>
              <w:t xml:space="preserve">LDAPS</w:t>
            </w:r>
          </w:p>
        </w:tc>
        <w:tc>
          <w:tcPr/>
          <w:p>
            <w:pPr>
              <w:pStyle w:val="Compact"/>
            </w:pPr>
            <w:r>
              <w:t xml:space="preserve">Kerberos Authentication or Domain Controller</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The certificate needs Server Authentication and the DC’s FQDN; LDAP clients must trust the chain</w:t>
            </w:r>
            <w:r>
              <w:rPr>
                <w:rStyle w:val="FootnoteReference"/>
              </w:rPr>
              <w:footnoteReference w:id="150"/>
            </w:r>
          </w:p>
        </w:tc>
      </w:tr>
      <w:tr>
        <w:tc>
          <w:tcPr/>
          <w:p>
            <w:pPr>
              <w:pStyle w:val="Compact"/>
            </w:pPr>
            <w:r>
              <w:t xml:space="preserve">Smart card logon across forests</w:t>
            </w:r>
          </w:p>
        </w:tc>
        <w:tc>
          <w:tcPr/>
          <w:p>
            <w:pPr>
              <w:pStyle w:val="Compact"/>
            </w:pPr>
            <w:r>
              <w:t xml:space="preserve">— (trust, not a template)</w:t>
            </w:r>
          </w:p>
        </w:tc>
        <w:tc>
          <w:tcPr/>
          <w:p>
            <w:pPr>
              <w:pStyle w:val="Compact"/>
            </w:pPr>
            <w:r>
              <w:t xml:space="preserve">BRIDGE</w:t>
            </w:r>
          </w:p>
        </w:tc>
        <w:tc>
          <w:tcPr/>
          <w:p>
            <w:pPr>
              <w:pStyle w:val="Compact"/>
            </w:pPr>
            <w:r>
              <w:t xml:space="preserve">None</w:t>
            </w:r>
          </w:p>
        </w:tc>
        <w:tc>
          <w:tcPr/>
          <w:p>
            <w:pPr>
              <w:pStyle w:val="Compact"/>
            </w:pPr>
            <w:r>
              <w:t xml:space="preserve">NTAuth in each forest</w:t>
            </w:r>
          </w:p>
        </w:tc>
        <w:tc>
          <w:tcPr/>
          <w:p>
            <w:pPr>
              <w:pStyle w:val="Compact"/>
            </w:pPr>
            <w:r>
              <w:t xml:space="preserve">Cross-forest certificate sign-in needs the user certificate’s issuing CA in the resource forest’s NTAuth store and KDC certificates on its DCs</w:t>
            </w:r>
            <w:r>
              <w:rPr>
                <w:rStyle w:val="FootnoteReference"/>
              </w:rPr>
              <w:footnoteReference w:id="151"/>
            </w:r>
            <w:r>
              <w:t xml:space="preserve">. Restated: the source listed</w:t>
            </w:r>
            <w:r>
              <w:t xml:space="preserve"> </w:t>
            </w:r>
            <w:r>
              <w:t xml:space="preserve">“cross-forest trust certificates”</w:t>
            </w:r>
            <w:r>
              <w:t xml:space="preserve"> </w:t>
            </w:r>
            <w:r>
              <w:t xml:space="preserve">under the domain controller template; the program records the dependency as the NTAuth and KDC-certificate configuration that cross-forest certificate sign-in needs</w:t>
            </w:r>
          </w:p>
        </w:tc>
      </w:tr>
      <w:tr>
        <w:tc>
          <w:tcPr/>
          <w:p>
            <w:pPr>
              <w:pStyle w:val="Compact"/>
            </w:pPr>
            <w:r>
              <w:t xml:space="preserve">NPS and RADIUS server</w:t>
            </w:r>
          </w:p>
        </w:tc>
        <w:tc>
          <w:tcPr/>
          <w:p>
            <w:pPr>
              <w:pStyle w:val="Compact"/>
            </w:pPr>
            <w:r>
              <w:t xml:space="preserve">RAS and IAS Server</w:t>
            </w:r>
          </w:p>
        </w:tc>
        <w:tc>
          <w:tcPr/>
          <w:p>
            <w:pPr>
              <w:pStyle w:val="Compact"/>
            </w:pPr>
            <w:r>
              <w:t xml:space="preserve">BRIDGE</w:t>
            </w:r>
          </w:p>
        </w:tc>
        <w:tc>
          <w:tcPr/>
          <w:p>
            <w:pPr>
              <w:pStyle w:val="Compact"/>
            </w:pPr>
            <w:r>
              <w:t xml:space="preserve">None</w:t>
            </w:r>
          </w:p>
        </w:tc>
        <w:tc>
          <w:tcPr/>
          <w:p>
            <w:pPr>
              <w:pStyle w:val="Compact"/>
            </w:pPr>
            <w:r>
              <w:t xml:space="preserve">Autoenrollment</w:t>
            </w:r>
          </w:p>
        </w:tc>
        <w:tc>
          <w:tcPr/>
          <w:p>
            <w:pPr>
              <w:pStyle w:val="Compact"/>
            </w:pPr>
            <w:r>
              <w:t xml:space="preserve">Clients must trust the NPS server certificate</w:t>
            </w:r>
            <w:r>
              <w:rPr>
                <w:rStyle w:val="FootnoteReference"/>
              </w:rPr>
              <w:footnoteReference w:id="153"/>
            </w:r>
            <w:r>
              <w:t xml:space="preserve">; moves only when RADIUS itself moves (Book 02, Chapter 04)</w:t>
            </w:r>
          </w:p>
        </w:tc>
      </w:tr>
      <w:tr>
        <w:tc>
          <w:tcPr/>
          <w:p>
            <w:pPr>
              <w:pStyle w:val="Compact"/>
            </w:pPr>
            <w:r>
              <w:t xml:space="preserve">Internal web server TLS</w:t>
            </w:r>
          </w:p>
        </w:tc>
        <w:tc>
          <w:tcPr/>
          <w:p>
            <w:pPr>
              <w:pStyle w:val="Compact"/>
            </w:pPr>
            <w:r>
              <w:t xml:space="preserve">Web Server</w:t>
            </w:r>
          </w:p>
        </w:tc>
        <w:tc>
          <w:tcPr/>
          <w:p>
            <w:pPr>
              <w:pStyle w:val="Compact"/>
            </w:pPr>
            <w:r>
              <w:t xml:space="preserve">BRIDGE until Chapter 04 decides the server issuer</w:t>
            </w:r>
          </w:p>
        </w:tc>
        <w:tc>
          <w:tcPr/>
          <w:p>
            <w:pPr>
              <w:pStyle w:val="Compact"/>
            </w:pPr>
            <w:r>
              <w:t xml:space="preserve">Not Cloud PKI</w:t>
            </w:r>
          </w:p>
        </w:tc>
        <w:tc>
          <w:tcPr/>
          <w:p>
            <w:pPr>
              <w:pStyle w:val="Compact"/>
            </w:pPr>
            <w:r>
              <w:t xml:space="preserve">Server-side automation</w:t>
            </w:r>
          </w:p>
        </w:tc>
        <w:tc>
          <w:tcPr/>
          <w:p>
            <w:pPr>
              <w:pStyle w:val="Compact"/>
            </w:pPr>
            <w:r>
              <w:t xml:space="preserve">Corrected: the source classified this MIGRATE to Cloud PKI through PKCS. Cloud PKI issues only through SCEP to Intune-managed devices</w:t>
            </w:r>
            <w:r>
              <w:rPr>
                <w:rStyle w:val="FootnoteReference"/>
              </w:rPr>
              <w:footnoteReference w:id="154"/>
            </w:r>
            <w:r>
              <w:t xml:space="preserve"> </w:t>
            </w:r>
            <w:r>
              <w:t xml:space="preserve">and Intune doesn’t manage Windows Server,</w:t>
            </w:r>
            <w:r>
              <w:rPr>
                <w:rStyle w:val="FootnoteReference"/>
              </w:rPr>
              <w:footnoteReference w:id="155"/>
            </w:r>
            <w:r>
              <w:t xml:space="preserve"> </w:t>
            </w:r>
            <w:r>
              <w:t xml:space="preserve">so servers need another issuer; publicly reachable names use a public CA</w:t>
            </w:r>
          </w:p>
        </w:tc>
      </w:tr>
      <w:tr>
        <w:tc>
          <w:tcPr/>
          <w:p>
            <w:pPr>
              <w:pStyle w:val="Compact"/>
            </w:pPr>
            <w:r>
              <w:t xml:space="preserve">SQL Server TLS</w:t>
            </w:r>
          </w:p>
        </w:tc>
        <w:tc>
          <w:tcPr/>
          <w:p>
            <w:pPr>
              <w:pStyle w:val="Compact"/>
            </w:pPr>
            <w:r>
              <w:t xml:space="preserve">Web Server or custom</w:t>
            </w:r>
          </w:p>
        </w:tc>
        <w:tc>
          <w:tcPr/>
          <w:p>
            <w:pPr>
              <w:pStyle w:val="Compact"/>
            </w:pPr>
            <w:r>
              <w:t xml:space="preserve">BRIDGE until Chapter 04 decides the server issuer</w:t>
            </w:r>
          </w:p>
        </w:tc>
        <w:tc>
          <w:tcPr/>
          <w:p>
            <w:pPr>
              <w:pStyle w:val="Compact"/>
            </w:pPr>
            <w:r>
              <w:t xml:space="preserve">Not Cloud PKI</w:t>
            </w:r>
          </w:p>
        </w:tc>
        <w:tc>
          <w:tcPr/>
          <w:p>
            <w:pPr>
              <w:pStyle w:val="Compact"/>
            </w:pPr>
            <w:r>
              <w:t xml:space="preserve">Server-side automation</w:t>
            </w:r>
          </w:p>
        </w:tc>
        <w:tc>
          <w:tcPr/>
          <w:p>
            <w:pPr>
              <w:pStyle w:val="Compact"/>
            </w:pPr>
            <w:r>
              <w:t xml:space="preserve">Book 06, Chapter 22</w:t>
            </w:r>
          </w:p>
        </w:tc>
      </w:tr>
      <w:tr>
        <w:tc>
          <w:tcPr/>
          <w:p>
            <w:pPr>
              <w:pStyle w:val="Compact"/>
            </w:pPr>
            <w:r>
              <w:t xml:space="preserve">Code signing with an HSM-held key</w:t>
            </w:r>
          </w:p>
        </w:tc>
        <w:tc>
          <w:tcPr/>
          <w:p>
            <w:pPr>
              <w:pStyle w:val="Compact"/>
            </w:pPr>
            <w:r>
              <w:t xml:space="preserve">Code Signing</w:t>
            </w:r>
          </w:p>
        </w:tc>
        <w:tc>
          <w:tcPr/>
          <w:p>
            <w:pPr>
              <w:pStyle w:val="Compact"/>
            </w:pPr>
            <w:r>
              <w:t xml:space="preserve">RETAIN</w:t>
            </w:r>
          </w:p>
        </w:tc>
        <w:tc>
          <w:tcPr/>
          <w:p>
            <w:pPr>
              <w:pStyle w:val="Compact"/>
            </w:pPr>
            <w:r>
              <w:t xml:space="preserve">None</w:t>
            </w:r>
          </w:p>
        </w:tc>
        <w:tc>
          <w:tcPr/>
          <w:p>
            <w:pPr>
              <w:pStyle w:val="Compact"/>
            </w:pPr>
            <w:r>
              <w:t xml:space="preserve">Manual, controlled</w:t>
            </w:r>
          </w:p>
        </w:tc>
        <w:tc>
          <w:tcPr/>
          <w:p>
            <w:pPr>
              <w:pStyle w:val="Compact"/>
            </w:pPr>
            <w:r>
              <w:t xml:space="preserve">HSM infrastructure and the signing ceremony stay</w:t>
            </w:r>
          </w:p>
        </w:tc>
      </w:tr>
      <w:tr>
        <w:tc>
          <w:tcPr/>
          <w:p>
            <w:pPr>
              <w:pStyle w:val="Compact"/>
            </w:pPr>
            <w:r>
              <w:t xml:space="preserve">EFS</w:t>
            </w:r>
          </w:p>
        </w:tc>
        <w:tc>
          <w:tcPr/>
          <w:p>
            <w:pPr>
              <w:pStyle w:val="Compact"/>
            </w:pPr>
            <w:r>
              <w:t xml:space="preserve">Basic EFS</w:t>
            </w:r>
          </w:p>
        </w:tc>
        <w:tc>
          <w:tcPr/>
          <w:p>
            <w:pPr>
              <w:pStyle w:val="Compact"/>
            </w:pPr>
            <w:r>
              <w:t xml:space="preserve">RETIRE</w:t>
            </w:r>
          </w:p>
        </w:tc>
        <w:tc>
          <w:tcPr/>
          <w:p>
            <w:pPr>
              <w:pStyle w:val="Compact"/>
            </w:pPr>
            <w:r>
              <w:t xml:space="preserve">None</w:t>
            </w:r>
          </w:p>
        </w:tc>
        <w:tc>
          <w:tcPr/>
          <w:p>
            <w:pPr>
              <w:pStyle w:val="Compact"/>
            </w:pPr>
            <w:r>
              <w:t xml:space="preserve">—</w:t>
            </w:r>
          </w:p>
        </w:tc>
        <w:tc>
          <w:tcPr/>
          <w:p>
            <w:pPr>
              <w:pStyle w:val="Compact"/>
            </w:pPr>
            <w:r>
              <w:t xml:space="preserve">The program replaces EFS with Microsoft Purview Information Protection (the source’s</w:t>
            </w:r>
            <w:r>
              <w:t xml:space="preserve"> </w:t>
            </w:r>
            <w:r>
              <w:t xml:space="preserve">“MIP/AIP”</w:t>
            </w:r>
            <w:r>
              <w:t xml:space="preserve">; Microsoft Information Protection is now Purview Information Protection</w:t>
            </w:r>
            <w:r>
              <w:rPr>
                <w:rStyle w:val="FootnoteReference"/>
              </w:rPr>
              <w:footnoteReference w:id="156"/>
            </w:r>
            <w:r>
              <w:t xml:space="preserve">). Keep the EFS and recovery-agent private keys until every file encrypted with them has been decrypted or re-protected</w:t>
            </w:r>
          </w:p>
        </w:tc>
      </w:tr>
      <w:tr>
        <w:tc>
          <w:tcPr/>
          <w:p>
            <w:pPr>
              <w:pStyle w:val="Compact"/>
            </w:pPr>
            <w:r>
              <w:t xml:space="preserve">S/MIME email encryption</w:t>
            </w:r>
          </w:p>
        </w:tc>
        <w:tc>
          <w:tcPr/>
          <w:p>
            <w:pPr>
              <w:pStyle w:val="Compact"/>
            </w:pPr>
            <w:r>
              <w:t xml:space="preserve">Exchange User</w:t>
            </w:r>
          </w:p>
        </w:tc>
        <w:tc>
          <w:tcPr/>
          <w:p>
            <w:pPr>
              <w:pStyle w:val="Compact"/>
            </w:pPr>
            <w:r>
              <w:t xml:space="preserve">BRIDGE</w:t>
            </w:r>
          </w:p>
        </w:tc>
        <w:tc>
          <w:tcPr/>
          <w:p>
            <w:pPr>
              <w:pStyle w:val="Compact"/>
            </w:pPr>
            <w:r>
              <w:t xml:space="preserve">None</w:t>
            </w:r>
          </w:p>
        </w:tc>
        <w:tc>
          <w:tcPr/>
          <w:p>
            <w:pPr>
              <w:pStyle w:val="Compact"/>
            </w:pPr>
            <w:r>
              <w:t xml:space="preserve">Intune PKCS imported certificates for delivery</w:t>
            </w:r>
          </w:p>
        </w:tc>
        <w:tc>
          <w:tcPr/>
          <w:p>
            <w:pPr>
              <w:pStyle w:val="Compact"/>
            </w:pPr>
            <w:r>
              <w:t xml:space="preserve">Corrected: the source classified this MIGRATE to</w:t>
            </w:r>
            <w:r>
              <w:t xml:space="preserve"> </w:t>
            </w:r>
            <w:r>
              <w:t xml:space="preserve">“PKCS imported.”</w:t>
            </w:r>
            <w:r>
              <w:t xml:space="preserve"> </w:t>
            </w:r>
            <w:r>
              <w:t xml:space="preserve">Imported PKCS delivers certificates that were issued and exported elsewhere, so the issuer and its key history stay; Microsoft recommends not creating encryption certificates in Intune, because every device of a user needs the same certificate and all of that user’s past encryption certificates</w:t>
            </w:r>
            <w:r>
              <w:rPr>
                <w:rStyle w:val="FootnoteReference"/>
              </w:rPr>
              <w:footnoteReference w:id="158"/>
            </w:r>
            <w:r>
              <w:rPr>
                <w:rStyle w:val="FootnoteReference"/>
              </w:rPr>
              <w:footnoteReference w:id="160"/>
            </w:r>
          </w:p>
        </w:tc>
      </w:tr>
      <w:tr>
        <w:tc>
          <w:tcPr/>
          <w:p>
            <w:pPr>
              <w:pStyle w:val="Compact"/>
            </w:pPr>
            <w:r>
              <w:t xml:space="preserve">OCSP response signing</w:t>
            </w:r>
          </w:p>
        </w:tc>
        <w:tc>
          <w:tcPr/>
          <w:p>
            <w:pPr>
              <w:pStyle w:val="Compact"/>
            </w:pPr>
            <w:r>
              <w:t xml:space="preserve">OCSP Response Signing</w:t>
            </w:r>
          </w:p>
        </w:tc>
        <w:tc>
          <w:tcPr/>
          <w:p>
            <w:pPr>
              <w:pStyle w:val="Compact"/>
            </w:pPr>
            <w:r>
              <w:t xml:space="preserve">Follows the CAs it serves</w:t>
            </w:r>
          </w:p>
        </w:tc>
        <w:tc>
          <w:tcPr/>
          <w:p>
            <w:pPr>
              <w:pStyle w:val="Compact"/>
            </w:pPr>
            <w:r>
              <w:t xml:space="preserve">None</w:t>
            </w:r>
          </w:p>
        </w:tc>
        <w:tc>
          <w:tcPr/>
          <w:p>
            <w:pPr>
              <w:pStyle w:val="Compact"/>
            </w:pPr>
            <w:r>
              <w:t xml:space="preserve">Autoenrollment</w:t>
            </w:r>
          </w:p>
        </w:tc>
        <w:tc>
          <w:tcPr/>
          <w:p>
            <w:pPr>
              <w:pStyle w:val="Compact"/>
            </w:pPr>
            <w:r>
              <w:t xml:space="preserve">Corrected: the source classified this RETIRE because</w:t>
            </w:r>
            <w:r>
              <w:t xml:space="preserve"> </w:t>
            </w:r>
            <w:r>
              <w:t xml:space="preserve">“Cloud PKI handles”</w:t>
            </w:r>
            <w:r>
              <w:t xml:space="preserve"> </w:t>
            </w:r>
            <w:r>
              <w:t xml:space="preserve">status. Cloud PKI publishes CRLs and its documented features don’t include an OCSP responder,</w:t>
            </w:r>
            <w:r>
              <w:rPr>
                <w:rStyle w:val="FootnoteReference"/>
              </w:rPr>
              <w:footnoteReference w:id="162"/>
            </w:r>
            <w:r>
              <w:t xml:space="preserve"> </w:t>
            </w:r>
            <w:r>
              <w:t xml:space="preserve">and Entra CBA doesn’t use OCSP;</w:t>
            </w:r>
            <w:r>
              <w:rPr>
                <w:rStyle w:val="FootnoteReference"/>
              </w:rPr>
              <w:footnoteReference w:id="163"/>
            </w:r>
            <w:r>
              <w:t xml:space="preserve"> </w:t>
            </w:r>
            <w:r>
              <w:t xml:space="preserve">the Online Responder retires when the last AD CS CA it answers for retires</w:t>
            </w:r>
          </w:p>
        </w:tc>
      </w:tr>
    </w:tbl>
    <w:p>
      <w:pPr>
        <w:pStyle w:val="BodyText"/>
      </w:pPr>
      <w:r>
        <w:t xml:space="preserve">The pattern in the corrections is the one Chapter 01 set out. Everything that ends on an Intune-managed device can MIGRATE. Everything that ends on a server, a domain controller or a key history needs a decision about its issuer, and until that decision is made it is BRIDGE, not MIGRATE. Chapter 04 makes that decision; Chapter 03 makes the AD CS that carries the BRIDGE and RETAIN load safe in the meantime.</w:t>
      </w:r>
    </w:p>
    <w:bookmarkEnd w:id="164"/>
    <w:bookmarkStart w:id="165" w:name="what-this-chapter-hands-on"/>
    <w:p>
      <w:pPr>
        <w:pStyle w:val="Heading2"/>
      </w:pPr>
      <w:bookmarkStart w:id="952" w:name="_Toc00000952"/>
      <w:r>
        <w:t xml:space="preserve">What this chapter hands on</w:t>
      </w:r>
      <w:bookmarkEnd w:id="952"/>
    </w:p>
    <w:p>
      <w:pPr>
        <w:pStyle w:val="Compact"/>
        <w:numPr>
          <w:ilvl w:val="0"/>
          <w:numId w:val="1007"/>
        </w:numPr>
      </w:pPr>
      <w:r>
        <w:t xml:space="preserve">To Chapter 03: the template layer of the inventory, especially subject name settings, enrollment rights and write rights, and the CA layer’s configuration, which are what the hardening review checks.</w:t>
      </w:r>
    </w:p>
    <w:p>
      <w:pPr>
        <w:pStyle w:val="Compact"/>
        <w:numPr>
          <w:ilvl w:val="0"/>
          <w:numId w:val="1007"/>
        </w:numPr>
      </w:pPr>
      <w:r>
        <w:t xml:space="preserve">To Chapter 04: every BRIDGE and RETAIN row, each of which needs a target issuer.</w:t>
      </w:r>
    </w:p>
    <w:p>
      <w:pPr>
        <w:pStyle w:val="Compact"/>
        <w:numPr>
          <w:ilvl w:val="0"/>
          <w:numId w:val="1007"/>
        </w:numPr>
      </w:pPr>
      <w:r>
        <w:t xml:space="preserve">To Chapter 05: a named owner for every template.</w:t>
      </w:r>
    </w:p>
    <w:p>
      <w:pPr>
        <w:pStyle w:val="Compact"/>
        <w:numPr>
          <w:ilvl w:val="0"/>
          <w:numId w:val="1007"/>
        </w:numPr>
      </w:pPr>
      <w:r>
        <w:t xml:space="preserve">To Chapter 07: the relying-party layer, which fixes the order of work.</w:t>
      </w:r>
    </w:p>
    <w:p>
      <w:pPr>
        <w:pStyle w:val="Compact"/>
        <w:numPr>
          <w:ilvl w:val="0"/>
          <w:numId w:val="1007"/>
        </w:numPr>
      </w:pPr>
      <w:r>
        <w:t xml:space="preserve">To Appendix B: the classification of each template.</w:t>
      </w:r>
    </w:p>
    <w:bookmarkEnd w:id="165"/>
    <w:bookmarkStart w:id="166" w:name="continue-the-book-1"/>
    <w:p>
      <w:pPr>
        <w:pStyle w:val="Heading2"/>
      </w:pPr>
      <w:bookmarkStart w:id="953" w:name="_Toc00000953"/>
      <w:r>
        <w:t xml:space="preserve">Continue the book</w:t>
      </w:r>
      <w:bookmarkEnd w:id="953"/>
    </w:p>
    <w:p>
      <w:pPr>
        <w:pStyle w:val="FirstParagraph"/>
      </w:pPr>
      <w:r>
        <w:t xml:space="preserve">← Previous: Chapter 01 — Why Certificates Outlive Every Migration · Book index · Next: Chapter 03 — Hardening What Stays →</w:t>
      </w:r>
    </w:p>
    <w:bookmarkEnd w:id="166"/>
    <w:bookmarkEnd w:id="167"/>
    <w:bookmarkStart w:id="306" w:name="chapter-03-hardening-what-stays"/>
    <w:p>
      <w:pPr>
        <w:pStyle w:val="Heading1"/>
      </w:pPr>
      <w:bookmarkStart w:id="954" w:name="_Toc00000954"/>
      <w:r>
        <w:t xml:space="preserve">Chapter 03 — Hardening What Stays</w:t>
      </w:r>
      <w:bookmarkEnd w:id="954"/>
    </w:p>
    <w:p>
      <w:pPr>
        <w:pStyle w:val="FirstParagraph"/>
      </w:pPr>
      <w:r>
        <w:rPr>
          <w:i/>
          <w:iCs/>
        </w:rPr>
        <w:t xml:space="preserve">AD CS doesn’t stop issuing trusted credentials just because a replacement is planned, so the CA you’re leaving has to be the best-defended system you own until the day it’s gone.</w:t>
      </w:r>
    </w:p>
    <w:bookmarkStart w:id="168" w:name="in-this-chapter-2"/>
    <w:p>
      <w:pPr>
        <w:pStyle w:val="Heading2"/>
      </w:pPr>
      <w:bookmarkStart w:id="955" w:name="_Toc00000955"/>
      <w:r>
        <w:t xml:space="preserve">In this chapter</w:t>
      </w:r>
      <w:bookmarkEnd w:id="955"/>
    </w:p>
    <w:p>
      <w:pPr>
        <w:pStyle w:val="FirstParagraph"/>
      </w:pPr>
      <w:r>
        <w:t xml:space="preserve">Why the AD CS estate gets hardened before anything migrates, and the gate that enforces it. The eight ESC misconfiguration classes as a defensive checklist: what each one is, how to detect it, and how to fix it. How to turn on CA auditing so detection has evidence behind it. The program’s risk-scoring matrix, and the hardening baselines for the AD CS that remains, for Microsoft Cloud PKI and for Microsoft Entra certificate-based authentication.</w:t>
      </w:r>
    </w:p>
    <w:bookmarkEnd w:id="168"/>
    <w:p>
      <w:pPr>
        <w:pStyle w:val="BodyText"/>
      </w:pPr>
      <w:r>
        <w:t xml:space="preserve">A migration off Active Directory Certificate Services (AD CS) takes months, and for some workloads it never finishes (Chapter 02). Throughout that time the enterprise CA keeps issuing certificates that domain controllers, VPN gateways, RADIUS servers and Microsoft Entra ID accept as proof of identity. A CA can create credentials the whole environment trusts, so a single over-privileged account or misconfigured setting on it can undo every other identity control.</w:t>
      </w:r>
      <w:r>
        <w:rPr>
          <w:rStyle w:val="FootnoteReference"/>
        </w:rPr>
        <w:footnoteReference w:id="169"/>
      </w:r>
    </w:p>
    <w:p>
      <w:pPr>
        <w:pStyle w:val="BodyText"/>
      </w:pPr>
      <w:r>
        <w:t xml:space="preserve">That makes hardening the first technical workstream, not a cleanup task at the end. It also matters for the target. Under the bring-your-own-CA model the program recommends (Chapter 04), the new Microsoft Cloud PKI issuing CA chains to the existing AD CS hierarchy, so every weakness in that hierarchy is inherited by the cloud issuer the day it goes live.</w:t>
      </w:r>
      <w:r>
        <w:rPr>
          <w:rStyle w:val="FootnoteReference"/>
        </w:rPr>
        <w:footnoteReference w:id="170"/>
      </w:r>
    </w:p>
    <w:bookmarkStart w:id="175" w:name="fig-ch03-esc-control-points"/>
    <w:p>
      <w:pPr>
        <w:pStyle w:val="CaptionedFigure"/>
      </w:pPr>
      <w:r>
        <w:drawing>
          <wp:inline>
            <wp:extent cx="5334000" cy="3388818"/>
            <wp:effectExtent b="0" l="0" r="0" t="0"/>
            <wp:docPr descr="Where the eight misconfiguration classes live, and which source detects each one." title="" id="173" name="Picture"/>
            <a:graphic>
              <a:graphicData uri="http://schemas.openxmlformats.org/drawingml/2006/picture">
                <pic:pic>
                  <pic:nvPicPr>
                    <pic:cNvPr descr="/home/runner/work/modernization-workbook/modernization-workbook/docs/images/diagrams/b07-pki/png/ch03-esc-control-points.png" id="174" name="Picture"/>
                    <pic:cNvPicPr>
                      <a:picLocks noChangeArrowheads="1" noChangeAspect="1"/>
                    </pic:cNvPicPr>
                  </pic:nvPicPr>
                  <pic:blipFill>
                    <a:blip r:embed="rId172"/>
                    <a:stretch>
                      <a:fillRect/>
                    </a:stretch>
                  </pic:blipFill>
                  <pic:spPr bwMode="auto">
                    <a:xfrm>
                      <a:off x="0" y="0"/>
                      <a:ext cx="5334000" cy="3388818"/>
                    </a:xfrm>
                    <a:prstGeom prst="rect">
                      <a:avLst/>
                    </a:prstGeom>
                    <a:noFill/>
                    <a:ln w="9525">
                      <a:noFill/>
                      <a:headEnd/>
                      <a:tailEnd/>
                    </a:ln>
                  </pic:spPr>
                </pic:pic>
              </a:graphicData>
            </a:graphic>
          </wp:inline>
        </w:drawing>
      </w:r>
    </w:p>
    <w:p>
      <w:pPr>
        <w:pStyle w:val="ImageCaption"/>
      </w:pPr>
      <w:r>
        <w:t xml:space="preserve">Where the eight misconfiguration classes live, and which source detects each one.</w:t>
      </w:r>
    </w:p>
    <w:bookmarkEnd w:id="175"/>
    <w:bookmarkStart w:id="176" w:name="the-migration-gate"/>
    <w:p>
      <w:pPr>
        <w:pStyle w:val="Heading2"/>
      </w:pPr>
      <w:bookmarkStart w:id="956" w:name="_Toc00000956"/>
      <w:r>
        <w:t xml:space="preserve">The migration gate</w:t>
      </w:r>
      <w:bookmarkEnd w:id="956"/>
    </w:p>
    <w:p>
      <w:pPr>
        <w:pStyle w:val="FirstParagraph"/>
      </w:pPr>
      <w:r>
        <w:t xml:space="preserve">The program carries one rule forward unchanged from its PKI guide: misconfigurations rated</w:t>
      </w:r>
      <w:r>
        <w:t xml:space="preserve"> </w:t>
      </w:r>
      <w:r>
        <w:rPr>
          <w:b/>
          <w:bCs/>
        </w:rPr>
        <w:t xml:space="preserve">Critical</w:t>
      </w:r>
      <w:r>
        <w:t xml:space="preserve"> </w:t>
      </w:r>
      <w:r>
        <w:t xml:space="preserve">or</w:t>
      </w:r>
      <w:r>
        <w:t xml:space="preserve"> </w:t>
      </w:r>
      <w:r>
        <w:rPr>
          <w:b/>
          <w:bCs/>
        </w:rPr>
        <w:t xml:space="preserve">High</w:t>
      </w:r>
      <w:r>
        <w:t xml:space="preserve"> </w:t>
      </w:r>
      <w:r>
        <w:t xml:space="preserve">in the risk-scoring matrix below are remediated and verified before any certificate workload migrates. Migrating from a CA that can be made to issue arbitrary credentials propagates that weakness into whatever trusts the hierarchy next. This is a program design decision; the risk ratings in the matrix are the program’s own scoring, not a vendor classification.</w:t>
      </w:r>
    </w:p>
    <w:p>
      <w:pPr>
        <w:pStyle w:val="BodyText"/>
      </w:pPr>
      <w:r>
        <w:t xml:space="preserve">The PKI guide’s PowerShell assessment module, which bundled detection checks for these classes, isn’t reproduced in this book. It stays in the archive pending a technical review. The checklist below relies on Microsoft’s own detection surfaces instead: Microsoft Defender for Identity’s AD CS posture assessments, CA audit events, and directory change auditing.</w:t>
      </w:r>
    </w:p>
    <w:bookmarkEnd w:id="176"/>
    <w:bookmarkStart w:id="256" w:name="the-esc-taxonomy"/>
    <w:p>
      <w:pPr>
        <w:pStyle w:val="Heading2"/>
      </w:pPr>
      <w:bookmarkStart w:id="957" w:name="_Toc00000957"/>
      <w:r>
        <w:t xml:space="preserve">The ESC taxonomy</w:t>
      </w:r>
      <w:bookmarkEnd w:id="957"/>
    </w:p>
    <w:p>
      <w:pPr>
        <w:pStyle w:val="FirstParagraph"/>
      </w:pPr>
      <w:r>
        <w:t xml:space="preserve">The ESC1–ESC8 names come from SpecterOps’s 2021 research on AD CS, which grouped common misconfigurations into numbered</w:t>
      </w:r>
      <w:r>
        <w:t xml:space="preserve"> </w:t>
      </w:r>
      <w:r>
        <w:t xml:space="preserve">“domain escalation”</w:t>
      </w:r>
      <w:r>
        <w:t xml:space="preserve"> </w:t>
      </w:r>
      <w:r>
        <w:t xml:space="preserve">classes.</w:t>
      </w:r>
      <w:r>
        <w:rPr>
          <w:rStyle w:val="FootnoteReference"/>
        </w:rPr>
        <w:footnoteReference w:id="177"/>
      </w:r>
      <w:r>
        <w:t xml:space="preserve"> </w:t>
      </w:r>
      <w:r>
        <w:t xml:space="preserve">Microsoft adopted the same labels in Defender for Identity’s certificate assessments, which is why they’re the shared vocabulary between security vendors, assessors and Microsoft documentation.</w:t>
      </w:r>
      <w:r>
        <w:rPr>
          <w:rStyle w:val="FootnoteReference"/>
        </w:rPr>
        <w:footnoteReference w:id="179"/>
      </w:r>
      <w:r>
        <w:t xml:space="preserve"> </w:t>
      </w:r>
      <w:r>
        <w:t xml:space="preserve">This book uses the names only as labels for defensive checks.</w:t>
      </w:r>
    </w:p>
    <w:p>
      <w:pPr>
        <w:pStyle w:val="BodyText"/>
      </w:pPr>
      <w:r>
        <w:t xml:space="preserve">Defender for Identity reports its AD CS assessments in Microsoft Secure Score. Certificate</w:t>
      </w:r>
      <w:r>
        <w:t xml:space="preserve"> </w:t>
      </w:r>
      <w:r>
        <w:rPr>
          <w:i/>
          <w:iCs/>
        </w:rPr>
        <w:t xml:space="preserve">template</w:t>
      </w:r>
      <w:r>
        <w:t xml:space="preserve"> </w:t>
      </w:r>
      <w:r>
        <w:t xml:space="preserve">assessments are available to every customer with AD CS in the environment; certificate</w:t>
      </w:r>
      <w:r>
        <w:t xml:space="preserve"> </w:t>
      </w:r>
      <w:r>
        <w:rPr>
          <w:i/>
          <w:iCs/>
        </w:rPr>
        <w:t xml:space="preserve">authority</w:t>
      </w:r>
      <w:r>
        <w:t xml:space="preserve"> </w:t>
      </w:r>
      <w:r>
        <w:t xml:space="preserve">assessments need a Defender for Identity sensor installed on the AD CS server.</w:t>
      </w:r>
      <w:r>
        <w:rPr>
          <w:rStyle w:val="FootnoteReference"/>
        </w:rPr>
        <w:footnoteReference w:id="181"/>
      </w:r>
      <w:r>
        <w:t xml:space="preserve"> </w:t>
      </w:r>
      <w:r>
        <w:t xml:space="preserve">Install the sensor on every enterprise CA that remains in service, and configure the auditing it depends on (see</w:t>
      </w:r>
      <w:r>
        <w:t xml:space="preserve"> </w:t>
      </w:r>
      <w:hyperlink w:anchor="turn-on-ca-auditing">
        <w:r>
          <w:rPr>
            <w:rStyle w:val="Hyperlink"/>
          </w:rPr>
          <w:t xml:space="preserve">Turn on CA auditing</w:t>
        </w:r>
      </w:hyperlink>
      <w:r>
        <w:t xml:space="preserve">).</w:t>
      </w:r>
      <w:r>
        <w:rPr>
          <w:rStyle w:val="FootnoteReference"/>
        </w:rPr>
        <w:footnoteReference w:id="183"/>
      </w:r>
    </w:p>
    <w:p>
      <w:pPr>
        <w:pStyle w:val="BodyText"/>
      </w:pPr>
      <w:r>
        <w:t xml:space="preserve">In GCC, Defender for Identity uses the</w:t>
      </w:r>
      <w:r>
        <w:t xml:space="preserve"> </w:t>
      </w:r>
      <w:r>
        <w:rPr>
          <w:rStyle w:val="VerbatimChar"/>
        </w:rPr>
        <w:t xml:space="preserve">security.microsoft.com</w:t>
      </w:r>
      <w:r>
        <w:t xml:space="preserve"> </w:t>
      </w:r>
      <w:r>
        <w:t xml:space="preserve">portal and a GCC sensor endpoint. Microsoft says new features reach GCC, GCC High and DoD within 90 days of commercial release, but preview features may not be supported there.</w:t>
      </w:r>
      <w:r>
        <w:rPr>
          <w:rStyle w:val="FootnoteReference"/>
        </w:rPr>
        <w:footnoteReference w:id="185"/>
      </w:r>
      <w:r>
        <w:t xml:space="preserve"> </w:t>
      </w:r>
      <w:r>
        <w:t xml:space="preserve">Two of the assessments below (ESC1 and ESC6) are still labeled preview,</w:t>
      </w:r>
      <w:r>
        <w:rPr>
          <w:rStyle w:val="FootnoteReference"/>
        </w:rPr>
        <w:footnoteReference w:id="187"/>
      </w:r>
      <w:r>
        <w:t xml:space="preserve"> </w:t>
      </w:r>
      <w:r>
        <w:t xml:space="preserve">so confirm they appear in your tenant before relying on them, and run the manual checks in the meantime.</w:t>
      </w:r>
    </w:p>
    <w:p>
      <w:pPr>
        <w:pStyle w:val="BodyText"/>
      </w:pPr>
      <w:r>
        <w:t xml:space="preserve">The commands in this chapter are illustrative and haven’t been tested against a production CA. Run read-only checks first, make changes only under a change record with a tested CA backup, and schedule service restarts: restarting Certificate Services interrupts issuance.</w:t>
      </w:r>
      <w:r>
        <w:rPr>
          <w:rStyle w:val="FootnoteReference"/>
        </w:rPr>
        <w:footnoteReference w:id="188"/>
      </w:r>
    </w:p>
    <w:bookmarkStart w:id="201" w:name="X3d494671e1b15fdd9c183b55d1954c591a247b0"/>
    <w:p>
      <w:pPr>
        <w:pStyle w:val="Heading3"/>
      </w:pPr>
      <w:r>
        <w:t xml:space="preserve">ESC1 — requester-supplied subject on an authentication template</w:t>
      </w:r>
    </w:p>
    <w:p>
      <w:pPr>
        <w:pStyle w:val="FirstParagraph"/>
      </w:pPr>
      <w:r>
        <w:t xml:space="preserve">A template allows the requester to supply the subject or subject alternative name (SAN), permits client authentication, and is enrollable by broad, unprivileged groups, so any member can obtain a certificate that names someone else.</w:t>
      </w:r>
      <w:r>
        <w:rPr>
          <w:rStyle w:val="FootnoteReference"/>
        </w:rPr>
        <w:footnoteReference w:id="189"/>
      </w:r>
    </w:p>
    <w:p>
      <w:pPr>
        <w:pStyle w:val="BodyText"/>
      </w:pPr>
      <w:r>
        <w:t xml:space="preserve">Detection:</w:t>
      </w:r>
    </w:p>
    <w:p>
      <w:pPr>
        <w:pStyle w:val="Compact"/>
        <w:numPr>
          <w:ilvl w:val="0"/>
          <w:numId w:val="1008"/>
        </w:numPr>
      </w:pPr>
      <w:r>
        <w:t xml:space="preserve">Defender for Identity assessment</w:t>
      </w:r>
      <w:r>
        <w:t xml:space="preserve"> </w:t>
      </w:r>
      <w:r>
        <w:rPr>
          <w:i/>
          <w:iCs/>
        </w:rPr>
        <w:t xml:space="preserve">Prevent users to request a certificate valid for arbitrary users based on the certificate template (ESC1)</w:t>
      </w:r>
      <w:r>
        <w:t xml:space="preserve"> </w:t>
      </w:r>
      <w:r>
        <w:t xml:space="preserve">lists the exposed templates.</w:t>
      </w:r>
      <w:r>
        <w:rPr>
          <w:rStyle w:val="FootnoteReference"/>
        </w:rPr>
        <w:footnoteReference w:id="190"/>
      </w:r>
    </w:p>
    <w:p>
      <w:pPr>
        <w:pStyle w:val="Compact"/>
        <w:numPr>
          <w:ilvl w:val="0"/>
          <w:numId w:val="1008"/>
        </w:numPr>
      </w:pPr>
      <w:r>
        <w:t xml:space="preserve">On each template, check the</w:t>
      </w:r>
      <w:r>
        <w:t xml:space="preserve"> </w:t>
      </w:r>
      <w:r>
        <w:rPr>
          <w:b/>
          <w:bCs/>
        </w:rPr>
        <w:t xml:space="preserve">Subject Name</w:t>
      </w:r>
      <w:r>
        <w:t xml:space="preserve"> </w:t>
      </w:r>
      <w:r>
        <w:t xml:space="preserve">tab for</w:t>
      </w:r>
      <w:r>
        <w:t xml:space="preserve"> </w:t>
      </w:r>
      <w:r>
        <w:rPr>
          <w:b/>
          <w:bCs/>
        </w:rPr>
        <w:t xml:space="preserve">Supply in the request</w:t>
      </w:r>
      <w:r>
        <w:t xml:space="preserve">. In the directory this is the</w:t>
      </w:r>
      <w:r>
        <w:t xml:space="preserve"> </w:t>
      </w:r>
      <w:r>
        <w:rPr>
          <w:rStyle w:val="VerbatimChar"/>
        </w:rPr>
        <w:t xml:space="preserve">SubjectNameEnrolleeSupplies</w:t>
      </w:r>
      <w:r>
        <w:t xml:space="preserve"> </w:t>
      </w:r>
      <w:r>
        <w:t xml:space="preserve">bit (</w:t>
      </w:r>
      <w:r>
        <w:rPr>
          <w:rStyle w:val="VerbatimChar"/>
        </w:rPr>
        <w:t xml:space="preserve">0x1</w:t>
      </w:r>
      <w:r>
        <w:t xml:space="preserve">) in the template’s</w:t>
      </w:r>
      <w:r>
        <w:t xml:space="preserve"> </w:t>
      </w:r>
      <w:r>
        <w:rPr>
          <w:rStyle w:val="VerbatimChar"/>
        </w:rPr>
        <w:t xml:space="preserve">msPKI-Certificate-Name-Flag</w:t>
      </w:r>
      <w:r>
        <w:t xml:space="preserve"> </w:t>
      </w:r>
      <w:r>
        <w:t xml:space="preserve">attribute.</w:t>
      </w:r>
      <w:r>
        <w:rPr>
          <w:rStyle w:val="FootnoteReference"/>
        </w:rPr>
        <w:footnoteReference w:id="191"/>
      </w:r>
    </w:p>
    <w:p>
      <w:pPr>
        <w:pStyle w:val="Compact"/>
        <w:numPr>
          <w:ilvl w:val="0"/>
          <w:numId w:val="1008"/>
        </w:numPr>
      </w:pPr>
      <w:r>
        <w:t xml:space="preserve">Check the template’s application policies for authentication purposes: Client Authentication (</w:t>
      </w:r>
      <w:r>
        <w:rPr>
          <w:rStyle w:val="VerbatimChar"/>
        </w:rPr>
        <w:t xml:space="preserve">1.3.6.1.5.5.7.3.2</w:t>
      </w:r>
      <w:r>
        <w:t xml:space="preserve">), Smart Card Logon, PKINIT client authentication, or Any Purpose (</w:t>
      </w:r>
      <w:r>
        <w:rPr>
          <w:rStyle w:val="VerbatimChar"/>
        </w:rPr>
        <w:t xml:space="preserve">2.5.29.37.0</w:t>
      </w:r>
      <w:r>
        <w:t xml:space="preserve">).</w:t>
      </w:r>
      <w:r>
        <w:rPr>
          <w:rStyle w:val="FootnoteReference"/>
        </w:rPr>
        <w:footnoteReference w:id="194"/>
      </w:r>
      <w:r>
        <w:rPr>
          <w:rStyle w:val="FootnoteReference"/>
        </w:rPr>
        <w:footnoteReference w:id="195"/>
      </w:r>
    </w:p>
    <w:p>
      <w:pPr>
        <w:pStyle w:val="Compact"/>
        <w:numPr>
          <w:ilvl w:val="0"/>
          <w:numId w:val="1008"/>
        </w:numPr>
      </w:pPr>
      <w:r>
        <w:t xml:space="preserve">Check the</w:t>
      </w:r>
      <w:r>
        <w:t xml:space="preserve"> </w:t>
      </w:r>
      <w:r>
        <w:rPr>
          <w:b/>
          <w:bCs/>
        </w:rPr>
        <w:t xml:space="preserve">Security</w:t>
      </w:r>
      <w:r>
        <w:t xml:space="preserve"> </w:t>
      </w:r>
      <w:r>
        <w:t xml:space="preserve">tab for</w:t>
      </w:r>
      <w:r>
        <w:t xml:space="preserve"> </w:t>
      </w:r>
      <w:r>
        <w:rPr>
          <w:b/>
          <w:bCs/>
        </w:rPr>
        <w:t xml:space="preserve">Enroll</w:t>
      </w:r>
      <w:r>
        <w:t xml:space="preserve"> </w:t>
      </w:r>
      <w:r>
        <w:t xml:space="preserve">granted to Authenticated Users, Domain Users, Domain Computers or Everyone.</w:t>
      </w:r>
    </w:p>
    <w:p>
      <w:pPr>
        <w:pStyle w:val="Compact"/>
        <w:numPr>
          <w:ilvl w:val="0"/>
          <w:numId w:val="1008"/>
        </w:numPr>
      </w:pPr>
      <w:r>
        <w:t xml:space="preserve">On the CA, review event 4886 (request received) and 4887 (request approved and certificate issued) for requests where the requester and the issued subject differ.</w:t>
      </w:r>
      <w:r>
        <w:rPr>
          <w:rStyle w:val="FootnoteReference"/>
        </w:rPr>
        <w:footnoteReference w:id="197"/>
      </w:r>
    </w:p>
    <w:p>
      <w:pPr>
        <w:pStyle w:val="FirstParagraph"/>
      </w:pPr>
      <w:r>
        <w:t xml:space="preserve">Remediation, any one of which closes the exposure (do as many as the use case allows):</w:t>
      </w:r>
      <w:r>
        <w:rPr>
          <w:rStyle w:val="FootnoteReference"/>
        </w:rPr>
        <w:footnoteReference w:id="199"/>
      </w:r>
    </w:p>
    <w:p>
      <w:pPr>
        <w:pStyle w:val="Compact"/>
        <w:numPr>
          <w:ilvl w:val="0"/>
          <w:numId w:val="1009"/>
        </w:numPr>
      </w:pPr>
      <w:r>
        <w:t xml:space="preserve">Turn off</w:t>
      </w:r>
      <w:r>
        <w:t xml:space="preserve"> </w:t>
      </w:r>
      <w:r>
        <w:rPr>
          <w:b/>
          <w:bCs/>
        </w:rPr>
        <w:t xml:space="preserve">Supply in the request</w:t>
      </w:r>
      <w:r>
        <w:t xml:space="preserve"> </w:t>
      </w:r>
      <w:r>
        <w:t xml:space="preserve">and build the subject from Active Directory.</w:t>
      </w:r>
    </w:p>
    <w:p>
      <w:pPr>
        <w:pStyle w:val="Compact"/>
        <w:numPr>
          <w:ilvl w:val="0"/>
          <w:numId w:val="1009"/>
        </w:numPr>
      </w:pPr>
      <w:r>
        <w:t xml:space="preserve">Remove authentication EKUs the template doesn’t need.</w:t>
      </w:r>
    </w:p>
    <w:p>
      <w:pPr>
        <w:pStyle w:val="Compact"/>
        <w:numPr>
          <w:ilvl w:val="0"/>
          <w:numId w:val="1009"/>
        </w:numPr>
      </w:pPr>
      <w:r>
        <w:t xml:space="preserve">Restrict</w:t>
      </w:r>
      <w:r>
        <w:t xml:space="preserve"> </w:t>
      </w:r>
      <w:r>
        <w:rPr>
          <w:b/>
          <w:bCs/>
        </w:rPr>
        <w:t xml:space="preserve">Enroll</w:t>
      </w:r>
      <w:r>
        <w:t xml:space="preserve"> </w:t>
      </w:r>
      <w:r>
        <w:t xml:space="preserve">to the specific groups that need the template.</w:t>
      </w:r>
    </w:p>
    <w:p>
      <w:pPr>
        <w:pStyle w:val="Compact"/>
        <w:numPr>
          <w:ilvl w:val="0"/>
          <w:numId w:val="1009"/>
        </w:numPr>
      </w:pPr>
      <w:r>
        <w:t xml:space="preserve">Require</w:t>
      </w:r>
      <w:r>
        <w:t xml:space="preserve"> </w:t>
      </w:r>
      <w:r>
        <w:rPr>
          <w:b/>
          <w:bCs/>
        </w:rPr>
        <w:t xml:space="preserve">CA certificate manager approval</w:t>
      </w:r>
      <w:r>
        <w:t xml:space="preserve"> </w:t>
      </w:r>
      <w:r>
        <w:t xml:space="preserve">where requester-supplied names are genuinely needed.</w:t>
      </w:r>
    </w:p>
    <w:p>
      <w:pPr>
        <w:pStyle w:val="Compact"/>
        <w:numPr>
          <w:ilvl w:val="0"/>
          <w:numId w:val="1009"/>
        </w:numPr>
      </w:pPr>
      <w:r>
        <w:t xml:space="preserve">Remove the template from every CA’s issuance list if it’s unused. An unpublished template can’t be requested.</w:t>
      </w:r>
    </w:p>
    <w:p>
      <w:pPr>
        <w:pStyle w:val="FirstParagraph"/>
      </w:pPr>
      <w:r>
        <w:t xml:space="preserve">Microsoft’s template guidance adds that templates with requester-supplied subject information get extra review, and that every permitted identity value must be validated.</w:t>
      </w:r>
      <w:r>
        <w:rPr>
          <w:rStyle w:val="FootnoteReference"/>
        </w:rPr>
        <w:footnoteReference w:id="200"/>
      </w:r>
    </w:p>
    <w:bookmarkEnd w:id="201"/>
    <w:bookmarkStart w:id="205" w:name="esc2-any-purpose-or-no-eku"/>
    <w:p>
      <w:pPr>
        <w:pStyle w:val="Heading3"/>
      </w:pPr>
      <w:r>
        <w:t xml:space="preserve">ESC2 — Any Purpose or no EKU</w:t>
      </w:r>
    </w:p>
    <w:p>
      <w:pPr>
        <w:pStyle w:val="FirstParagraph"/>
      </w:pPr>
      <w:r>
        <w:t xml:space="preserve">A template carries the Any Purpose EKU or no EKU at all and is enrollable by unprivileged users, so the certificates it issues can be presented for purposes the template owner never intended.</w:t>
      </w:r>
      <w:r>
        <w:rPr>
          <w:rStyle w:val="FootnoteReference"/>
        </w:rPr>
        <w:footnoteReference w:id="202"/>
      </w:r>
    </w:p>
    <w:p>
      <w:pPr>
        <w:pStyle w:val="BodyText"/>
      </w:pPr>
      <w:r>
        <w:t xml:space="preserve">Detection:</w:t>
      </w:r>
    </w:p>
    <w:p>
      <w:pPr>
        <w:pStyle w:val="Compact"/>
        <w:numPr>
          <w:ilvl w:val="0"/>
          <w:numId w:val="1010"/>
        </w:numPr>
      </w:pPr>
      <w:r>
        <w:t xml:space="preserve">Defender for Identity assessment</w:t>
      </w:r>
      <w:r>
        <w:t xml:space="preserve"> </w:t>
      </w:r>
      <w:r>
        <w:rPr>
          <w:i/>
          <w:iCs/>
        </w:rPr>
        <w:t xml:space="preserve">Edit overly permissive certificate template with privileged EKU (Any purpose EKU or No EKU) (ESC2)</w:t>
      </w:r>
      <w:r>
        <w:t xml:space="preserve">.</w:t>
      </w:r>
      <w:r>
        <w:rPr>
          <w:rStyle w:val="FootnoteReference"/>
        </w:rPr>
        <w:footnoteReference w:id="203"/>
      </w:r>
    </w:p>
    <w:p>
      <w:pPr>
        <w:pStyle w:val="Compact"/>
        <w:numPr>
          <w:ilvl w:val="0"/>
          <w:numId w:val="1010"/>
        </w:numPr>
      </w:pPr>
      <w:r>
        <w:t xml:space="preserve">On each template, review</w:t>
      </w:r>
      <w:r>
        <w:t xml:space="preserve"> </w:t>
      </w:r>
      <w:r>
        <w:rPr>
          <w:b/>
          <w:bCs/>
        </w:rPr>
        <w:t xml:space="preserve">Extensions</w:t>
      </w:r>
      <w:r>
        <w:t xml:space="preserve"> </w:t>
      </w:r>
      <w:r>
        <w:t xml:space="preserve">→</w:t>
      </w:r>
      <w:r>
        <w:t xml:space="preserve"> </w:t>
      </w:r>
      <w:r>
        <w:rPr>
          <w:b/>
          <w:bCs/>
        </w:rPr>
        <w:t xml:space="preserve">Application Policies</w:t>
      </w:r>
      <w:r>
        <w:t xml:space="preserve">. A template with an empty list or with Any Purpose is a finding</w:t>
      </w:r>
      <w:r>
        <w:t xml:space="preserve"> </w:t>
      </w:r>
      <w:r>
        <w:rPr>
          <w:i/>
          <w:iCs/>
        </w:rPr>
        <w:t xml:space="preserve">if</w:t>
      </w:r>
      <w:r>
        <w:t xml:space="preserve"> </w:t>
      </w:r>
      <w:r>
        <w:t xml:space="preserve">its enrollment permissions include an unprivileged group. A no-EKU template restricted to PKI administrators (for example a subordinate CA template) isn’t the same exposure.</w:t>
      </w:r>
    </w:p>
    <w:p>
      <w:pPr>
        <w:pStyle w:val="FirstParagraph"/>
      </w:pPr>
      <w:r>
        <w:t xml:space="preserve">Remediation: restrict the template’s enrollment permissions, replace Any Purpose with the specific EKUs the use case needs, and add manager approval or authorized-signature requirements where possible.</w:t>
      </w:r>
      <w:r>
        <w:rPr>
          <w:rStyle w:val="FootnoteReference"/>
        </w:rPr>
        <w:footnoteReference w:id="204"/>
      </w:r>
    </w:p>
    <w:bookmarkEnd w:id="205"/>
    <w:bookmarkStart w:id="212" w:name="esc3-enrollment-agent-templates"/>
    <w:p>
      <w:pPr>
        <w:pStyle w:val="Heading3"/>
      </w:pPr>
      <w:r>
        <w:t xml:space="preserve">ESC3 — enrollment agent templates</w:t>
      </w:r>
    </w:p>
    <w:p>
      <w:pPr>
        <w:pStyle w:val="FirstParagraph"/>
      </w:pPr>
      <w:r>
        <w:t xml:space="preserve">A template that issues Certificate Request Agent certificates is enrollable by unprivileged users, so the holder can request certificates on behalf of other users.</w:t>
      </w:r>
      <w:r>
        <w:rPr>
          <w:rStyle w:val="FootnoteReference"/>
        </w:rPr>
        <w:footnoteReference w:id="206"/>
      </w:r>
    </w:p>
    <w:p>
      <w:pPr>
        <w:pStyle w:val="BodyText"/>
      </w:pPr>
      <w:r>
        <w:t xml:space="preserve">Detection:</w:t>
      </w:r>
    </w:p>
    <w:p>
      <w:pPr>
        <w:pStyle w:val="Compact"/>
        <w:numPr>
          <w:ilvl w:val="0"/>
          <w:numId w:val="1011"/>
        </w:numPr>
      </w:pPr>
      <w:r>
        <w:t xml:space="preserve">Defender for Identity assessment</w:t>
      </w:r>
      <w:r>
        <w:t xml:space="preserve"> </w:t>
      </w:r>
      <w:r>
        <w:rPr>
          <w:i/>
          <w:iCs/>
        </w:rPr>
        <w:t xml:space="preserve">Edit misconfigured enrollment agent certificate template (ESC3)</w:t>
      </w:r>
      <w:r>
        <w:t xml:space="preserve"> </w:t>
      </w:r>
      <w:r>
        <w:t xml:space="preserve">lists the risky templates.</w:t>
      </w:r>
      <w:r>
        <w:rPr>
          <w:rStyle w:val="FootnoteReference"/>
        </w:rPr>
        <w:footnoteReference w:id="207"/>
      </w:r>
    </w:p>
    <w:p>
      <w:pPr>
        <w:pStyle w:val="Compact"/>
        <w:numPr>
          <w:ilvl w:val="0"/>
          <w:numId w:val="1011"/>
        </w:numPr>
      </w:pPr>
      <w:r>
        <w:t xml:space="preserve">Inventory every template with the Certificate Request Agent application policy and every issued, unexpired enrollment agent certificate.</w:t>
      </w:r>
    </w:p>
    <w:p>
      <w:pPr>
        <w:pStyle w:val="Compact"/>
        <w:numPr>
          <w:ilvl w:val="0"/>
          <w:numId w:val="1011"/>
        </w:numPr>
      </w:pPr>
      <w:r>
        <w:t xml:space="preserve">Test the CA’s enrollment agent restrictions with an allowed and a disallowed request; Microsoft recommends a positive and a negative test for every scoped role.</w:t>
      </w:r>
      <w:r>
        <w:rPr>
          <w:rStyle w:val="FootnoteReference"/>
        </w:rPr>
        <w:footnoteReference w:id="208"/>
      </w:r>
    </w:p>
    <w:p>
      <w:pPr>
        <w:pStyle w:val="FirstParagraph"/>
      </w:pPr>
      <w:r>
        <w:t xml:space="preserve">Remediation, at least one of: remove the Certificate Request Agent EKU, remove broad enrollment permissions, require CA certificate manager approval, unpublish the template, or use CA-level enrollment agent restrictions to limit which agents can request which templates for which subjects.</w:t>
      </w:r>
      <w:r>
        <w:rPr>
          <w:rStyle w:val="FootnoteReference"/>
        </w:rPr>
        <w:footnoteReference w:id="209"/>
      </w:r>
      <w:r>
        <w:t xml:space="preserve"> </w:t>
      </w:r>
      <w:r>
        <w:t xml:space="preserve">Treat an enrollment agent certificate as an impersonation capability: restrict its template to a named agent group, define the templates and subject populations each agent may serve, and keep enrollment agents separate from certificate managers.</w:t>
      </w:r>
      <w:r>
        <w:rPr>
          <w:rStyle w:val="FootnoteReference"/>
        </w:rPr>
        <w:footnoteReference w:id="210"/>
      </w:r>
      <w:r>
        <w:t xml:space="preserve"> </w:t>
      </w:r>
      <w:r>
        <w:t xml:space="preserve">Microsoft notes that it doesn’t publish a Windows Server 2025 step-by-step procedure for configuring enrollment agent restrictions, so validate the existing configuration in a lab before treating it as the production control.</w:t>
      </w:r>
      <w:r>
        <w:rPr>
          <w:rStyle w:val="FootnoteReference"/>
        </w:rPr>
        <w:footnoteReference w:id="211"/>
      </w:r>
    </w:p>
    <w:bookmarkEnd w:id="212"/>
    <w:bookmarkStart w:id="220" w:name="esc4-template-acls-and-owners"/>
    <w:p>
      <w:pPr>
        <w:pStyle w:val="Heading3"/>
      </w:pPr>
      <w:r>
        <w:t xml:space="preserve">ESC4 — template ACLs and owners</w:t>
      </w:r>
    </w:p>
    <w:p>
      <w:pPr>
        <w:pStyle w:val="FirstParagraph"/>
      </w:pPr>
      <w:r>
        <w:t xml:space="preserve">An unprivileged group holds rights such as Full Control or Write DACL on a certificate template object, or owns it, so it could change the template into one of the conditions above.</w:t>
      </w:r>
      <w:r>
        <w:rPr>
          <w:rStyle w:val="FootnoteReference"/>
        </w:rPr>
        <w:footnoteReference w:id="213"/>
      </w:r>
    </w:p>
    <w:p>
      <w:pPr>
        <w:pStyle w:val="BodyText"/>
      </w:pPr>
      <w:r>
        <w:t xml:space="preserve">Detection:</w:t>
      </w:r>
    </w:p>
    <w:p>
      <w:pPr>
        <w:pStyle w:val="Compact"/>
        <w:numPr>
          <w:ilvl w:val="0"/>
          <w:numId w:val="1012"/>
        </w:numPr>
      </w:pPr>
      <w:r>
        <w:t xml:space="preserve">Defender for Identity assessments</w:t>
      </w:r>
      <w:r>
        <w:t xml:space="preserve"> </w:t>
      </w:r>
      <w:r>
        <w:rPr>
          <w:i/>
          <w:iCs/>
        </w:rPr>
        <w:t xml:space="preserve">Edit misconfigured certificate templates ACL (ESC4)</w:t>
      </w:r>
      <w:r>
        <w:t xml:space="preserve"> </w:t>
      </w:r>
      <w:r>
        <w:t xml:space="preserve">and</w:t>
      </w:r>
      <w:r>
        <w:t xml:space="preserve"> </w:t>
      </w:r>
      <w:r>
        <w:rPr>
          <w:i/>
          <w:iCs/>
        </w:rPr>
        <w:t xml:space="preserve">Edit misconfigured certificate templates owner (ESC4)</w:t>
      </w:r>
      <w:r>
        <w:t xml:space="preserve">.</w:t>
      </w:r>
      <w:r>
        <w:rPr>
          <w:rStyle w:val="FootnoteReference"/>
        </w:rPr>
        <w:footnoteReference w:id="214"/>
      </w:r>
    </w:p>
    <w:p>
      <w:pPr>
        <w:pStyle w:val="Compact"/>
        <w:numPr>
          <w:ilvl w:val="0"/>
          <w:numId w:val="1012"/>
        </w:numPr>
      </w:pPr>
      <w:r>
        <w:t xml:space="preserve">Review each template’s</w:t>
      </w:r>
      <w:r>
        <w:t xml:space="preserve"> </w:t>
      </w:r>
      <w:r>
        <w:rPr>
          <w:b/>
          <w:bCs/>
        </w:rPr>
        <w:t xml:space="preserve">Security</w:t>
      </w:r>
      <w:r>
        <w:t xml:space="preserve"> </w:t>
      </w:r>
      <w:r>
        <w:t xml:space="preserve">tab and owner for write-type rights (Full Control, Write, Write DACL, Write Owner) held by anyone other than the PKI administrators.</w:t>
      </w:r>
    </w:p>
    <w:p>
      <w:pPr>
        <w:pStyle w:val="Compact"/>
        <w:numPr>
          <w:ilvl w:val="0"/>
          <w:numId w:val="1012"/>
        </w:numPr>
      </w:pPr>
      <w:r>
        <w:t xml:space="preserve">Template objects live in the forest configuration partition. Changes to them are logged as event 5136 (directory service object modified) on domain controllers, but only when Audit Directory Service Changes is enabled and the objects carry a matching SACL.</w:t>
      </w:r>
      <w:r>
        <w:rPr>
          <w:rStyle w:val="FootnoteReference"/>
        </w:rPr>
        <w:footnoteReference w:id="215"/>
      </w:r>
    </w:p>
    <w:p>
      <w:pPr>
        <w:pStyle w:val="FirstParagraph"/>
      </w:pPr>
      <w:r>
        <w:t xml:space="preserve">Remediation: remove every ACE that gives an unprivileged group the ability to modify the template, change the owner to a privileged, monitored account, and unpublish templates that aren’t needed.</w:t>
      </w:r>
      <w:r>
        <w:rPr>
          <w:rStyle w:val="FootnoteReference"/>
        </w:rPr>
        <w:footnoteReference w:id="217"/>
      </w:r>
      <w:r>
        <w:t xml:space="preserve"> </w:t>
      </w:r>
      <w:r>
        <w:t xml:space="preserve">Microsoft also advises separating template administration from enrollment and not granting administrators broad enrollment rights just to test a change.</w:t>
      </w:r>
      <w:r>
        <w:rPr>
          <w:rStyle w:val="FootnoteReference"/>
        </w:rPr>
        <w:footnoteReference w:id="218"/>
      </w:r>
      <w:r>
        <w:t xml:space="preserve"> </w:t>
      </w:r>
      <w:r>
        <w:t xml:space="preserve">When you remove Authenticated Users from a template ACL, grant each issuing CA’s computer account</w:t>
      </w:r>
      <w:r>
        <w:t xml:space="preserve"> </w:t>
      </w:r>
      <w:r>
        <w:rPr>
          <w:b/>
          <w:bCs/>
        </w:rPr>
        <w:t xml:space="preserve">Read</w:t>
      </w:r>
      <w:r>
        <w:t xml:space="preserve">, or the CA can no longer read the template.</w:t>
      </w:r>
      <w:r>
        <w:rPr>
          <w:rStyle w:val="FootnoteReference"/>
        </w:rPr>
        <w:footnoteReference w:id="219"/>
      </w:r>
    </w:p>
    <w:bookmarkEnd w:id="220"/>
    <w:bookmarkStart w:id="228" w:name="esc5-pki-object-acls"/>
    <w:p>
      <w:pPr>
        <w:pStyle w:val="Heading3"/>
      </w:pPr>
      <w:r>
        <w:t xml:space="preserve">ESC5 — PKI object ACLs</w:t>
      </w:r>
    </w:p>
    <w:p>
      <w:pPr>
        <w:pStyle w:val="FirstParagraph"/>
      </w:pPr>
      <w:r>
        <w:t xml:space="preserve">Unprivileged principals hold write rights on the forest’s Public Key Services objects, such as the NTAuthCertificates object, the Enrollment Services objects or the Certificate Templates container, so they could alter what the forest trusts or which templates a CA offers.</w:t>
      </w:r>
      <w:r>
        <w:rPr>
          <w:rStyle w:val="FootnoteReference"/>
        </w:rPr>
        <w:footnoteReference w:id="221"/>
      </w:r>
    </w:p>
    <w:p>
      <w:pPr>
        <w:pStyle w:val="BodyText"/>
      </w:pPr>
      <w:r>
        <w:t xml:space="preserve">The NTAuthCertificates object holds the CA certificates trusted to issue authentication certificates such as smart card logon and domain controller certificates; each Enrollment Services object records which certificate types an enterprise CA can issue, and its permissions control who can enroll against that CA.</w:t>
      </w:r>
      <w:r>
        <w:rPr>
          <w:rStyle w:val="FootnoteReference"/>
        </w:rPr>
        <w:footnoteReference w:id="222"/>
      </w:r>
      <w:r>
        <w:t xml:space="preserve"> </w:t>
      </w:r>
      <w:r>
        <w:t xml:space="preserve">Write access to either is control over authentication.</w:t>
      </w:r>
    </w:p>
    <w:p>
      <w:pPr>
        <w:pStyle w:val="BodyText"/>
      </w:pPr>
      <w:r>
        <w:t xml:space="preserve">Detection:</w:t>
      </w:r>
    </w:p>
    <w:p>
      <w:pPr>
        <w:pStyle w:val="Compact"/>
        <w:numPr>
          <w:ilvl w:val="0"/>
          <w:numId w:val="1013"/>
        </w:numPr>
      </w:pPr>
      <w:r>
        <w:t xml:space="preserve">Defender for Identity has no ESC5 assessment; its certificate assessments cover ESC1–ESC4, ESC6–ESC8, ESC11 and ESC15.</w:t>
      </w:r>
      <w:r>
        <w:rPr>
          <w:rStyle w:val="FootnoteReference"/>
        </w:rPr>
        <w:footnoteReference w:id="223"/>
      </w:r>
      <w:r>
        <w:t xml:space="preserve"> </w:t>
      </w:r>
      <w:r>
        <w:t xml:space="preserve">Detection here is manual and audit-based.</w:t>
      </w:r>
    </w:p>
    <w:p>
      <w:pPr>
        <w:pStyle w:val="Compact"/>
        <w:numPr>
          <w:ilvl w:val="0"/>
          <w:numId w:val="1013"/>
        </w:numPr>
      </w:pPr>
      <w:r>
        <w:t xml:space="preserve">Review the ACLs on</w:t>
      </w:r>
      <w:r>
        <w:t xml:space="preserve"> </w:t>
      </w:r>
      <w:r>
        <w:rPr>
          <w:rStyle w:val="VerbatimChar"/>
        </w:rPr>
        <w:t xml:space="preserve">CN=Public Key Services,CN=Services,CN=Configuration,&lt;forest root&gt;</w:t>
      </w:r>
      <w:r>
        <w:t xml:space="preserve"> </w:t>
      </w:r>
      <w:r>
        <w:t xml:space="preserve">and its child containers. List the certificates in the NTAuth store with</w:t>
      </w:r>
      <w:r>
        <w:t xml:space="preserve"> </w:t>
      </w:r>
      <w:r>
        <w:rPr>
          <w:rStyle w:val="VerbatimChar"/>
        </w:rPr>
        <w:t xml:space="preserve">certutil -viewstore -enterprise NTAuth</w:t>
      </w:r>
      <w:r>
        <w:t xml:space="preserve"> </w:t>
      </w:r>
      <w:r>
        <w:t xml:space="preserve">and compare them with the approved CA list.</w:t>
      </w:r>
      <w:r>
        <w:rPr>
          <w:rStyle w:val="FootnoteReference"/>
        </w:rPr>
        <w:footnoteReference w:id="224"/>
      </w:r>
    </w:p>
    <w:p>
      <w:pPr>
        <w:pStyle w:val="Compact"/>
        <w:numPr>
          <w:ilvl w:val="0"/>
          <w:numId w:val="1013"/>
        </w:numPr>
      </w:pPr>
      <w:r>
        <w:t xml:space="preserve">Set a SACL on the Public Key Services container and enable Audit Directory Service Changes on domain controllers so modifications produce event 5136.</w:t>
      </w:r>
      <w:r>
        <w:rPr>
          <w:rStyle w:val="FootnoteReference"/>
        </w:rPr>
        <w:footnoteReference w:id="226"/>
      </w:r>
    </w:p>
    <w:p>
      <w:pPr>
        <w:pStyle w:val="FirstParagraph"/>
      </w:pPr>
      <w:r>
        <w:t xml:space="preserve">Remediation: limit write access on Public Key Services objects to Enterprise Admins and the CA computer accounts that need it, and alert on any change to NTAuthCertificates. Never delete a Public Key Services object because a health tool flags it as stale; Microsoft requires a dependency check, a backup of the object and an approved decommissioning plan first.</w:t>
      </w:r>
      <w:r>
        <w:rPr>
          <w:rStyle w:val="FootnoteReference"/>
        </w:rPr>
        <w:footnoteReference w:id="227"/>
      </w:r>
    </w:p>
    <w:bookmarkEnd w:id="228"/>
    <w:bookmarkStart w:id="234" w:name="Xa078037924ef38529bea20d5841e2f56b0c657c"/>
    <w:p>
      <w:pPr>
        <w:pStyle w:val="Heading3"/>
      </w:pPr>
      <w:r>
        <w:t xml:space="preserve">ESC6 — the EDITF_ATTRIBUTESUBJECTALTNAME2 flag</w:t>
      </w:r>
    </w:p>
    <w:p>
      <w:pPr>
        <w:pStyle w:val="FirstParagraph"/>
      </w:pPr>
      <w:r>
        <w:t xml:space="preserve">The CA-wide</w:t>
      </w:r>
      <w:r>
        <w:t xml:space="preserve"> </w:t>
      </w:r>
      <w:r>
        <w:rPr>
          <w:rStyle w:val="VerbatimChar"/>
        </w:rPr>
        <w:t xml:space="preserve">EDITF_ATTRIBUTESUBJECTALTNAME2</w:t>
      </w:r>
      <w:r>
        <w:t xml:space="preserve"> </w:t>
      </w:r>
      <w:r>
        <w:t xml:space="preserve">policy flag is on, which lets any requester supply SAN values on any template, regardless of the template’s own subject-name setting.</w:t>
      </w:r>
      <w:r>
        <w:rPr>
          <w:rStyle w:val="FootnoteReference"/>
        </w:rPr>
        <w:footnoteReference w:id="229"/>
      </w:r>
      <w:r>
        <w:rPr>
          <w:rStyle w:val="FootnoteReference"/>
        </w:rPr>
        <w:footnoteReference w:id="230"/>
      </w:r>
    </w:p>
    <w:p>
      <w:pPr>
        <w:pStyle w:val="BodyText"/>
      </w:pPr>
      <w:r>
        <w:t xml:space="preserve">Detection:</w:t>
      </w:r>
    </w:p>
    <w:p>
      <w:pPr>
        <w:pStyle w:val="Compact"/>
        <w:numPr>
          <w:ilvl w:val="0"/>
          <w:numId w:val="1014"/>
        </w:numPr>
      </w:pPr>
      <w:r>
        <w:t xml:space="preserve">Defender for Identity assessment</w:t>
      </w:r>
      <w:r>
        <w:t xml:space="preserve"> </w:t>
      </w:r>
      <w:r>
        <w:rPr>
          <w:i/>
          <w:iCs/>
        </w:rPr>
        <w:t xml:space="preserve">Edit vulnerable Certificate Authority setting (ESC6)</w:t>
      </w:r>
      <w:r>
        <w:t xml:space="preserve"> </w:t>
      </w:r>
      <w:r>
        <w:t xml:space="preserve">(needs the sensor on the CA).</w:t>
      </w:r>
      <w:r>
        <w:rPr>
          <w:rStyle w:val="FootnoteReference"/>
        </w:rPr>
        <w:footnoteReference w:id="231"/>
      </w:r>
    </w:p>
    <w:p>
      <w:pPr>
        <w:pStyle w:val="Compact"/>
        <w:numPr>
          <w:ilvl w:val="0"/>
          <w:numId w:val="1014"/>
        </w:numPr>
      </w:pPr>
      <w:r>
        <w:t xml:space="preserve">On each CA, read the policy module’s edit flags and look for the flag in the output:</w:t>
      </w:r>
    </w:p>
    <w:p>
      <w:pPr>
        <w:pStyle w:val="SourceCode"/>
      </w:pPr>
      <w:r>
        <w:rPr>
          <w:rStyle w:val="CommentTok"/>
        </w:rPr>
        <w:t xml:space="preserve"># Read-only: list the policy module EditFlags on this CA</w:t>
      </w:r>
      <w:r>
        <w:br/>
      </w:r>
      <w:r>
        <w:rPr>
          <w:rStyle w:val="NormalTok"/>
        </w:rPr>
        <w:t xml:space="preserve">certutil </w:t>
      </w:r>
      <w:r>
        <w:rPr>
          <w:rStyle w:val="OperatorTok"/>
        </w:rPr>
        <w:t xml:space="preserve">-</w:t>
      </w:r>
      <w:r>
        <w:rPr>
          <w:rStyle w:val="NormalTok"/>
        </w:rPr>
        <w:t xml:space="preserve">getreg policy\EditFlags</w:t>
      </w:r>
    </w:p>
    <w:p>
      <w:pPr>
        <w:pStyle w:val="FirstParagraph"/>
      </w:pPr>
      <w:r>
        <w:t xml:space="preserve">Remediation: find out why the flag was turned on (some old enrollment workflows depended on it), then clear it and restart the service, as Microsoft documents:</w:t>
      </w:r>
      <w:r>
        <w:rPr>
          <w:rStyle w:val="FootnoteReference"/>
        </w:rPr>
        <w:footnoteReference w:id="232"/>
      </w:r>
    </w:p>
    <w:p>
      <w:pPr>
        <w:pStyle w:val="SourceCode"/>
      </w:pPr>
      <w:r>
        <w:rPr>
          <w:rStyle w:val="NormalTok"/>
        </w:rPr>
        <w:t xml:space="preserve">certutil </w:t>
      </w:r>
      <w:r>
        <w:rPr>
          <w:rStyle w:val="OperatorTok"/>
        </w:rPr>
        <w:t xml:space="preserve">-</w:t>
      </w:r>
      <w:r>
        <w:rPr>
          <w:rStyle w:val="NormalTok"/>
        </w:rPr>
        <w:t xml:space="preserve">setreg policy\EditFlags </w:t>
      </w:r>
      <w:r>
        <w:rPr>
          <w:rStyle w:val="OperatorTok"/>
        </w:rPr>
        <w:t xml:space="preserve">-</w:t>
      </w:r>
      <w:r>
        <w:rPr>
          <w:rStyle w:val="NormalTok"/>
        </w:rPr>
        <w:t xml:space="preserve">EDITF_ATTRIBUTESUBJECTALTNAME2</w:t>
      </w:r>
      <w:r>
        <w:br/>
      </w:r>
      <w:r>
        <w:rPr>
          <w:rStyle w:val="FunctionTok"/>
        </w:rPr>
        <w:t xml:space="preserve">Restart-Service</w:t>
      </w:r>
      <w:r>
        <w:rPr>
          <w:rStyle w:val="NormalTok"/>
        </w:rPr>
        <w:t xml:space="preserve"> </w:t>
      </w:r>
      <w:r>
        <w:rPr>
          <w:rStyle w:val="OperatorTok"/>
        </w:rPr>
        <w:t xml:space="preserve">-</w:t>
      </w:r>
      <w:r>
        <w:rPr>
          <w:rStyle w:val="NormalTok"/>
        </w:rPr>
        <w:t xml:space="preserve">Name certsvc</w:t>
      </w:r>
    </w:p>
    <w:p>
      <w:pPr>
        <w:pStyle w:val="FirstParagraph"/>
      </w:pPr>
      <w:r>
        <w:t xml:space="preserve">The PKI guide said the May 2022 security update (KB5014754)</w:t>
      </w:r>
      <w:r>
        <w:t xml:space="preserve"> </w:t>
      </w:r>
      <w:r>
        <w:t xml:space="preserve">“restricts SAN override behavior.”</w:t>
      </w:r>
      <w:r>
        <w:t xml:space="preserve"> </w:t>
      </w:r>
      <w:r>
        <w:t xml:space="preserve">That’s corrected here. KB5014754 introduced strong certificate mapping: the CA adds a SID security extension (</w:t>
      </w:r>
      <w:r>
        <w:rPr>
          <w:rStyle w:val="VerbatimChar"/>
        </w:rPr>
        <w:t xml:space="preserve">1.3.6.1.4.1.311.25.2</w:t>
      </w:r>
      <w:r>
        <w:t xml:space="preserve">) and domain controllers check it. Domain controllers moved to Full Enforcement with the February 11, 2025 update, which denies authentication when a certificate can’t be strongly mapped, and the</w:t>
      </w:r>
      <w:r>
        <w:t xml:space="preserve"> </w:t>
      </w:r>
      <w:r>
        <w:rPr>
          <w:rStyle w:val="VerbatimChar"/>
        </w:rPr>
        <w:t xml:space="preserve">StrongCertificateBindingEnforcement</w:t>
      </w:r>
      <w:r>
        <w:t xml:space="preserve"> </w:t>
      </w:r>
      <w:r>
        <w:t xml:space="preserve">registry value has been unsupported since the September 9, 2025 update, so compatibility mode is no longer available.</w:t>
      </w:r>
      <w:r>
        <w:rPr>
          <w:rStyle w:val="FootnoteReference"/>
        </w:rPr>
        <w:footnoteReference w:id="233"/>
      </w:r>
      <w:r>
        <w:t xml:space="preserve"> </w:t>
      </w:r>
      <w:r>
        <w:t xml:space="preserve">That reduces what a forged SAN can do against Kerberos, but it doesn’t change what the CA will sign, and other relying parties may still trust the SAN. Clear the flag regardless.</w:t>
      </w:r>
    </w:p>
    <w:bookmarkEnd w:id="234"/>
    <w:bookmarkStart w:id="245" w:name="esc7-ca-permissions"/>
    <w:p>
      <w:pPr>
        <w:pStyle w:val="Heading3"/>
      </w:pPr>
      <w:r>
        <w:t xml:space="preserve">ESC7 — CA permissions</w:t>
      </w:r>
    </w:p>
    <w:p>
      <w:pPr>
        <w:pStyle w:val="FirstParagraph"/>
      </w:pPr>
      <w:r>
        <w:t xml:space="preserve">Unprivileged principals hold</w:t>
      </w:r>
      <w:r>
        <w:t xml:space="preserve"> </w:t>
      </w:r>
      <w:r>
        <w:rPr>
          <w:b/>
          <w:bCs/>
        </w:rPr>
        <w:t xml:space="preserve">Manage CA</w:t>
      </w:r>
      <w:r>
        <w:t xml:space="preserve"> </w:t>
      </w:r>
      <w:r>
        <w:t xml:space="preserve">or</w:t>
      </w:r>
      <w:r>
        <w:t xml:space="preserve"> </w:t>
      </w:r>
      <w:r>
        <w:rPr>
          <w:b/>
          <w:bCs/>
        </w:rPr>
        <w:t xml:space="preserve">Issue and Manage Certificates</w:t>
      </w:r>
      <w:r>
        <w:t xml:space="preserve"> </w:t>
      </w:r>
      <w:r>
        <w:t xml:space="preserve">on the CA itself, which lets them change CA settings (including turning on the ESC6 flag) or approve pending requests and so bypass manager approval.</w:t>
      </w:r>
      <w:r>
        <w:rPr>
          <w:rStyle w:val="FootnoteReference"/>
        </w:rPr>
        <w:footnoteReference w:id="235"/>
      </w:r>
    </w:p>
    <w:p>
      <w:pPr>
        <w:pStyle w:val="BodyText"/>
      </w:pPr>
      <w:r>
        <w:t xml:space="preserve">Detection:</w:t>
      </w:r>
    </w:p>
    <w:p>
      <w:pPr>
        <w:pStyle w:val="Compact"/>
        <w:numPr>
          <w:ilvl w:val="0"/>
          <w:numId w:val="1015"/>
        </w:numPr>
      </w:pPr>
      <w:r>
        <w:t xml:space="preserve">Defender for Identity assessment</w:t>
      </w:r>
      <w:r>
        <w:t xml:space="preserve"> </w:t>
      </w:r>
      <w:r>
        <w:rPr>
          <w:i/>
          <w:iCs/>
        </w:rPr>
        <w:t xml:space="preserve">Edit misconfigured Certificate Authority ACL (ESC7)</w:t>
      </w:r>
      <w:r>
        <w:t xml:space="preserve"> </w:t>
      </w:r>
      <w:r>
        <w:t xml:space="preserve">(needs the sensor on the CA).</w:t>
      </w:r>
      <w:r>
        <w:rPr>
          <w:rStyle w:val="FootnoteReference"/>
        </w:rPr>
        <w:footnoteReference w:id="236"/>
      </w:r>
    </w:p>
    <w:p>
      <w:pPr>
        <w:pStyle w:val="Compact"/>
        <w:numPr>
          <w:ilvl w:val="0"/>
          <w:numId w:val="1015"/>
        </w:numPr>
      </w:pPr>
      <w:r>
        <w:t xml:space="preserve">Review the CA’s</w:t>
      </w:r>
      <w:r>
        <w:t xml:space="preserve"> </w:t>
      </w:r>
      <w:r>
        <w:rPr>
          <w:b/>
          <w:bCs/>
        </w:rPr>
        <w:t xml:space="preserve">Security</w:t>
      </w:r>
      <w:r>
        <w:t xml:space="preserve"> </w:t>
      </w:r>
      <w:r>
        <w:t xml:space="preserve">tab. On an enterprise CA, the default CA administrator configuration includes local Administrators, Enterprise Admins and Domain Admins; record the resulting ACL as your baseline.</w:t>
      </w:r>
      <w:r>
        <w:rPr>
          <w:rStyle w:val="FootnoteReference"/>
        </w:rPr>
        <w:footnoteReference w:id="237"/>
      </w:r>
    </w:p>
    <w:p>
      <w:pPr>
        <w:pStyle w:val="Compact"/>
        <w:numPr>
          <w:ilvl w:val="0"/>
          <w:numId w:val="1015"/>
        </w:numPr>
      </w:pPr>
      <w:r>
        <w:t xml:space="preserve">Alert on event 4882 (CA security permissions changed), 4890 (certificate manager settings changed) and 4892 (CA property changed).</w:t>
      </w:r>
      <w:r>
        <w:rPr>
          <w:rStyle w:val="FootnoteReference"/>
        </w:rPr>
        <w:footnoteReference w:id="238"/>
      </w:r>
    </w:p>
    <w:p>
      <w:pPr>
        <w:pStyle w:val="FirstParagraph"/>
      </w:pPr>
      <w:r>
        <w:t xml:space="preserve">Remediation: remove Manage CA and Issue and Manage Certificates from every unprivileged built-in group.</w:t>
      </w:r>
      <w:r>
        <w:rPr>
          <w:rStyle w:val="FootnoteReference"/>
        </w:rPr>
        <w:footnoteReference w:id="239"/>
      </w:r>
      <w:r>
        <w:t xml:space="preserve"> </w:t>
      </w:r>
      <w:r>
        <w:t xml:space="preserve">Then build the role model Microsoft describes: separate groups for CA administrators, certificate managers, enrollment agents, auditors, and backup and recovery custodians, populated with named accounts only, with a written owner and review date for each.</w:t>
      </w:r>
      <w:r>
        <w:rPr>
          <w:rStyle w:val="FootnoteReference"/>
        </w:rPr>
        <w:footnoteReference w:id="240"/>
      </w:r>
      <w:r>
        <w:t xml:space="preserve"> </w:t>
      </w:r>
      <w:r>
        <w:t xml:space="preserve">Issue and Manage Certificates is the certificate manager role; it can issue, deny, revoke and reinstate certificates without the broader Manage CA permission.</w:t>
      </w:r>
      <w:r>
        <w:rPr>
          <w:rStyle w:val="FootnoteReference"/>
        </w:rPr>
        <w:footnoteReference w:id="241"/>
      </w:r>
    </w:p>
    <w:p>
      <w:pPr>
        <w:pStyle w:val="BodyText"/>
      </w:pPr>
      <w:r>
        <w:t xml:space="preserve">Service accounts need the same scrutiny. The Intune Certificate Connector needs Issue and Manage Certificates to revoke certificates,</w:t>
      </w:r>
      <w:r>
        <w:rPr>
          <w:rStyle w:val="FootnoteReference"/>
        </w:rPr>
        <w:footnoteReference w:id="243"/>
      </w:r>
      <w:r>
        <w:t xml:space="preserve"> </w:t>
      </w:r>
      <w:r>
        <w:t xml:space="preserve">and certificate lifecycle tooling that enrolls through the CA needs it too (Chapter 04). Each such account is a certificate manager in all but name: give it a dedicated identity, restrict where it can sign in, and include it in the ESC7 review.</w:t>
      </w:r>
    </w:p>
    <w:bookmarkEnd w:id="245"/>
    <w:bookmarkStart w:id="253" w:name="Xeb82bc2d1fa5f294dfa5c1e77c93d89b480e961"/>
    <w:p>
      <w:pPr>
        <w:pStyle w:val="Heading3"/>
      </w:pPr>
      <w:r>
        <w:t xml:space="preserve">ESC8 — HTTP enrollment endpoints open to NTLM relay</w:t>
      </w:r>
    </w:p>
    <w:p>
      <w:pPr>
        <w:pStyle w:val="FirstParagraph"/>
      </w:pPr>
      <w:r>
        <w:t xml:space="preserve">An AD CS web enrollment endpoint accepts NTLM without HTTPS or without Extended Protection for Authentication (EPA), so authentication relayed from another system can be used to request a certificate in that system’s name.</w:t>
      </w:r>
      <w:r>
        <w:rPr>
          <w:rStyle w:val="FootnoteReference"/>
        </w:rPr>
        <w:footnoteReference w:id="246"/>
      </w:r>
    </w:p>
    <w:p>
      <w:pPr>
        <w:pStyle w:val="BodyText"/>
      </w:pPr>
      <w:r>
        <w:t xml:space="preserve">Detection:</w:t>
      </w:r>
    </w:p>
    <w:p>
      <w:pPr>
        <w:pStyle w:val="Compact"/>
        <w:numPr>
          <w:ilvl w:val="0"/>
          <w:numId w:val="1016"/>
        </w:numPr>
      </w:pPr>
      <w:r>
        <w:t xml:space="preserve">Defender for Identity assessment</w:t>
      </w:r>
      <w:r>
        <w:t xml:space="preserve"> </w:t>
      </w:r>
      <w:r>
        <w:rPr>
          <w:i/>
          <w:iCs/>
        </w:rPr>
        <w:t xml:space="preserve">Edit insecure ADCS certificate enrollment IIS endpoints (ESC8)</w:t>
      </w:r>
      <w:r>
        <w:t xml:space="preserve"> </w:t>
      </w:r>
      <w:r>
        <w:t xml:space="preserve">lists the problem endpoints (needs the sensor on the CA).</w:t>
      </w:r>
      <w:r>
        <w:rPr>
          <w:rStyle w:val="FootnoteReference"/>
        </w:rPr>
        <w:footnoteReference w:id="247"/>
      </w:r>
      <w:r>
        <w:t xml:space="preserve"> </w:t>
      </w:r>
      <w:r>
        <w:t xml:space="preserve">Defender for Identity also raises a detection alert for suspicious machine-certificate issuance consistent with this pattern.</w:t>
      </w:r>
      <w:r>
        <w:rPr>
          <w:rStyle w:val="FootnoteReference"/>
        </w:rPr>
        <w:footnoteReference w:id="248"/>
      </w:r>
    </w:p>
    <w:p>
      <w:pPr>
        <w:pStyle w:val="Compact"/>
        <w:numPr>
          <w:ilvl w:val="0"/>
          <w:numId w:val="1016"/>
        </w:numPr>
      </w:pPr>
      <w:r>
        <w:t xml:space="preserve">Inventory every server running Certification Authority Web Enrollment or the Certificate Enrollment Web Service, and check each IIS site for an HTTP binding,</w:t>
      </w:r>
      <w:r>
        <w:t xml:space="preserve"> </w:t>
      </w:r>
      <w:r>
        <w:rPr>
          <w:b/>
          <w:bCs/>
        </w:rPr>
        <w:t xml:space="preserve">Require SSL</w:t>
      </w:r>
      <w:r>
        <w:t xml:space="preserve">, and the EPA setting.</w:t>
      </w:r>
    </w:p>
    <w:p>
      <w:pPr>
        <w:pStyle w:val="FirstParagraph"/>
      </w:pPr>
      <w:r>
        <w:t xml:space="preserve">Remediation, from Microsoft’s advisory for these two roles:</w:t>
      </w:r>
      <w:r>
        <w:rPr>
          <w:rStyle w:val="FootnoteReference"/>
        </w:rPr>
        <w:footnoteReference w:id="250"/>
      </w:r>
    </w:p>
    <w:p>
      <w:pPr>
        <w:pStyle w:val="Compact"/>
        <w:numPr>
          <w:ilvl w:val="0"/>
          <w:numId w:val="1017"/>
        </w:numPr>
      </w:pPr>
      <w:r>
        <w:t xml:space="preserve">Enable EPA on both services, set to</w:t>
      </w:r>
      <w:r>
        <w:t xml:space="preserve"> </w:t>
      </w:r>
      <w:r>
        <w:rPr>
          <w:b/>
          <w:bCs/>
        </w:rPr>
        <w:t xml:space="preserve">Required</w:t>
      </w:r>
      <w:r>
        <w:t xml:space="preserve">, the more secure and recommended option. For the Certificate Enrollment Web Service, also set</w:t>
      </w:r>
      <w:r>
        <w:t xml:space="preserve"> </w:t>
      </w:r>
      <w:r>
        <w:rPr>
          <w:rStyle w:val="VerbatimChar"/>
        </w:rPr>
        <w:t xml:space="preserve">extendedProtectionPolicy</w:t>
      </w:r>
      <w:r>
        <w:t xml:space="preserve"> </w:t>
      </w:r>
      <w:r>
        <w:t xml:space="preserve">to</w:t>
      </w:r>
      <w:r>
        <w:t xml:space="preserve"> </w:t>
      </w:r>
      <w:r>
        <w:rPr>
          <w:rStyle w:val="VerbatimChar"/>
        </w:rPr>
        <w:t xml:space="preserve">Always</w:t>
      </w:r>
      <w:r>
        <w:t xml:space="preserve"> </w:t>
      </w:r>
      <w:r>
        <w:t xml:space="preserve">in its</w:t>
      </w:r>
      <w:r>
        <w:t xml:space="preserve"> </w:t>
      </w:r>
      <w:r>
        <w:rPr>
          <w:rStyle w:val="VerbatimChar"/>
        </w:rPr>
        <w:t xml:space="preserve">web.config</w:t>
      </w:r>
      <w:r>
        <w:t xml:space="preserve">.</w:t>
      </w:r>
    </w:p>
    <w:p>
      <w:pPr>
        <w:pStyle w:val="Compact"/>
        <w:numPr>
          <w:ilvl w:val="0"/>
          <w:numId w:val="1017"/>
        </w:numPr>
      </w:pPr>
      <w:r>
        <w:t xml:space="preserve">Enable</w:t>
      </w:r>
      <w:r>
        <w:t xml:space="preserve"> </w:t>
      </w:r>
      <w:r>
        <w:rPr>
          <w:b/>
          <w:bCs/>
        </w:rPr>
        <w:t xml:space="preserve">Require SSL</w:t>
      </w:r>
      <w:r>
        <w:t xml:space="preserve"> </w:t>
      </w:r>
      <w:r>
        <w:t xml:space="preserve">so only HTTPS connections are accepted.</w:t>
      </w:r>
    </w:p>
    <w:p>
      <w:pPr>
        <w:pStyle w:val="Compact"/>
        <w:numPr>
          <w:ilvl w:val="0"/>
          <w:numId w:val="1017"/>
        </w:numPr>
      </w:pPr>
      <w:r>
        <w:t xml:space="preserve">Restart IIS.</w:t>
      </w:r>
    </w:p>
    <w:p>
      <w:pPr>
        <w:pStyle w:val="Compact"/>
        <w:numPr>
          <w:ilvl w:val="0"/>
          <w:numId w:val="1017"/>
        </w:numPr>
      </w:pPr>
      <w:r>
        <w:t xml:space="preserve">Where you can, go further: restrict NTLM in the domain, block incoming NTLM on the AD CS servers, or set the sites’ Windows authentication to Kerberos only.</w:t>
      </w:r>
    </w:p>
    <w:p>
      <w:pPr>
        <w:pStyle w:val="FirstParagraph"/>
      </w:pPr>
      <w:r>
        <w:t xml:space="preserve">Better still, remove Web Enrollment wherever nothing depends on it. The Network Device Enrollment Service (NDES) also runs in IIS; the program applies the same HTTPS and NTLM restrictions to NDES sites, and retires NDES altogether for devices that move to Cloud PKI, which needs no NDES server or connector (Chapter 04).</w:t>
      </w:r>
      <w:r>
        <w:rPr>
          <w:rStyle w:val="FootnoteReference"/>
        </w:rPr>
        <w:footnoteReference w:id="252"/>
      </w:r>
    </w:p>
    <w:bookmarkEnd w:id="253"/>
    <w:bookmarkStart w:id="255" w:name="beyond-esc8"/>
    <w:p>
      <w:pPr>
        <w:pStyle w:val="Heading3"/>
      </w:pPr>
      <w:r>
        <w:t xml:space="preserve">Beyond ESC8</w:t>
      </w:r>
    </w:p>
    <w:p>
      <w:pPr>
        <w:pStyle w:val="FirstParagraph"/>
      </w:pPr>
      <w:r>
        <w:t xml:space="preserve">Defender for Identity also assesses two later classes that belong on the same checklist:</w:t>
      </w:r>
      <w:r>
        <w:rPr>
          <w:rStyle w:val="FootnoteReference"/>
        </w:rPr>
        <w:footnoteReference w:id="254"/>
      </w:r>
    </w:p>
    <w:p>
      <w:pPr>
        <w:pStyle w:val="Compact"/>
        <w:numPr>
          <w:ilvl w:val="0"/>
          <w:numId w:val="1018"/>
        </w:numPr>
      </w:pPr>
      <w:r>
        <w:rPr>
          <w:b/>
          <w:bCs/>
        </w:rPr>
        <w:t xml:space="preserve">ESC11</w:t>
      </w:r>
      <w:r>
        <w:t xml:space="preserve">: the CA’s RPC enrollment interface doesn’t require packet privacy. The</w:t>
      </w:r>
      <w:r>
        <w:t xml:space="preserve"> </w:t>
      </w:r>
      <w:r>
        <w:rPr>
          <w:rStyle w:val="VerbatimChar"/>
        </w:rPr>
        <w:t xml:space="preserve">IF_ENFORCEENCRYPTICERTREQUEST</w:t>
      </w:r>
      <w:r>
        <w:t xml:space="preserve"> </w:t>
      </w:r>
      <w:r>
        <w:t xml:space="preserve">flag is on by default but is sometimes turned off for old clients; turn it back on with</w:t>
      </w:r>
      <w:r>
        <w:t xml:space="preserve"> </w:t>
      </w:r>
      <w:r>
        <w:rPr>
          <w:rStyle w:val="VerbatimChar"/>
        </w:rPr>
        <w:t xml:space="preserve">certutil -setreg CA\InterfaceFlags +IF_ENFORCEENCRYPTICERTREQUEST</w:t>
      </w:r>
      <w:r>
        <w:t xml:space="preserve"> </w:t>
      </w:r>
      <w:r>
        <w:t xml:space="preserve">and restart the service.</w:t>
      </w:r>
    </w:p>
    <w:p>
      <w:pPr>
        <w:pStyle w:val="Compact"/>
        <w:numPr>
          <w:ilvl w:val="0"/>
          <w:numId w:val="1018"/>
        </w:numPr>
      </w:pPr>
      <w:r>
        <w:rPr>
          <w:b/>
          <w:bCs/>
        </w:rPr>
        <w:t xml:space="preserve">ESC15</w:t>
      </w:r>
      <w:r>
        <w:t xml:space="preserve">: templates on CA servers unpatched for CVE-2024-49019 can issue certificates with arbitrary application policies. Remove unprivileged enrollment, turn off</w:t>
      </w:r>
      <w:r>
        <w:t xml:space="preserve"> </w:t>
      </w:r>
      <w:r>
        <w:rPr>
          <w:b/>
          <w:bCs/>
        </w:rPr>
        <w:t xml:space="preserve">Supply in the request</w:t>
      </w:r>
      <w:r>
        <w:t xml:space="preserve">, and patch the CA.</w:t>
      </w:r>
    </w:p>
    <w:bookmarkEnd w:id="255"/>
    <w:bookmarkEnd w:id="256"/>
    <w:bookmarkStart w:id="271" w:name="turn-on-ca-auditing"/>
    <w:p>
      <w:pPr>
        <w:pStyle w:val="Heading2"/>
      </w:pPr>
      <w:bookmarkStart w:id="958" w:name="_Toc00000958"/>
      <w:r>
        <w:t xml:space="preserve">Turn on CA auditing</w:t>
      </w:r>
      <w:bookmarkEnd w:id="958"/>
    </w:p>
    <w:p>
      <w:pPr>
        <w:pStyle w:val="FirstParagraph"/>
      </w:pPr>
      <w:r>
        <w:t xml:space="preserve">Every detection above depends on evidence, and AD CS produces none by default. Two settings are needed, and neither works without the other: the CA’s audit filter selects which CA operations are audited, and the</w:t>
      </w:r>
      <w:r>
        <w:t xml:space="preserve"> </w:t>
      </w:r>
      <w:r>
        <w:rPr>
          <w:b/>
          <w:bCs/>
        </w:rPr>
        <w:t xml:space="preserve">Audit Certification Services</w:t>
      </w:r>
      <w:r>
        <w:t xml:space="preserve"> </w:t>
      </w:r>
      <w:r>
        <w:t xml:space="preserve">advanced audit subcategory lets the operating system generate the events.</w:t>
      </w:r>
      <w:r>
        <w:rPr>
          <w:rStyle w:val="FootnoteReference"/>
        </w:rPr>
        <w:footnoteReference w:id="257"/>
      </w:r>
    </w:p>
    <w:p>
      <w:pPr>
        <w:pStyle w:val="Compact"/>
        <w:numPr>
          <w:ilvl w:val="0"/>
          <w:numId w:val="1019"/>
        </w:numPr>
      </w:pPr>
      <w:r>
        <w:t xml:space="preserve">In a dedicated GPO linked to the CA servers, set</w:t>
      </w:r>
      <w:r>
        <w:t xml:space="preserve"> </w:t>
      </w:r>
      <w:r>
        <w:rPr>
          <w:b/>
          <w:bCs/>
        </w:rPr>
        <w:t xml:space="preserve">Computer Configuration</w:t>
      </w:r>
      <w:r>
        <w:t xml:space="preserve"> </w:t>
      </w:r>
      <w:r>
        <w:t xml:space="preserve">→</w:t>
      </w:r>
      <w:r>
        <w:t xml:space="preserve"> </w:t>
      </w:r>
      <w:r>
        <w:rPr>
          <w:b/>
          <w:bCs/>
        </w:rPr>
        <w:t xml:space="preserve">Policies</w:t>
      </w:r>
      <w:r>
        <w:t xml:space="preserve"> </w:t>
      </w:r>
      <w:r>
        <w:t xml:space="preserve">→</w:t>
      </w:r>
      <w:r>
        <w:t xml:space="preserve"> </w:t>
      </w:r>
      <w:r>
        <w:rPr>
          <w:b/>
          <w:bCs/>
        </w:rPr>
        <w:t xml:space="preserve">Windows Settings</w:t>
      </w:r>
      <w:r>
        <w:t xml:space="preserve"> </w:t>
      </w:r>
      <w:r>
        <w:t xml:space="preserve">→</w:t>
      </w:r>
      <w:r>
        <w:t xml:space="preserve"> </w:t>
      </w:r>
      <w:r>
        <w:rPr>
          <w:b/>
          <w:bCs/>
        </w:rPr>
        <w:t xml:space="preserve">Security Settings</w:t>
      </w:r>
      <w:r>
        <w:t xml:space="preserve"> </w:t>
      </w:r>
      <w:r>
        <w:t xml:space="preserve">→</w:t>
      </w:r>
      <w:r>
        <w:t xml:space="preserve"> </w:t>
      </w:r>
      <w:r>
        <w:rPr>
          <w:b/>
          <w:bCs/>
        </w:rPr>
        <w:t xml:space="preserve">Advanced Audit Policy Configuration</w:t>
      </w:r>
      <w:r>
        <w:t xml:space="preserve"> </w:t>
      </w:r>
      <w:r>
        <w:t xml:space="preserve">→</w:t>
      </w:r>
      <w:r>
        <w:t xml:space="preserve"> </w:t>
      </w:r>
      <w:r>
        <w:rPr>
          <w:b/>
          <w:bCs/>
        </w:rPr>
        <w:t xml:space="preserve">Audit Policies</w:t>
      </w:r>
      <w:r>
        <w:t xml:space="preserve"> </w:t>
      </w:r>
      <w:r>
        <w:t xml:space="preserve">→</w:t>
      </w:r>
      <w:r>
        <w:t xml:space="preserve"> </w:t>
      </w:r>
      <w:r>
        <w:rPr>
          <w:b/>
          <w:bCs/>
        </w:rPr>
        <w:t xml:space="preserve">Object Access</w:t>
      </w:r>
      <w:r>
        <w:t xml:space="preserve"> </w:t>
      </w:r>
      <w:r>
        <w:t xml:space="preserve">→</w:t>
      </w:r>
      <w:r>
        <w:t xml:space="preserve"> </w:t>
      </w:r>
      <w:r>
        <w:rPr>
          <w:b/>
          <w:bCs/>
        </w:rPr>
        <w:t xml:space="preserve">Audit Certification Services</w:t>
      </w:r>
      <w:r>
        <w:t xml:space="preserve"> </w:t>
      </w:r>
      <w:r>
        <w:t xml:space="preserve">to Success and Failure.</w:t>
      </w:r>
      <w:r>
        <w:rPr>
          <w:rStyle w:val="FootnoteReference"/>
        </w:rPr>
        <w:footnoteReference w:id="258"/>
      </w:r>
    </w:p>
    <w:p>
      <w:pPr>
        <w:pStyle w:val="Compact"/>
        <w:numPr>
          <w:ilvl w:val="0"/>
          <w:numId w:val="1019"/>
        </w:numPr>
      </w:pPr>
      <w:r>
        <w:t xml:space="preserve">Set the CA audit filter, either on the CA’s</w:t>
      </w:r>
      <w:r>
        <w:t xml:space="preserve"> </w:t>
      </w:r>
      <w:r>
        <w:rPr>
          <w:b/>
          <w:bCs/>
        </w:rPr>
        <w:t xml:space="preserve">Auditing</w:t>
      </w:r>
      <w:r>
        <w:t xml:space="preserve"> </w:t>
      </w:r>
      <w:r>
        <w:t xml:space="preserve">tab or from an elevated session, then restart the service in a maintenance window:</w:t>
      </w:r>
      <w:r>
        <w:rPr>
          <w:rStyle w:val="FootnoteReference"/>
        </w:rPr>
        <w:footnoteReference w:id="259"/>
      </w:r>
    </w:p>
    <w:p>
      <w:pPr>
        <w:pStyle w:val="SourceCode"/>
      </w:pPr>
      <w:r>
        <w:rPr>
          <w:rStyle w:val="NormalTok"/>
        </w:rPr>
        <w:t xml:space="preserve">certutil </w:t>
      </w:r>
      <w:r>
        <w:rPr>
          <w:rStyle w:val="OperatorTok"/>
        </w:rPr>
        <w:t xml:space="preserve">-</w:t>
      </w:r>
      <w:r>
        <w:rPr>
          <w:rStyle w:val="NormalTok"/>
        </w:rPr>
        <w:t xml:space="preserve">setreg CA\AuditFilter </w:t>
      </w:r>
      <w:r>
        <w:rPr>
          <w:rStyle w:val="DecValTok"/>
        </w:rPr>
        <w:t xml:space="preserve">127</w:t>
      </w:r>
      <w:r>
        <w:br/>
      </w:r>
      <w:r>
        <w:rPr>
          <w:rStyle w:val="DataTypeTok"/>
        </w:rPr>
        <w:t xml:space="preserve">Restart</w:t>
      </w:r>
      <w:r>
        <w:rPr>
          <w:rStyle w:val="OperatorTok"/>
        </w:rPr>
        <w:t xml:space="preserve">-</w:t>
      </w:r>
      <w:r>
        <w:rPr>
          <w:rStyle w:val="NormalTok"/>
        </w:rPr>
        <w:t xml:space="preserve">Service </w:t>
      </w:r>
      <w:r>
        <w:rPr>
          <w:rStyle w:val="OperatorTok"/>
        </w:rPr>
        <w:t xml:space="preserve">-</w:t>
      </w:r>
      <w:r>
        <w:rPr>
          <w:rStyle w:val="NormalTok"/>
        </w:rPr>
        <w:t xml:space="preserve">Name certsvc</w:t>
      </w:r>
    </w:p>
    <w:p>
      <w:pPr>
        <w:pStyle w:val="FirstParagraph"/>
      </w:pPr>
      <w:r>
        <w:t xml:space="preserve">Full auditing includes the start and stop category, which can slow restarts on a CA with a large database; test the effect first.</w:t>
      </w:r>
      <w:r>
        <w:rPr>
          <w:rStyle w:val="FootnoteReference"/>
        </w:rPr>
        <w:footnoteReference w:id="260"/>
      </w:r>
      <w:r>
        <w:t xml:space="preserve"> </w:t>
      </w:r>
      <w:r>
        <w:t xml:space="preserve">Defender for Identity’s sensor documentation asks for the same two settings.</w:t>
      </w:r>
      <w:r>
        <w:rPr>
          <w:rStyle w:val="FootnoteReference"/>
        </w:rPr>
        <w:footnoteReference w:id="261"/>
      </w:r>
    </w:p>
    <w:bookmarkStart w:id="265" w:name="fig-ch03-ca-audit-path"/>
    <w:p>
      <w:pPr>
        <w:pStyle w:val="CaptionedFigure"/>
      </w:pPr>
      <w:r>
        <w:drawing>
          <wp:inline>
            <wp:extent cx="5334000" cy="4096002"/>
            <wp:effectExtent b="0" l="0" r="0" t="0"/>
            <wp:docPr descr="CA audit evidence needs both the CA audit filter and the OS audit policy, and the local log has to outlive any collection outage." title="" id="263" name="Picture"/>
            <a:graphic>
              <a:graphicData uri="http://schemas.openxmlformats.org/drawingml/2006/picture">
                <pic:pic>
                  <pic:nvPicPr>
                    <pic:cNvPr descr="/home/runner/work/modernization-workbook/modernization-workbook/docs/images/diagrams/b07-pki/png/ch03-ca-audit-path.png" id="264" name="Picture"/>
                    <pic:cNvPicPr>
                      <a:picLocks noChangeArrowheads="1" noChangeAspect="1"/>
                    </pic:cNvPicPr>
                  </pic:nvPicPr>
                  <pic:blipFill>
                    <a:blip r:embed="rId262"/>
                    <a:stretch>
                      <a:fillRect/>
                    </a:stretch>
                  </pic:blipFill>
                  <pic:spPr bwMode="auto">
                    <a:xfrm>
                      <a:off x="0" y="0"/>
                      <a:ext cx="5334000" cy="4096002"/>
                    </a:xfrm>
                    <a:prstGeom prst="rect">
                      <a:avLst/>
                    </a:prstGeom>
                    <a:noFill/>
                    <a:ln w="9525">
                      <a:noFill/>
                      <a:headEnd/>
                      <a:tailEnd/>
                    </a:ln>
                  </pic:spPr>
                </pic:pic>
              </a:graphicData>
            </a:graphic>
          </wp:inline>
        </w:drawing>
      </w:r>
    </w:p>
    <w:p>
      <w:pPr>
        <w:pStyle w:val="ImageCaption"/>
      </w:pPr>
      <w:r>
        <w:t xml:space="preserve">CA audit evidence needs both the CA audit filter and the OS audit policy, and the local log has to outlive any collection outage.</w:t>
      </w:r>
    </w:p>
    <w:bookmarkEnd w:id="265"/>
    <w:p>
      <w:pPr>
        <w:pStyle w:val="BodyText"/>
      </w:pPr>
      <w:r>
        <w:t xml:space="preserve">Microsoft’s focused monitoring baseline for a CA:</w:t>
      </w:r>
      <w:r>
        <w:rPr>
          <w:rStyle w:val="FootnoteReference"/>
        </w:rPr>
        <w:footnoteReference w:id="266"/>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Event ID</w:t>
            </w:r>
          </w:p>
        </w:tc>
        <w:tc>
          <w:tcPr/>
          <w:p>
            <w:pPr>
              <w:pStyle w:val="Compact"/>
            </w:pPr>
            <w:r>
              <w:t xml:space="preserve">Meaning</w:t>
            </w:r>
          </w:p>
        </w:tc>
        <w:tc>
          <w:tcPr/>
          <w:p>
            <w:pPr>
              <w:pStyle w:val="Compact"/>
            </w:pPr>
            <w:r>
              <w:t xml:space="preserve">Why the program watches it</w:t>
            </w:r>
          </w:p>
        </w:tc>
      </w:tr>
      <w:tr>
        <w:tc>
          <w:tcPr/>
          <w:p>
            <w:pPr>
              <w:pStyle w:val="Compact"/>
            </w:pPr>
            <w:r>
              <w:t xml:space="preserve">4886</w:t>
            </w:r>
          </w:p>
        </w:tc>
        <w:tc>
          <w:tcPr/>
          <w:p>
            <w:pPr>
              <w:pStyle w:val="Compact"/>
            </w:pPr>
            <w:r>
              <w:t xml:space="preserve">Certificate Services received a certificate request</w:t>
            </w:r>
          </w:p>
        </w:tc>
        <w:tc>
          <w:tcPr/>
          <w:p>
            <w:pPr>
              <w:pStyle w:val="Compact"/>
            </w:pPr>
            <w:r>
              <w:t xml:space="preserve">Request volume and requester, per template</w:t>
            </w:r>
          </w:p>
        </w:tc>
      </w:tr>
      <w:tr>
        <w:tc>
          <w:tcPr/>
          <w:p>
            <w:pPr>
              <w:pStyle w:val="Compact"/>
            </w:pPr>
            <w:r>
              <w:t xml:space="preserve">4887</w:t>
            </w:r>
          </w:p>
        </w:tc>
        <w:tc>
          <w:tcPr/>
          <w:p>
            <w:pPr>
              <w:pStyle w:val="Compact"/>
            </w:pPr>
            <w:r>
              <w:t xml:space="preserve">Certificate Services approved a request and issued a certificate</w:t>
            </w:r>
          </w:p>
        </w:tc>
        <w:tc>
          <w:tcPr/>
          <w:p>
            <w:pPr>
              <w:pStyle w:val="Compact"/>
            </w:pPr>
            <w:r>
              <w:t xml:space="preserve">Every issued credential; requests for templates that should be retired</w:t>
            </w:r>
          </w:p>
        </w:tc>
      </w:tr>
      <w:tr>
        <w:tc>
          <w:tcPr/>
          <w:p>
            <w:pPr>
              <w:pStyle w:val="Compact"/>
            </w:pPr>
            <w:r>
              <w:t xml:space="preserve">4888</w:t>
            </w:r>
          </w:p>
        </w:tc>
        <w:tc>
          <w:tcPr/>
          <w:p>
            <w:pPr>
              <w:pStyle w:val="Compact"/>
            </w:pPr>
            <w:r>
              <w:t xml:space="preserve">Certificate Services denied a request</w:t>
            </w:r>
          </w:p>
        </w:tc>
        <w:tc>
          <w:tcPr/>
          <w:p>
            <w:pPr>
              <w:pStyle w:val="Compact"/>
            </w:pPr>
            <w:r>
              <w:t xml:space="preserve">Probing of restricted templates</w:t>
            </w:r>
          </w:p>
        </w:tc>
      </w:tr>
      <w:tr>
        <w:tc>
          <w:tcPr/>
          <w:p>
            <w:pPr>
              <w:pStyle w:val="Compact"/>
            </w:pPr>
            <w:r>
              <w:t xml:space="preserve">4870</w:t>
            </w:r>
          </w:p>
        </w:tc>
        <w:tc>
          <w:tcPr/>
          <w:p>
            <w:pPr>
              <w:pStyle w:val="Compact"/>
            </w:pPr>
            <w:r>
              <w:t xml:space="preserve">Certificate Services revoked a certificate</w:t>
            </w:r>
          </w:p>
        </w:tc>
        <w:tc>
          <w:tcPr/>
          <w:p>
            <w:pPr>
              <w:pStyle w:val="Compact"/>
            </w:pPr>
            <w:r>
              <w:t xml:space="preserve">Revocation evidence for leavers and incidents</w:t>
            </w:r>
          </w:p>
        </w:tc>
      </w:tr>
      <w:tr>
        <w:tc>
          <w:tcPr/>
          <w:p>
            <w:pPr>
              <w:pStyle w:val="Compact"/>
            </w:pPr>
            <w:r>
              <w:t xml:space="preserve">4882</w:t>
            </w:r>
          </w:p>
        </w:tc>
        <w:tc>
          <w:tcPr/>
          <w:p>
            <w:pPr>
              <w:pStyle w:val="Compact"/>
            </w:pPr>
            <w:r>
              <w:t xml:space="preserve">Security permissions for Certificate Services changed</w:t>
            </w:r>
          </w:p>
        </w:tc>
        <w:tc>
          <w:tcPr/>
          <w:p>
            <w:pPr>
              <w:pStyle w:val="Compact"/>
            </w:pPr>
            <w:r>
              <w:t xml:space="preserve">ESC7 drift</w:t>
            </w:r>
          </w:p>
        </w:tc>
      </w:tr>
      <w:tr>
        <w:tc>
          <w:tcPr/>
          <w:p>
            <w:pPr>
              <w:pStyle w:val="Compact"/>
            </w:pPr>
            <w:r>
              <w:t xml:space="preserve">4885</w:t>
            </w:r>
          </w:p>
        </w:tc>
        <w:tc>
          <w:tcPr/>
          <w:p>
            <w:pPr>
              <w:pStyle w:val="Compact"/>
            </w:pPr>
            <w:r>
              <w:t xml:space="preserve">Audit filter changed</w:t>
            </w:r>
          </w:p>
        </w:tc>
        <w:tc>
          <w:tcPr/>
          <w:p>
            <w:pPr>
              <w:pStyle w:val="Compact"/>
            </w:pPr>
            <w:r>
              <w:t xml:space="preserve">Someone turning auditing down</w:t>
            </w:r>
          </w:p>
        </w:tc>
      </w:tr>
      <w:tr>
        <w:tc>
          <w:tcPr/>
          <w:p>
            <w:pPr>
              <w:pStyle w:val="Compact"/>
            </w:pPr>
            <w:r>
              <w:t xml:space="preserve">4890</w:t>
            </w:r>
          </w:p>
        </w:tc>
        <w:tc>
          <w:tcPr/>
          <w:p>
            <w:pPr>
              <w:pStyle w:val="Compact"/>
            </w:pPr>
            <w:r>
              <w:t xml:space="preserve">Certificate manager settings changed</w:t>
            </w:r>
          </w:p>
        </w:tc>
        <w:tc>
          <w:tcPr/>
          <w:p>
            <w:pPr>
              <w:pStyle w:val="Compact"/>
            </w:pPr>
            <w:r>
              <w:t xml:space="preserve">ESC7 drift</w:t>
            </w:r>
          </w:p>
        </w:tc>
      </w:tr>
      <w:tr>
        <w:tc>
          <w:tcPr/>
          <w:p>
            <w:pPr>
              <w:pStyle w:val="Compact"/>
            </w:pPr>
            <w:r>
              <w:t xml:space="preserve">4892</w:t>
            </w:r>
          </w:p>
        </w:tc>
        <w:tc>
          <w:tcPr/>
          <w:p>
            <w:pPr>
              <w:pStyle w:val="Compact"/>
            </w:pPr>
            <w:r>
              <w:t xml:space="preserve">A property of Certificate Services changed</w:t>
            </w:r>
          </w:p>
        </w:tc>
        <w:tc>
          <w:tcPr/>
          <w:p>
            <w:pPr>
              <w:pStyle w:val="Compact"/>
            </w:pPr>
            <w:r>
              <w:t xml:space="preserve">ESC6 and other configuration drift</w:t>
            </w:r>
          </w:p>
        </w:tc>
      </w:tr>
      <w:tr>
        <w:tc>
          <w:tcPr/>
          <w:p>
            <w:pPr>
              <w:pStyle w:val="Compact"/>
            </w:pPr>
            <w:r>
              <w:t xml:space="preserve">4896</w:t>
            </w:r>
          </w:p>
        </w:tc>
        <w:tc>
          <w:tcPr/>
          <w:p>
            <w:pPr>
              <w:pStyle w:val="Compact"/>
            </w:pPr>
            <w:r>
              <w:t xml:space="preserve">Rows deleted from the certificate database</w:t>
            </w:r>
          </w:p>
        </w:tc>
        <w:tc>
          <w:tcPr/>
          <w:p>
            <w:pPr>
              <w:pStyle w:val="Compact"/>
            </w:pPr>
            <w:r>
              <w:t xml:space="preserve">Evidence destruction or unapproved cleanup</w:t>
            </w:r>
          </w:p>
        </w:tc>
      </w:tr>
      <w:tr>
        <w:tc>
          <w:tcPr/>
          <w:p>
            <w:pPr>
              <w:pStyle w:val="Compact"/>
            </w:pPr>
            <w:r>
              <w:t xml:space="preserve">4897</w:t>
            </w:r>
          </w:p>
        </w:tc>
        <w:tc>
          <w:tcPr/>
          <w:p>
            <w:pPr>
              <w:pStyle w:val="Compact"/>
            </w:pPr>
            <w:r>
              <w:t xml:space="preserve">Role separation enabled</w:t>
            </w:r>
          </w:p>
        </w:tc>
        <w:tc>
          <w:tcPr/>
          <w:p>
            <w:pPr>
              <w:pStyle w:val="Compact"/>
            </w:pPr>
            <w:r>
              <w:t xml:space="preserve">Change to the CA’s role model</w:t>
            </w:r>
          </w:p>
        </w:tc>
      </w:tr>
    </w:tbl>
    <w:p>
      <w:pPr>
        <w:pStyle w:val="BodyText"/>
      </w:pPr>
      <w:r>
        <w:t xml:space="preserve">Certificate Services also logs 4871 and 4872 for CRL publication requests and published CRLs, and 4898 when it loads a template.</w:t>
      </w:r>
      <w:r>
        <w:rPr>
          <w:rStyle w:val="FootnoteReference"/>
        </w:rPr>
        <w:footnoteReference w:id="267"/>
      </w:r>
      <w:r>
        <w:rPr>
          <w:rStyle w:val="FootnoteReference"/>
        </w:rPr>
        <w:footnoteReference w:id="268"/>
      </w:r>
      <w:r>
        <w:t xml:space="preserve"> </w:t>
      </w:r>
      <w:r>
        <w:t xml:space="preserve">Microsoft recommends generating each event in a nonproduction test before writing the collection rule, so an assumed event doesn’t become a blind spot.</w:t>
      </w:r>
      <w:r>
        <w:rPr>
          <w:rStyle w:val="FootnoteReference"/>
        </w:rPr>
        <w:footnoteReference w:id="269"/>
      </w:r>
    </w:p>
    <w:p>
      <w:pPr>
        <w:pStyle w:val="BodyText"/>
      </w:pPr>
      <w:r>
        <w:t xml:space="preserve">Forward the events through Windows Event Forwarding to a collector and then to the SIEM. Microsoft’s current WEF baseline subscription already includes 4886, 4887 and 4888, but WEF doesn’t enable auditing or stop a full local log from overwriting evidence, so size the CA’s Security log for the longest plausible collection outage.</w:t>
      </w:r>
      <w:r>
        <w:rPr>
          <w:rStyle w:val="FootnoteReference"/>
        </w:rPr>
        <w:footnoteReference w:id="270"/>
      </w:r>
      <w:r>
        <w:t xml:space="preserve"> </w:t>
      </w:r>
      <w:r>
        <w:t xml:space="preserve">The program’s monitoring of these events is in Chapter 08.</w:t>
      </w:r>
    </w:p>
    <w:bookmarkEnd w:id="271"/>
    <w:bookmarkStart w:id="276" w:name="the-risk-scoring-matrix"/>
    <w:p>
      <w:pPr>
        <w:pStyle w:val="Heading2"/>
      </w:pPr>
      <w:bookmarkStart w:id="959" w:name="_Toc00000959"/>
      <w:r>
        <w:t xml:space="preserve">The risk-scoring matrix</w:t>
      </w:r>
      <w:bookmarkEnd w:id="959"/>
    </w:p>
    <w:p>
      <w:pPr>
        <w:pStyle w:val="FirstParagraph"/>
      </w:pPr>
      <w:r>
        <w:t xml:space="preserve">The program scores each class for prioritization. The risk level, migration-blocker and priority columns are the program’s own scoring, carried forward from its PKI guide with one change: ESC2 is downgraded from</w:t>
      </w:r>
      <w:r>
        <w:t xml:space="preserve"> </w:t>
      </w:r>
      <w:r>
        <w:t xml:space="preserve">“Yes”</w:t>
      </w:r>
      <w:r>
        <w:t xml:space="preserve"> </w:t>
      </w:r>
      <w:r>
        <w:t xml:space="preserve">to</w:t>
      </w:r>
      <w:r>
        <w:t xml:space="preserve"> </w:t>
      </w:r>
      <w:r>
        <w:t xml:space="preserve">“Possible”</w:t>
      </w:r>
      <w:r>
        <w:t xml:space="preserve"> </w:t>
      </w:r>
      <w:r>
        <w:t xml:space="preserve">for domain compromise, because Microsoft describes its main effect as undermining trust in other certificate consumers rather than direct user impersonation.</w:t>
      </w:r>
      <w:r>
        <w:rPr>
          <w:rStyle w:val="FootnoteReference"/>
        </w:rPr>
        <w:footnoteReference w:id="272"/>
      </w:r>
      <w:r>
        <w:t xml:space="preserve"> </w:t>
      </w:r>
      <w:r>
        <w:t xml:space="preserve">The detection columns are from Microsoft’s documentation.</w:t>
      </w:r>
      <w:r>
        <w:rPr>
          <w:rStyle w:val="FootnoteReference"/>
        </w:rPr>
        <w:footnoteReference w:id="273"/>
      </w:r>
      <w:r>
        <w:rPr>
          <w:rStyle w:val="FootnoteReference"/>
        </w:rPr>
        <w:footnoteReference w:id="274"/>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Class</w:t>
            </w:r>
          </w:p>
        </w:tc>
        <w:tc>
          <w:tcPr/>
          <w:p>
            <w:pPr>
              <w:pStyle w:val="Compact"/>
            </w:pPr>
            <w:r>
              <w:t xml:space="preserve">Misconfiguration</w:t>
            </w:r>
          </w:p>
        </w:tc>
        <w:tc>
          <w:tcPr/>
          <w:p>
            <w:pPr>
              <w:pStyle w:val="Compact"/>
            </w:pPr>
            <w:r>
              <w:t xml:space="preserve">Risk level</w:t>
            </w:r>
          </w:p>
        </w:tc>
        <w:tc>
          <w:tcPr/>
          <w:p>
            <w:pPr>
              <w:pStyle w:val="Compact"/>
            </w:pPr>
            <w:r>
              <w:t xml:space="preserve">Domain compromise?</w:t>
            </w:r>
          </w:p>
        </w:tc>
        <w:tc>
          <w:tcPr/>
          <w:p>
            <w:pPr>
              <w:pStyle w:val="Compact"/>
            </w:pPr>
            <w:r>
              <w:t xml:space="preserve">Migration blocker?</w:t>
            </w:r>
          </w:p>
        </w:tc>
        <w:tc>
          <w:tcPr/>
          <w:p>
            <w:pPr>
              <w:pStyle w:val="Compact"/>
            </w:pPr>
            <w:r>
              <w:t xml:space="preserve">Remediation priority</w:t>
            </w:r>
          </w:p>
        </w:tc>
        <w:tc>
          <w:tcPr/>
          <w:p>
            <w:pPr>
              <w:pStyle w:val="Compact"/>
            </w:pPr>
            <w:r>
              <w:t xml:space="preserve">Defender for Identity assessment</w:t>
            </w:r>
          </w:p>
        </w:tc>
      </w:tr>
      <w:tr>
        <w:tc>
          <w:tcPr/>
          <w:p>
            <w:pPr>
              <w:pStyle w:val="Compact"/>
            </w:pPr>
            <w:r>
              <w:t xml:space="preserve">ESC1</w:t>
            </w:r>
          </w:p>
        </w:tc>
        <w:tc>
          <w:tcPr/>
          <w:p>
            <w:pPr>
              <w:pStyle w:val="Compact"/>
            </w:pPr>
            <w:r>
              <w:t xml:space="preserve">Requester supplies subject on an authentication template</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(template; preview)</w:t>
            </w:r>
          </w:p>
        </w:tc>
      </w:tr>
      <w:tr>
        <w:tc>
          <w:tcPr/>
          <w:p>
            <w:pPr>
              <w:pStyle w:val="Compact"/>
            </w:pPr>
            <w:r>
              <w:t xml:space="preserve">ESC2</w:t>
            </w:r>
          </w:p>
        </w:tc>
        <w:tc>
          <w:tcPr/>
          <w:p>
            <w:pPr>
              <w:pStyle w:val="Compact"/>
            </w:pPr>
            <w:r>
              <w:t xml:space="preserve">Any Purpose or no EKU, broadly enrollable</w:t>
            </w:r>
          </w:p>
        </w:tc>
        <w:tc>
          <w:tcPr/>
          <w:p>
            <w:pPr>
              <w:pStyle w:val="Compact"/>
            </w:pPr>
            <w:r>
              <w:t xml:space="preserve">Critical</w:t>
            </w:r>
          </w:p>
        </w:tc>
        <w:tc>
          <w:tcPr/>
          <w:p>
            <w:pPr>
              <w:pStyle w:val="Compact"/>
            </w:pPr>
            <w:r>
              <w:t xml:space="preserve">Possible</w:t>
            </w:r>
          </w:p>
        </w:tc>
        <w:tc>
          <w:tcPr/>
          <w:p>
            <w:pPr>
              <w:pStyle w:val="Compact"/>
            </w:pPr>
            <w:r>
              <w:t xml:space="preserve">Yes</w:t>
            </w:r>
          </w:p>
        </w:tc>
        <w:tc>
          <w:tcPr/>
          <w:p>
            <w:pPr>
              <w:pStyle w:val="Compact"/>
            </w:pPr>
            <w:r>
              <w:t xml:space="preserve">Immediate</w:t>
            </w:r>
          </w:p>
        </w:tc>
        <w:tc>
          <w:tcPr/>
          <w:p>
            <w:pPr>
              <w:pStyle w:val="Compact"/>
            </w:pPr>
            <w:r>
              <w:t xml:space="preserve">Yes (template)</w:t>
            </w:r>
          </w:p>
        </w:tc>
      </w:tr>
      <w:tr>
        <w:tc>
          <w:tcPr/>
          <w:p>
            <w:pPr>
              <w:pStyle w:val="Compact"/>
            </w:pPr>
            <w:r>
              <w:t xml:space="preserve">ESC3</w:t>
            </w:r>
          </w:p>
        </w:tc>
        <w:tc>
          <w:tcPr/>
          <w:p>
            <w:pPr>
              <w:pStyle w:val="Compact"/>
            </w:pPr>
            <w:r>
              <w:t xml:space="preserve">Enrollment agent template broadly enrollable</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(template)</w:t>
            </w:r>
          </w:p>
        </w:tc>
      </w:tr>
      <w:tr>
        <w:tc>
          <w:tcPr/>
          <w:p>
            <w:pPr>
              <w:pStyle w:val="Compact"/>
            </w:pPr>
            <w:r>
              <w:t xml:space="preserve">ESC4</w:t>
            </w:r>
          </w:p>
        </w:tc>
        <w:tc>
          <w:tcPr/>
          <w:p>
            <w:pPr>
              <w:pStyle w:val="Compact"/>
            </w:pPr>
            <w:r>
              <w:t xml:space="preserve">Writable template ACL or unprivileged owner</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(template; ACL and owner)</w:t>
            </w:r>
          </w:p>
        </w:tc>
      </w:tr>
      <w:tr>
        <w:tc>
          <w:tcPr/>
          <w:p>
            <w:pPr>
              <w:pStyle w:val="Compact"/>
            </w:pPr>
            <w:r>
              <w:t xml:space="preserve">ESC5</w:t>
            </w:r>
          </w:p>
        </w:tc>
        <w:tc>
          <w:tcPr/>
          <w:p>
            <w:pPr>
              <w:pStyle w:val="Compact"/>
            </w:pPr>
            <w:r>
              <w:t xml:space="preserve">Writable Public Key Services objects</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No; manual review and event 5136</w:t>
            </w:r>
          </w:p>
        </w:tc>
      </w:tr>
      <w:tr>
        <w:tc>
          <w:tcPr/>
          <w:p>
            <w:pPr>
              <w:pStyle w:val="Compact"/>
            </w:pPr>
            <w:r>
              <w:t xml:space="preserve">ESC6</w:t>
            </w:r>
          </w:p>
        </w:tc>
        <w:tc>
          <w:tcPr/>
          <w:p>
            <w:pPr>
              <w:pStyle w:val="Compact"/>
            </w:pPr>
            <w:r>
              <w:rPr>
                <w:rStyle w:val="VerbatimChar"/>
              </w:rPr>
              <w:t xml:space="preserve">EDITF_ATTRIBUTESUBJECTALTNAME2</w:t>
            </w:r>
            <w:r>
              <w:t xml:space="preserve"> </w:t>
            </w:r>
            <w:r>
              <w:t xml:space="preserve">on</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(CA sensor; preview)</w:t>
            </w:r>
          </w:p>
        </w:tc>
      </w:tr>
      <w:tr>
        <w:tc>
          <w:tcPr/>
          <w:p>
            <w:pPr>
              <w:pStyle w:val="Compact"/>
            </w:pPr>
            <w:r>
              <w:t xml:space="preserve">ESC7</w:t>
            </w:r>
          </w:p>
        </w:tc>
        <w:tc>
          <w:tcPr/>
          <w:p>
            <w:pPr>
              <w:pStyle w:val="Compact"/>
            </w:pPr>
            <w:r>
              <w:t xml:space="preserve">Unprivileged Manage CA or Issue and Manage Certificates</w:t>
            </w:r>
          </w:p>
        </w:tc>
        <w:tc>
          <w:tcPr/>
          <w:p>
            <w:pPr>
              <w:pStyle w:val="Compact"/>
            </w:pPr>
            <w:r>
              <w:t xml:space="preserve">High</w:t>
            </w:r>
          </w:p>
        </w:tc>
        <w:tc>
          <w:tcPr/>
          <w:p>
            <w:pPr>
              <w:pStyle w:val="Compact"/>
            </w:pPr>
            <w:r>
              <w:t xml:space="preserve">Possible</w:t>
            </w:r>
          </w:p>
        </w:tc>
        <w:tc>
          <w:tcPr/>
          <w:p>
            <w:pPr>
              <w:pStyle w:val="Compact"/>
            </w:pPr>
            <w:r>
              <w:t xml:space="preserve">Yes</w:t>
            </w:r>
          </w:p>
        </w:tc>
        <w:tc>
          <w:tcPr/>
          <w:p>
            <w:pPr>
              <w:pStyle w:val="Compact"/>
            </w:pPr>
            <w:r>
              <w:t xml:space="preserve">Within 2 weeks</w:t>
            </w:r>
          </w:p>
        </w:tc>
        <w:tc>
          <w:tcPr/>
          <w:p>
            <w:pPr>
              <w:pStyle w:val="Compact"/>
            </w:pPr>
            <w:r>
              <w:t xml:space="preserve">Yes (CA sensor)</w:t>
            </w:r>
          </w:p>
        </w:tc>
      </w:tr>
      <w:tr>
        <w:tc>
          <w:tcPr/>
          <w:p>
            <w:pPr>
              <w:pStyle w:val="Compact"/>
            </w:pPr>
            <w:r>
              <w:t xml:space="preserve">ESC8</w:t>
            </w:r>
          </w:p>
        </w:tc>
        <w:tc>
          <w:tcPr/>
          <w:p>
            <w:pPr>
              <w:pStyle w:val="Compact"/>
            </w:pPr>
            <w:r>
              <w:t xml:space="preserve">HTTP enrollment without HTTPS and EPA</w:t>
            </w:r>
          </w:p>
        </w:tc>
        <w:tc>
          <w:tcPr/>
          <w:p>
            <w:pPr>
              <w:pStyle w:val="Compact"/>
            </w:pPr>
            <w:r>
              <w:t xml:space="preserve">Critical</w:t>
            </w:r>
          </w:p>
        </w:tc>
        <w:tc>
          <w:tcPr/>
          <w:p>
            <w:pPr>
              <w:pStyle w:val="Compact"/>
            </w:pPr>
            <w:r>
              <w:t xml:space="preserve">Yes</w:t>
            </w:r>
          </w:p>
        </w:tc>
        <w:tc>
          <w:tcPr/>
          <w:p>
            <w:pPr>
              <w:pStyle w:val="Compact"/>
            </w:pPr>
            <w:r>
              <w:t xml:space="preserve">Yes</w:t>
            </w:r>
          </w:p>
        </w:tc>
        <w:tc>
          <w:tcPr/>
          <w:p>
            <w:pPr>
              <w:pStyle w:val="Compact"/>
            </w:pPr>
            <w:r>
              <w:t xml:space="preserve">Immediate</w:t>
            </w:r>
          </w:p>
        </w:tc>
        <w:tc>
          <w:tcPr/>
          <w:p>
            <w:pPr>
              <w:pStyle w:val="Compact"/>
            </w:pPr>
            <w:r>
              <w:t xml:space="preserve">Yes (CA sensor)</w:t>
            </w:r>
          </w:p>
        </w:tc>
      </w:tr>
    </w:tbl>
    <w:p>
      <w:pPr>
        <w:pStyle w:val="BodyText"/>
      </w:pPr>
      <w:r>
        <w:t xml:space="preserve">“Immediate”</w:t>
      </w:r>
      <w:r>
        <w:t xml:space="preserve"> </w:t>
      </w:r>
      <w:r>
        <w:t xml:space="preserve">means the finding is fixed or the template or endpoint is taken out of service before the next change window closes. Every row is a migration blocker until it’s verified closed. Verification means the Defender for Identity assessment shows no exposed entities (scores and statuses update every 24 hours, so allow for the lag),</w:t>
      </w:r>
      <w:r>
        <w:rPr>
          <w:rStyle w:val="FootnoteReference"/>
        </w:rPr>
        <w:footnoteReference w:id="275"/>
      </w:r>
      <w:r>
        <w:t xml:space="preserve"> </w:t>
      </w:r>
      <w:r>
        <w:t xml:space="preserve">and a manual re-check for ESC5.</w:t>
      </w:r>
    </w:p>
    <w:bookmarkEnd w:id="276"/>
    <w:bookmarkStart w:id="284" w:name="hardening-the-ad-cs-that-remains"/>
    <w:p>
      <w:pPr>
        <w:pStyle w:val="Heading2"/>
      </w:pPr>
      <w:bookmarkStart w:id="960" w:name="_Toc00000960"/>
      <w:r>
        <w:t xml:space="preserve">Hardening the AD CS that remains</w:t>
      </w:r>
      <w:bookmarkEnd w:id="960"/>
    </w:p>
    <w:p>
      <w:pPr>
        <w:pStyle w:val="FirstParagraph"/>
      </w:pPr>
      <w:r>
        <w:t xml:space="preserve">Templates classified BRIDGE or RETAIN (Chapter 02) keep AD CS in service for months or years. For that period:</w:t>
      </w:r>
    </w:p>
    <w:p>
      <w:pPr>
        <w:pStyle w:val="Compact"/>
        <w:numPr>
          <w:ilvl w:val="0"/>
          <w:numId w:val="1020"/>
        </w:numPr>
      </w:pPr>
      <w:r>
        <w:rPr>
          <w:b/>
          <w:bCs/>
        </w:rPr>
        <w:t xml:space="preserve">Lock the templates.</w:t>
      </w:r>
      <w:r>
        <w:t xml:space="preserve"> </w:t>
      </w:r>
      <w:r>
        <w:t xml:space="preserve">Remove every template that no BRIDGE or RETAIN workload needs from each CA’s issuance list, and remove autoenrollment permissions from the rest except where a workload still depends on them. Removing a template from the issuance list is also Microsoft’s usual first rollback step, so it’s reversible.</w:t>
      </w:r>
      <w:r>
        <w:rPr>
          <w:rStyle w:val="FootnoteReference"/>
        </w:rPr>
        <w:footnoteReference w:id="277"/>
      </w:r>
    </w:p>
    <w:p>
      <w:pPr>
        <w:pStyle w:val="Compact"/>
        <w:numPr>
          <w:ilvl w:val="0"/>
          <w:numId w:val="1020"/>
        </w:numPr>
      </w:pPr>
      <w:r>
        <w:rPr>
          <w:b/>
          <w:bCs/>
        </w:rPr>
        <w:t xml:space="preserve">Alert on unauthorized requests.</w:t>
      </w:r>
      <w:r>
        <w:t xml:space="preserve"> </w:t>
      </w:r>
      <w:r>
        <w:t xml:space="preserve">With auditing on, alert on 4886 and 4887 for templates that should no longer be requested, and on 4888 spikes.</w:t>
      </w:r>
      <w:r>
        <w:rPr>
          <w:rStyle w:val="FootnoteReference"/>
        </w:rPr>
        <w:footnoteReference w:id="278"/>
      </w:r>
    </w:p>
    <w:p>
      <w:pPr>
        <w:pStyle w:val="Compact"/>
        <w:numPr>
          <w:ilvl w:val="0"/>
          <w:numId w:val="1020"/>
        </w:numPr>
      </w:pPr>
      <w:r>
        <w:rPr>
          <w:b/>
          <w:bCs/>
        </w:rPr>
        <w:t xml:space="preserve">Keep CRL publication on schedule.</w:t>
      </w:r>
      <w:r>
        <w:t xml:space="preserve"> </w:t>
      </w:r>
      <w:r>
        <w:t xml:space="preserve">A lapsed CRL breaks validation for every certificate the CA issued. Entra certificate-based authentication fails when it can’t retrieve a configured CRL,</w:t>
      </w:r>
      <w:r>
        <w:rPr>
          <w:rStyle w:val="FootnoteReference"/>
        </w:rPr>
        <w:footnoteReference w:id="279"/>
      </w:r>
      <w:r>
        <w:t xml:space="preserve"> </w:t>
      </w:r>
      <w:r>
        <w:t xml:space="preserve">and Microsoft recommends reviewing CRL next-update times and running</w:t>
      </w:r>
      <w:r>
        <w:t xml:space="preserve"> </w:t>
      </w:r>
      <w:r>
        <w:rPr>
          <w:rStyle w:val="VerbatimChar"/>
        </w:rPr>
        <w:t xml:space="preserve">certutil -verify -urlfetch</w:t>
      </w:r>
      <w:r>
        <w:t xml:space="preserve"> </w:t>
      </w:r>
      <w:r>
        <w:t xml:space="preserve">from representative client networks on a schedule shorter than your shortest renewal window.</w:t>
      </w:r>
      <w:r>
        <w:rPr>
          <w:rStyle w:val="FootnoteReference"/>
        </w:rPr>
        <w:footnoteReference w:id="281"/>
      </w:r>
    </w:p>
    <w:p>
      <w:pPr>
        <w:pStyle w:val="Compact"/>
        <w:numPr>
          <w:ilvl w:val="0"/>
          <w:numId w:val="1020"/>
        </w:numPr>
      </w:pPr>
      <w:r>
        <w:rPr>
          <w:b/>
          <w:bCs/>
        </w:rPr>
        <w:t xml:space="preserve">Back up before every change.</w:t>
      </w:r>
      <w:r>
        <w:t xml:space="preserve"> </w:t>
      </w:r>
      <w:r>
        <w:t xml:space="preserve">Run</w:t>
      </w:r>
      <w:r>
        <w:t xml:space="preserve"> </w:t>
      </w:r>
      <w:r>
        <w:rPr>
          <w:rStyle w:val="VerbatimChar"/>
        </w:rPr>
        <w:t xml:space="preserve">Backup-CARoleService</w:t>
      </w:r>
      <w:r>
        <w:t xml:space="preserve"> </w:t>
      </w:r>
      <w:r>
        <w:t xml:space="preserve">from an elevated session as a CA administrator before changing permissions, templates or audit settings; it backs up the database and the CA private key, so protect the output as recovery material and test restoration only on an isolated system.</w:t>
      </w:r>
      <w:r>
        <w:rPr>
          <w:rStyle w:val="FootnoteReference"/>
        </w:rPr>
        <w:footnoteReference w:id="282"/>
      </w:r>
    </w:p>
    <w:p>
      <w:pPr>
        <w:pStyle w:val="Compact"/>
        <w:numPr>
          <w:ilvl w:val="0"/>
          <w:numId w:val="1020"/>
        </w:numPr>
      </w:pPr>
      <w:r>
        <w:rPr>
          <w:b/>
          <w:bCs/>
        </w:rPr>
        <w:t xml:space="preserve">Treat CA servers as Tier 0.</w:t>
      </w:r>
      <w:r>
        <w:t xml:space="preserve"> </w:t>
      </w:r>
      <w:r>
        <w:t xml:space="preserve">Patch them, administer them only from a hardened management host, avoid routine interactive sign-in, and keep CA private keys, backups and key recovery agent keys under separate custody.</w:t>
      </w:r>
      <w:r>
        <w:rPr>
          <w:rStyle w:val="FootnoteReference"/>
        </w:rPr>
        <w:footnoteReference w:id="283"/>
      </w:r>
      <w:r>
        <w:t xml:space="preserve"> </w:t>
      </w:r>
      <w:r>
        <w:t xml:space="preserve">The Tier 0 designation is the program’s; it follows from the fact that the CA can mint domain authentication credentials.</w:t>
      </w:r>
    </w:p>
    <w:p>
      <w:pPr>
        <w:pStyle w:val="Compact"/>
        <w:numPr>
          <w:ilvl w:val="0"/>
          <w:numId w:val="1020"/>
        </w:numPr>
      </w:pPr>
      <w:r>
        <w:rPr>
          <w:b/>
          <w:bCs/>
        </w:rPr>
        <w:t xml:space="preserve">Isolate the network.</w:t>
      </w:r>
      <w:r>
        <w:t xml:space="preserve"> </w:t>
      </w:r>
      <w:r>
        <w:t xml:space="preserve">Allow RPC enrollment to the CA only from the endpoints that need it (domain members for autoenrollment, the Intune Certificate Connector, NDES, and lifecycle tooling) and block everything else at the host and network firewall. This is a program control; the exact port set depends on your RPC configuration.</w:t>
      </w:r>
    </w:p>
    <w:p>
      <w:pPr>
        <w:pStyle w:val="Compact"/>
        <w:numPr>
          <w:ilvl w:val="0"/>
          <w:numId w:val="1020"/>
        </w:numPr>
      </w:pPr>
      <w:r>
        <w:rPr>
          <w:b/>
          <w:bCs/>
        </w:rPr>
        <w:t xml:space="preserve">Protect the CA keys.</w:t>
      </w:r>
      <w:r>
        <w:t xml:space="preserve"> </w:t>
      </w:r>
      <w:r>
        <w:t xml:space="preserve">The program requires FIPS 140-2 or 140-3 validated cryptographic modules for every CA, CA private keys generated and held non-exportable in a hardware security module, and dual control with split knowledge for root CA ceremonies (NIST SP 800-53</w:t>
      </w:r>
      <w:r>
        <w:t xml:space="preserve"> </w:t>
      </w:r>
      <w:r>
        <w:rPr>
          <w:rStyle w:val="VerbatimChar"/>
        </w:rPr>
        <w:t xml:space="preserve">SC-12</w:t>
      </w:r>
      <w:r>
        <w:t xml:space="preserve">,</w:t>
      </w:r>
      <w:r>
        <w:t xml:space="preserve"> </w:t>
      </w:r>
      <w:r>
        <w:rPr>
          <w:rStyle w:val="VerbatimChar"/>
        </w:rPr>
        <w:t xml:space="preserve">SC-13</w:t>
      </w:r>
      <w:r>
        <w:t xml:space="preserve">). Record the module validation certificates as assessment evidence.</w:t>
      </w:r>
    </w:p>
    <w:bookmarkEnd w:id="284"/>
    <w:bookmarkStart w:id="292" w:name="hardening-microsoft-cloud-pki"/>
    <w:p>
      <w:pPr>
        <w:pStyle w:val="Heading2"/>
      </w:pPr>
      <w:bookmarkStart w:id="961" w:name="_Toc00000961"/>
      <w:r>
        <w:t xml:space="preserve">Hardening Microsoft Cloud PKI</w:t>
      </w:r>
      <w:bookmarkEnd w:id="961"/>
    </w:p>
    <w:p>
      <w:pPr>
        <w:pStyle w:val="FirstParagraph"/>
      </w:pPr>
      <w:r>
        <w:t xml:space="preserve">Cloud PKI removes most of the attack surface above (no templates in the directory, no NDES, no web enrollment), but it adds an administrative surface of its own.</w:t>
      </w:r>
    </w:p>
    <w:p>
      <w:pPr>
        <w:pStyle w:val="Compact"/>
        <w:numPr>
          <w:ilvl w:val="0"/>
          <w:numId w:val="1021"/>
        </w:numPr>
      </w:pPr>
      <w:r>
        <w:rPr>
          <w:b/>
          <w:bCs/>
        </w:rPr>
        <w:t xml:space="preserve">Scope the administrators.</w:t>
      </w:r>
      <w:r>
        <w:t xml:space="preserve"> </w:t>
      </w:r>
      <w:r>
        <w:t xml:space="preserve">Cloud PKI permissions (read CAs, create CAs, revoke issued leaf certificates) can be assigned through custom Intune roles, and each CA can carry scope tags.</w:t>
      </w:r>
      <w:r>
        <w:rPr>
          <w:rStyle w:val="FootnoteReference"/>
        </w:rPr>
        <w:footnoteReference w:id="285"/>
      </w:r>
      <w:r>
        <w:t xml:space="preserve"> </w:t>
      </w:r>
      <w:r>
        <w:t xml:space="preserve">The Intune Administrator role has these permissions built in.</w:t>
      </w:r>
      <w:r>
        <w:rPr>
          <w:rStyle w:val="FootnoteReference"/>
        </w:rPr>
        <w:footnoteReference w:id="286"/>
      </w:r>
      <w:r>
        <w:t xml:space="preserve"> </w:t>
      </w:r>
      <w:r>
        <w:t xml:space="preserve">The PKI guide referred to</w:t>
      </w:r>
      <w:r>
        <w:t xml:space="preserve"> </w:t>
      </w:r>
      <w:r>
        <w:t xml:space="preserve">“Intune PKI Administrator”</w:t>
      </w:r>
      <w:r>
        <w:t xml:space="preserve"> </w:t>
      </w:r>
      <w:r>
        <w:t xml:space="preserve">roles; no built-in role by that name exists, so the program creates custom roles and assigns them through privileged access (Book 04, Chapter 04).</w:t>
      </w:r>
    </w:p>
    <w:p>
      <w:pPr>
        <w:pStyle w:val="Compact"/>
        <w:numPr>
          <w:ilvl w:val="0"/>
          <w:numId w:val="1021"/>
        </w:numPr>
      </w:pPr>
      <w:r>
        <w:rPr>
          <w:b/>
          <w:bCs/>
        </w:rPr>
        <w:t xml:space="preserve">Choose EKUs at creation.</w:t>
      </w:r>
      <w:r>
        <w:t xml:space="preserve"> </w:t>
      </w:r>
      <w:r>
        <w:t xml:space="preserve">A Cloud PKI CA’s EKUs can’t be edited after creation, and Cloud PKI doesn’t allow the Any Purpose EKU on CAs or SCEP profiles.</w:t>
      </w:r>
      <w:r>
        <w:rPr>
          <w:rStyle w:val="FootnoteReference"/>
        </w:rPr>
        <w:footnoteReference w:id="287"/>
      </w:r>
      <w:r>
        <w:t xml:space="preserve"> </w:t>
      </w:r>
      <w:r>
        <w:t xml:space="preserve">Design the CA’s purpose up front.</w:t>
      </w:r>
    </w:p>
    <w:p>
      <w:pPr>
        <w:pStyle w:val="Compact"/>
        <w:numPr>
          <w:ilvl w:val="0"/>
          <w:numId w:val="1021"/>
        </w:numPr>
      </w:pPr>
      <w:r>
        <w:rPr>
          <w:b/>
          <w:bCs/>
        </w:rPr>
        <w:t xml:space="preserve">Keep private keys in hardware.</w:t>
      </w:r>
      <w:r>
        <w:t xml:space="preserve"> </w:t>
      </w:r>
      <w:r>
        <w:t xml:space="preserve">On Windows, set the SCEP profile’s key storage provider to</w:t>
      </w:r>
      <w:r>
        <w:t xml:space="preserve"> </w:t>
      </w:r>
      <w:r>
        <w:rPr>
          <w:b/>
          <w:bCs/>
        </w:rPr>
        <w:t xml:space="preserve">Enroll to Trusted Platform Module (TPM) KSP, otherwise fail</w:t>
      </w:r>
      <w:r>
        <w:t xml:space="preserve">. The PKI guide also called for TPM-backed keys on macOS and for 4096-bit keys on Tier 0 assets; both are corrected. The key storage provider setting applies to Windows only, and on Windows a 4096-bit key can be stored only in the software KSP, not in the TPM or Windows Hello for Business.</w:t>
      </w:r>
      <w:r>
        <w:rPr>
          <w:rStyle w:val="FootnoteReference"/>
        </w:rPr>
        <w:footnoteReference w:id="288"/>
      </w:r>
      <w:r>
        <w:t xml:space="preserve"> </w:t>
      </w:r>
      <w:r>
        <w:t xml:space="preserve">The program therefore uses 2048-bit RSA in the TPM for Windows device certificates.</w:t>
      </w:r>
    </w:p>
    <w:p>
      <w:pPr>
        <w:pStyle w:val="Compact"/>
        <w:numPr>
          <w:ilvl w:val="0"/>
          <w:numId w:val="1021"/>
        </w:numPr>
      </w:pPr>
      <w:r>
        <w:rPr>
          <w:b/>
          <w:bCs/>
        </w:rPr>
        <w:t xml:space="preserve">Keep validity short.</w:t>
      </w:r>
      <w:r>
        <w:t xml:space="preserve"> </w:t>
      </w:r>
      <w:r>
        <w:t xml:space="preserve">Intune SCEP profiles support validity periods up to 24 months, and Microsoft advises at least five days to avoid devices rejecting near-expired certificates.</w:t>
      </w:r>
      <w:r>
        <w:rPr>
          <w:rStyle w:val="FootnoteReference"/>
        </w:rPr>
        <w:footnoteReference w:id="289"/>
      </w:r>
      <w:r>
        <w:t xml:space="preserve"> </w:t>
      </w:r>
      <w:r>
        <w:t xml:space="preserve">The program sets one year for user and device authentication certificates. The PKI guide’s two-year figure for</w:t>
      </w:r>
      <w:r>
        <w:t xml:space="preserve"> </w:t>
      </w:r>
      <w:r>
        <w:t xml:space="preserve">“infrastructure certificates”</w:t>
      </w:r>
      <w:r>
        <w:t xml:space="preserve"> </w:t>
      </w:r>
      <w:r>
        <w:t xml:space="preserve">doesn’t apply: Cloud PKI issues only to Intune-enrolled devices (Chapter 04).</w:t>
      </w:r>
    </w:p>
    <w:p>
      <w:pPr>
        <w:pStyle w:val="Compact"/>
        <w:numPr>
          <w:ilvl w:val="0"/>
          <w:numId w:val="1021"/>
        </w:numPr>
      </w:pPr>
      <w:r>
        <w:rPr>
          <w:b/>
          <w:bCs/>
        </w:rPr>
        <w:t xml:space="preserve">Watch issuance.</w:t>
      </w:r>
      <w:r>
        <w:t xml:space="preserve"> </w:t>
      </w:r>
      <w:r>
        <w:t xml:space="preserve">The PKI guide called this</w:t>
      </w:r>
      <w:r>
        <w:t xml:space="preserve"> </w:t>
      </w:r>
      <w:r>
        <w:t xml:space="preserve">“certificate transparency,”</w:t>
      </w:r>
      <w:r>
        <w:t xml:space="preserve"> </w:t>
      </w:r>
      <w:r>
        <w:t xml:space="preserve">which is a different, public-CA mechanism. Cloud PKI provides a reporting dashboard of active, expired and revoked certificates, updated every 24 hours, and audit logs of administrative actions such as create, revoke and search.</w:t>
      </w:r>
      <w:r>
        <w:rPr>
          <w:rStyle w:val="FootnoteReference"/>
        </w:rPr>
        <w:footnoteReference w:id="290"/>
      </w:r>
      <w:r>
        <w:t xml:space="preserve"> </w:t>
      </w:r>
      <w:r>
        <w:t xml:space="preserve">The program exports both to its monitoring (Chapter 08) and alerts on unexpected issuance volumes there.</w:t>
      </w:r>
    </w:p>
    <w:p>
      <w:pPr>
        <w:pStyle w:val="Compact"/>
        <w:numPr>
          <w:ilvl w:val="0"/>
          <w:numId w:val="1021"/>
        </w:numPr>
      </w:pPr>
      <w:r>
        <w:rPr>
          <w:b/>
          <w:bCs/>
        </w:rPr>
        <w:t xml:space="preserve">Don’t count on trial keys.</w:t>
      </w:r>
      <w:r>
        <w:t xml:space="preserve"> </w:t>
      </w:r>
      <w:r>
        <w:t xml:space="preserve">CAs created during a trial use software-backed keys and can’t be converted to HSM-backed keys after purchase.</w:t>
      </w:r>
      <w:r>
        <w:rPr>
          <w:rStyle w:val="FootnoteReference"/>
        </w:rPr>
        <w:footnoteReference w:id="291"/>
      </w:r>
      <w:r>
        <w:t xml:space="preserve"> </w:t>
      </w:r>
      <w:r>
        <w:t xml:space="preserve">Create production CAs only after the license is in place.</w:t>
      </w:r>
    </w:p>
    <w:bookmarkEnd w:id="292"/>
    <w:bookmarkStart w:id="304" w:name="X10bd943f885406c473265cf294e7a78b950aaef"/>
    <w:p>
      <w:pPr>
        <w:pStyle w:val="Heading2"/>
      </w:pPr>
      <w:bookmarkStart w:id="962" w:name="_Toc00000962"/>
      <w:r>
        <w:t xml:space="preserve">Hardening Entra certificate-based authentication</w:t>
      </w:r>
      <w:bookmarkEnd w:id="962"/>
    </w:p>
    <w:p>
      <w:pPr>
        <w:pStyle w:val="FirstParagraph"/>
      </w:pPr>
      <w:r>
        <w:t xml:space="preserve">Entra CBA is a relying party, not a CA (Book 02, Chapter 04), so its hardening is about what it trusts and how strongly it binds a certificate to a user. Book 03 covers PIV binding and revocation in depth (Book 03, Chapter 09), and Chapter 06 covers deployment.</w:t>
      </w:r>
    </w:p>
    <w:p>
      <w:pPr>
        <w:pStyle w:val="Compact"/>
        <w:numPr>
          <w:ilvl w:val="0"/>
          <w:numId w:val="1022"/>
        </w:numPr>
      </w:pPr>
      <w:r>
        <w:rPr>
          <w:b/>
          <w:bCs/>
        </w:rPr>
        <w:t xml:space="preserve">Use high-affinity bindings.</w:t>
      </w:r>
      <w:r>
        <w:t xml:space="preserve"> </w:t>
      </w:r>
      <w:r>
        <w:t xml:space="preserve">Microsoft classes</w:t>
      </w:r>
      <w:r>
        <w:t xml:space="preserve"> </w:t>
      </w:r>
      <w:r>
        <w:rPr>
          <w:rStyle w:val="VerbatimChar"/>
        </w:rPr>
        <w:t xml:space="preserve">SKI</w:t>
      </w:r>
      <w:r>
        <w:t xml:space="preserve">,</w:t>
      </w:r>
      <w:r>
        <w:t xml:space="preserve"> </w:t>
      </w:r>
      <w:r>
        <w:rPr>
          <w:rStyle w:val="VerbatimChar"/>
        </w:rPr>
        <w:t xml:space="preserve">SHA1PublicKey</w:t>
      </w:r>
      <w:r>
        <w:t xml:space="preserve"> </w:t>
      </w:r>
      <w:r>
        <w:t xml:space="preserve">and</w:t>
      </w:r>
      <w:r>
        <w:t xml:space="preserve"> </w:t>
      </w:r>
      <w:r>
        <w:rPr>
          <w:rStyle w:val="VerbatimChar"/>
        </w:rPr>
        <w:t xml:space="preserve">IssuerAndSerialNumber</w:t>
      </w:r>
      <w:r>
        <w:t xml:space="preserve"> </w:t>
      </w:r>
      <w:r>
        <w:t xml:space="preserve">mappings in</w:t>
      </w:r>
      <w:r>
        <w:t xml:space="preserve"> </w:t>
      </w:r>
      <w:r>
        <w:rPr>
          <w:rStyle w:val="VerbatimChar"/>
        </w:rPr>
        <w:t xml:space="preserve">certificateUserIds</w:t>
      </w:r>
      <w:r>
        <w:t xml:space="preserve"> </w:t>
      </w:r>
      <w:r>
        <w:t xml:space="preserve">as high affinity, and</w:t>
      </w:r>
      <w:r>
        <w:t xml:space="preserve"> </w:t>
      </w:r>
      <w:r>
        <w:rPr>
          <w:rStyle w:val="VerbatimChar"/>
        </w:rPr>
        <w:t xml:space="preserve">PrincipalName</w:t>
      </w:r>
      <w:r>
        <w:t xml:space="preserve">,</w:t>
      </w:r>
      <w:r>
        <w:t xml:space="preserve"> </w:t>
      </w:r>
      <w:r>
        <w:rPr>
          <w:rStyle w:val="VerbatimChar"/>
        </w:rPr>
        <w:t xml:space="preserve">RFC822Name</w:t>
      </w:r>
      <w:r>
        <w:t xml:space="preserve">,</w:t>
      </w:r>
      <w:r>
        <w:t xml:space="preserve"> </w:t>
      </w:r>
      <w:r>
        <w:rPr>
          <w:rStyle w:val="VerbatimChar"/>
        </w:rPr>
        <w:t xml:space="preserve">Subject</w:t>
      </w:r>
      <w:r>
        <w:t xml:space="preserve"> </w:t>
      </w:r>
      <w:r>
        <w:t xml:space="preserve">and</w:t>
      </w:r>
      <w:r>
        <w:t xml:space="preserve"> </w:t>
      </w:r>
      <w:r>
        <w:rPr>
          <w:rStyle w:val="VerbatimChar"/>
        </w:rPr>
        <w:t xml:space="preserve">IssuerAndSubject</w:t>
      </w:r>
      <w:r>
        <w:t xml:space="preserve"> </w:t>
      </w:r>
      <w:r>
        <w:t xml:space="preserve">as low affinity. Set the tenant’s required affinity binding to high for production, with custom rules only where a population genuinely needs otherwise.</w:t>
      </w:r>
      <w:r>
        <w:rPr>
          <w:rStyle w:val="FootnoteReference"/>
        </w:rPr>
        <w:footnoteReference w:id="293"/>
      </w:r>
    </w:p>
    <w:p>
      <w:pPr>
        <w:pStyle w:val="Compact"/>
        <w:numPr>
          <w:ilvl w:val="0"/>
          <w:numId w:val="1022"/>
        </w:numPr>
      </w:pPr>
      <w:r>
        <w:rPr>
          <w:b/>
          <w:bCs/>
        </w:rPr>
        <w:t xml:space="preserve">Require specific issuers and policy OIDs for sensitive resources.</w:t>
      </w:r>
      <w:r>
        <w:t xml:space="preserve"> </w:t>
      </w:r>
      <w:r>
        <w:t xml:space="preserve">A custom authentication strength can require CBA certificates from named issuers or with named policy OIDs (up to five of each), and Conditional Access can require that strength for the resources that need it.</w:t>
      </w:r>
      <w:r>
        <w:rPr>
          <w:rStyle w:val="FootnoteReference"/>
        </w:rPr>
        <w:footnoteReference w:id="295"/>
      </w:r>
      <w:r>
        <w:t xml:space="preserve"> </w:t>
      </w:r>
      <w:r>
        <w:t xml:space="preserve">Pair it with a compliant-device requirement so both the person and the device are verified.</w:t>
      </w:r>
    </w:p>
    <w:p>
      <w:pPr>
        <w:pStyle w:val="Compact"/>
        <w:numPr>
          <w:ilvl w:val="0"/>
          <w:numId w:val="1022"/>
        </w:numPr>
      </w:pPr>
      <w:r>
        <w:rPr>
          <w:b/>
          <w:bCs/>
        </w:rPr>
        <w:t xml:space="preserve">Make revocation real.</w:t>
      </w:r>
      <w:r>
        <w:t xml:space="preserve"> </w:t>
      </w:r>
      <w:r>
        <w:t xml:space="preserve">Turn on</w:t>
      </w:r>
      <w:r>
        <w:t xml:space="preserve"> </w:t>
      </w:r>
      <w:r>
        <w:rPr>
          <w:b/>
          <w:bCs/>
        </w:rPr>
        <w:t xml:space="preserve">Require CRL validation</w:t>
      </w:r>
      <w:r>
        <w:t xml:space="preserve">, which makes CBA fail for certificates from a CA with no CRL configured.</w:t>
      </w:r>
      <w:r>
        <w:rPr>
          <w:rStyle w:val="FootnoteReference"/>
        </w:rPr>
        <w:footnoteReference w:id="297"/>
      </w:r>
      <w:r>
        <w:t xml:space="preserve"> </w:t>
      </w:r>
      <w:r>
        <w:t xml:space="preserve">Entra supports one HTTP CRL distribution point per CA and no OCSP or LDAP URLs.</w:t>
      </w:r>
      <w:r>
        <w:rPr>
          <w:rStyle w:val="FootnoteReference"/>
        </w:rPr>
        <w:footnoteReference w:id="298"/>
      </w:r>
      <w:r>
        <w:t xml:space="preserve"> </w:t>
      </w:r>
      <w:r>
        <w:t xml:space="preserve">The PKI guide called for</w:t>
      </w:r>
      <w:r>
        <w:t xml:space="preserve"> </w:t>
      </w:r>
      <w:r>
        <w:t xml:space="preserve">“CRL pre-fetching in Entra”</w:t>
      </w:r>
      <w:r>
        <w:t xml:space="preserve">; no such setting is documented, so it’s removed. The program’s own requirement is that each issuing CA trusted by Entra publishes a new CRL at least every 24 hours, because Entra caches the CRL and a revocation isn’t seen until the cache refreshes.</w:t>
      </w:r>
      <w:r>
        <w:rPr>
          <w:rStyle w:val="FootnoteReference"/>
        </w:rPr>
        <w:footnoteReference w:id="300"/>
      </w:r>
    </w:p>
    <w:p>
      <w:pPr>
        <w:pStyle w:val="Compact"/>
        <w:numPr>
          <w:ilvl w:val="0"/>
          <w:numId w:val="1022"/>
        </w:numPr>
      </w:pPr>
      <w:r>
        <w:rPr>
          <w:b/>
          <w:bCs/>
        </w:rPr>
        <w:t xml:space="preserve">Trust only what you use.</w:t>
      </w:r>
      <w:r>
        <w:t xml:space="preserve"> </w:t>
      </w:r>
      <w:r>
        <w:t xml:space="preserve">Upload only CA certificates that are actively issuing to users. Use CA scoping, generally available since April 2026, to restrict each issuing CA to the Entra group whose members should hold its certificates; a user outside the scoped group fails authentication even with an otherwise valid certificate. Each CA takes one group, the tenant supports up to 30 scoping rules, and a mistake can lock users out, so pilot it.</w:t>
      </w:r>
      <w:r>
        <w:rPr>
          <w:rStyle w:val="FootnoteReference"/>
        </w:rPr>
        <w:footnoteReference w:id="301"/>
      </w:r>
      <w:r>
        <w:rPr>
          <w:rStyle w:val="FootnoteReference"/>
        </w:rPr>
        <w:footnoteReference w:id="302"/>
      </w:r>
      <w:r>
        <w:t xml:space="preserve"> </w:t>
      </w:r>
      <w:r>
        <w:t xml:space="preserve">Remove a decommissioned CA’s certificates from the trust store as part of its decommissioning (Chapter 08).</w:t>
      </w:r>
    </w:p>
    <w:bookmarkEnd w:id="304"/>
    <w:bookmarkStart w:id="305" w:name="continue-the-book-2"/>
    <w:p>
      <w:pPr>
        <w:pStyle w:val="Heading2"/>
      </w:pPr>
      <w:bookmarkStart w:id="963" w:name="_Toc00000963"/>
      <w:r>
        <w:t xml:space="preserve">Continue the book</w:t>
      </w:r>
      <w:bookmarkEnd w:id="963"/>
    </w:p>
    <w:p>
      <w:pPr>
        <w:pStyle w:val="FirstParagraph"/>
      </w:pPr>
      <w:r>
        <w:t xml:space="preserve">← Previous: Chapter 02 — What AD CS Holds Up · Book index · Next: Chapter 04 — The Target PKI: Cloud PKI, AD CS and Federal PKI →</w:t>
      </w:r>
    </w:p>
    <w:bookmarkEnd w:id="305"/>
    <w:bookmarkEnd w:id="306"/>
    <w:bookmarkStart w:id="415" w:name="Xee3b86ab53aa268f4de185cc19785c0dcfa28a0"/>
    <w:p>
      <w:pPr>
        <w:pStyle w:val="Heading1"/>
      </w:pPr>
      <w:bookmarkStart w:id="964" w:name="_Toc00000964"/>
      <w:r>
        <w:t xml:space="preserve">Chapter 04 — The Target PKI: Cloud PKI, AD CS and Federal PKI</w:t>
      </w:r>
      <w:bookmarkEnd w:id="964"/>
    </w:p>
    <w:p>
      <w:pPr>
        <w:pStyle w:val="FirstParagraph"/>
      </w:pPr>
      <w:r>
        <w:rPr>
          <w:i/>
          <w:iCs/>
        </w:rPr>
        <w:t xml:space="preserve">There’s no single replacement for AD CS; the target is four issuers, each chosen for the subjects only it can serve, held together by one root of trust decision and one lifecycle platform.</w:t>
      </w:r>
    </w:p>
    <w:bookmarkStart w:id="307" w:name="in-this-chapter-3"/>
    <w:p>
      <w:pPr>
        <w:pStyle w:val="Heading2"/>
      </w:pPr>
      <w:bookmarkStart w:id="965" w:name="_Toc00000965"/>
      <w:r>
        <w:t xml:space="preserve">In this chapter</w:t>
      </w:r>
      <w:bookmarkEnd w:id="965"/>
    </w:p>
    <w:p>
      <w:pPr>
        <w:pStyle w:val="FirstParagraph"/>
      </w:pPr>
      <w:r>
        <w:t xml:space="preserve">What Microsoft Cloud PKI is, what it can issue and to whom, and its licensing and cloud availability. Its two deployment models, a cloud root or a cloud issuing CA anchored to your own root, with the decision matrix and the program’s recommendation. What AD CS is retained for, including the issuer decision for internal server certificates that Chapter 02 left open. Where the Federal PKI fits for PIV. How certificate lifecycle management with CyberArk Certificate Manager spans all of them.</w:t>
      </w:r>
    </w:p>
    <w:bookmarkEnd w:id="307"/>
    <w:p>
      <w:pPr>
        <w:pStyle w:val="BodyText"/>
      </w:pPr>
      <w:r>
        <w:t xml:space="preserve">The PKI guide this book replaces described Microsoft Cloud PKI as eliminating</w:t>
      </w:r>
      <w:r>
        <w:t xml:space="preserve"> </w:t>
      </w:r>
      <w:r>
        <w:t xml:space="preserve">“the need for on-premises ADCS infrastructure for most certificate use cases.”</w:t>
      </w:r>
      <w:r>
        <w:t xml:space="preserve"> </w:t>
      </w:r>
      <w:r>
        <w:t xml:space="preserve">That’s true for devices and wrong for the estate. Cloud PKI issues certificates to devices enrolled in Microsoft Intune, and only to them.</w:t>
      </w:r>
      <w:r>
        <w:rPr>
          <w:rStyle w:val="FootnoteReference"/>
        </w:rPr>
        <w:footnoteReference w:id="308"/>
      </w:r>
      <w:r>
        <w:t xml:space="preserve"> </w:t>
      </w:r>
      <w:r>
        <w:t xml:space="preserve">Domain controllers, servers, network equipment, code-signing keys and PIV cards are all outside that boundary, and together they hold up much of what Chapter 02 inventoried.</w:t>
      </w:r>
    </w:p>
    <w:p>
      <w:pPr>
        <w:pStyle w:val="BodyText"/>
      </w:pPr>
      <w:r>
        <w:t xml:space="preserve">So the target isn’t</w:t>
      </w:r>
      <w:r>
        <w:t xml:space="preserve"> </w:t>
      </w:r>
      <w:r>
        <w:t xml:space="preserve">“Cloud PKI instead of AD CS.”</w:t>
      </w:r>
      <w:r>
        <w:t xml:space="preserve"> </w:t>
      </w:r>
      <w:r>
        <w:t xml:space="preserve">It’s an issuer for each class of subject: Cloud PKI for Intune-managed devices, AD CS for the things only it can serve, the Federal PKI for PIV, and public CAs for names the internet must trust. Microsoft Entra ID sits beside all of them as a relying party, not an issuer (Book 02, Chapter 04). A certificate lifecycle management (CLM) platform inventories and renews across the issuers that don’t manage their own lifecycle.</w:t>
      </w:r>
    </w:p>
    <w:bookmarkStart w:id="313" w:name="fig-ch04-issuer-map"/>
    <w:p>
      <w:pPr>
        <w:pStyle w:val="CaptionedFigure"/>
      </w:pPr>
      <w:r>
        <w:drawing>
          <wp:inline>
            <wp:extent cx="5334000" cy="2071324"/>
            <wp:effectExtent b="0" l="0" r="0" t="0"/>
            <wp:docPr descr="Each class of subject gets the issuer that can serve it; the lifecycle platform covers the issuers that don’t renew their own certificates." title="" id="311" name="Picture"/>
            <a:graphic>
              <a:graphicData uri="http://schemas.openxmlformats.org/drawingml/2006/picture">
                <pic:pic>
                  <pic:nvPicPr>
                    <pic:cNvPr descr="/home/runner/work/modernization-workbook/modernization-workbook/docs/images/diagrams/b07-pki/png/ch04-issuer-map.png" id="312" name="Picture"/>
                    <pic:cNvPicPr>
                      <a:picLocks noChangeArrowheads="1" noChangeAspect="1"/>
                    </pic:cNvPicPr>
                  </pic:nvPicPr>
                  <pic:blipFill>
                    <a:blip r:embed="rId310"/>
                    <a:stretch>
                      <a:fillRect/>
                    </a:stretch>
                  </pic:blipFill>
                  <pic:spPr bwMode="auto">
                    <a:xfrm>
                      <a:off x="0" y="0"/>
                      <a:ext cx="5334000" cy="2071324"/>
                    </a:xfrm>
                    <a:prstGeom prst="rect">
                      <a:avLst/>
                    </a:prstGeom>
                    <a:noFill/>
                    <a:ln w="9525">
                      <a:noFill/>
                      <a:headEnd/>
                      <a:tailEnd/>
                    </a:ln>
                  </pic:spPr>
                </pic:pic>
              </a:graphicData>
            </a:graphic>
          </wp:inline>
        </w:drawing>
      </w:r>
    </w:p>
    <w:p>
      <w:pPr>
        <w:pStyle w:val="ImageCaption"/>
      </w:pPr>
      <w:r>
        <w:t xml:space="preserve">Each class of subject gets the issuer that can serve it; the lifecycle platform covers the issuers that don’t renew their own certificates.</w:t>
      </w:r>
    </w:p>
    <w:bookmarkEnd w:id="313"/>
    <w:bookmarkStart w:id="346" w:name="microsoft-cloud-pki"/>
    <w:p>
      <w:pPr>
        <w:pStyle w:val="Heading2"/>
      </w:pPr>
      <w:bookmarkStart w:id="966" w:name="_Toc00000966"/>
      <w:r>
        <w:t xml:space="preserve">Microsoft Cloud PKI</w:t>
      </w:r>
      <w:bookmarkEnd w:id="966"/>
    </w:p>
    <w:p>
      <w:pPr>
        <w:pStyle w:val="FirstParagraph"/>
      </w:pPr>
      <w:r>
        <w:t xml:space="preserve">Cloud PKI is a Microsoft-hosted PKI managed in the Intune admin center. It hosts the root and issuing CAs, a SCEP registration authority for each issuing CA, the CRL distribution point and the Authority Information Access (AIA) endpoint, which together replace the on-premises CA, NDES server and Intune Certificate Connector for device certificates.</w:t>
      </w:r>
      <w:r>
        <w:rPr>
          <w:rStyle w:val="FootnoteReference"/>
        </w:rPr>
        <w:footnoteReference w:id="314"/>
      </w:r>
      <w:r>
        <w:t xml:space="preserve"> </w:t>
      </w:r>
      <w:r>
        <w:t xml:space="preserve">The device builds its own key pair and request, so the private key never leaves the device; the registration authority checks the request against an Intune-signed challenge before the issuing CA signs it.</w:t>
      </w:r>
      <w:r>
        <w:rPr>
          <w:rStyle w:val="FootnoteReference"/>
        </w:rPr>
        <w:footnoteReference w:id="315"/>
      </w:r>
      <w:r>
        <w:t xml:space="preserve"> </w:t>
      </w:r>
      <w:r>
        <w:t xml:space="preserve">Chapter 06 covers the profiles that drive it.</w:t>
      </w:r>
    </w:p>
    <w:bookmarkStart w:id="329" w:name="what-it-can-and-cant-issue"/>
    <w:p>
      <w:pPr>
        <w:pStyle w:val="Heading3"/>
      </w:pPr>
      <w:r>
        <w:t xml:space="preserve">What it can and can’t issue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Cloud PKI can</w:t>
            </w:r>
          </w:p>
        </w:tc>
        <w:tc>
          <w:tcPr/>
          <w:p>
            <w:pPr>
              <w:pStyle w:val="Compact"/>
            </w:pPr>
            <w:r>
              <w:t xml:space="preserve">Cloud PKI can’t</w:t>
            </w:r>
          </w:p>
        </w:tc>
      </w:tr>
      <w:tr>
        <w:tc>
          <w:tcPr/>
          <w:p>
            <w:pPr>
              <w:pStyle w:val="Compact"/>
            </w:pPr>
            <w:r>
              <w:t xml:space="preserve">Issue leaf certificates to Intune MDM-enrolled Android, iOS/iPadOS, macOS and Windows devices whose platform supports the Intune SCEP profile</w:t>
            </w:r>
            <w:r>
              <w:rPr>
                <w:rStyle w:val="FootnoteReference"/>
              </w:rPr>
              <w:footnoteReference w:id="316"/>
            </w:r>
          </w:p>
        </w:tc>
        <w:tc>
          <w:tcPr/>
          <w:p>
            <w:pPr>
              <w:pStyle w:val="Compact"/>
            </w:pPr>
            <w:r>
              <w:t xml:space="preserve">Issue to anything not enrolled in Intune. Microsoft states plainly that it issues only to MDM-enrolled devices.</w:t>
            </w:r>
            <w:r>
              <w:rPr>
                <w:rStyle w:val="FootnoteReference"/>
              </w:rPr>
              <w:footnoteReference w:id="317"/>
            </w:r>
            <w:r>
              <w:t xml:space="preserve"> </w:t>
            </w:r>
            <w:r>
              <w:t xml:space="preserve">Intune’s supported platforms don’t include Windows Server,</w:t>
            </w:r>
            <w:r>
              <w:rPr>
                <w:rStyle w:val="FootnoteReference"/>
              </w:rPr>
              <w:footnoteReference w:id="318"/>
            </w:r>
            <w:r>
              <w:t xml:space="preserve"> </w:t>
            </w:r>
            <w:r>
              <w:t xml:space="preserve">so no domain controller, NPS server, web server or SQL Server gets a Cloud PKI certificate (Book 05, Chapter 09)</w:t>
            </w:r>
          </w:p>
        </w:tc>
      </w:tr>
      <w:tr>
        <w:tc>
          <w:tcPr/>
          <w:p>
            <w:pPr>
              <w:pStyle w:val="Compact"/>
            </w:pPr>
            <w:r>
              <w:t xml:space="preserve">Issue user and device client-authentication certificates for Wi-Fi, VPN and other certificate-based authentication</w:t>
            </w:r>
            <w:r>
              <w:rPr>
                <w:rStyle w:val="FootnoteReference"/>
              </w:rPr>
              <w:footnoteReference w:id="319"/>
            </w:r>
          </w:p>
        </w:tc>
        <w:tc>
          <w:tcPr/>
          <w:p>
            <w:pPr>
              <w:pStyle w:val="Compact"/>
            </w:pPr>
            <w:r>
              <w:t xml:space="preserve">Issue the TLS server certificates that RADIUS servers, Wi-Fi infrastructure and VPN gateways present to clients. Microsoft says these must come from another PKI or CA</w:t>
            </w:r>
            <w:r>
              <w:rPr>
                <w:rStyle w:val="FootnoteReference"/>
              </w:rPr>
              <w:footnoteReference w:id="320"/>
            </w:r>
          </w:p>
        </w:tc>
      </w:tr>
      <w:tr>
        <w:tc>
          <w:tcPr/>
          <w:p>
            <w:pPr>
              <w:pStyle w:val="Compact"/>
            </w:pPr>
            <w:r>
              <w:t xml:space="preserve">Issue through SCEP, renew and revoke, with RSA 2048, 3072 or 4096 and SHA-256, SHA-384 or SHA-512</w:t>
            </w:r>
            <w:r>
              <w:rPr>
                <w:rStyle w:val="FootnoteReference"/>
              </w:rPr>
              <w:footnoteReference w:id="321"/>
            </w:r>
          </w:p>
        </w:tc>
        <w:tc>
          <w:tcPr/>
          <w:p>
            <w:pPr>
              <w:pStyle w:val="Compact"/>
            </w:pPr>
            <w:r>
              <w:t xml:space="preserve">Issue through PKCS or imported PKCS profiles; leaf issuance is SCEP only.</w:t>
            </w:r>
            <w:r>
              <w:rPr>
                <w:rStyle w:val="FootnoteReference"/>
              </w:rPr>
              <w:footnoteReference w:id="322"/>
            </w:r>
            <w:r>
              <w:t xml:space="preserve"> </w:t>
            </w:r>
            <w:r>
              <w:t xml:space="preserve">The guide’s use-case map paired Cloud PKI with PKCS for server deployment; that’s corrected in Chapter 02</w:t>
            </w:r>
          </w:p>
        </w:tc>
      </w:tr>
      <w:tr>
        <w:tc>
          <w:tcPr/>
          <w:p>
            <w:pPr>
              <w:pStyle w:val="Compact"/>
            </w:pPr>
            <w:r>
              <w:t xml:space="preserve">Publish a CRL for each CA, valid seven days, republished every 3.5 days and on every revocation</w:t>
            </w:r>
            <w:r>
              <w:rPr>
                <w:rStyle w:val="FootnoteReference"/>
              </w:rPr>
              <w:footnoteReference w:id="323"/>
            </w:r>
          </w:p>
        </w:tc>
        <w:tc>
          <w:tcPr/>
          <w:p>
            <w:pPr>
              <w:pStyle w:val="Compact"/>
            </w:pPr>
            <w:r>
              <w:t xml:space="preserve">Answer OCSP; its documented features include CRL and AIA endpoints but no OCSP responder.</w:t>
            </w:r>
            <w:r>
              <w:rPr>
                <w:rStyle w:val="FootnoteReference"/>
              </w:rPr>
              <w:footnoteReference w:id="324"/>
            </w:r>
            <w:r>
              <w:t xml:space="preserve"> </w:t>
            </w:r>
            <w:r>
              <w:t xml:space="preserve">Entra CBA doesn’t use OCSP either</w:t>
            </w:r>
            <w:r>
              <w:rPr>
                <w:rStyle w:val="FootnoteReference"/>
              </w:rPr>
              <w:footnoteReference w:id="325"/>
            </w:r>
          </w:p>
        </w:tc>
      </w:tr>
      <w:tr>
        <w:tc>
          <w:tcPr/>
          <w:p>
            <w:pPr>
              <w:pStyle w:val="Compact"/>
            </w:pPr>
            <w:r>
              <w:t xml:space="preserve">Host up to three CAs per tenant, counting Cloud PKI root, Cloud PKI issuing and BYOCA issuing CAs together</w:t>
            </w:r>
            <w:r>
              <w:rPr>
                <w:rStyle w:val="FootnoteReference"/>
              </w:rPr>
              <w:footnoteReference w:id="326"/>
            </w:r>
          </w:p>
        </w:tc>
        <w:tc>
          <w:tcPr/>
          <w:p>
            <w:pPr>
              <w:pStyle w:val="Compact"/>
            </w:pPr>
            <w:r>
              <w:t xml:space="preserve">Offer a data residency option</w:t>
            </w:r>
            <w:r>
              <w:rPr>
                <w:rStyle w:val="FootnoteReference"/>
              </w:rPr>
              <w:footnoteReference w:id="327"/>
            </w:r>
          </w:p>
        </w:tc>
      </w:tr>
    </w:tbl>
    <w:p>
      <w:pPr>
        <w:pStyle w:val="BodyText"/>
      </w:pPr>
      <w:r>
        <w:t xml:space="preserve">The three-CA ceiling is a design constraint, not a footnote. A two-tier cloud hierarchy uses two of the three; a BYOCA design uses one per issuing CA. Plan the CA count before creating anything, because a CA’s extended key usages can’t be edited after creation, and adding an EKU later means creating a new CA.</w:t>
      </w:r>
      <w:r>
        <w:rPr>
          <w:rStyle w:val="FootnoteReference"/>
        </w:rPr>
        <w:footnoteReference w:id="328"/>
      </w:r>
    </w:p>
    <w:bookmarkEnd w:id="329"/>
    <w:bookmarkStart w:id="331" w:name="keys"/>
    <w:p>
      <w:pPr>
        <w:pStyle w:val="Heading3"/>
      </w:pPr>
      <w:r>
        <w:t xml:space="preserve">Keys</w:t>
      </w:r>
    </w:p>
    <w:p>
      <w:pPr>
        <w:pStyle w:val="FirstParagraph"/>
      </w:pPr>
      <w:r>
        <w:t xml:space="preserve">Licensed Cloud PKI CAs use signing and encryption keys held in Azure Managed HSM, which needs no Azure subscription of your own. CAs created during an Intune Suite or standalone Cloud PKI trial use software-backed keys, and those keys can’t be converted to HSM-backed keys after purchase.</w:t>
      </w:r>
      <w:r>
        <w:rPr>
          <w:rStyle w:val="FootnoteReference"/>
        </w:rPr>
        <w:footnoteReference w:id="330"/>
      </w:r>
      <w:r>
        <w:t xml:space="preserve"> </w:t>
      </w:r>
      <w:r>
        <w:t xml:space="preserve">For the root of trust decision below, that means the cloud root’s key is Microsoft-managed in an HSM; under BYOCA the root key stays wherever your AD CS root keeps it.</w:t>
      </w:r>
    </w:p>
    <w:bookmarkEnd w:id="331"/>
    <w:bookmarkStart w:id="340" w:name="licensing"/>
    <w:p>
      <w:pPr>
        <w:pStyle w:val="Heading3"/>
      </w:pPr>
      <w:r>
        <w:t xml:space="preserve">Licensing</w:t>
      </w:r>
    </w:p>
    <w:p>
      <w:pPr>
        <w:pStyle w:val="FirstParagraph"/>
      </w:pPr>
      <w:r>
        <w:t xml:space="preserve">Cloud PKI requires a subscription in addition to Intune Plan 1 or Plan 2.</w:t>
      </w:r>
      <w:r>
        <w:rPr>
          <w:rStyle w:val="FootnoteReference"/>
        </w:rPr>
        <w:footnoteReference w:id="332"/>
      </w:r>
      <w:r>
        <w:t xml:space="preserve"> </w:t>
      </w:r>
      <w:r>
        <w:t xml:space="preserve">It’s available as a standalone add-on and as part of the Intune Suite.</w:t>
      </w:r>
      <w:r>
        <w:rPr>
          <w:rStyle w:val="FootnoteReference"/>
        </w:rPr>
        <w:footnoteReference w:id="333"/>
      </w:r>
      <w:r>
        <w:t xml:space="preserve"> </w:t>
      </w:r>
      <w:r>
        <w:t xml:space="preserve">Microsoft now calls these</w:t>
      </w:r>
      <w:r>
        <w:t xml:space="preserve"> </w:t>
      </w:r>
      <w:r>
        <w:t xml:space="preserve">“advanced capabilities (formerly Microsoft Intune Suite).”</w:t>
      </w:r>
      <w:r>
        <w:rPr>
          <w:rStyle w:val="FootnoteReference"/>
        </w:rPr>
        <w:footnoteReference w:id="335"/>
      </w:r>
      <w:r>
        <w:t xml:space="preserve"> </w:t>
      </w:r>
      <w:r>
        <w:t xml:space="preserve">Starting July 2026, Microsoft 365 E5 and E7 include Cloud PKI for commercial customers; Microsoft says Government plans are planned to align with the enterprise packaging subject to compliance and regulatory requirements.</w:t>
      </w:r>
      <w:r>
        <w:rPr>
          <w:rStyle w:val="FootnoteReference"/>
        </w:rPr>
        <w:footnoteReference w:id="337"/>
      </w:r>
      <w:r>
        <w:rPr>
          <w:rStyle w:val="FootnoteReference"/>
        </w:rPr>
        <w:footnoteReference w:id="338"/>
      </w:r>
      <w:r>
        <w:t xml:space="preserve"> </w:t>
      </w:r>
      <w:r>
        <w:t xml:space="preserve">The PKI guide’s licensing line (</w:t>
      </w:r>
      <w:r>
        <w:t xml:space="preserve">“Intune Suite add-on or standalone Cloud PKI license”</w:t>
      </w:r>
      <w:r>
        <w:t xml:space="preserve">) was accurate when written; for a government tenant, confirm the entitlement on the current SKU rather than assuming the commercial E5 change applies.</w:t>
      </w:r>
    </w:p>
    <w:bookmarkEnd w:id="340"/>
    <w:bookmarkStart w:id="345" w:name="cloud-availability"/>
    <w:p>
      <w:pPr>
        <w:pStyle w:val="Heading3"/>
      </w:pPr>
      <w:r>
        <w:t xml:space="preserve">Cloud availability</w:t>
      </w:r>
    </w:p>
    <w:p>
      <w:pPr>
        <w:pStyle w:val="FirstParagraph"/>
      </w:pPr>
      <w:r>
        <w:t xml:space="preserve">Intune doesn’t have a separate GCC instance: GCC tenants use the commercial Intune service, while GCC High and DoD share a separate government instance.</w:t>
      </w:r>
      <w:r>
        <w:rPr>
          <w:rStyle w:val="FootnoteReference"/>
        </w:rPr>
        <w:footnoteReference w:id="341"/>
      </w:r>
      <w:r>
        <w:t xml:space="preserve"> </w:t>
      </w:r>
      <w:r>
        <w:t xml:space="preserve">Cloud PKI became available in GCC High in the week of September 28, 2026, and it isn’t supported in DoD environments.</w:t>
      </w:r>
      <w:r>
        <w:rPr>
          <w:rStyle w:val="FootnoteReference"/>
        </w:rPr>
        <w:footnoteReference w:id="343"/>
      </w:r>
      <w:r>
        <w:rPr>
          <w:rStyle w:val="FootnoteReference"/>
        </w:rPr>
        <w:footnoteReference w:id="344"/>
      </w:r>
      <w:r>
        <w:t xml:space="preserve"> </w:t>
      </w:r>
      <w:r>
        <w:t xml:space="preserve">For a GCC tenant, availability follows the commercial service; licensing is the question to settle (above).</w:t>
      </w:r>
    </w:p>
    <w:bookmarkEnd w:id="345"/>
    <w:bookmarkEnd w:id="346"/>
    <w:bookmarkStart w:id="384" w:name="two-deployment-models"/>
    <w:p>
      <w:pPr>
        <w:pStyle w:val="Heading2"/>
      </w:pPr>
      <w:bookmarkStart w:id="967" w:name="_Toc00000967"/>
      <w:r>
        <w:t xml:space="preserve">Two deployment models</w:t>
      </w:r>
      <w:bookmarkEnd w:id="967"/>
    </w:p>
    <w:p>
      <w:pPr>
        <w:pStyle w:val="FirstParagraph"/>
      </w:pPr>
      <w:r>
        <w:t xml:space="preserve">Cloud PKI offers two ways to anchor trust, and both can coexist in one tenant.</w:t>
      </w:r>
      <w:r>
        <w:rPr>
          <w:rStyle w:val="FootnoteReference"/>
        </w:rPr>
        <w:footnoteReference w:id="347"/>
      </w:r>
    </w:p>
    <w:p>
      <w:pPr>
        <w:pStyle w:val="Compact"/>
        <w:numPr>
          <w:ilvl w:val="0"/>
          <w:numId w:val="1023"/>
        </w:numPr>
      </w:pPr>
      <w:r>
        <w:rPr>
          <w:b/>
          <w:bCs/>
        </w:rPr>
        <w:t xml:space="preserve">Cloud PKI root CA.</w:t>
      </w:r>
      <w:r>
        <w:t xml:space="preserve"> </w:t>
      </w:r>
      <w:r>
        <w:t xml:space="preserve">You create a root and one or more issuing CAs in the cloud, private to the tenant. It’s a two-tier hierarchy. The root’s validity is 5, 10, 15, 20 or 25 years in the admin center, and an issuing CA’s is 2, 4, 6, 8 or 10 years, never longer than its root; the Graph API allows custom periods.</w:t>
      </w:r>
      <w:r>
        <w:rPr>
          <w:rStyle w:val="FootnoteReference"/>
        </w:rPr>
        <w:footnoteReference w:id="348"/>
      </w:r>
      <w:r>
        <w:t xml:space="preserve"> </w:t>
      </w:r>
      <w:r>
        <w:t xml:space="preserve">Every relying party (devices, RADIUS servers, VPN gateways, web servers) has to be given the new root.</w:t>
      </w:r>
      <w:r>
        <w:rPr>
          <w:rStyle w:val="FootnoteReference"/>
        </w:rPr>
        <w:footnoteReference w:id="349"/>
      </w:r>
    </w:p>
    <w:p>
      <w:pPr>
        <w:pStyle w:val="Compact"/>
        <w:numPr>
          <w:ilvl w:val="0"/>
          <w:numId w:val="1023"/>
        </w:numPr>
      </w:pPr>
      <w:r>
        <w:rPr>
          <w:b/>
          <w:bCs/>
        </w:rPr>
        <w:t xml:space="preserve">Bring your own CA (BYOCA).</w:t>
      </w:r>
      <w:r>
        <w:t xml:space="preserve"> </w:t>
      </w:r>
      <w:r>
        <w:t xml:space="preserve">You create an issuing CA in the cloud, Intune generates a certificate signing request, and your private CA signs it. The private CA can be AD CS or a non-Microsoft CA, and N-tier private hierarchies are supported.</w:t>
      </w:r>
      <w:r>
        <w:rPr>
          <w:rStyle w:val="FootnoteReference"/>
        </w:rPr>
        <w:footnoteReference w:id="350"/>
      </w:r>
      <w:r>
        <w:rPr>
          <w:rStyle w:val="FootnoteReference"/>
        </w:rPr>
        <w:footnoteReference w:id="351"/>
      </w:r>
      <w:r>
        <w:t xml:space="preserve"> </w:t>
      </w:r>
      <w:r>
        <w:t xml:space="preserve">Relying parties that already trust the private root trust the Cloud PKI issued certificates through the existing chain.</w:t>
      </w:r>
      <w:r>
        <w:rPr>
          <w:rStyle w:val="FootnoteReference"/>
        </w:rPr>
        <w:footnoteReference w:id="352"/>
      </w:r>
    </w:p>
    <w:bookmarkStart w:id="356" w:name="fig-ch04-cloud-root-vs-byoca"/>
    <w:p>
      <w:pPr>
        <w:pStyle w:val="CaptionedFigure"/>
      </w:pPr>
      <w:r>
        <w:drawing>
          <wp:inline>
            <wp:extent cx="5334000" cy="3531429"/>
            <wp:effectExtent b="0" l="0" r="0" t="0"/>
            <wp:docPr descr="A cloud root creates a new trust chain every relying party must learn; BYOCA adds a cloud issuing CA under the root they already trust." title="" id="354" name="Picture"/>
            <a:graphic>
              <a:graphicData uri="http://schemas.openxmlformats.org/drawingml/2006/picture">
                <pic:pic>
                  <pic:nvPicPr>
                    <pic:cNvPr descr="/home/runner/work/modernization-workbook/modernization-workbook/docs/images/diagrams/b07-pki/png/ch04-cloud-root-vs-byoca.png" id="355" name="Picture"/>
                    <pic:cNvPicPr>
                      <a:picLocks noChangeArrowheads="1" noChangeAspect="1"/>
                    </pic:cNvPicPr>
                  </pic:nvPicPr>
                  <pic:blipFill>
                    <a:blip r:embed="rId353"/>
                    <a:stretch>
                      <a:fillRect/>
                    </a:stretch>
                  </pic:blipFill>
                  <pic:spPr bwMode="auto">
                    <a:xfrm>
                      <a:off x="0" y="0"/>
                      <a:ext cx="5334000" cy="3531429"/>
                    </a:xfrm>
                    <a:prstGeom prst="rect">
                      <a:avLst/>
                    </a:prstGeom>
                    <a:noFill/>
                    <a:ln w="9525">
                      <a:noFill/>
                      <a:headEnd/>
                      <a:tailEnd/>
                    </a:ln>
                  </pic:spPr>
                </pic:pic>
              </a:graphicData>
            </a:graphic>
          </wp:inline>
        </w:drawing>
      </w:r>
    </w:p>
    <w:p>
      <w:pPr>
        <w:pStyle w:val="ImageCaption"/>
      </w:pPr>
      <w:r>
        <w:t xml:space="preserve">A cloud root creates a new trust chain every relying party must learn; BYOCA adds a cloud issuing CA under the root they already trust.</w:t>
      </w:r>
    </w:p>
    <w:bookmarkEnd w:id="356"/>
    <w:bookmarkStart w:id="368" w:name="what-byoca-actually-requires"/>
    <w:p>
      <w:pPr>
        <w:pStyle w:val="Heading3"/>
      </w:pPr>
      <w:r>
        <w:t xml:space="preserve">What BYOCA actually requires</w:t>
      </w:r>
    </w:p>
    <w:p>
      <w:pPr>
        <w:pStyle w:val="FirstParagraph"/>
      </w:pPr>
      <w:r>
        <w:t xml:space="preserve">Four details in Microsoft’s procedure correct or sharpen the PKI guide:</w:t>
      </w:r>
    </w:p>
    <w:p>
      <w:pPr>
        <w:pStyle w:val="Compact"/>
        <w:numPr>
          <w:ilvl w:val="0"/>
          <w:numId w:val="1024"/>
        </w:numPr>
      </w:pPr>
      <w:r>
        <w:rPr>
          <w:b/>
          <w:bCs/>
        </w:rPr>
        <w:t xml:space="preserve">The signer doesn’t have to be the root.</w:t>
      </w:r>
      <w:r>
        <w:t xml:space="preserve"> </w:t>
      </w:r>
      <w:r>
        <w:t xml:space="preserve">The guide said the offline root must come online to sign the request. Microsoft says the signing CA</w:t>
      </w:r>
      <w:r>
        <w:t xml:space="preserve"> </w:t>
      </w:r>
      <w:r>
        <w:t xml:space="preserve">“can be a root or issuing CA from any tier of the private CA,”</w:t>
      </w:r>
      <w:r>
        <w:t xml:space="preserve"> </w:t>
      </w:r>
      <w:r>
        <w:t xml:space="preserve">using AD CS Web Enrollment or</w:t>
      </w:r>
      <w:r>
        <w:t xml:space="preserve"> </w:t>
      </w:r>
      <w:r>
        <w:rPr>
          <w:rStyle w:val="VerbatimChar"/>
        </w:rPr>
        <w:t xml:space="preserve">certreq.exe</w:t>
      </w:r>
      <w:r>
        <w:t xml:space="preserve"> </w:t>
      </w:r>
      <w:r>
        <w:t xml:space="preserve">with the Subordinate Certification Authority template.</w:t>
      </w:r>
      <w:r>
        <w:rPr>
          <w:rStyle w:val="FootnoteReference"/>
        </w:rPr>
        <w:footnoteReference w:id="357"/>
      </w:r>
      <w:r>
        <w:t xml:space="preserve"> </w:t>
      </w:r>
      <w:r>
        <w:t xml:space="preserve">The program still signs with the root, at a key ceremony, for the reasons under the recommendation below.</w:t>
      </w:r>
    </w:p>
    <w:p>
      <w:pPr>
        <w:pStyle w:val="Compact"/>
        <w:numPr>
          <w:ilvl w:val="0"/>
          <w:numId w:val="1024"/>
        </w:numPr>
      </w:pPr>
      <w:r>
        <w:rPr>
          <w:b/>
          <w:bCs/>
        </w:rPr>
        <w:t xml:space="preserve">The signer sets the terms.</w:t>
      </w:r>
      <w:r>
        <w:t xml:space="preserve"> </w:t>
      </w:r>
      <w:r>
        <w:t xml:space="preserve">A BYOCA issuing CA’s validity period isn’t configurable; the signing CA determines it. The signing CA also determines the hash algorithm. The key size you choose for the BYOCA CA (RSA 2048, 3072 or 4096) is the upper bound for SCEP profiles that use it, and 1024-bit keys and SHA-1 aren’t supported.</w:t>
      </w:r>
      <w:r>
        <w:rPr>
          <w:rStyle w:val="FootnoteReference"/>
        </w:rPr>
        <w:footnoteReference w:id="359"/>
      </w:r>
      <w:r>
        <w:t xml:space="preserve"> </w:t>
      </w:r>
      <w:r>
        <w:t xml:space="preserve">Renewal repeats the process: Intune creates a new request, your CA signs it, and the renewed CA is staged for testing before activation.</w:t>
      </w:r>
      <w:r>
        <w:rPr>
          <w:rStyle w:val="FootnoteReference"/>
        </w:rPr>
        <w:footnoteReference w:id="360"/>
      </w:r>
    </w:p>
    <w:p>
      <w:pPr>
        <w:pStyle w:val="Compact"/>
        <w:numPr>
          <w:ilvl w:val="0"/>
          <w:numId w:val="1024"/>
        </w:numPr>
      </w:pPr>
      <w:r>
        <w:rPr>
          <w:b/>
          <w:bCs/>
        </w:rPr>
        <w:t xml:space="preserve">The AIA comes from your CA.</w:t>
      </w:r>
      <w:r>
        <w:t xml:space="preserve"> </w:t>
      </w:r>
      <w:r>
        <w:t xml:space="preserve">A BYOCA issuing CA’s AIA property is whatever the private CA’s AIA configuration says, and AD CS defaults to an LDAP AIA location. Configure an HTTP AIA location on the signing CA before signing.</w:t>
      </w:r>
      <w:r>
        <w:rPr>
          <w:rStyle w:val="FootnoteReference"/>
        </w:rPr>
        <w:footnoteReference w:id="362"/>
      </w:r>
      <w:r>
        <w:t xml:space="preserve"> </w:t>
      </w:r>
      <w:r>
        <w:t xml:space="preserve">Android doesn’t follow AIA paths at all, so deploy the full chain to Android devices and the relying parties they talk to.</w:t>
      </w:r>
      <w:r>
        <w:rPr>
          <w:rStyle w:val="FootnoteReference"/>
        </w:rPr>
        <w:footnoteReference w:id="363"/>
      </w:r>
    </w:p>
    <w:p>
      <w:pPr>
        <w:pStyle w:val="Compact"/>
        <w:numPr>
          <w:ilvl w:val="0"/>
          <w:numId w:val="1024"/>
        </w:numPr>
      </w:pPr>
      <w:r>
        <w:rPr>
          <w:b/>
          <w:bCs/>
        </w:rPr>
        <w:t xml:space="preserve">Relying parties still get one new certificate.</w:t>
      </w:r>
      <w:r>
        <w:t xml:space="preserve"> </w:t>
      </w:r>
      <w:r>
        <w:t xml:space="preserve">Relying parties already have the private root, but Microsoft recommends also deploying the BYOCA issuing CA certificate to them (by Group Policy for domain members), because AIA retrieval isn’t guaranteed on every platform.</w:t>
      </w:r>
      <w:r>
        <w:rPr>
          <w:rStyle w:val="FootnoteReference"/>
        </w:rPr>
        <w:footnoteReference w:id="364"/>
      </w:r>
      <w:r>
        <w:t xml:space="preserve"> </w:t>
      </w:r>
      <w:r>
        <w:t xml:space="preserve">Managed devices need the private root and the BYOCA issuing CA through Intune trusted certificate profiles.</w:t>
      </w:r>
      <w:r>
        <w:rPr>
          <w:rStyle w:val="FootnoteReference"/>
        </w:rPr>
        <w:footnoteReference w:id="365"/>
      </w:r>
    </w:p>
    <w:p>
      <w:pPr>
        <w:pStyle w:val="FirstParagraph"/>
      </w:pPr>
      <w:r>
        <w:t xml:space="preserve">One consequence matters more than any of these. Under BYOCA the private root CRL stays where it is, and every relying party, Entra ID included, must still be able to fetch it. Entra CBA accepts only one HTTP CRL distribution point per CA and fails sign-in if it can’t reach a configured CRL.</w:t>
      </w:r>
      <w:r>
        <w:rPr>
          <w:rStyle w:val="FootnoteReference"/>
        </w:rPr>
        <w:footnoteReference w:id="366"/>
      </w:r>
      <w:r>
        <w:rPr>
          <w:rStyle w:val="FootnoteReference"/>
        </w:rPr>
        <w:footnoteReference w:id="367"/>
      </w:r>
      <w:r>
        <w:t xml:space="preserve"> </w:t>
      </w:r>
      <w:r>
        <w:t xml:space="preserve">An offline root that publishes its CRL only over LDAP, or publishes it late, breaks the cloud issuer as surely as the on-premises one. The root’s CRL schedule is a production dependency for the life of the BYOCA CA.</w:t>
      </w:r>
    </w:p>
    <w:bookmarkEnd w:id="368"/>
    <w:bookmarkStart w:id="382" w:name="the-deployment-model-decision-matrix"/>
    <w:p>
      <w:pPr>
        <w:pStyle w:val="Heading3"/>
      </w:pPr>
      <w:r>
        <w:t xml:space="preserve">The deployment-model decision matrix</w:t>
      </w:r>
    </w:p>
    <w:p>
      <w:pPr>
        <w:pStyle w:val="FirstParagraph"/>
      </w:pPr>
      <w:r>
        <w:t xml:space="preserve">The matrix carries forward the PKI guide’s criteria. Rows marked</w:t>
      </w:r>
      <w:r>
        <w:t xml:space="preserve"> </w:t>
      </w:r>
      <w:r>
        <w:t xml:space="preserve">“corrected”</w:t>
      </w:r>
      <w:r>
        <w:t xml:space="preserve"> </w:t>
      </w:r>
      <w:r>
        <w:t xml:space="preserve">changed after verification; the rest are the program’s assessment.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Criterion</w:t>
            </w:r>
          </w:p>
        </w:tc>
        <w:tc>
          <w:tcPr/>
          <w:p>
            <w:pPr>
              <w:pStyle w:val="Compact"/>
            </w:pPr>
            <w:r>
              <w:t xml:space="preserve">Cloud PKI root CA</w:t>
            </w:r>
          </w:p>
        </w:tc>
        <w:tc>
          <w:tcPr/>
          <w:p>
            <w:pPr>
              <w:pStyle w:val="Compact"/>
            </w:pPr>
            <w:r>
              <w:t xml:space="preserve">BYOCA</w:t>
            </w:r>
          </w:p>
        </w:tc>
      </w:tr>
      <w:tr>
        <w:tc>
          <w:tcPr/>
          <w:p>
            <w:pPr>
              <w:pStyle w:val="Compact"/>
            </w:pPr>
            <w:r>
              <w:t xml:space="preserve">Existing private PKI</w:t>
            </w:r>
          </w:p>
        </w:tc>
        <w:tc>
          <w:tcPr/>
          <w:p>
            <w:pPr>
              <w:pStyle w:val="Compact"/>
            </w:pPr>
            <w:r>
              <w:t xml:space="preserve">Not required</w:t>
            </w:r>
          </w:p>
        </w:tc>
        <w:tc>
          <w:tcPr/>
          <w:p>
            <w:pPr>
              <w:pStyle w:val="Compact"/>
            </w:pPr>
            <w:r>
              <w:t xml:space="preserve">Required: a private CA at any tier to sign the request</w:t>
            </w:r>
            <w:r>
              <w:rPr>
                <w:rStyle w:val="FootnoteReference"/>
              </w:rPr>
              <w:footnoteReference w:id="369"/>
            </w:r>
          </w:p>
        </w:tc>
      </w:tr>
      <w:tr>
        <w:tc>
          <w:tcPr/>
          <w:p>
            <w:pPr>
              <w:pStyle w:val="Compact"/>
            </w:pPr>
            <w:r>
              <w:t xml:space="preserve">Trust chain</w:t>
            </w:r>
          </w:p>
        </w:tc>
        <w:tc>
          <w:tcPr/>
          <w:p>
            <w:pPr>
              <w:pStyle w:val="Compact"/>
            </w:pPr>
            <w:r>
              <w:t xml:space="preserve">New chain; deploy the new root to every relying party</w:t>
            </w:r>
            <w:r>
              <w:rPr>
                <w:rStyle w:val="FootnoteReference"/>
              </w:rPr>
              <w:footnoteReference w:id="370"/>
            </w:r>
          </w:p>
        </w:tc>
        <w:tc>
          <w:tcPr/>
          <w:p>
            <w:pPr>
              <w:pStyle w:val="Compact"/>
            </w:pPr>
            <w:r>
              <w:t xml:space="preserve">Existing chain preserved; also deploy the BYOCA issuing CA certificate</w:t>
            </w:r>
            <w:r>
              <w:rPr>
                <w:rStyle w:val="FootnoteReference"/>
              </w:rPr>
              <w:footnoteReference w:id="371"/>
            </w:r>
          </w:p>
        </w:tc>
      </w:tr>
      <w:tr>
        <w:tc>
          <w:tcPr/>
          <w:p>
            <w:pPr>
              <w:pStyle w:val="Compact"/>
            </w:pPr>
            <w:r>
              <w:t xml:space="preserve">Root key custody</w:t>
            </w:r>
          </w:p>
        </w:tc>
        <w:tc>
          <w:tcPr/>
          <w:p>
            <w:pPr>
              <w:pStyle w:val="Compact"/>
            </w:pPr>
            <w:r>
              <w:t xml:space="preserve">Microsoft-managed in Azure Managed HSM (licensed CAs)</w:t>
            </w:r>
            <w:r>
              <w:rPr>
                <w:rStyle w:val="FootnoteReference"/>
              </w:rPr>
              <w:footnoteReference w:id="372"/>
            </w:r>
          </w:p>
        </w:tc>
        <w:tc>
          <w:tcPr/>
          <w:p>
            <w:pPr>
              <w:pStyle w:val="Compact"/>
            </w:pPr>
            <w:r>
              <w:t xml:space="preserve">Organization-managed, wherever the AD CS root key is held</w:t>
            </w:r>
          </w:p>
        </w:tc>
      </w:tr>
      <w:tr>
        <w:tc>
          <w:tcPr/>
          <w:p>
            <w:pPr>
              <w:pStyle w:val="Compact"/>
            </w:pPr>
            <w:r>
              <w:t xml:space="preserve">Validity and algorithms</w:t>
            </w:r>
          </w:p>
        </w:tc>
        <w:tc>
          <w:tcPr/>
          <w:p>
            <w:pPr>
              <w:pStyle w:val="Compact"/>
            </w:pPr>
            <w:r>
              <w:t xml:space="preserve">Chosen at creation within Microsoft’s ranges</w:t>
            </w:r>
            <w:r>
              <w:rPr>
                <w:rStyle w:val="FootnoteReference"/>
              </w:rPr>
              <w:footnoteReference w:id="373"/>
            </w:r>
          </w:p>
        </w:tc>
        <w:tc>
          <w:tcPr/>
          <w:p>
            <w:pPr>
              <w:pStyle w:val="Compact"/>
            </w:pPr>
            <w:r>
              <w:t xml:space="preserve">Set by the signing CA (corrected)</w:t>
            </w:r>
            <w:r>
              <w:rPr>
                <w:rStyle w:val="FootnoteReference"/>
              </w:rPr>
              <w:footnoteReference w:id="374"/>
            </w:r>
          </w:p>
        </w:tc>
      </w:tr>
      <w:tr>
        <w:tc>
          <w:tcPr/>
          <w:p>
            <w:pPr>
              <w:pStyle w:val="Compact"/>
            </w:pPr>
            <w:r>
              <w:t xml:space="preserve">Signing ceremony</w:t>
            </w:r>
          </w:p>
        </w:tc>
        <w:tc>
          <w:tcPr/>
          <w:p>
            <w:pPr>
              <w:pStyle w:val="Compact"/>
            </w:pPr>
            <w:r>
              <w:t xml:space="preserve">None</w:t>
            </w:r>
          </w:p>
        </w:tc>
        <w:tc>
          <w:tcPr/>
          <w:p>
            <w:pPr>
              <w:pStyle w:val="Compact"/>
            </w:pPr>
            <w:r>
              <w:t xml:space="preserve">Once at creation and at each renewal; the signer may be the root or an issuing CA (corrected)</w:t>
            </w:r>
            <w:r>
              <w:rPr>
                <w:rStyle w:val="FootnoteReference"/>
              </w:rPr>
              <w:footnoteReference w:id="375"/>
            </w:r>
            <w:r>
              <w:rPr>
                <w:rStyle w:val="FootnoteReference"/>
              </w:rPr>
              <w:footnoteReference w:id="376"/>
            </w:r>
          </w:p>
        </w:tc>
      </w:tr>
      <w:tr>
        <w:tc>
          <w:tcPr/>
          <w:p>
            <w:pPr>
              <w:pStyle w:val="Compact"/>
            </w:pPr>
            <w:r>
              <w:t xml:space="preserve">Ongoing on-premises dependency</w:t>
            </w:r>
          </w:p>
        </w:tc>
        <w:tc>
          <w:tcPr/>
          <w:p>
            <w:pPr>
              <w:pStyle w:val="Compact"/>
            </w:pPr>
            <w:r>
              <w:t xml:space="preserve">None</w:t>
            </w:r>
          </w:p>
        </w:tc>
        <w:tc>
          <w:tcPr/>
          <w:p>
            <w:pPr>
              <w:pStyle w:val="Compact"/>
            </w:pPr>
            <w:r>
              <w:t xml:space="preserve">The private root’s CRL must stay published and reachable over HTTP (added)</w:t>
            </w:r>
            <w:r>
              <w:rPr>
                <w:rStyle w:val="FootnoteReference"/>
              </w:rPr>
              <w:footnoteReference w:id="377"/>
            </w:r>
          </w:p>
        </w:tc>
      </w:tr>
      <w:tr>
        <w:tc>
          <w:tcPr/>
          <w:p>
            <w:pPr>
              <w:pStyle w:val="Compact"/>
            </w:pPr>
            <w:r>
              <w:t xml:space="preserve">Audit posture</w:t>
            </w:r>
          </w:p>
        </w:tc>
        <w:tc>
          <w:tcPr/>
          <w:p>
            <w:pPr>
              <w:pStyle w:val="Compact"/>
            </w:pPr>
            <w:r>
              <w:t xml:space="preserve">One provider operates the whole chain</w:t>
            </w:r>
          </w:p>
        </w:tc>
        <w:tc>
          <w:tcPr/>
          <w:p>
            <w:pPr>
              <w:pStyle w:val="Compact"/>
            </w:pPr>
            <w:r>
              <w:t xml:space="preserve">The existing root’s controls and evidence carry over; its hardening gate (Chapter 03) applies to the cloud issuer too</w:t>
            </w:r>
          </w:p>
        </w:tc>
      </w:tr>
      <w:tr>
        <w:tc>
          <w:tcPr/>
          <w:p>
            <w:pPr>
              <w:pStyle w:val="Compact"/>
            </w:pPr>
            <w:r>
              <w:t xml:space="preserve">Cross-forest trust</w:t>
            </w:r>
          </w:p>
        </w:tc>
        <w:tc>
          <w:tcPr/>
          <w:p>
            <w:pPr>
              <w:pStyle w:val="Compact"/>
            </w:pPr>
            <w:r>
              <w:t xml:space="preserve">The new root has to reach every forest</w:t>
            </w:r>
          </w:p>
        </w:tc>
        <w:tc>
          <w:tcPr/>
          <w:p>
            <w:pPr>
              <w:pStyle w:val="Compact"/>
            </w:pPr>
            <w:r>
              <w:t xml:space="preserve">Uses the root trust the forests already share</w:t>
            </w:r>
          </w:p>
        </w:tc>
      </w:tr>
      <w:tr>
        <w:tc>
          <w:tcPr/>
          <w:p>
            <w:pPr>
              <w:pStyle w:val="Compact"/>
            </w:pPr>
            <w:r>
              <w:t xml:space="preserve">CA count (of three per tenant)</w:t>
            </w:r>
            <w:r>
              <w:rPr>
                <w:rStyle w:val="FootnoteReference"/>
              </w:rPr>
              <w:footnoteReference w:id="378"/>
            </w:r>
          </w:p>
        </w:tc>
        <w:tc>
          <w:tcPr/>
          <w:p>
            <w:pPr>
              <w:pStyle w:val="Compact"/>
            </w:pPr>
            <w:r>
              <w:t xml:space="preserve">Two for a minimal hierarchy</w:t>
            </w:r>
          </w:p>
        </w:tc>
        <w:tc>
          <w:tcPr/>
          <w:p>
            <w:pPr>
              <w:pStyle w:val="Compact"/>
            </w:pPr>
            <w:r>
              <w:t xml:space="preserve">One per BYOCA issuing CA</w:t>
            </w:r>
          </w:p>
        </w:tc>
      </w:tr>
      <w:tr>
        <w:tc>
          <w:tcPr/>
          <w:p>
            <w:pPr>
              <w:pStyle w:val="Compact"/>
            </w:pPr>
            <w:r>
              <w:t xml:space="preserve">Licensing</w:t>
            </w:r>
          </w:p>
        </w:tc>
        <w:tc>
          <w:tcPr/>
          <w:p>
            <w:pPr>
              <w:pStyle w:val="Compact"/>
            </w:pPr>
            <w:r>
              <w:t xml:space="preserve">Cloud PKI entitlement (corrected from</w:t>
            </w:r>
            <w:r>
              <w:t xml:space="preserve"> </w:t>
            </w:r>
            <w:r>
              <w:t xml:space="preserve">“Intune Suite license only”</w:t>
            </w:r>
            <w:r>
              <w:t xml:space="preserve">)</w:t>
            </w:r>
            <w:r>
              <w:rPr>
                <w:rStyle w:val="FootnoteReference"/>
              </w:rPr>
              <w:footnoteReference w:id="379"/>
            </w:r>
            <w:r>
              <w:rPr>
                <w:rStyle w:val="FootnoteReference"/>
              </w:rPr>
              <w:footnoteReference w:id="380"/>
            </w:r>
          </w:p>
        </w:tc>
        <w:tc>
          <w:tcPr/>
          <w:p>
            <w:pPr>
              <w:pStyle w:val="Compact"/>
            </w:pPr>
            <w:r>
              <w:t xml:space="preserve">Cloud PKI entitlement plus the cost of keeping the private root</w:t>
            </w:r>
          </w:p>
        </w:tc>
      </w:tr>
      <w:tr>
        <w:tc>
          <w:tcPr/>
          <w:p>
            <w:pPr>
              <w:pStyle w:val="Compact"/>
            </w:pPr>
            <w:r>
              <w:t xml:space="preserve">Domain controller, LDAPS and server certificates</w:t>
            </w:r>
          </w:p>
        </w:tc>
        <w:tc>
          <w:tcPr/>
          <w:p>
            <w:pPr>
              <w:pStyle w:val="Compact"/>
            </w:pPr>
            <w:r>
              <w:t xml:space="preserve">Can’t serve; Cloud PKI issues only to Intune-enrolled devices</w:t>
            </w:r>
            <w:r>
              <w:rPr>
                <w:rStyle w:val="FootnoteReference"/>
              </w:rPr>
              <w:footnoteReference w:id="381"/>
            </w:r>
          </w:p>
        </w:tc>
        <w:tc>
          <w:tcPr/>
          <w:p>
            <w:pPr>
              <w:pStyle w:val="Compact"/>
            </w:pPr>
            <w:r>
              <w:t xml:space="preserve">Can’t serve, for the same reason</w:t>
            </w:r>
          </w:p>
        </w:tc>
      </w:tr>
      <w:tr>
        <w:tc>
          <w:tcPr/>
          <w:p>
            <w:pPr>
              <w:pStyle w:val="Compact"/>
            </w:pPr>
            <w:r>
              <w:t xml:space="preserve">Rollback</w:t>
            </w:r>
          </w:p>
        </w:tc>
        <w:tc>
          <w:tcPr/>
          <w:p>
            <w:pPr>
              <w:pStyle w:val="Compact"/>
            </w:pPr>
            <w:r>
              <w:t xml:space="preserve">Revert devices to AD CS autoenrollment and redistribute trust</w:t>
            </w:r>
          </w:p>
        </w:tc>
        <w:tc>
          <w:tcPr/>
          <w:p>
            <w:pPr>
              <w:pStyle w:val="Compact"/>
            </w:pPr>
            <w:r>
              <w:t xml:space="preserve">Simpler: the original root and its issuing CAs keep running</w:t>
            </w:r>
          </w:p>
        </w:tc>
      </w:tr>
    </w:tbl>
    <w:bookmarkEnd w:id="382"/>
    <w:bookmarkStart w:id="383" w:name="the-programs-recommendation"/>
    <w:p>
      <w:pPr>
        <w:pStyle w:val="Heading3"/>
      </w:pPr>
      <w:r>
        <w:t xml:space="preserve">The program’s recommendation</w:t>
      </w:r>
    </w:p>
    <w:p>
      <w:pPr>
        <w:pStyle w:val="FirstParagraph"/>
      </w:pPr>
      <w:r>
        <w:t xml:space="preserve">For an organization with an established AD CS hierarchy, an offline root and cross-forest trust, the program’s recommended model is BYOCA. It preserves the trust chain every relying party already holds, needs one cloud CA rather than two, and keeps a natural rollback path. For an organization building PKI for the first time alongside cloud-first identity, a Cloud PKI root removes every on-premises dependency.</w:t>
      </w:r>
    </w:p>
    <w:p>
      <w:pPr>
        <w:pStyle w:val="BodyText"/>
      </w:pPr>
      <w:r>
        <w:t xml:space="preserve">Three program rules go with the BYOCA choice:</w:t>
      </w:r>
    </w:p>
    <w:p>
      <w:pPr>
        <w:pStyle w:val="Compact"/>
        <w:numPr>
          <w:ilvl w:val="0"/>
          <w:numId w:val="1025"/>
        </w:numPr>
      </w:pPr>
      <w:r>
        <w:rPr>
          <w:b/>
          <w:bCs/>
        </w:rPr>
        <w:t xml:space="preserve">Harden first.</w:t>
      </w:r>
      <w:r>
        <w:t xml:space="preserve"> </w:t>
      </w:r>
      <w:r>
        <w:t xml:space="preserve">The root’s hierarchy passes the Chapter 03 gate before it signs a cloud issuing CA.</w:t>
      </w:r>
    </w:p>
    <w:p>
      <w:pPr>
        <w:pStyle w:val="Compact"/>
        <w:numPr>
          <w:ilvl w:val="0"/>
          <w:numId w:val="1025"/>
        </w:numPr>
      </w:pPr>
      <w:r>
        <w:rPr>
          <w:b/>
          <w:bCs/>
        </w:rPr>
        <w:t xml:space="preserve">Sign with the root.</w:t>
      </w:r>
      <w:r>
        <w:t xml:space="preserve"> </w:t>
      </w:r>
      <w:r>
        <w:t xml:space="preserve">The cloud issuing CA is signed by the offline root, not by an existing AD CS issuing CA. That keeps the cloud issuer a peer of the AD CS issuing CAs, so its validity doesn’t depend on theirs and retiring them later doesn’t touch it.</w:t>
      </w:r>
    </w:p>
    <w:p>
      <w:pPr>
        <w:pStyle w:val="Compact"/>
        <w:numPr>
          <w:ilvl w:val="0"/>
          <w:numId w:val="1025"/>
        </w:numPr>
      </w:pPr>
      <w:r>
        <w:rPr>
          <w:b/>
          <w:bCs/>
        </w:rPr>
        <w:t xml:space="preserve">Treat the root CRL as production.</w:t>
      </w:r>
      <w:r>
        <w:t xml:space="preserve"> </w:t>
      </w:r>
      <w:r>
        <w:t xml:space="preserve">Publish it to an internet-reachable HTTP location on a schedule with margin, monitor it (Chapter 08), and record the next ceremony date before the current CRL expires.</w:t>
      </w:r>
    </w:p>
    <w:bookmarkEnd w:id="383"/>
    <w:bookmarkEnd w:id="384"/>
    <w:bookmarkStart w:id="394" w:name="ad-cs-retained-for-what-only-it-can-do"/>
    <w:p>
      <w:pPr>
        <w:pStyle w:val="Heading2"/>
      </w:pPr>
      <w:bookmarkStart w:id="968" w:name="_Toc00000968"/>
      <w:r>
        <w:t xml:space="preserve">AD CS, retained for what only it can do</w:t>
      </w:r>
      <w:bookmarkEnd w:id="968"/>
    </w:p>
    <w:p>
      <w:pPr>
        <w:pStyle w:val="FirstParagraph"/>
      </w:pPr>
      <w:r>
        <w:t xml:space="preserve">AD CS stays because some subjects can’t be served by Cloud PKI and some protocols are anchored in the domain. The table records what it’s kept for and when each use ends. The classifications are from Chapter 02.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Kept for</w:t>
            </w:r>
          </w:p>
        </w:tc>
        <w:tc>
          <w:tcPr/>
          <w:p>
            <w:pPr>
              <w:pStyle w:val="Compact"/>
            </w:pPr>
            <w:r>
              <w:t xml:space="preserve">Why nothing else serves it now</w:t>
            </w:r>
          </w:p>
        </w:tc>
        <w:tc>
          <w:tcPr/>
          <w:p>
            <w:pPr>
              <w:pStyle w:val="Compact"/>
            </w:pPr>
            <w:r>
              <w:t xml:space="preserve">Ends when</w:t>
            </w:r>
          </w:p>
        </w:tc>
      </w:tr>
      <w:tr>
        <w:tc>
          <w:tcPr/>
          <w:p>
            <w:pPr>
              <w:pStyle w:val="Compact"/>
            </w:pPr>
            <w:r>
              <w:t xml:space="preserve">Domain controller and KDC certificates</w:t>
            </w:r>
          </w:p>
        </w:tc>
        <w:tc>
          <w:tcPr/>
          <w:p>
            <w:pPr>
              <w:pStyle w:val="Compact"/>
            </w:pPr>
            <w:r>
              <w:t xml:space="preserve">Servers can’t get Cloud PKI certificates;</w:t>
            </w:r>
            <w:r>
              <w:rPr>
                <w:rStyle w:val="FootnoteReference"/>
              </w:rPr>
              <w:footnoteReference w:id="385"/>
            </w:r>
            <w:r>
              <w:t xml:space="preserve"> </w:t>
            </w:r>
            <w:r>
              <w:t xml:space="preserve">smart card and certificate logon to the domain needs a DC certificate chaining to a CA in the forest’s NTAuth store</w:t>
            </w:r>
            <w:r>
              <w:rPr>
                <w:rStyle w:val="FootnoteReference"/>
              </w:rPr>
              <w:footnoteReference w:id="386"/>
            </w:r>
          </w:p>
        </w:tc>
        <w:tc>
          <w:tcPr/>
          <w:p>
            <w:pPr>
              <w:pStyle w:val="Compact"/>
            </w:pPr>
            <w:r>
              <w:t xml:space="preserve">The last domain controller retires</w:t>
            </w:r>
          </w:p>
        </w:tc>
      </w:tr>
      <w:tr>
        <w:tc>
          <w:tcPr/>
          <w:p>
            <w:pPr>
              <w:pStyle w:val="Compact"/>
            </w:pPr>
            <w:r>
              <w:t xml:space="preserve">LDAPS</w:t>
            </w:r>
          </w:p>
        </w:tc>
        <w:tc>
          <w:tcPr/>
          <w:p>
            <w:pPr>
              <w:pStyle w:val="Compact"/>
            </w:pPr>
            <w:r>
              <w:t xml:space="preserve">Same server limit; LDAP clients need the chain</w:t>
            </w:r>
          </w:p>
        </w:tc>
        <w:tc>
          <w:tcPr/>
          <w:p>
            <w:pPr>
              <w:pStyle w:val="Compact"/>
            </w:pPr>
            <w:r>
              <w:t xml:space="preserve">LDAP-bound applications move (Book 02, Chapter 04)</w:t>
            </w:r>
          </w:p>
        </w:tc>
      </w:tr>
      <w:tr>
        <w:tc>
          <w:tcPr/>
          <w:p>
            <w:pPr>
              <w:pStyle w:val="Compact"/>
            </w:pPr>
            <w:r>
              <w:t xml:space="preserve">NPS, RADIUS and VPN gateway server certificates</w:t>
            </w:r>
          </w:p>
        </w:tc>
        <w:tc>
          <w:tcPr/>
          <w:p>
            <w:pPr>
              <w:pStyle w:val="Compact"/>
            </w:pPr>
            <w:r>
              <w:t xml:space="preserve">Cloud PKI doesn’t provide relying-party TLS certificates</w:t>
            </w:r>
            <w:r>
              <w:rPr>
                <w:rStyle w:val="FootnoteReference"/>
              </w:rPr>
              <w:footnoteReference w:id="387"/>
            </w:r>
          </w:p>
        </w:tc>
        <w:tc>
          <w:tcPr/>
          <w:p>
            <w:pPr>
              <w:pStyle w:val="Compact"/>
            </w:pPr>
            <w:r>
              <w:t xml:space="preserve">RADIUS moves, or a CLM-managed issuer takes the server certificate</w:t>
            </w:r>
          </w:p>
        </w:tc>
      </w:tr>
      <w:tr>
        <w:tc>
          <w:tcPr/>
          <w:p>
            <w:pPr>
              <w:pStyle w:val="Compact"/>
            </w:pPr>
            <w:r>
              <w:t xml:space="preserve">Internal server TLS, including SQL Server</w:t>
            </w:r>
          </w:p>
        </w:tc>
        <w:tc>
          <w:tcPr/>
          <w:p>
            <w:pPr>
              <w:pStyle w:val="Compact"/>
            </w:pPr>
            <w:r>
              <w:t xml:space="preserve">Servers aren’t Intune-managed</w:t>
            </w:r>
            <w:r>
              <w:rPr>
                <w:rStyle w:val="FootnoteReference"/>
              </w:rPr>
              <w:footnoteReference w:id="388"/>
            </w:r>
            <w:r>
              <w:t xml:space="preserve"> </w:t>
            </w:r>
            <w:r>
              <w:t xml:space="preserve">(Book 06, Chapter 22)</w:t>
            </w:r>
          </w:p>
        </w:tc>
        <w:tc>
          <w:tcPr/>
          <w:p>
            <w:pPr>
              <w:pStyle w:val="Compact"/>
            </w:pPr>
            <w:r>
              <w:t xml:space="preserve">See the issuer decision below</w:t>
            </w:r>
          </w:p>
        </w:tc>
      </w:tr>
      <w:tr>
        <w:tc>
          <w:tcPr/>
          <w:p>
            <w:pPr>
              <w:pStyle w:val="Compact"/>
            </w:pPr>
            <w:r>
              <w:t xml:space="preserve">Network equipment and other non-Intune devices through NDES</w:t>
            </w:r>
          </w:p>
        </w:tc>
        <w:tc>
          <w:tcPr/>
          <w:p>
            <w:pPr>
              <w:pStyle w:val="Compact"/>
            </w:pPr>
            <w:r>
              <w:t xml:space="preserve">Cloud PKI serves only Intune-enrolled devices</w:t>
            </w:r>
            <w:r>
              <w:rPr>
                <w:rStyle w:val="FootnoteReference"/>
              </w:rPr>
              <w:footnoteReference w:id="389"/>
            </w:r>
          </w:p>
        </w:tc>
        <w:tc>
          <w:tcPr/>
          <w:p>
            <w:pPr>
              <w:pStyle w:val="Compact"/>
            </w:pPr>
            <w:r>
              <w:t xml:space="preserve">The devices are replaced or another enrollment path is approved</w:t>
            </w:r>
          </w:p>
        </w:tc>
      </w:tr>
      <w:tr>
        <w:tc>
          <w:tcPr/>
          <w:p>
            <w:pPr>
              <w:pStyle w:val="Compact"/>
            </w:pPr>
            <w:r>
              <w:t xml:space="preserve">HSM-held code signing</w:t>
            </w:r>
          </w:p>
        </w:tc>
        <w:tc>
          <w:tcPr/>
          <w:p>
            <w:pPr>
              <w:pStyle w:val="Compact"/>
            </w:pPr>
            <w:r>
              <w:t xml:space="preserve">The key and ceremony stay with the HSM</w:t>
            </w:r>
          </w:p>
        </w:tc>
        <w:tc>
          <w:tcPr/>
          <w:p>
            <w:pPr>
              <w:pStyle w:val="Compact"/>
            </w:pPr>
            <w:r>
              <w:t xml:space="preserve">The signing requirement ends</w:t>
            </w:r>
          </w:p>
        </w:tc>
      </w:tr>
      <w:tr>
        <w:tc>
          <w:tcPr/>
          <w:p>
            <w:pPr>
              <w:pStyle w:val="Compact"/>
            </w:pPr>
            <w:r>
              <w:t xml:space="preserve">S/MIME issuance and key history</w:t>
            </w:r>
          </w:p>
        </w:tc>
        <w:tc>
          <w:tcPr/>
          <w:p>
            <w:pPr>
              <w:pStyle w:val="Compact"/>
            </w:pPr>
            <w:r>
              <w:t xml:space="preserve">Delivery can move to Intune imported PKCS, but the issuer and its key history stay (Chapter 02)</w:t>
            </w:r>
          </w:p>
        </w:tc>
        <w:tc>
          <w:tcPr/>
          <w:p>
            <w:pPr>
              <w:pStyle w:val="Compact"/>
            </w:pPr>
            <w:r>
              <w:t xml:space="preserve">Mail encryption moves to another mechanism and old keys are no longer needed</w:t>
            </w:r>
          </w:p>
        </w:tc>
      </w:tr>
    </w:tbl>
    <w:bookmarkStart w:id="393" w:name="X8f5855f88f171d0b3849cbb9ae7ea798aae3a40"/>
    <w:p>
      <w:pPr>
        <w:pStyle w:val="Heading3"/>
      </w:pPr>
      <w:r>
        <w:t xml:space="preserve">The issuer decision for internal server certificates</w:t>
      </w:r>
    </w:p>
    <w:p>
      <w:pPr>
        <w:pStyle w:val="FirstParagraph"/>
      </w:pPr>
      <w:r>
        <w:t xml:space="preserve">Chapter 02 classified internal server TLS as BRIDGE until this chapter named its issuer. The program’s decision:</w:t>
      </w:r>
    </w:p>
    <w:p>
      <w:pPr>
        <w:pStyle w:val="Compact"/>
        <w:numPr>
          <w:ilvl w:val="0"/>
          <w:numId w:val="1026"/>
        </w:numPr>
      </w:pPr>
      <w:r>
        <w:rPr>
          <w:b/>
          <w:bCs/>
        </w:rPr>
        <w:t xml:space="preserve">Internal names</w:t>
      </w:r>
      <w:r>
        <w:t xml:space="preserve"> </w:t>
      </w:r>
      <w:r>
        <w:t xml:space="preserve">are issued by the retained AD CS hierarchy, requested and renewed through CyberArk Certificate Manager rather than by hand or by server autoenrollment. That gives every server certificate an owner, an expiry alert and automated renewal in one place (Chapter 05).</w:t>
      </w:r>
    </w:p>
    <w:p>
      <w:pPr>
        <w:pStyle w:val="Compact"/>
        <w:numPr>
          <w:ilvl w:val="0"/>
          <w:numId w:val="1026"/>
        </w:numPr>
      </w:pPr>
      <w:r>
        <w:rPr>
          <w:b/>
          <w:bCs/>
        </w:rPr>
        <w:t xml:space="preserve">Names the internet must trust</w:t>
      </w:r>
      <w:r>
        <w:t xml:space="preserve"> </w:t>
      </w:r>
      <w:r>
        <w:t xml:space="preserve">are issued by a public CA, also through the CLM platform, because public lifetimes are on the shrinking CA/Browser Forum schedule (Chapter 01).</w:t>
      </w:r>
    </w:p>
    <w:p>
      <w:pPr>
        <w:pStyle w:val="Compact"/>
        <w:numPr>
          <w:ilvl w:val="0"/>
          <w:numId w:val="1026"/>
        </w:numPr>
      </w:pPr>
      <w:r>
        <w:rPr>
          <w:b/>
          <w:bCs/>
        </w:rPr>
        <w:t xml:space="preserve">After Active Directory.</w:t>
      </w:r>
      <w:r>
        <w:t xml:space="preserve"> </w:t>
      </w:r>
      <w:r>
        <w:t xml:space="preserve">Enterprise CAs need AD; standalone CAs don’t use certificate templates.</w:t>
      </w:r>
      <w:r>
        <w:rPr>
          <w:rStyle w:val="FootnoteReference"/>
        </w:rPr>
        <w:footnoteReference w:id="390"/>
      </w:r>
      <w:r>
        <w:t xml:space="preserve"> </w:t>
      </w:r>
      <w:r>
        <w:t xml:space="preserve">When the forest retires, server issuance moves to a standalone AD CS issuing CA under the same root, still driven by the CLM platform, which supports both enterprise and standalone Microsoft CAs.</w:t>
      </w:r>
      <w:r>
        <w:rPr>
          <w:rStyle w:val="FootnoteReference"/>
        </w:rPr>
        <w:footnoteReference w:id="391"/>
      </w:r>
      <w:r>
        <w:t xml:space="preserve"> </w:t>
      </w:r>
      <w:r>
        <w:t xml:space="preserve">Template-based policy then lives in the CLM platform’s policy rather than in AD. That keeps server certificates on the existing trust chain with no new root to distribute.</w:t>
      </w:r>
    </w:p>
    <w:p>
      <w:pPr>
        <w:pStyle w:val="FirstParagraph"/>
      </w:pPr>
      <w:r>
        <w:t xml:space="preserve">Every retained CA stays under the Chapter 03 baseline for as long as it issues. Retirement order and evidence are in Chapter 08.</w:t>
      </w:r>
    </w:p>
    <w:bookmarkEnd w:id="393"/>
    <w:bookmarkEnd w:id="394"/>
    <w:bookmarkStart w:id="402" w:name="federal-pki-for-piv"/>
    <w:p>
      <w:pPr>
        <w:pStyle w:val="Heading2"/>
      </w:pPr>
      <w:bookmarkStart w:id="969" w:name="_Toc00000969"/>
      <w:r>
        <w:t xml:space="preserve">Federal PKI for PIV</w:t>
      </w:r>
      <w:bookmarkEnd w:id="969"/>
    </w:p>
    <w:p>
      <w:pPr>
        <w:pStyle w:val="FirstParagraph"/>
      </w:pPr>
      <w:r>
        <w:t xml:space="preserve">PIV certificates aren’t issued by Cloud PKI or by the program’s AD CS, and the migration doesn’t change their issuer. The Federal PKI is a network of CAs that issue PIV and PIV-Interoperable credentials, other person certificates and a small number of federal enterprise device certificates. Its root and trust anchor for the federal government is the Federal Common Policy CA G2 (FCPCAG2). Shared service providers operate CAs under the Federal Common Certificate Policy and are contracted to issue the certificates on PIV cards.</w:t>
      </w:r>
      <w:r>
        <w:rPr>
          <w:rStyle w:val="FootnoteReference"/>
        </w:rPr>
        <w:footnoteReference w:id="395"/>
      </w:r>
      <w:r>
        <w:t xml:space="preserve"> </w:t>
      </w:r>
      <w:r>
        <w:t xml:space="preserve">FIPS 201-3 sets the PIV standard and its PKI requirements.</w:t>
      </w:r>
      <w:r>
        <w:rPr>
          <w:rStyle w:val="FootnoteReference"/>
        </w:rPr>
        <w:footnoteReference w:id="397"/>
      </w:r>
      <w:r>
        <w:t xml:space="preserve"> </w:t>
      </w:r>
      <w:r>
        <w:t xml:space="preserve">PIV issuance, the card management system and revocation on separation are covered in Book 03, Chapter 09.</w:t>
      </w:r>
    </w:p>
    <w:p>
      <w:pPr>
        <w:pStyle w:val="BodyText"/>
      </w:pPr>
      <w:r>
        <w:t xml:space="preserve">What the target PKI has to do for PIV is trust, not issue:</w:t>
      </w:r>
    </w:p>
    <w:p>
      <w:pPr>
        <w:pStyle w:val="Compact"/>
        <w:numPr>
          <w:ilvl w:val="0"/>
          <w:numId w:val="1027"/>
        </w:numPr>
      </w:pPr>
      <w:r>
        <w:rPr>
          <w:b/>
          <w:bCs/>
        </w:rPr>
        <w:t xml:space="preserve">Distribute the federal root.</w:t>
      </w:r>
      <w:r>
        <w:t xml:space="preserve"> </w:t>
      </w:r>
      <w:r>
        <w:t xml:space="preserve">FCPCAG2 isn’t in the Microsoft, Mozilla or Apple trust stores by default, so agencies add it to the trust stores of government-managed devices and servers.</w:t>
      </w:r>
      <w:r>
        <w:rPr>
          <w:rStyle w:val="FootnoteReference"/>
        </w:rPr>
        <w:footnoteReference w:id="399"/>
      </w:r>
      <w:r>
        <w:t xml:space="preserve"> </w:t>
      </w:r>
      <w:r>
        <w:t xml:space="preserve">Use an Intune trusted certificate profile for managed devices and Group Policy for domain members.</w:t>
      </w:r>
    </w:p>
    <w:p>
      <w:pPr>
        <w:pStyle w:val="Compact"/>
        <w:numPr>
          <w:ilvl w:val="0"/>
          <w:numId w:val="1027"/>
        </w:numPr>
      </w:pPr>
      <w:r>
        <w:rPr>
          <w:b/>
          <w:bCs/>
        </w:rPr>
        <w:t xml:space="preserve">Keep NTAuth right while the domain exists.</w:t>
      </w:r>
      <w:r>
        <w:t xml:space="preserve"> </w:t>
      </w:r>
      <w:r>
        <w:t xml:space="preserve">Smart card logon to the domain with certificates from a non-Microsoft CA needs that issuing CA published to the forest’s NTAuth store, and each authenticating domain controller needs a domain controller certificate.</w:t>
      </w:r>
      <w:r>
        <w:rPr>
          <w:rStyle w:val="FootnoteReference"/>
        </w:rPr>
        <w:footnoteReference w:id="400"/>
      </w:r>
      <w:r>
        <w:t xml:space="preserve"> </w:t>
      </w:r>
      <w:r>
        <w:t xml:space="preserve">That’s one more reason AD CS stays for domain controllers until they retire.</w:t>
      </w:r>
    </w:p>
    <w:p>
      <w:pPr>
        <w:pStyle w:val="Compact"/>
        <w:numPr>
          <w:ilvl w:val="0"/>
          <w:numId w:val="1027"/>
        </w:numPr>
      </w:pPr>
      <w:r>
        <w:rPr>
          <w:b/>
          <w:bCs/>
        </w:rPr>
        <w:t xml:space="preserve">Upload the chain to Entra ID.</w:t>
      </w:r>
      <w:r>
        <w:t xml:space="preserve"> </w:t>
      </w:r>
      <w:r>
        <w:t xml:space="preserve">Entra CBA validates PIV certificates against the CAs in its trust store and checks the issuing CA’s HTTP CRL (Chapter 06); it doesn’t issue anything.</w:t>
      </w:r>
      <w:r>
        <w:rPr>
          <w:rStyle w:val="FootnoteReference"/>
        </w:rPr>
        <w:footnoteReference w:id="401"/>
      </w:r>
    </w:p>
    <w:bookmarkEnd w:id="402"/>
    <w:bookmarkStart w:id="413" w:name="certificate-lifecycle-management"/>
    <w:p>
      <w:pPr>
        <w:pStyle w:val="Heading2"/>
      </w:pPr>
      <w:bookmarkStart w:id="970" w:name="_Toc00000970"/>
      <w:r>
        <w:t xml:space="preserve">Certificate lifecycle management</w:t>
      </w:r>
      <w:bookmarkEnd w:id="970"/>
    </w:p>
    <w:p>
      <w:pPr>
        <w:pStyle w:val="FirstParagraph"/>
      </w:pPr>
      <w:r>
        <w:t xml:space="preserve">Cloud PKI and Intune handle issuance, renewal and revocation for the certificates they put on managed devices.</w:t>
      </w:r>
      <w:r>
        <w:rPr>
          <w:rStyle w:val="FootnoteReference"/>
        </w:rPr>
        <w:footnoteReference w:id="403"/>
      </w:r>
      <w:r>
        <w:t xml:space="preserve"> </w:t>
      </w:r>
      <w:r>
        <w:t xml:space="preserve">Nothing Microsoft-native does the same for server certificates from AD CS, public TLS certificates, appliance certificates or certificates nobody inventoried. That gap is the CLM platform’s job: discovery, inventory, ownership, policy and automated renewal across issuers. It grows more urgent as public TLS lifetimes fall (Chapter 01; Vol I Book 03).</w:t>
      </w:r>
    </w:p>
    <w:p>
      <w:pPr>
        <w:pStyle w:val="BodyText"/>
      </w:pPr>
      <w:r>
        <w:t xml:space="preserve">The program’s CLM platform is</w:t>
      </w:r>
      <w:r>
        <w:t xml:space="preserve"> </w:t>
      </w:r>
      <w:r>
        <w:rPr>
          <w:b/>
          <w:bCs/>
        </w:rPr>
        <w:t xml:space="preserve">CyberArk Certificate Manager</w:t>
      </w:r>
      <w:r>
        <w:t xml:space="preserve"> </w:t>
      </w:r>
      <w:r>
        <w:t xml:space="preserve">(now part of Palo Alto Networks), from its existing machine-identity vendor. Venafi became part of CyberArk on October 1, 2024,</w:t>
      </w:r>
      <w:r>
        <w:rPr>
          <w:rStyle w:val="FootnoteReference"/>
        </w:rPr>
        <w:footnoteReference w:id="404"/>
      </w:r>
      <w:r>
        <w:t xml:space="preserve"> </w:t>
      </w:r>
      <w:r>
        <w:t xml:space="preserve">and Palo Alto Networks completed its acquisition of CyberArk on February 11, 2026.</w:t>
      </w:r>
      <w:r>
        <w:rPr>
          <w:rStyle w:val="FootnoteReference"/>
        </w:rPr>
        <w:footnoteReference w:id="406"/>
      </w:r>
      <w:r>
        <w:t xml:space="preserve"> </w:t>
      </w:r>
      <w:r>
        <w:t xml:space="preserve">The SaaS edition is now marketed as Next-Generation Trust Security; the self-hosted edition continues as Certificate Manager, Self-Hosted, on the Trust Protection Foundation.</w:t>
      </w:r>
      <w:r>
        <w:rPr>
          <w:rStyle w:val="FootnoteReference"/>
        </w:rPr>
        <w:footnoteReference w:id="408"/>
      </w:r>
      <w:r>
        <w:t xml:space="preserve"> </w:t>
      </w:r>
      <w:r>
        <w:t xml:space="preserve">The program consolidates certificate lifecycle management on this platform and doesn’t add a second CLM vendor. Its scope in the target: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Issuer</w:t>
            </w:r>
          </w:p>
        </w:tc>
        <w:tc>
          <w:tcPr/>
          <w:p>
            <w:pPr>
              <w:pStyle w:val="Compact"/>
            </w:pPr>
            <w:r>
              <w:t xml:space="preserve">Who manages the lifecycle</w:t>
            </w:r>
          </w:p>
        </w:tc>
      </w:tr>
      <w:tr>
        <w:tc>
          <w:tcPr/>
          <w:p>
            <w:pPr>
              <w:pStyle w:val="Compact"/>
            </w:pPr>
            <w:r>
              <w:t xml:space="preserve">Cloud PKI</w:t>
            </w:r>
          </w:p>
        </w:tc>
        <w:tc>
          <w:tcPr/>
          <w:p>
            <w:pPr>
              <w:pStyle w:val="Compact"/>
            </w:pPr>
            <w:r>
              <w:t xml:space="preserve">Intune issues, renews and revokes. The CLM platform reads its inventory for reporting rather than managing it</w:t>
            </w:r>
          </w:p>
        </w:tc>
      </w:tr>
      <w:tr>
        <w:tc>
          <w:tcPr/>
          <w:p>
            <w:pPr>
              <w:pStyle w:val="Compact"/>
            </w:pPr>
            <w:r>
              <w:t xml:space="preserve">AD CS (retained)</w:t>
            </w:r>
          </w:p>
        </w:tc>
        <w:tc>
          <w:tcPr/>
          <w:p>
            <w:pPr>
              <w:pStyle w:val="Compact"/>
            </w:pPr>
            <w:r>
              <w:t xml:space="preserve">The CLM platform requests, renews and tracks server certificates through its Microsoft CA integration, which supports enterprise and standalone CAs</w:t>
            </w:r>
            <w:r>
              <w:rPr>
                <w:rStyle w:val="FootnoteReference"/>
              </w:rPr>
              <w:footnoteReference w:id="409"/>
            </w:r>
          </w:p>
        </w:tc>
      </w:tr>
      <w:tr>
        <w:tc>
          <w:tcPr/>
          <w:p>
            <w:pPr>
              <w:pStyle w:val="Compact"/>
            </w:pPr>
            <w:r>
              <w:t xml:space="preserve">Public CAs</w:t>
            </w:r>
          </w:p>
        </w:tc>
        <w:tc>
          <w:tcPr/>
          <w:p>
            <w:pPr>
              <w:pStyle w:val="Compact"/>
            </w:pPr>
            <w:r>
              <w:t xml:space="preserve">The CLM platform</w:t>
            </w:r>
          </w:p>
        </w:tc>
      </w:tr>
      <w:tr>
        <w:tc>
          <w:tcPr/>
          <w:p>
            <w:pPr>
              <w:pStyle w:val="Compact"/>
            </w:pPr>
            <w:r>
              <w:t xml:space="preserve">Federal PKI (PIV)</w:t>
            </w:r>
          </w:p>
        </w:tc>
        <w:tc>
          <w:tcPr/>
          <w:p>
            <w:pPr>
              <w:pStyle w:val="Compact"/>
            </w:pPr>
            <w:r>
              <w:t xml:space="preserve">The card management system and the agency’s credentialing office (Book 03)</w:t>
            </w:r>
          </w:p>
        </w:tc>
      </w:tr>
    </w:tbl>
    <w:p>
      <w:pPr>
        <w:pStyle w:val="BodyText"/>
      </w:pPr>
      <w:r>
        <w:t xml:space="preserve">Two facts from the vendor documentation and the FedRAMP Marketplace shape how the program deploys it.</w:t>
      </w:r>
    </w:p>
    <w:p>
      <w:pPr>
        <w:pStyle w:val="Compact"/>
        <w:numPr>
          <w:ilvl w:val="0"/>
          <w:numId w:val="1028"/>
        </w:numPr>
      </w:pPr>
      <w:r>
        <w:rPr>
          <w:b/>
          <w:bCs/>
        </w:rPr>
        <w:t xml:space="preserve">Its CA account is privileged.</w:t>
      </w:r>
      <w:r>
        <w:t xml:space="preserve"> </w:t>
      </w:r>
      <w:r>
        <w:t xml:space="preserve">To enroll through a Microsoft CA, Certificate Manager, Self-Hosted uses an account with Read, Issue and Manage Certificates, and Request Certificates permissions on the CA.</w:t>
      </w:r>
      <w:r>
        <w:rPr>
          <w:rStyle w:val="FootnoteReference"/>
        </w:rPr>
        <w:footnoteReference w:id="410"/>
      </w:r>
      <w:r>
        <w:t xml:space="preserve"> </w:t>
      </w:r>
      <w:r>
        <w:t xml:space="preserve">Issue and Manage Certificates is the AD CS certificate-manager right, so the account falls under the ESC7 review in Chapter 03, and Chapter 05 scopes it.</w:t>
      </w:r>
    </w:p>
    <w:p>
      <w:pPr>
        <w:pStyle w:val="Compact"/>
        <w:numPr>
          <w:ilvl w:val="0"/>
          <w:numId w:val="1028"/>
        </w:numPr>
      </w:pPr>
      <w:r>
        <w:rPr>
          <w:b/>
          <w:bCs/>
        </w:rPr>
        <w:t xml:space="preserve">The SaaS edition has no FedRAMP listing.</w:t>
      </w:r>
      <w:r>
        <w:t xml:space="preserve"> </w:t>
      </w:r>
      <w:r>
        <w:t xml:space="preserve">In the FedRAMP Marketplace dataset as of October 20, 2026, Palo Alto Networks’ authorized packages for the identity platform it acquired, now named Idira, cover privileged access management, access management and endpoint privilege management. None of them is Certificate Manager or Next-Generation Trust Security.</w:t>
      </w:r>
      <w:r>
        <w:rPr>
          <w:rStyle w:val="FootnoteReference"/>
        </w:rPr>
        <w:footnoteReference w:id="411"/>
      </w:r>
      <w:r>
        <w:t xml:space="preserve"> </w:t>
      </w:r>
      <w:r>
        <w:t xml:space="preserve">Until a certificate-management package is authorized, the program deploys</w:t>
      </w:r>
      <w:r>
        <w:t xml:space="preserve"> </w:t>
      </w:r>
      <w:r>
        <w:rPr>
          <w:b/>
          <w:bCs/>
        </w:rPr>
        <w:t xml:space="preserve">Certificate Manager, Self-Hosted</w:t>
      </w:r>
      <w:r>
        <w:t xml:space="preserve"> </w:t>
      </w:r>
      <w:r>
        <w:t xml:space="preserve">inside its own authorization boundary, alongside the CAs it manages. That’s a program decision, to be revisited when the Marketplace changes.</w:t>
      </w:r>
    </w:p>
    <w:bookmarkEnd w:id="413"/>
    <w:bookmarkStart w:id="414" w:name="continue-the-book-3"/>
    <w:p>
      <w:pPr>
        <w:pStyle w:val="Heading2"/>
      </w:pPr>
      <w:bookmarkStart w:id="971" w:name="_Toc00000971"/>
      <w:r>
        <w:t xml:space="preserve">Continue the book</w:t>
      </w:r>
      <w:bookmarkEnd w:id="971"/>
    </w:p>
    <w:p>
      <w:pPr>
        <w:pStyle w:val="FirstParagraph"/>
      </w:pPr>
      <w:r>
        <w:t xml:space="preserve">← Previous: Chapter 03 — Hardening What Stays · Book index · Next: Chapter 05 — Who Owns the Certificate Estate →</w:t>
      </w:r>
    </w:p>
    <w:bookmarkEnd w:id="414"/>
    <w:bookmarkEnd w:id="415"/>
    <w:bookmarkStart w:id="477" w:name="Xb5e5f7a1f384ad38f90bd994802d1bd2c88c88b"/>
    <w:p>
      <w:pPr>
        <w:pStyle w:val="Heading1"/>
      </w:pPr>
      <w:bookmarkStart w:id="972" w:name="_Toc00000972"/>
      <w:r>
        <w:t xml:space="preserve">Chapter 05 — Who Owns the Certificate Estate</w:t>
      </w:r>
      <w:bookmarkEnd w:id="972"/>
    </w:p>
    <w:p>
      <w:pPr>
        <w:pStyle w:val="FirstParagraph"/>
      </w:pPr>
      <w:r>
        <w:rPr>
          <w:i/>
          <w:iCs/>
        </w:rPr>
        <w:t xml:space="preserve">A certificate authority can mint credentials the whole estate trusts, so the people who can change one must never be the only people who decide what it issues.</w:t>
      </w:r>
    </w:p>
    <w:bookmarkStart w:id="416" w:name="in-this-chapter-4"/>
    <w:p>
      <w:pPr>
        <w:pStyle w:val="Heading2"/>
      </w:pPr>
      <w:bookmarkStart w:id="973" w:name="_Toc00000973"/>
      <w:r>
        <w:t xml:space="preserve">In this chapter</w:t>
      </w:r>
      <w:bookmarkEnd w:id="973"/>
    </w:p>
    <w:p>
      <w:pPr>
        <w:pStyle w:val="FirstParagraph"/>
      </w:pPr>
      <w:r>
        <w:t xml:space="preserve">The teams that decide, do and advise on certificates: PKI and CA administrators, the identity team, endpoint engineering, server and network teams, application owners, the PIV and credentialing office, security operations, the ISSO and authorizing official, and the owner of the certificate lifecycle platform. A responsibility matrix covers the CA hierarchy, trust anchors, issuance policy, template retirement, CBA bindings, renewal, revocation and AD CS decommissioning. A renewal table names one owner for each certificate class, and a role map shows the four permission systems the work runs through.</w:t>
      </w:r>
    </w:p>
    <w:bookmarkEnd w:id="416"/>
    <w:p>
      <w:pPr>
        <w:pStyle w:val="BodyText"/>
      </w:pPr>
      <w:r>
        <w:t xml:space="preserve">In most Active Directory estates the certificate authority belongs to whoever installed it. Often that was a domain administrator who added the AD CS role years ago, published a handful of templates and moved on. Ownership after that is implied by group membership: on an enterprise CA, the local Administrators, Domain Admins and Enterprise Admins groups are CA administrators by default.</w:t>
      </w:r>
      <w:r>
        <w:rPr>
          <w:rStyle w:val="FootnoteReference"/>
        </w:rPr>
        <w:footnoteReference w:id="417"/>
      </w:r>
      <w:r>
        <w:t xml:space="preserve"> </w:t>
      </w:r>
      <w:r>
        <w:t xml:space="preserve">Nobody decided that those groups should control what the CA issues. It happened because the role installed that way.</w:t>
      </w:r>
    </w:p>
    <w:p>
      <w:pPr>
        <w:pStyle w:val="BodyText"/>
      </w:pPr>
      <w:r>
        <w:t xml:space="preserve">The certificate estate outlives the migration (Chapter 01), and the target spreads it across more systems, not fewer (Chapter 04). Microsoft Cloud PKI is administered in Intune. The certificate authorities Entra ID trusts for certificate-based authentication (CBA) are administered in Entra ID. Retained AD CS keeps its own access control list. PIV certificates come from the Federal PKI through the agency’s credentialing office. Server and public TLS certificates are discovered and renewed through the program’s certificate lifecycle management (CLM) platform. Each of those has its own administrators, and each holds a piece of the decision about what the agency trusts.</w:t>
      </w:r>
    </w:p>
    <w:p>
      <w:pPr>
        <w:pStyle w:val="BodyText"/>
      </w:pPr>
      <w:r>
        <w:t xml:space="preserve">Book 02, Chapter 06 sets out the migration-wide ownership model, including the Risk Management Framework roles of the authorizing official, CISO, ISSO and system owner from NIST SP 800-37.</w:t>
      </w:r>
      <w:r>
        <w:rPr>
          <w:rStyle w:val="FootnoteReference"/>
        </w:rPr>
        <w:footnoteReference w:id="418"/>
      </w:r>
      <w:r>
        <w:t xml:space="preserve"> </w:t>
      </w:r>
      <w:r>
        <w:t xml:space="preserve">Book 05, Chapter 06 applies it to devices and servers. This chapter applies the same model to certificates and doesn’t repeat those definitions. The roles, matrix and tables below are the program’s recommended model. Adapt them to the agency’s governance, but keep one decider per row.</w:t>
      </w:r>
    </w:p>
    <w:bookmarkStart w:id="423" w:name="fig-ch05-certificate-estate-owners"/>
    <w:p>
      <w:pPr>
        <w:pStyle w:val="CaptionedFigure"/>
      </w:pPr>
      <w:r>
        <w:drawing>
          <wp:inline>
            <wp:extent cx="5334000" cy="3434219"/>
            <wp:effectExtent b="0" l="0" r="0" t="0"/>
            <wp:docPr descr="Who decides, who designs and does, and who operates the certificate estate." title="" id="421" name="Picture"/>
            <a:graphic>
              <a:graphicData uri="http://schemas.openxmlformats.org/drawingml/2006/picture">
                <pic:pic>
                  <pic:nvPicPr>
                    <pic:cNvPr descr="/home/runner/work/modernization-workbook/modernization-workbook/docs/images/diagrams/b07-pki/png/ch05-certificate-estate-owners.png" id="422" name="Picture"/>
                    <pic:cNvPicPr>
                      <a:picLocks noChangeArrowheads="1" noChangeAspect="1"/>
                    </pic:cNvPicPr>
                  </pic:nvPicPr>
                  <pic:blipFill>
                    <a:blip r:embed="rId420"/>
                    <a:stretch>
                      <a:fillRect/>
                    </a:stretch>
                  </pic:blipFill>
                  <pic:spPr bwMode="auto">
                    <a:xfrm>
                      <a:off x="0" y="0"/>
                      <a:ext cx="5334000" cy="3434219"/>
                    </a:xfrm>
                    <a:prstGeom prst="rect">
                      <a:avLst/>
                    </a:prstGeom>
                    <a:noFill/>
                    <a:ln w="9525">
                      <a:noFill/>
                      <a:headEnd/>
                      <a:tailEnd/>
                    </a:ln>
                  </pic:spPr>
                </pic:pic>
              </a:graphicData>
            </a:graphic>
          </wp:inline>
        </w:drawing>
      </w:r>
    </w:p>
    <w:p>
      <w:pPr>
        <w:pStyle w:val="ImageCaption"/>
      </w:pPr>
      <w:r>
        <w:t xml:space="preserve">Who decides, who designs and does, and who operates the certificate estate.</w:t>
      </w:r>
    </w:p>
    <w:bookmarkEnd w:id="423"/>
    <w:bookmarkStart w:id="427" w:name="Xfa9ed56c1c9737786807b6269637f7da913930c"/>
    <w:p>
      <w:pPr>
        <w:pStyle w:val="Heading2"/>
      </w:pPr>
      <w:bookmarkStart w:id="974" w:name="_Toc00000974"/>
      <w:r>
        <w:t xml:space="preserve">Decision rights and work are different things</w:t>
      </w:r>
      <w:bookmarkEnd w:id="974"/>
    </w:p>
    <w:p>
      <w:pPr>
        <w:pStyle w:val="FirstParagraph"/>
      </w:pPr>
      <w:r>
        <w:t xml:space="preserve">The program separates three kinds of involvement, as Books 02 and 05 do. A role</w:t>
      </w:r>
      <w:r>
        <w:t xml:space="preserve"> </w:t>
      </w:r>
      <w:r>
        <w:rPr>
          <w:i/>
          <w:iCs/>
        </w:rPr>
        <w:t xml:space="preserve">decides</w:t>
      </w:r>
      <w:r>
        <w:t xml:space="preserve"> </w:t>
      </w:r>
      <w:r>
        <w:t xml:space="preserve">when it is accountable for the outcome and can say no. A role</w:t>
      </w:r>
      <w:r>
        <w:t xml:space="preserve"> </w:t>
      </w:r>
      <w:r>
        <w:rPr>
          <w:i/>
          <w:iCs/>
        </w:rPr>
        <w:t xml:space="preserve">does</w:t>
      </w:r>
      <w:r>
        <w:t xml:space="preserve"> </w:t>
      </w:r>
      <w:r>
        <w:t xml:space="preserve">the work when it builds, configures or runs the thing. A role is</w:t>
      </w:r>
      <w:r>
        <w:t xml:space="preserve"> </w:t>
      </w:r>
      <w:r>
        <w:rPr>
          <w:i/>
          <w:iCs/>
        </w:rPr>
        <w:t xml:space="preserve">consulted</w:t>
      </w:r>
      <w:r>
        <w:t xml:space="preserve"> </w:t>
      </w:r>
      <w:r>
        <w:t xml:space="preserve">when the decision can’t be made well without its input, even though the decision isn’t its to make.</w:t>
      </w:r>
    </w:p>
    <w:p>
      <w:pPr>
        <w:pStyle w:val="BodyText"/>
      </w:pPr>
      <w:r>
        <w:t xml:space="preserve">The split matters more for a CA than for almost any other system. A CA administrator can make changes that bypass the lower-privilege controls on the CA, and Microsoft’s guidance treats CA and host administration as high privilege for that reason.</w:t>
      </w:r>
      <w:r>
        <w:rPr>
          <w:rStyle w:val="FootnoteReference"/>
        </w:rPr>
        <w:footnoteReference w:id="424"/>
      </w:r>
      <w:r>
        <w:t xml:space="preserve"> </w:t>
      </w:r>
      <w:r>
        <w:t xml:space="preserve">Several everyday console actions are risk decisions in disguise. Leaving a template published</w:t>
      </w:r>
      <w:r>
        <w:t xml:space="preserve"> </w:t>
      </w:r>
      <w:r>
        <w:t xml:space="preserve">“in case someone still needs it”</w:t>
      </w:r>
      <w:r>
        <w:t xml:space="preserve"> </w:t>
      </w:r>
      <w:r>
        <w:t xml:space="preserve">is one. So is adding a CA to the Entra trust store without a CRL, which means certificates it revokes still authenticate.</w:t>
      </w:r>
      <w:r>
        <w:rPr>
          <w:rStyle w:val="FootnoteReference"/>
        </w:rPr>
        <w:footnoteReference w:id="425"/>
      </w:r>
      <w:r>
        <w:t xml:space="preserve"> </w:t>
      </w:r>
      <w:r>
        <w:t xml:space="preserve">Setting the tenant’s CBA binding to low affinity is another, and so is extending a CRL’s validity so that an offline root needs fewer ceremonies. Each one is made by someone with the rights to make it, who may not know that a decision is being made.</w:t>
      </w:r>
    </w:p>
    <w:bookmarkEnd w:id="427"/>
    <w:bookmarkStart w:id="445" w:name="the-roles"/>
    <w:p>
      <w:pPr>
        <w:pStyle w:val="Heading2"/>
      </w:pPr>
      <w:bookmarkStart w:id="975" w:name="_Toc00000975"/>
      <w:r>
        <w:t xml:space="preserve">The roles</w:t>
      </w:r>
      <w:bookmarkEnd w:id="975"/>
    </w:p>
    <w:p>
      <w:pPr>
        <w:pStyle w:val="FirstParagraph"/>
      </w:pPr>
      <w:r>
        <w:rPr>
          <w:b/>
          <w:bCs/>
        </w:rPr>
        <w:t xml:space="preserve">PKI and CA administrators</w:t>
      </w:r>
      <w:r>
        <w:t xml:space="preserve"> </w:t>
      </w:r>
      <w:r>
        <w:t xml:space="preserve">run the certificate authorities: retained AD CS, the Microsoft Cloud PKI root and issuing CAs, and the offline root if there is one. They own the templates, the CRL and AIA publication schedule, CA backups and key ceremonies. Microsoft’s least-privilege model for AD CS splits this work into separate roles: CA administrator, certificate manager, enrollment agent, auditor, backup and recovery custodian, and key recovery agent. It treats an Enrollment Agent certificate as an impersonation capability, not a convenience.</w:t>
      </w:r>
      <w:r>
        <w:rPr>
          <w:rStyle w:val="FootnoteReference"/>
        </w:rPr>
        <w:footnoteReference w:id="428"/>
      </w:r>
      <w:r>
        <w:t xml:space="preserve"> </w:t>
      </w:r>
      <w:r>
        <w:t xml:space="preserve">Template administration is a separate control point from CA administration.</w:t>
      </w:r>
      <w:r>
        <w:rPr>
          <w:rStyle w:val="FootnoteReference"/>
        </w:rPr>
        <w:footnoteReference w:id="429"/>
      </w:r>
      <w:r>
        <w:t xml:space="preserve"> </w:t>
      </w:r>
      <w:r>
        <w:t xml:space="preserve">Where key archival is used, the certificate manager who retrieves an archived key and the key recovery agent who decrypts it should be different people.</w:t>
      </w:r>
      <w:r>
        <w:rPr>
          <w:rStyle w:val="FootnoteReference"/>
        </w:rPr>
        <w:footnoteReference w:id="430"/>
      </w:r>
      <w:r>
        <w:t xml:space="preserve"> </w:t>
      </w:r>
      <w:r>
        <w:t xml:space="preserve">In the program’s model the PKI administrators do the work and decide only what is purely operational, such as CRL publication timing within the window the security office sets. What a CA may issue is a policy decision, and it belongs to the CISO.</w:t>
      </w:r>
    </w:p>
    <w:p>
      <w:pPr>
        <w:pStyle w:val="BodyText"/>
      </w:pPr>
      <w:r>
        <w:rPr>
          <w:b/>
          <w:bCs/>
        </w:rPr>
        <w:t xml:space="preserve">The identity team</w:t>
      </w:r>
      <w:r>
        <w:t xml:space="preserve"> </w:t>
      </w:r>
      <w:r>
        <w:t xml:space="preserve">owns the Entra ID side of certificates. That covers the PKI-based trust store of CAs that Entra CBA accepts, the CBA method policy, username bindings, affinity and protection level, and the</w:t>
      </w:r>
      <w:r>
        <w:t xml:space="preserve"> </w:t>
      </w:r>
      <w:r>
        <w:rPr>
          <w:rStyle w:val="VerbatimChar"/>
        </w:rPr>
        <w:t xml:space="preserve">certificateUserIds</w:t>
      </w:r>
      <w:r>
        <w:t xml:space="preserve"> </w:t>
      </w:r>
      <w:r>
        <w:t xml:space="preserve">values that bind certificates to users. Entra CBA validates certificates. It doesn’t issue them (Book 02, Chapter 04). Chapter 06 covers the configuration itself. For ownership, the important fact is that Active Directory administrators can change</w:t>
      </w:r>
      <w:r>
        <w:t xml:space="preserve"> </w:t>
      </w:r>
      <w:r>
        <w:rPr>
          <w:rStyle w:val="VerbatimChar"/>
        </w:rPr>
        <w:t xml:space="preserve">certificateUserIds</w:t>
      </w:r>
      <w:r>
        <w:t xml:space="preserve"> </w:t>
      </w:r>
      <w:r>
        <w:t xml:space="preserve">for every synchronized account, because the value flows from on-premises</w:t>
      </w:r>
      <w:r>
        <w:t xml:space="preserve"> </w:t>
      </w:r>
      <w:r>
        <w:rPr>
          <w:rStyle w:val="VerbatimChar"/>
        </w:rPr>
        <w:t xml:space="preserve">altSecurityIdentities</w:t>
      </w:r>
      <w:r>
        <w:t xml:space="preserve"> </w:t>
      </w:r>
      <w:r>
        <w:t xml:space="preserve">through Microsoft Entra Connect.</w:t>
      </w:r>
      <w:r>
        <w:rPr>
          <w:rStyle w:val="FootnoteReference"/>
        </w:rPr>
        <w:footnoteReference w:id="432"/>
      </w:r>
      <w:r>
        <w:t xml:space="preserve"> </w:t>
      </w:r>
      <w:r>
        <w:t xml:space="preserve">Whoever administers synchronized users, or the Connect servers, can therefore change who a certificate signs in as. The program treats them as part of the binding’s control surface.</w:t>
      </w:r>
    </w:p>
    <w:p>
      <w:pPr>
        <w:pStyle w:val="BodyText"/>
      </w:pPr>
      <w:r>
        <w:rPr>
          <w:b/>
          <w:bCs/>
        </w:rPr>
        <w:t xml:space="preserve">Endpoint engineering</w:t>
      </w:r>
      <w:r>
        <w:t xml:space="preserve"> </w:t>
      </w:r>
      <w:r>
        <w:t xml:space="preserve">owns certificates on Intune-managed devices: trusted root profiles, SCEP and PKCS profiles, the Certificate Connector for Microsoft Intune and its NDES role where AD CS still issues, and the renewal threshold on each profile. Book 05, Chapter 04 and Chapter 08 cover the profiles. Cloud PKI issues only to devices enrolled in Intune, through the SCEP profile.</w:t>
      </w:r>
      <w:r>
        <w:rPr>
          <w:rStyle w:val="FootnoteReference"/>
        </w:rPr>
        <w:footnoteReference w:id="434"/>
      </w:r>
      <w:r>
        <w:t xml:space="preserve"> </w:t>
      </w:r>
      <w:r>
        <w:t xml:space="preserve">Intune doesn’t manage Windows Server, so server certificates need another issuer and another owner.</w:t>
      </w:r>
    </w:p>
    <w:p>
      <w:pPr>
        <w:pStyle w:val="BodyText"/>
      </w:pPr>
      <w:r>
        <w:rPr>
          <w:b/>
          <w:bCs/>
        </w:rPr>
        <w:t xml:space="preserve">Server and network teams</w:t>
      </w:r>
      <w:r>
        <w:t xml:space="preserve"> </w:t>
      </w:r>
      <w:r>
        <w:t xml:space="preserve">own the certificates that infrastructure presents: TLS on Windows and Linux servers and appliances, LDAPS, the RADIUS servers behind 802.1X, VPN gateways and wireless controllers. They also run the servers that the certificate path depends on, such as NDES and connector hosts and CRL web endpoints. The Federal Compliance book on network access control covers the 802.1X design. Book 06, Chapter 22 covers where SQL Server depends on AD CS and domain-controller certificates.</w:t>
      </w:r>
    </w:p>
    <w:p>
      <w:pPr>
        <w:pStyle w:val="BodyText"/>
      </w:pPr>
      <w:r>
        <w:rPr>
          <w:b/>
          <w:bCs/>
        </w:rPr>
        <w:t xml:space="preserve">Application owners</w:t>
      </w:r>
      <w:r>
        <w:t xml:space="preserve"> </w:t>
      </w:r>
      <w:r>
        <w:t xml:space="preserve">decide for their own applications. They know which listeners present which certificate, which clients pin a chain, and which build pipelines sign code. They are the only people who can accept a renewal window or a reissue for their application. Code-signing certificates are the clearest case. A code-signing key that leaks lets anyone sign software the estate will trust, so the program treats issuance and key custody for code signing as a security decision with the application owner doing the work.</w:t>
      </w:r>
    </w:p>
    <w:p>
      <w:pPr>
        <w:pStyle w:val="BodyText"/>
      </w:pPr>
      <w:r>
        <w:rPr>
          <w:b/>
          <w:bCs/>
        </w:rPr>
        <w:t xml:space="preserve">The PIV and credentialing office</w:t>
      </w:r>
      <w:r>
        <w:t xml:space="preserve"> </w:t>
      </w:r>
      <w:r>
        <w:t xml:space="preserve">runs PIV issuance. The Federal PKI is a network of CAs that issue PIV, PIV-Interoperable and other person certificates. The Federal Common Policy CA G2 is its root and the trust anchor for agency issuing CAs, and the two highest-level CAs are operated by the Federal PKI Management Authority.</w:t>
      </w:r>
      <w:r>
        <w:rPr>
          <w:rStyle w:val="FootnoteReference"/>
        </w:rPr>
        <w:footnoteReference w:id="435"/>
      </w:r>
      <w:r>
        <w:t xml:space="preserve"> </w:t>
      </w:r>
      <w:r>
        <w:t xml:space="preserve">Many platforms don’t include that root in their default trust stores, so the agency has to distribute it.</w:t>
      </w:r>
      <w:r>
        <w:rPr>
          <w:rStyle w:val="FootnoteReference"/>
        </w:rPr>
        <w:footnoteReference w:id="436"/>
      </w:r>
      <w:r>
        <w:t xml:space="preserve"> </w:t>
      </w:r>
      <w:r>
        <w:t xml:space="preserve">The PIV office doesn’t administer the tenant. It owns the credential lifecycle that Entra CBA consumes, including card issuance, reissue and termination, and derived PIV. Book 03, Chapter 09 covers that lifecycle, including the leaver sequence. In this book the PIV office is consulted on every CBA binding and affinity decision for PIV certificates, because it knows which certificate fields are stable across a card reissue.</w:t>
      </w:r>
    </w:p>
    <w:p>
      <w:pPr>
        <w:pStyle w:val="BodyText"/>
      </w:pPr>
      <w:r>
        <w:rPr>
          <w:b/>
          <w:bCs/>
        </w:rPr>
        <w:t xml:space="preserve">Security operations</w:t>
      </w:r>
      <w:r>
        <w:t xml:space="preserve"> </w:t>
      </w:r>
      <w:r>
        <w:t xml:space="preserve">receives what the certificate estate emits: CA audit events, CBA sign-in failures, CLM expiry and discovery findings, and the AD CS posture assessments that Microsoft Defender for Identity reports. Defender for Identity assesses certificate templates in any environment with AD CS installed. Its CA-level assessments need a sensor on the AD CS server.</w:t>
      </w:r>
      <w:r>
        <w:rPr>
          <w:rStyle w:val="FootnoteReference"/>
        </w:rPr>
        <w:footnoteReference w:id="437"/>
      </w:r>
      <w:r>
        <w:t xml:space="preserve"> </w:t>
      </w:r>
      <w:r>
        <w:t xml:space="preserve">Chapter 08 lists the signals. Security operations is consulted on templates and exceptions, because it’s the team that sees an exception being used.</w:t>
      </w:r>
    </w:p>
    <w:p>
      <w:pPr>
        <w:pStyle w:val="BodyText"/>
      </w:pPr>
      <w:r>
        <w:rPr>
          <w:b/>
          <w:bCs/>
        </w:rPr>
        <w:t xml:space="preserve">The CISO and ISSO</w:t>
      </w:r>
      <w:r>
        <w:t xml:space="preserve"> </w:t>
      </w:r>
      <w:r>
        <w:t xml:space="preserve">decide the control requirements: which CAs may issue for which purposes, the certificate policy and lifetimes, key protection, which trust anchors may appear in trust stores, the minimum CBA binding strength, and the evidence an assessor will read. NIST SP 800-53 control SC-17 asks for certificates issued under an organization-defined certificate policy and for trust stores that hold only approved trust anchors.</w:t>
      </w:r>
      <w:r>
        <w:rPr>
          <w:rStyle w:val="FootnoteReference"/>
        </w:rPr>
        <w:footnoteReference w:id="438"/>
      </w:r>
      <w:r>
        <w:t xml:space="preserve"> </w:t>
      </w:r>
      <w:r>
        <w:t xml:space="preserve">Both are CISO decisions in the program’s model. The ISSO assembles the evidence and tracks findings to closure.</w:t>
      </w:r>
    </w:p>
    <w:p>
      <w:pPr>
        <w:pStyle w:val="BodyText"/>
      </w:pPr>
      <w:r>
        <w:rPr>
          <w:b/>
          <w:bCs/>
        </w:rPr>
        <w:t xml:space="preserve">The authorizing official</w:t>
      </w:r>
      <w:r>
        <w:t xml:space="preserve"> </w:t>
      </w:r>
      <w:r>
        <w:t xml:space="preserve">accepts residual risk. For certificates that means every standing exception: a template that can’t be retired yet, a CA trusted without a working CRL, a low-affinity binding kept for a population whose certificates can’t carry a stronger identifier, a CRL validity stretched past policy. It also covers the retirement of AD CS components that change the authorization boundary.</w:t>
      </w:r>
    </w:p>
    <w:p>
      <w:pPr>
        <w:pStyle w:val="BodyText"/>
      </w:pPr>
      <w:r>
        <w:rPr>
          <w:b/>
          <w:bCs/>
        </w:rPr>
        <w:t xml:space="preserve">The CLM platform owner</w:t>
      </w:r>
      <w:r>
        <w:t xml:space="preserve"> </w:t>
      </w:r>
      <w:r>
        <w:t xml:space="preserve">runs the program’s certificate lifecycle management platform. The program’s choice is</w:t>
      </w:r>
      <w:r>
        <w:t xml:space="preserve"> </w:t>
      </w:r>
      <w:r>
        <w:rPr>
          <w:b/>
          <w:bCs/>
        </w:rPr>
        <w:t xml:space="preserve">CyberArk Certificate Manager</w:t>
      </w:r>
      <w:r>
        <w:t xml:space="preserve"> </w:t>
      </w:r>
      <w:r>
        <w:t xml:space="preserve">(formerly Venafi TLS Protect, now part of Palo Alto Networks), chosen to consolidate on a vendor the program already uses. It is the program’s single lifecycle tool, and the program doesn’t add a second CLM product. Palo Alto Networks completed its acquisition of CyberArk on February 11, 2026.</w:t>
      </w:r>
      <w:r>
        <w:rPr>
          <w:rStyle w:val="FootnoteReference"/>
        </w:rPr>
        <w:footnoteReference w:id="440"/>
      </w:r>
      <w:r>
        <w:t xml:space="preserve"> </w:t>
      </w:r>
      <w:r>
        <w:t xml:space="preserve">Since then, Palo Alto Networks has marketed the SaaS edition as Next-Generation Trust Security (NGTS). The self-hosted edition continues as Certificate Manager, Self-Hosted, built on the CyberArk Trust Protection Foundation.</w:t>
      </w:r>
      <w:r>
        <w:rPr>
          <w:rStyle w:val="FootnoteReference"/>
        </w:rPr>
        <w:footnoteReference w:id="441"/>
      </w:r>
      <w:r>
        <w:t xml:space="preserve"> </w:t>
      </w:r>
      <w:r>
        <w:t xml:space="preserve">The self-hosted product discovers certificates across the enterprise, tracks their usage and compliance, and works to renew them before they expire. It supports multiple CAs.</w:t>
      </w:r>
      <w:r>
        <w:rPr>
          <w:rStyle w:val="FootnoteReference"/>
        </w:rPr>
        <w:footnoteReference w:id="442"/>
      </w:r>
      <w:r>
        <w:t xml:space="preserve"> </w:t>
      </w:r>
      <w:r>
        <w:t xml:space="preserve">Its documented roles include Master Admin, Server Owner, Certificate Approver and Team Owner.</w:t>
      </w:r>
      <w:r>
        <w:rPr>
          <w:rStyle w:val="FootnoteReference"/>
        </w:rPr>
        <w:footnoteReference w:id="444"/>
      </w:r>
      <w:r>
        <w:t xml:space="preserve"> </w:t>
      </w:r>
      <w:r>
        <w:t xml:space="preserve">In the program’s model the CLM owner runs the platform and its integrations, and the platform’s Server Owner and Team Owner assignments record the renewal owners named in the table below. The CLM owner doesn’t decide what may be issued. That stays with the CISO.</w:t>
      </w:r>
    </w:p>
    <w:p>
      <w:pPr>
        <w:pStyle w:val="BodyText"/>
      </w:pPr>
      <w:r>
        <w:t xml:space="preserve">The</w:t>
      </w:r>
      <w:r>
        <w:t xml:space="preserve"> </w:t>
      </w:r>
      <w:r>
        <w:rPr>
          <w:b/>
          <w:bCs/>
        </w:rPr>
        <w:t xml:space="preserve">sponsor and CIO</w:t>
      </w:r>
      <w:r>
        <w:t xml:space="preserve"> </w:t>
      </w:r>
      <w:r>
        <w:t xml:space="preserve">set scope, funding and sequence. In the program’s model they decide the target hierarchy, because it fixes cost and the system boundary for years. They also decide when each AD CS component is retired, because retirement ends the fallback every other team relies on. And they assign renewal ownership per certificate class, because that assignment crosses team lines that only the CIO’s organization can settle.</w:t>
      </w:r>
    </w:p>
    <w:bookmarkEnd w:id="445"/>
    <w:bookmarkStart w:id="448" w:name="the-responsibility-matrix"/>
    <w:p>
      <w:pPr>
        <w:pStyle w:val="Heading2"/>
      </w:pPr>
      <w:bookmarkStart w:id="976" w:name="_Toc00000976"/>
      <w:r>
        <w:t xml:space="preserve">The responsibility matrix</w:t>
      </w:r>
      <w:bookmarkEnd w:id="976"/>
    </w:p>
    <w:p>
      <w:pPr>
        <w:pStyle w:val="FirstParagraph"/>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660"/>
        <w:gridCol w:w="660"/>
        <w:gridCol w:w="660"/>
        <w:gridCol w:w="660"/>
        <w:gridCol w:w="660"/>
        <w:gridCol w:w="660"/>
        <w:gridCol w:w="660"/>
        <w:gridCol w:w="660"/>
        <w:gridCol w:w="660"/>
        <w:gridCol w:w="660"/>
        <w:gridCol w:w="660"/>
        <w:gridCol w:w="660"/>
      </w:tblGrid>
      <w:tr>
        <w:trPr>
          <w:tblHeader w:val="on"/>
        </w:trPr>
        <w:tc>
          <w:tcPr/>
          <w:p>
            <w:pPr>
              <w:pStyle w:val="Compact"/>
            </w:pPr>
            <w:r>
              <w:t xml:space="preserve">Decision or work item</w:t>
            </w:r>
          </w:p>
        </w:tc>
        <w:tc>
          <w:tcPr/>
          <w:p>
            <w:pPr>
              <w:pStyle w:val="Compact"/>
            </w:pPr>
            <w:r>
              <w:t xml:space="preserve">Sponsor / CIO</w:t>
            </w:r>
          </w:p>
        </w:tc>
        <w:tc>
          <w:tcPr/>
          <w:p>
            <w:pPr>
              <w:pStyle w:val="Compact"/>
            </w:pPr>
            <w:r>
              <w:t xml:space="preserve">AO</w:t>
            </w:r>
          </w:p>
        </w:tc>
        <w:tc>
          <w:tcPr/>
          <w:p>
            <w:pPr>
              <w:pStyle w:val="Compact"/>
            </w:pPr>
            <w:r>
              <w:t xml:space="preserve">CISO / ISSO</w:t>
            </w:r>
          </w:p>
        </w:tc>
        <w:tc>
          <w:tcPr/>
          <w:p>
            <w:pPr>
              <w:pStyle w:val="Compact"/>
            </w:pPr>
            <w:r>
              <w:t xml:space="preserve">PKI / CA admins</w:t>
            </w:r>
          </w:p>
        </w:tc>
        <w:tc>
          <w:tcPr/>
          <w:p>
            <w:pPr>
              <w:pStyle w:val="Compact"/>
            </w:pPr>
            <w:r>
              <w:t xml:space="preserve">Identity</w:t>
            </w:r>
          </w:p>
        </w:tc>
        <w:tc>
          <w:tcPr/>
          <w:p>
            <w:pPr>
              <w:pStyle w:val="Compact"/>
            </w:pPr>
            <w:r>
              <w:t xml:space="preserve">Endpoint eng.</w:t>
            </w:r>
          </w:p>
        </w:tc>
        <w:tc>
          <w:tcPr/>
          <w:p>
            <w:pPr>
              <w:pStyle w:val="Compact"/>
            </w:pPr>
            <w:r>
              <w:t xml:space="preserve">Server and network</w:t>
            </w:r>
          </w:p>
        </w:tc>
        <w:tc>
          <w:tcPr/>
          <w:p>
            <w:pPr>
              <w:pStyle w:val="Compact"/>
            </w:pPr>
            <w:r>
              <w:t xml:space="preserve">App owners</w:t>
            </w:r>
          </w:p>
        </w:tc>
        <w:tc>
          <w:tcPr/>
          <w:p>
            <w:pPr>
              <w:pStyle w:val="Compact"/>
            </w:pPr>
            <w:r>
              <w:t xml:space="preserve">PIV office</w:t>
            </w:r>
          </w:p>
        </w:tc>
        <w:tc>
          <w:tcPr/>
          <w:p>
            <w:pPr>
              <w:pStyle w:val="Compact"/>
            </w:pPr>
            <w:r>
              <w:t xml:space="preserve">SecOps</w:t>
            </w:r>
          </w:p>
        </w:tc>
        <w:tc>
          <w:tcPr/>
          <w:p>
            <w:pPr>
              <w:pStyle w:val="Compact"/>
            </w:pPr>
            <w:r>
              <w:t xml:space="preserve">CLM owner</w:t>
            </w:r>
          </w:p>
        </w:tc>
      </w:tr>
      <w:tr>
        <w:tc>
          <w:tcPr/>
          <w:p>
            <w:pPr>
              <w:pStyle w:val="Compact"/>
            </w:pPr>
            <w:r>
              <w:t xml:space="preserve">CA hierarchy and target: Cloud PKI, retained AD CS, BYOCA, Federal PKI (Chapter 04)</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p>
        </w:tc>
        <w:tc>
          <w:tcPr/>
          <w:p>
            <w:pPr>
              <w:pStyle w:val="Compact"/>
            </w:pPr>
            <w:r>
              <w:t xml:space="preserve">C</w:t>
            </w:r>
          </w:p>
        </w:tc>
      </w:tr>
      <w:tr>
        <w:tc>
          <w:tcPr/>
          <w:p>
            <w:pPr>
              <w:pStyle w:val="Compact"/>
            </w:pPr>
            <w:r>
              <w:t xml:space="preserve">Trust anchors in the Entra trust store, Intune trusted root profiles and server trust stores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Certificate policy and issuance policy: purposes, lifetimes, key protection, EKUs</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r>
      <w:tr>
        <w:tc>
          <w:tcPr/>
          <w:p>
            <w:pPr>
              <w:pStyle w:val="Compact"/>
            </w:pPr>
            <w:r>
              <w:t xml:space="preserve">Template retirement, per template (Appendix B)</w:t>
            </w: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CBA bindings, affinity and protection level (Chapter 06)</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Low-affinity binding or single-factor CBA kept as a standing exception</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Renewal ownership per certificate class (table below)</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R</w:t>
            </w:r>
          </w:p>
        </w:tc>
      </w:tr>
      <w:tr>
        <w:tc>
          <w:tcPr/>
          <w:p>
            <w:pPr>
              <w:pStyle w:val="Compact"/>
            </w:pPr>
            <w:r>
              <w:t xml:space="preserve">Routine revocation: superseded, cessation of operation, affiliation changed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R</w:t>
            </w:r>
          </w:p>
        </w:tc>
        <w:tc>
          <w:tcPr/>
          <w:p>
            <w:pPr>
              <w:pStyle w:val="Compact"/>
            </w:pPr>
            <w:r>
              <w:t xml:space="preserve">D</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Revocation for key compromise or CA compromise</w:t>
            </w:r>
          </w:p>
        </w:tc>
        <w:tc>
          <w:tcPr/>
          <w:p>
            <w:pPr>
              <w:pStyle w:val="Compact"/>
            </w:pPr>
            <w:r>
              <w:t xml:space="preserve">C</w:t>
            </w: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r>
      <w:tr>
        <w:tc>
          <w:tcPr/>
          <w:p>
            <w:pPr>
              <w:pStyle w:val="Compact"/>
            </w:pPr>
            <w:r>
              <w:t xml:space="preserve">Public CAs authorized for agency names, and CAA records</w:t>
            </w:r>
          </w:p>
        </w:tc>
        <w:tc>
          <w:tcPr/>
          <w:p>
            <w:pPr>
              <w:pStyle w:val="Compact"/>
            </w:pPr>
          </w:p>
        </w:tc>
        <w:tc>
          <w:tcPr/>
          <w:p>
            <w:pPr>
              <w:pStyle w:val="Compact"/>
            </w:pPr>
          </w:p>
        </w:tc>
        <w:tc>
          <w:tcPr/>
          <w:p>
            <w:pPr>
              <w:pStyle w:val="Compact"/>
            </w:pPr>
            <w:r>
              <w:t xml:space="preserve">D</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Code-signing certificates and key custody</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CLM discovery scans and CA connections</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r>
      <w:tr>
        <w:tc>
          <w:tcPr/>
          <w:p>
            <w:pPr>
              <w:pStyle w:val="Compact"/>
            </w:pPr>
            <w:r>
              <w:t xml:space="preserve">Exceptions with an end date</w:t>
            </w:r>
          </w:p>
        </w:tc>
        <w:tc>
          <w:tcPr/>
          <w:p>
            <w:pPr>
              <w:pStyle w:val="Compact"/>
            </w:pPr>
          </w:p>
        </w:tc>
        <w:tc>
          <w:tcPr/>
          <w:p>
            <w:pPr>
              <w:pStyle w:val="Compact"/>
            </w:pP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Exceptions with no end date, or past the agency’s limit</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p>
        </w:tc>
      </w:tr>
      <w:tr>
        <w:tc>
          <w:tcPr/>
          <w:p>
            <w:pPr>
              <w:pStyle w:val="Compact"/>
            </w:pPr>
            <w:r>
              <w:t xml:space="preserve">AD CS decommissioning, per CA (Chapter 08)</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r>
      <w:tr>
        <w:tc>
          <w:tcPr/>
          <w:p>
            <w:pPr>
              <w:pStyle w:val="Compact"/>
            </w:pPr>
            <w:r>
              <w:t xml:space="preserve">Evidence: issuance, revocation, CRL health and drift</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p>
        </w:tc>
        <w:tc>
          <w:tcPr/>
          <w:p>
            <w:pPr>
              <w:pStyle w:val="Compact"/>
            </w:pPr>
            <w:r>
              <w:t xml:space="preserve">R</w:t>
            </w:r>
          </w:p>
        </w:tc>
        <w:tc>
          <w:tcPr/>
          <w:p>
            <w:pPr>
              <w:pStyle w:val="Compact"/>
            </w:pPr>
            <w:r>
              <w:t xml:space="preserve">R</w:t>
            </w:r>
          </w:p>
        </w:tc>
      </w:tr>
    </w:tbl>
    <w:p>
      <w:pPr>
        <w:pStyle w:val="BodyText"/>
      </w:pPr>
      <w:r>
        <w:t xml:space="preserve">Four rows need comment. The routine revocation row gives the decision to the owner of the certificate, not the CA team. A superseded or decommissioned certificate is the owner’s call, and the certificate manager executes it. The compromise row moves the decision to the CISO, because Microsoft’s guidance treats a revocation as an authorization and incident-response decision. That guidance also keeps the certificate manager who revokes separate from the CA administrator who changes CDPs, CRL timing and CA configuration.</w:t>
      </w:r>
      <w:r>
        <w:rPr>
          <w:rStyle w:val="FootnoteReference"/>
        </w:rPr>
        <w:footnoteReference w:id="446"/>
      </w:r>
      <w:r>
        <w:t xml:space="preserve"> </w:t>
      </w:r>
      <w:r>
        <w:t xml:space="preserve">The template retirement row is the one place the PKI administrators both decide and do. Retiring a template is reversible, and the consumers are consulted before it happens. The two exception rows split on time, as in Book 05. A temporary exception is a control decision. A standing one is a risk acceptance.</w:t>
      </w:r>
    </w:p>
    <w:bookmarkEnd w:id="448"/>
    <w:bookmarkStart w:id="451" w:name="renewal-ownership-per-certificate-class"/>
    <w:p>
      <w:pPr>
        <w:pStyle w:val="Heading2"/>
      </w:pPr>
      <w:bookmarkStart w:id="977" w:name="_Toc00000977"/>
      <w:r>
        <w:t xml:space="preserve">Renewal ownership per certificate class</w:t>
      </w:r>
      <w:bookmarkEnd w:id="977"/>
    </w:p>
    <w:p>
      <w:pPr>
        <w:pStyle w:val="FirstParagraph"/>
      </w:pPr>
      <w:r>
        <w:t xml:space="preserve">Expired certificates are the most common way a certificate estate fails, and an expiry is almost always an ownership failure first. Every certificate class below has one renewal owner. That owner answers for the certificate expiring, even when automation does the renewing. The CLM platform records the owner, and the CISO’s evidence shows it.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Certificate class</w:t>
            </w:r>
          </w:p>
        </w:tc>
        <w:tc>
          <w:tcPr/>
          <w:p>
            <w:pPr>
              <w:pStyle w:val="Compact"/>
            </w:pPr>
            <w:r>
              <w:t xml:space="preserve">Issuer in the target</w:t>
            </w:r>
          </w:p>
        </w:tc>
        <w:tc>
          <w:tcPr/>
          <w:p>
            <w:pPr>
              <w:pStyle w:val="Compact"/>
            </w:pPr>
            <w:r>
              <w:t xml:space="preserve">Renewal engine</w:t>
            </w:r>
          </w:p>
        </w:tc>
        <w:tc>
          <w:tcPr/>
          <w:p>
            <w:pPr>
              <w:pStyle w:val="Compact"/>
            </w:pPr>
            <w:r>
              <w:t xml:space="preserve">Renewal owner</w:t>
            </w:r>
          </w:p>
        </w:tc>
        <w:tc>
          <w:tcPr/>
          <w:p>
            <w:pPr>
              <w:pStyle w:val="Compact"/>
            </w:pPr>
            <w:r>
              <w:t xml:space="preserve">Notes</w:t>
            </w:r>
          </w:p>
        </w:tc>
      </w:tr>
      <w:tr>
        <w:tc>
          <w:tcPr/>
          <w:p>
            <w:pPr>
              <w:pStyle w:val="Compact"/>
            </w:pPr>
            <w:r>
              <w:t xml:space="preserve">User and device authentication on Intune-managed devices (Wi-Fi, VPN, S/MIME)</w:t>
            </w:r>
          </w:p>
        </w:tc>
        <w:tc>
          <w:tcPr/>
          <w:p>
            <w:pPr>
              <w:pStyle w:val="Compact"/>
            </w:pPr>
            <w:r>
              <w:t xml:space="preserve">Cloud PKI through SCEP, or AD CS through the Intune connector (SCEP or PKCS)</w:t>
            </w:r>
          </w:p>
        </w:tc>
        <w:tc>
          <w:tcPr/>
          <w:p>
            <w:pPr>
              <w:pStyle w:val="Compact"/>
            </w:pPr>
            <w:r>
              <w:t xml:space="preserve">Intune profile renewal threshold</w:t>
            </w:r>
          </w:p>
        </w:tc>
        <w:tc>
          <w:tcPr/>
          <w:p>
            <w:pPr>
              <w:pStyle w:val="Compact"/>
            </w:pPr>
            <w:r>
              <w:t xml:space="preserve">Endpoint engineering</w:t>
            </w:r>
          </w:p>
        </w:tc>
        <w:tc>
          <w:tcPr/>
          <w:p>
            <w:pPr>
              <w:pStyle w:val="Compact"/>
            </w:pPr>
            <w:r>
              <w:t xml:space="preserve">Cloud PKI issues only to Intune-enrolled devices.</w:t>
            </w:r>
            <w:r>
              <w:rPr>
                <w:rStyle w:val="FootnoteReference"/>
              </w:rPr>
              <w:footnoteReference w:id="449"/>
            </w:r>
            <w:r>
              <w:t xml:space="preserve"> </w:t>
            </w:r>
            <w:r>
              <w:t xml:space="preserve">Chapter 06</w:t>
            </w:r>
          </w:p>
        </w:tc>
      </w:tr>
      <w:tr>
        <w:tc>
          <w:tcPr/>
          <w:p>
            <w:pPr>
              <w:pStyle w:val="Compact"/>
            </w:pPr>
            <w:r>
              <w:t xml:space="preserve">PIV and derived PIV</w:t>
            </w:r>
          </w:p>
        </w:tc>
        <w:tc>
          <w:tcPr/>
          <w:p>
            <w:pPr>
              <w:pStyle w:val="Compact"/>
            </w:pPr>
            <w:r>
              <w:t xml:space="preserve">Federal PKI issuing CA, through the agency’s card management system</w:t>
            </w:r>
          </w:p>
        </w:tc>
        <w:tc>
          <w:tcPr/>
          <w:p>
            <w:pPr>
              <w:pStyle w:val="Compact"/>
            </w:pPr>
            <w:r>
              <w:t xml:space="preserve">Card and credential lifecycle</w:t>
            </w:r>
          </w:p>
        </w:tc>
        <w:tc>
          <w:tcPr/>
          <w:p>
            <w:pPr>
              <w:pStyle w:val="Compact"/>
            </w:pPr>
            <w:r>
              <w:t xml:space="preserve">PIV and credentialing office</w:t>
            </w:r>
          </w:p>
        </w:tc>
        <w:tc>
          <w:tcPr/>
          <w:p>
            <w:pPr>
              <w:pStyle w:val="Compact"/>
            </w:pPr>
            <w:r>
              <w:t xml:space="preserve">Book 03, Chapter 09</w:t>
            </w:r>
          </w:p>
        </w:tc>
      </w:tr>
      <w:tr>
        <w:tc>
          <w:tcPr/>
          <w:p>
            <w:pPr>
              <w:pStyle w:val="Compact"/>
            </w:pPr>
            <w:r>
              <w:t xml:space="preserve">Domain controller, KDC and LDAPS</w:t>
            </w:r>
          </w:p>
        </w:tc>
        <w:tc>
          <w:tcPr/>
          <w:p>
            <w:pPr>
              <w:pStyle w:val="Compact"/>
            </w:pPr>
            <w:r>
              <w:t xml:space="preserve">Retained AD CS</w:t>
            </w:r>
          </w:p>
        </w:tc>
        <w:tc>
          <w:tcPr/>
          <w:p>
            <w:pPr>
              <w:pStyle w:val="Compact"/>
            </w:pPr>
            <w:r>
              <w:t xml:space="preserve">AD CS autoenrollment</w:t>
            </w:r>
          </w:p>
        </w:tc>
        <w:tc>
          <w:tcPr/>
          <w:p>
            <w:pPr>
              <w:pStyle w:val="Compact"/>
            </w:pPr>
            <w:r>
              <w:t xml:space="preserve">PKI/CA administrators for the templates, with the domain controller owners</w:t>
            </w:r>
          </w:p>
        </w:tc>
        <w:tc>
          <w:tcPr/>
          <w:p>
            <w:pPr>
              <w:pStyle w:val="Compact"/>
            </w:pPr>
            <w:r>
              <w:t xml:space="preserve">Stays on AD CS while domain controllers exist (Chapter 07)</w:t>
            </w:r>
          </w:p>
        </w:tc>
      </w:tr>
      <w:tr>
        <w:tc>
          <w:tcPr/>
          <w:p>
            <w:pPr>
              <w:pStyle w:val="Compact"/>
            </w:pPr>
            <w:r>
              <w:t xml:space="preserve">RADIUS servers and 802.1X infrastructure</w:t>
            </w:r>
          </w:p>
        </w:tc>
        <w:tc>
          <w:tcPr/>
          <w:p>
            <w:pPr>
              <w:pStyle w:val="Compact"/>
            </w:pPr>
            <w:r>
              <w:t xml:space="preserve">Retained AD CS, or the CLM platform</w:t>
            </w:r>
          </w:p>
        </w:tc>
        <w:tc>
          <w:tcPr/>
          <w:p>
            <w:pPr>
              <w:pStyle w:val="Compact"/>
            </w:pPr>
            <w:r>
              <w:t xml:space="preserve">Autoenrollment or CLM</w:t>
            </w:r>
          </w:p>
        </w:tc>
        <w:tc>
          <w:tcPr/>
          <w:p>
            <w:pPr>
              <w:pStyle w:val="Compact"/>
            </w:pPr>
            <w:r>
              <w:t xml:space="preserve">Network team</w:t>
            </w:r>
          </w:p>
        </w:tc>
        <w:tc>
          <w:tcPr/>
          <w:p>
            <w:pPr>
              <w:pStyle w:val="Compact"/>
            </w:pPr>
            <w:r>
              <w:t xml:space="preserve">Device-side 802.1X certificates are in the first row</w:t>
            </w:r>
          </w:p>
        </w:tc>
      </w:tr>
      <w:tr>
        <w:tc>
          <w:tcPr/>
          <w:p>
            <w:pPr>
              <w:pStyle w:val="Compact"/>
            </w:pPr>
            <w:r>
              <w:t xml:space="preserve">Internal server TLS on servers, appliances and Linux hosts</w:t>
            </w:r>
          </w:p>
        </w:tc>
        <w:tc>
          <w:tcPr/>
          <w:p>
            <w:pPr>
              <w:pStyle w:val="Compact"/>
            </w:pPr>
            <w:r>
              <w:t xml:space="preserve">AD CS through the CLM platform</w:t>
            </w:r>
          </w:p>
        </w:tc>
        <w:tc>
          <w:tcPr/>
          <w:p>
            <w:pPr>
              <w:pStyle w:val="Compact"/>
            </w:pPr>
            <w:r>
              <w:t xml:space="preserve">CyberArk Certificate Manager</w:t>
            </w:r>
          </w:p>
        </w:tc>
        <w:tc>
          <w:tcPr/>
          <w:p>
            <w:pPr>
              <w:pStyle w:val="Compact"/>
            </w:pPr>
            <w:r>
              <w:t xml:space="preserve">Server team, or the application owner named as Server Owner</w:t>
            </w:r>
          </w:p>
        </w:tc>
        <w:tc>
          <w:tcPr/>
          <w:p>
            <w:pPr>
              <w:pStyle w:val="Compact"/>
            </w:pPr>
            <w:r>
              <w:t xml:space="preserve">Intune doesn’t manage Windows Server (Book 05, Chapter 09)</w:t>
            </w:r>
          </w:p>
        </w:tc>
      </w:tr>
      <w:tr>
        <w:tc>
          <w:tcPr/>
          <w:p>
            <w:pPr>
              <w:pStyle w:val="Compact"/>
            </w:pPr>
            <w:r>
              <w:t xml:space="preserve">Public-facing TLS</w:t>
            </w:r>
          </w:p>
        </w:tc>
        <w:tc>
          <w:tcPr/>
          <w:p>
            <w:pPr>
              <w:pStyle w:val="Compact"/>
            </w:pPr>
            <w:r>
              <w:t xml:space="preserve">Public CA authorized by CAA</w:t>
            </w:r>
          </w:p>
        </w:tc>
        <w:tc>
          <w:tcPr/>
          <w:p>
            <w:pPr>
              <w:pStyle w:val="Compact"/>
            </w:pPr>
            <w:r>
              <w:t xml:space="preserve">CLM platform, with ACME where the endpoint supports it</w:t>
            </w:r>
          </w:p>
        </w:tc>
        <w:tc>
          <w:tcPr/>
          <w:p>
            <w:pPr>
              <w:pStyle w:val="Compact"/>
            </w:pPr>
            <w:r>
              <w:t xml:space="preserve">Application owner, with the CLM owner running the automation</w:t>
            </w:r>
          </w:p>
        </w:tc>
        <w:tc>
          <w:tcPr/>
          <w:p>
            <w:pPr>
              <w:pStyle w:val="Compact"/>
            </w:pPr>
            <w:r>
              <w:t xml:space="preserve">Public lifetimes are shrinking (Chapter 08)</w:t>
            </w:r>
          </w:p>
        </w:tc>
      </w:tr>
      <w:tr>
        <w:tc>
          <w:tcPr/>
          <w:p>
            <w:pPr>
              <w:pStyle w:val="Compact"/>
            </w:pPr>
            <w:r>
              <w:t xml:space="preserve">Code signing</w:t>
            </w:r>
          </w:p>
        </w:tc>
        <w:tc>
          <w:tcPr/>
          <w:p>
            <w:pPr>
              <w:pStyle w:val="Compact"/>
            </w:pPr>
            <w:r>
              <w:t xml:space="preserve">Internal or public CA, as the CISO decides</w:t>
            </w:r>
          </w:p>
        </w:tc>
        <w:tc>
          <w:tcPr/>
          <w:p>
            <w:pPr>
              <w:pStyle w:val="Compact"/>
            </w:pPr>
            <w:r>
              <w:t xml:space="preserve">Approved request, never unattended</w:t>
            </w:r>
          </w:p>
        </w:tc>
        <w:tc>
          <w:tcPr/>
          <w:p>
            <w:pPr>
              <w:pStyle w:val="Compact"/>
            </w:pPr>
            <w:r>
              <w:t xml:space="preserve">Application owner</w:t>
            </w:r>
          </w:p>
        </w:tc>
        <w:tc>
          <w:tcPr/>
          <w:p>
            <w:pPr>
              <w:pStyle w:val="Compact"/>
            </w:pPr>
            <w:r>
              <w:t xml:space="preserve">Keys held in hardware, by program policy</w:t>
            </w:r>
          </w:p>
        </w:tc>
      </w:tr>
      <w:tr>
        <w:tc>
          <w:tcPr/>
          <w:p>
            <w:pPr>
              <w:pStyle w:val="Compact"/>
            </w:pPr>
            <w:r>
              <w:t xml:space="preserve">CA certificates and CRLs, root and issuing</w:t>
            </w:r>
          </w:p>
        </w:tc>
        <w:tc>
          <w:tcPr/>
          <w:p>
            <w:pPr>
              <w:pStyle w:val="Compact"/>
            </w:pPr>
            <w:r>
              <w:t xml:space="preserve">The hierarchy itself</w:t>
            </w:r>
          </w:p>
        </w:tc>
        <w:tc>
          <w:tcPr/>
          <w:p>
            <w:pPr>
              <w:pStyle w:val="Compact"/>
            </w:pPr>
            <w:r>
              <w:t xml:space="preserve">Key ceremony and CRL schedule</w:t>
            </w:r>
          </w:p>
        </w:tc>
        <w:tc>
          <w:tcPr/>
          <w:p>
            <w:pPr>
              <w:pStyle w:val="Compact"/>
            </w:pPr>
            <w:r>
              <w:t xml:space="preserve">PKI/CA administrators</w:t>
            </w:r>
          </w:p>
        </w:tc>
        <w:tc>
          <w:tcPr/>
          <w:p>
            <w:pPr>
              <w:pStyle w:val="Compact"/>
            </w:pPr>
            <w:r>
              <w:t xml:space="preserve">Offline root CRLs on a witnessed schedule</w:t>
            </w:r>
          </w:p>
        </w:tc>
      </w:tr>
    </w:tbl>
    <w:p>
      <w:pPr>
        <w:pStyle w:val="BodyText"/>
      </w:pPr>
      <w:r>
        <w:t xml:space="preserve">The program assigns server and public TLS to the CLM platform because Microsoft’s issuers don’t cover them. Cloud PKI’s only enrollment path is its SCEP registration authority for Intune-managed devices.</w:t>
      </w:r>
      <w:r>
        <w:rPr>
          <w:rStyle w:val="FootnoteReference"/>
        </w:rPr>
        <w:footnoteReference w:id="450"/>
      </w:r>
      <w:r>
        <w:t xml:space="preserve"> </w:t>
      </w:r>
      <w:r>
        <w:t xml:space="preserve">That leaves every certificate on a server, appliance or public listener to AD CS or a public CA. Something has to find those certificates and renew them on time, and that something is the CLM platform.</w:t>
      </w:r>
    </w:p>
    <w:bookmarkEnd w:id="451"/>
    <w:bookmarkStart w:id="474" w:name="four-permission-systems-one-access-model"/>
    <w:p>
      <w:pPr>
        <w:pStyle w:val="Heading2"/>
      </w:pPr>
      <w:bookmarkStart w:id="978" w:name="_Toc00000978"/>
      <w:r>
        <w:t xml:space="preserve">Four permission systems, one access model</w:t>
      </w:r>
      <w:bookmarkEnd w:id="978"/>
    </w:p>
    <w:p>
      <w:pPr>
        <w:pStyle w:val="FirstParagraph"/>
      </w:pPr>
      <w:r>
        <w:t xml:space="preserve">Decision rights don’t change what a console lets someone do. Roles do, and for certificates there are four separate permission systems.</w:t>
      </w:r>
    </w:p>
    <w:bookmarkStart w:id="455" w:name="fig-ch05-four-permission-planes"/>
    <w:p>
      <w:pPr>
        <w:pStyle w:val="CaptionedFigure"/>
      </w:pPr>
      <w:r>
        <w:drawing>
          <wp:inline>
            <wp:extent cx="5334000" cy="4293828"/>
            <wp:effectExtent b="0" l="0" r="0" t="0"/>
            <wp:docPr descr="Certificate permissions are granted in four separate systems, which the program maps to one access model." title="" id="453" name="Picture"/>
            <a:graphic>
              <a:graphicData uri="http://schemas.openxmlformats.org/drawingml/2006/picture">
                <pic:pic>
                  <pic:nvPicPr>
                    <pic:cNvPr descr="/home/runner/work/modernization-workbook/modernization-workbook/docs/images/diagrams/b07-pki/png/ch05-four-permission-planes.png" id="454" name="Picture"/>
                    <pic:cNvPicPr>
                      <a:picLocks noChangeArrowheads="1" noChangeAspect="1"/>
                    </pic:cNvPicPr>
                  </pic:nvPicPr>
                  <pic:blipFill>
                    <a:blip r:embed="rId452"/>
                    <a:stretch>
                      <a:fillRect/>
                    </a:stretch>
                  </pic:blipFill>
                  <pic:spPr bwMode="auto">
                    <a:xfrm>
                      <a:off x="0" y="0"/>
                      <a:ext cx="5334000" cy="4293828"/>
                    </a:xfrm>
                    <a:prstGeom prst="rect">
                      <a:avLst/>
                    </a:prstGeom>
                    <a:noFill/>
                    <a:ln w="9525">
                      <a:noFill/>
                      <a:headEnd/>
                      <a:tailEnd/>
                    </a:ln>
                  </pic:spPr>
                </pic:pic>
              </a:graphicData>
            </a:graphic>
          </wp:inline>
        </w:drawing>
      </w:r>
    </w:p>
    <w:p>
      <w:pPr>
        <w:pStyle w:val="ImageCaption"/>
      </w:pPr>
      <w:r>
        <w:t xml:space="preserve">Certificate permissions are granted in four separate systems, which the program maps to one access model.</w:t>
      </w:r>
    </w:p>
    <w:bookmarkEnd w:id="455"/>
    <w:p>
      <w:pPr>
        <w:pStyle w:val="BodyText"/>
      </w:pPr>
      <w:r>
        <w:rPr>
          <w:b/>
          <w:bCs/>
        </w:rPr>
        <w:t xml:space="preserve">The AD CS access control list</w:t>
      </w:r>
      <w:r>
        <w:t xml:space="preserve"> </w:t>
      </w:r>
      <w:r>
        <w:t xml:space="preserve">governs the retained CAs. The certificate-manager role holds the</w:t>
      </w:r>
      <w:r>
        <w:t xml:space="preserve"> </w:t>
      </w:r>
      <w:r>
        <w:rPr>
          <w:b/>
          <w:bCs/>
        </w:rPr>
        <w:t xml:space="preserve">Issue and Manage Certificates</w:t>
      </w:r>
      <w:r>
        <w:t xml:space="preserve"> </w:t>
      </w:r>
      <w:r>
        <w:t xml:space="preserve">permission and is the role that revokes and reinstates. CA configuration, CRL scheduling and CDP changes need CA-administrator access.</w:t>
      </w:r>
      <w:r>
        <w:rPr>
          <w:rStyle w:val="FootnoteReference"/>
        </w:rPr>
        <w:footnoteReference w:id="456"/>
      </w:r>
      <w:r>
        <w:t xml:space="preserve"> </w:t>
      </w:r>
      <w:r>
        <w:t xml:space="preserve">Microsoft recommends one security group per operational role, named accounts only, a recorded owner and review date for each group, and a controlled emergency account whose use is approved and reviewed.</w:t>
      </w:r>
      <w:r>
        <w:rPr>
          <w:rStyle w:val="FootnoteReference"/>
        </w:rPr>
        <w:footnoteReference w:id="457"/>
      </w:r>
      <w:r>
        <w:t xml:space="preserve"> </w:t>
      </w:r>
      <w:r>
        <w:t xml:space="preserve">Microsoft also notes that current Learn documentation doesn’t publish a Windows Server 2025 procedure for enabling CA role separation. It advises against applying the undocumented registry setting from older procedures and recommends validating the configuration with current support guidance before enforcing it.</w:t>
      </w:r>
      <w:r>
        <w:rPr>
          <w:rStyle w:val="FootnoteReference"/>
        </w:rPr>
        <w:footnoteReference w:id="458"/>
      </w:r>
    </w:p>
    <w:p>
      <w:pPr>
        <w:pStyle w:val="BodyText"/>
      </w:pPr>
      <w:r>
        <w:rPr>
          <w:b/>
          <w:bCs/>
        </w:rPr>
        <w:t xml:space="preserve">Intune RBAC</w:t>
      </w:r>
      <w:r>
        <w:t xml:space="preserve"> </w:t>
      </w:r>
      <w:r>
        <w:t xml:space="preserve">governs Cloud PKI. The Intune Administrator Entra role can create CAs, but Intune also offers Cloud PKI permissions for custom roles: read CAs, create CAs, disable and reenable CAs, and revoke issued leaf certificates.</w:t>
      </w:r>
      <w:r>
        <w:rPr>
          <w:rStyle w:val="FootnoteReference"/>
        </w:rPr>
        <w:footnoteReference w:id="459"/>
      </w:r>
      <w:r>
        <w:t xml:space="preserve"> </w:t>
      </w:r>
      <w:r>
        <w:t xml:space="preserve">Deleting a CA through a custom role needs read, disable and reenable, and revoke together.</w:t>
      </w:r>
      <w:r>
        <w:rPr>
          <w:rStyle w:val="FootnoteReference"/>
        </w:rPr>
        <w:footnoteReference w:id="461"/>
      </w:r>
      <w:r>
        <w:t xml:space="preserve"> </w:t>
      </w:r>
      <w:r>
        <w:t xml:space="preserve">Revoking and deleting a Cloud PKI CA are permanent and can’t be undone.</w:t>
      </w:r>
      <w:r>
        <w:rPr>
          <w:rStyle w:val="FootnoteReference"/>
        </w:rPr>
        <w:footnoteReference w:id="463"/>
      </w:r>
      <w:r>
        <w:t xml:space="preserve"> </w:t>
      </w:r>
      <w:r>
        <w:t xml:space="preserve">Scope tags can be applied to each CA.</w:t>
      </w:r>
      <w:r>
        <w:rPr>
          <w:rStyle w:val="FootnoteReference"/>
        </w:rPr>
        <w:footnoteReference w:id="464"/>
      </w:r>
      <w:r>
        <w:t xml:space="preserve"> </w:t>
      </w:r>
      <w:r>
        <w:t xml:space="preserve">The program gives the PKI administrators a custom Cloud PKI role and keeps Intune Administrator for tasks that need it, such as configuring the Certificate Connector, which Microsoft says to do with an Intune Administrator account that has an Intune license.</w:t>
      </w:r>
      <w:r>
        <w:rPr>
          <w:rStyle w:val="FootnoteReference"/>
        </w:rPr>
        <w:footnoteReference w:id="465"/>
      </w:r>
    </w:p>
    <w:p>
      <w:pPr>
        <w:pStyle w:val="BodyText"/>
      </w:pPr>
      <w:r>
        <w:rPr>
          <w:b/>
          <w:bCs/>
        </w:rPr>
        <w:t xml:space="preserve">Microsoft Entra roles</w:t>
      </w:r>
      <w:r>
        <w:t xml:space="preserve"> </w:t>
      </w:r>
      <w:r>
        <w:t xml:space="preserve">govern CBA. Configuring the PKI-based trust store is assigned to the Privileged Authentication Administrator role. The Authentication Policy Administrator configures username bindings, the protection level and the affinity binding.</w:t>
      </w:r>
      <w:r>
        <w:rPr>
          <w:rStyle w:val="FootnoteReference"/>
        </w:rPr>
        <w:footnoteReference w:id="467"/>
      </w:r>
      <w:r>
        <w:t xml:space="preserve"> </w:t>
      </w:r>
      <w:r>
        <w:t xml:space="preserve">By default the tenant’s protection level is single-factor and its affinity is low.</w:t>
      </w:r>
      <w:r>
        <w:rPr>
          <w:rStyle w:val="FootnoteReference"/>
        </w:rPr>
        <w:footnoteReference w:id="469"/>
      </w:r>
      <w:r>
        <w:t xml:space="preserve"> </w:t>
      </w:r>
      <w:r>
        <w:t xml:space="preserve">Updating</w:t>
      </w:r>
      <w:r>
        <w:t xml:space="preserve"> </w:t>
      </w:r>
      <w:r>
        <w:rPr>
          <w:rStyle w:val="VerbatimChar"/>
        </w:rPr>
        <w:t xml:space="preserve">certificateUserIds</w:t>
      </w:r>
      <w:r>
        <w:t xml:space="preserve"> </w:t>
      </w:r>
      <w:r>
        <w:t xml:space="preserve">needs at least Privileged Authentication Administrator for cloud-only users. For synchronized users it needs at least Hybrid Identity Administrator, and the value can only be set through Microsoft Entra Connect.</w:t>
      </w:r>
      <w:r>
        <w:rPr>
          <w:rStyle w:val="FootnoteReference"/>
        </w:rPr>
        <w:footnoteReference w:id="470"/>
      </w:r>
      <w:r>
        <w:t xml:space="preserve"> </w:t>
      </w:r>
      <w:r>
        <w:t xml:space="preserve">Microsoft’s own CBA guidance observes that the PKI administrator is the person who can supply the list of issuing CAs.</w:t>
      </w:r>
      <w:r>
        <w:rPr>
          <w:rStyle w:val="FootnoteReference"/>
        </w:rPr>
        <w:footnoteReference w:id="471"/>
      </w:r>
      <w:r>
        <w:t xml:space="preserve"> </w:t>
      </w:r>
      <w:r>
        <w:t xml:space="preserve">That’s a working dependency between the PKI and identity teams, which the matrix records as a consultation.</w:t>
      </w:r>
    </w:p>
    <w:p>
      <w:pPr>
        <w:pStyle w:val="BodyText"/>
      </w:pPr>
      <w:r>
        <w:rPr>
          <w:b/>
          <w:bCs/>
        </w:rPr>
        <w:t xml:space="preserve">CyberArk Certificate Manager roles</w:t>
      </w:r>
      <w:r>
        <w:t xml:space="preserve"> </w:t>
      </w:r>
      <w:r>
        <w:t xml:space="preserve">govern the CLM platform. To request and enroll certificates from a Microsoft CA, Certificate Manager, Self-Hosted uses an account that needs Read, Issue and Manage Certificates, and Request Certificates permissions on the CA.</w:t>
      </w:r>
      <w:r>
        <w:rPr>
          <w:rStyle w:val="FootnoteReference"/>
        </w:rPr>
        <w:footnoteReference w:id="472"/>
      </w:r>
      <w:r>
        <w:t xml:space="preserve"> </w:t>
      </w:r>
      <w:r>
        <w:t xml:space="preserve">Issue and Manage Certificates is the AD CS certificate-manager permission. The CLM platform’s CA account is therefore a certificate manager for every template it can reach. Its administrators hold that power indirectly, so the program scopes the account to the templates the CLM platform is meant to issue and treats CLM Master Admins as privileged.</w:t>
      </w:r>
    </w:p>
    <w:p>
      <w:pPr>
        <w:pStyle w:val="BodyText"/>
      </w:pPr>
      <w:r>
        <w:t xml:space="preserve">The Certificate Connector has a similar footprint on the endpoint side. Its service account needs Read and Enroll on every template it uses, and Issue and Manage Certificates on the CA only when it handles revocation. The NDES application pool account needs Read and Enroll on each SCEP template.</w:t>
      </w:r>
      <w:r>
        <w:rPr>
          <w:rStyle w:val="FootnoteReference"/>
        </w:rPr>
        <w:footnoteReference w:id="473"/>
      </w:r>
      <w:r>
        <w:t xml:space="preserve"> </w:t>
      </w:r>
      <w:r>
        <w:t xml:space="preserve">Grant the revocation permission only to connectors that actually revoke.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Team</w:t>
            </w:r>
          </w:p>
        </w:tc>
        <w:tc>
          <w:tcPr/>
          <w:p>
            <w:pPr>
              <w:pStyle w:val="Compact"/>
            </w:pPr>
            <w:r>
              <w:t xml:space="preserve">AD CS</w:t>
            </w:r>
          </w:p>
        </w:tc>
        <w:tc>
          <w:tcPr/>
          <w:p>
            <w:pPr>
              <w:pStyle w:val="Compact"/>
            </w:pPr>
            <w:r>
              <w:t xml:space="preserve">Intune RBAC (Cloud PKI)</w:t>
            </w:r>
          </w:p>
        </w:tc>
        <w:tc>
          <w:tcPr/>
          <w:p>
            <w:pPr>
              <w:pStyle w:val="Compact"/>
            </w:pPr>
            <w:r>
              <w:t xml:space="preserve">Microsoft Entra</w:t>
            </w:r>
          </w:p>
        </w:tc>
        <w:tc>
          <w:tcPr/>
          <w:p>
            <w:pPr>
              <w:pStyle w:val="Compact"/>
            </w:pPr>
            <w:r>
              <w:t xml:space="preserve">CyberArk Certificate Manager</w:t>
            </w:r>
          </w:p>
        </w:tc>
      </w:tr>
      <w:tr>
        <w:tc>
          <w:tcPr/>
          <w:p>
            <w:pPr>
              <w:pStyle w:val="Compact"/>
            </w:pPr>
            <w:r>
              <w:t xml:space="preserve">PKI / CA administrators</w:t>
            </w:r>
          </w:p>
        </w:tc>
        <w:tc>
          <w:tcPr/>
          <w:p>
            <w:pPr>
              <w:pStyle w:val="Compact"/>
            </w:pPr>
            <w:r>
              <w:t xml:space="preserve">CA administrator; template administrator; certificate manager in a separate account</w:t>
            </w:r>
          </w:p>
        </w:tc>
        <w:tc>
          <w:tcPr/>
          <w:p>
            <w:pPr>
              <w:pStyle w:val="Compact"/>
            </w:pPr>
            <w:r>
              <w:t xml:space="preserve">Custom role with the Cloud PKI permissions</w:t>
            </w:r>
          </w:p>
        </w:tc>
        <w:tc>
          <w:tcPr/>
          <w:p>
            <w:pPr>
              <w:pStyle w:val="Compact"/>
            </w:pPr>
            <w:r>
              <w:t xml:space="preserve">None routinely</w:t>
            </w:r>
          </w:p>
        </w:tc>
        <w:tc>
          <w:tcPr/>
          <w:p>
            <w:pPr>
              <w:pStyle w:val="Compact"/>
            </w:pPr>
            <w:r>
              <w:t xml:space="preserve">Consulted; no Master Admin by default</w:t>
            </w:r>
          </w:p>
        </w:tc>
      </w:tr>
      <w:tr>
        <w:tc>
          <w:tcPr/>
          <w:p>
            <w:pPr>
              <w:pStyle w:val="Compact"/>
            </w:pPr>
            <w:r>
              <w:t xml:space="preserve">Identity team</w:t>
            </w:r>
          </w:p>
        </w:tc>
        <w:tc>
          <w:tcPr/>
          <w:p>
            <w:pPr>
              <w:pStyle w:val="Compact"/>
            </w:pPr>
            <w:r>
              <w:t xml:space="preserve">None</w:t>
            </w:r>
          </w:p>
        </w:tc>
        <w:tc>
          <w:tcPr/>
          <w:p>
            <w:pPr>
              <w:pStyle w:val="Compact"/>
            </w:pPr>
            <w:r>
              <w:t xml:space="preserve">Read CAs, for chain checks</w:t>
            </w:r>
          </w:p>
        </w:tc>
        <w:tc>
          <w:tcPr/>
          <w:p>
            <w:pPr>
              <w:pStyle w:val="Compact"/>
            </w:pPr>
            <w:r>
              <w:t xml:space="preserve">Privileged Authentication Administrator and Authentication Policy Administrator, eligible through PIM; Hybrid Identity Administrator for sync</w:t>
            </w:r>
          </w:p>
        </w:tc>
        <w:tc>
          <w:tcPr/>
          <w:p>
            <w:pPr>
              <w:pStyle w:val="Compact"/>
            </w:pPr>
            <w:r>
              <w:t xml:space="preserve">None</w:t>
            </w:r>
          </w:p>
        </w:tc>
      </w:tr>
      <w:tr>
        <w:tc>
          <w:tcPr/>
          <w:p>
            <w:pPr>
              <w:pStyle w:val="Compact"/>
            </w:pPr>
            <w:r>
              <w:t xml:space="preserve">Endpoint engineering</w:t>
            </w:r>
          </w:p>
        </w:tc>
        <w:tc>
          <w:tcPr/>
          <w:p>
            <w:pPr>
              <w:pStyle w:val="Compact"/>
            </w:pPr>
            <w:r>
              <w:t xml:space="preserve">Read and Enroll for connector and NDES accounts only</w:t>
            </w:r>
          </w:p>
        </w:tc>
        <w:tc>
          <w:tcPr/>
          <w:p>
            <w:pPr>
              <w:pStyle w:val="Compact"/>
            </w:pPr>
            <w:r>
              <w:t xml:space="preserve">Policy and Profile Manager for certificate profiles (Book 05, Chapter 06)</w:t>
            </w:r>
          </w:p>
        </w:tc>
        <w:tc>
          <w:tcPr/>
          <w:p>
            <w:pPr>
              <w:pStyle w:val="Compact"/>
            </w:pPr>
            <w:r>
              <w:t xml:space="preserve">None routinely</w:t>
            </w:r>
          </w:p>
        </w:tc>
        <w:tc>
          <w:tcPr/>
          <w:p>
            <w:pPr>
              <w:pStyle w:val="Compact"/>
            </w:pPr>
            <w:r>
              <w:t xml:space="preserve">None</w:t>
            </w:r>
          </w:p>
        </w:tc>
      </w:tr>
      <w:tr>
        <w:tc>
          <w:tcPr/>
          <w:p>
            <w:pPr>
              <w:pStyle w:val="Compact"/>
            </w:pPr>
            <w:r>
              <w:t xml:space="preserve">Server and network teams</w:t>
            </w:r>
          </w:p>
        </w:tc>
        <w:tc>
          <w:tcPr/>
          <w:p>
            <w:pPr>
              <w:pStyle w:val="Compact"/>
            </w:pPr>
            <w:r>
              <w:t xml:space="preserve">Enroll on their server templates</w:t>
            </w:r>
          </w:p>
        </w:tc>
        <w:tc>
          <w:tcPr/>
          <w:p>
            <w:pPr>
              <w:pStyle w:val="Compact"/>
            </w:pPr>
            <w:r>
              <w:t xml:space="preserve">None</w:t>
            </w:r>
          </w:p>
        </w:tc>
        <w:tc>
          <w:tcPr/>
          <w:p>
            <w:pPr>
              <w:pStyle w:val="Compact"/>
            </w:pPr>
            <w:r>
              <w:t xml:space="preserve">None</w:t>
            </w:r>
          </w:p>
        </w:tc>
        <w:tc>
          <w:tcPr/>
          <w:p>
            <w:pPr>
              <w:pStyle w:val="Compact"/>
            </w:pPr>
            <w:r>
              <w:t xml:space="preserve">Server Owner for their certificates</w:t>
            </w:r>
          </w:p>
        </w:tc>
      </w:tr>
      <w:tr>
        <w:tc>
          <w:tcPr/>
          <w:p>
            <w:pPr>
              <w:pStyle w:val="Compact"/>
            </w:pPr>
            <w:r>
              <w:t xml:space="preserve">Application owners</w:t>
            </w:r>
          </w:p>
        </w:tc>
        <w:tc>
          <w:tcPr/>
          <w:p>
            <w:pPr>
              <w:pStyle w:val="Compact"/>
            </w:pPr>
            <w:r>
              <w:t xml:space="preserve">Enroll on approved templates only</w:t>
            </w:r>
          </w:p>
        </w:tc>
        <w:tc>
          <w:tcPr/>
          <w:p>
            <w:pPr>
              <w:pStyle w:val="Compact"/>
            </w:pPr>
            <w:r>
              <w:t xml:space="preserve">None</w:t>
            </w:r>
          </w:p>
        </w:tc>
        <w:tc>
          <w:tcPr/>
          <w:p>
            <w:pPr>
              <w:pStyle w:val="Compact"/>
            </w:pPr>
            <w:r>
              <w:t xml:space="preserve">None</w:t>
            </w:r>
          </w:p>
        </w:tc>
        <w:tc>
          <w:tcPr/>
          <w:p>
            <w:pPr>
              <w:pStyle w:val="Compact"/>
            </w:pPr>
            <w:r>
              <w:t xml:space="preserve">Server Owner or Team Owner for their applications</w:t>
            </w:r>
          </w:p>
        </w:tc>
      </w:tr>
      <w:tr>
        <w:tc>
          <w:tcPr/>
          <w:p>
            <w:pPr>
              <w:pStyle w:val="Compact"/>
            </w:pPr>
            <w:r>
              <w:t xml:space="preserve">PIV office</w:t>
            </w:r>
          </w:p>
        </w:tc>
        <w:tc>
          <w:tcPr/>
          <w:p>
            <w:pPr>
              <w:pStyle w:val="Compact"/>
            </w:pPr>
            <w:r>
              <w:t xml:space="preserve">None</w:t>
            </w:r>
          </w:p>
        </w:tc>
        <w:tc>
          <w:tcPr/>
          <w:p>
            <w:pPr>
              <w:pStyle w:val="Compact"/>
            </w:pPr>
            <w:r>
              <w:t xml:space="preserve">None</w:t>
            </w:r>
          </w:p>
        </w:tc>
        <w:tc>
          <w:tcPr/>
          <w:p>
            <w:pPr>
              <w:pStyle w:val="Compact"/>
            </w:pPr>
            <w:r>
              <w:t xml:space="preserve">Consulted on the trust store and bindings</w:t>
            </w:r>
          </w:p>
        </w:tc>
        <w:tc>
          <w:tcPr/>
          <w:p>
            <w:pPr>
              <w:pStyle w:val="Compact"/>
            </w:pPr>
            <w:r>
              <w:t xml:space="preserve">None</w:t>
            </w:r>
          </w:p>
        </w:tc>
      </w:tr>
      <w:tr>
        <w:tc>
          <w:tcPr/>
          <w:p>
            <w:pPr>
              <w:pStyle w:val="Compact"/>
            </w:pPr>
            <w:r>
              <w:t xml:space="preserve">Security operations</w:t>
            </w:r>
          </w:p>
        </w:tc>
        <w:tc>
          <w:tcPr/>
          <w:p>
            <w:pPr>
              <w:pStyle w:val="Compact"/>
            </w:pPr>
            <w:r>
              <w:t xml:space="preserve">Auditor</w:t>
            </w:r>
          </w:p>
        </w:tc>
        <w:tc>
          <w:tcPr/>
          <w:p>
            <w:pPr>
              <w:pStyle w:val="Compact"/>
            </w:pPr>
            <w:r>
              <w:t xml:space="preserve">Read CAs</w:t>
            </w:r>
          </w:p>
        </w:tc>
        <w:tc>
          <w:tcPr/>
          <w:p>
            <w:pPr>
              <w:pStyle w:val="Compact"/>
            </w:pPr>
            <w:r>
              <w:t xml:space="preserve">Security Reader</w:t>
            </w:r>
          </w:p>
        </w:tc>
        <w:tc>
          <w:tcPr/>
          <w:p>
            <w:pPr>
              <w:pStyle w:val="Compact"/>
            </w:pPr>
            <w:r>
              <w:t xml:space="preserve">Read access to inventory and findings</w:t>
            </w:r>
          </w:p>
        </w:tc>
      </w:tr>
      <w:tr>
        <w:tc>
          <w:tcPr/>
          <w:p>
            <w:pPr>
              <w:pStyle w:val="Compact"/>
            </w:pPr>
            <w:r>
              <w:t xml:space="preserve">CLM platform owner</w:t>
            </w:r>
          </w:p>
        </w:tc>
        <w:tc>
          <w:tcPr/>
          <w:p>
            <w:pPr>
              <w:pStyle w:val="Compact"/>
            </w:pPr>
            <w:r>
              <w:t xml:space="preserve">The CLM CA account, scoped to its templates</w:t>
            </w:r>
          </w:p>
        </w:tc>
        <w:tc>
          <w:tcPr/>
          <w:p>
            <w:pPr>
              <w:pStyle w:val="Compact"/>
            </w:pPr>
            <w:r>
              <w:t xml:space="preserve">None</w:t>
            </w:r>
          </w:p>
        </w:tc>
        <w:tc>
          <w:tcPr/>
          <w:p>
            <w:pPr>
              <w:pStyle w:val="Compact"/>
            </w:pPr>
            <w:r>
              <w:t xml:space="preserve">None</w:t>
            </w:r>
          </w:p>
        </w:tc>
        <w:tc>
          <w:tcPr/>
          <w:p>
            <w:pPr>
              <w:pStyle w:val="Compact"/>
            </w:pPr>
            <w:r>
              <w:t xml:space="preserve">Master Admin, eligible not standing</w:t>
            </w:r>
          </w:p>
        </w:tc>
      </w:tr>
      <w:tr>
        <w:tc>
          <w:tcPr/>
          <w:p>
            <w:pPr>
              <w:pStyle w:val="Compact"/>
            </w:pPr>
            <w:r>
              <w:t xml:space="preserve">ISSO and assessors</w:t>
            </w:r>
          </w:p>
        </w:tc>
        <w:tc>
          <w:tcPr/>
          <w:p>
            <w:pPr>
              <w:pStyle w:val="Compact"/>
            </w:pPr>
            <w:r>
              <w:t xml:space="preserve">Auditor</w:t>
            </w:r>
          </w:p>
        </w:tc>
        <w:tc>
          <w:tcPr/>
          <w:p>
            <w:pPr>
              <w:pStyle w:val="Compact"/>
            </w:pPr>
            <w:r>
              <w:t xml:space="preserve">Read CAs</w:t>
            </w:r>
          </w:p>
        </w:tc>
        <w:tc>
          <w:tcPr/>
          <w:p>
            <w:pPr>
              <w:pStyle w:val="Compact"/>
            </w:pPr>
            <w:r>
              <w:t xml:space="preserve">Global Reader or Security Reader</w:t>
            </w:r>
          </w:p>
        </w:tc>
        <w:tc>
          <w:tcPr/>
          <w:p>
            <w:pPr>
              <w:pStyle w:val="Compact"/>
            </w:pPr>
            <w:r>
              <w:t xml:space="preserve">Read access to inventory</w:t>
            </w:r>
          </w:p>
        </w:tc>
      </w:tr>
    </w:tbl>
    <w:p>
      <w:pPr>
        <w:pStyle w:val="BodyText"/>
      </w:pPr>
      <w:r>
        <w:t xml:space="preserve">Every row follows the same rules as in Books 02 and 05. Use least-privileged roles, keep privileged ones eligible rather than permanent, and keep the person who submits a high-impact change from approving it.</w:t>
      </w:r>
    </w:p>
    <w:bookmarkEnd w:id="474"/>
    <w:bookmarkStart w:id="475" w:name="X13b9b7c9b80be932c813ee983a90146cb4a0318"/>
    <w:p>
      <w:pPr>
        <w:pStyle w:val="Heading2"/>
      </w:pPr>
      <w:bookmarkStart w:id="979" w:name="_Toc00000979"/>
      <w:r>
        <w:t xml:space="preserve">What changes from</w:t>
      </w:r>
      <w:r>
        <w:t xml:space="preserve"> </w:t>
      </w:r>
      <w:r>
        <w:t xml:space="preserve">“whoever installed the CA”</w:t>
      </w:r>
      <w:bookmarkEnd w:id="979"/>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CS habit</w:t>
            </w:r>
          </w:p>
        </w:tc>
        <w:tc>
          <w:tcPr/>
          <w:p>
            <w:pPr>
              <w:pStyle w:val="Compact"/>
            </w:pPr>
            <w:r>
              <w:t xml:space="preserve">What replaces it</w:t>
            </w:r>
          </w:p>
        </w:tc>
      </w:tr>
      <w:tr>
        <w:tc>
          <w:tcPr/>
          <w:p>
            <w:pPr>
              <w:pStyle w:val="Compact"/>
            </w:pPr>
            <w:r>
              <w:t xml:space="preserve">Domain Admins and Enterprise Admins are CA administrators by default</w:t>
            </w:r>
          </w:p>
        </w:tc>
        <w:tc>
          <w:tcPr/>
          <w:p>
            <w:pPr>
              <w:pStyle w:val="Compact"/>
            </w:pPr>
            <w:r>
              <w:t xml:space="preserve">Named CA-admin, certificate-manager, auditor and backup groups with owners and review dates</w:t>
            </w:r>
          </w:p>
        </w:tc>
      </w:tr>
      <w:tr>
        <w:tc>
          <w:tcPr/>
          <w:p>
            <w:pPr>
              <w:pStyle w:val="Compact"/>
            </w:pPr>
            <w:r>
              <w:t xml:space="preserve">Whoever can edit a template decides who can enroll</w:t>
            </w:r>
          </w:p>
        </w:tc>
        <w:tc>
          <w:tcPr/>
          <w:p>
            <w:pPr>
              <w:pStyle w:val="Compact"/>
            </w:pPr>
            <w:r>
              <w:t xml:space="preserve">The CISO sets issuance policy; PKI administrators implement it; template retirement goes through Appendix B</w:t>
            </w:r>
          </w:p>
        </w:tc>
      </w:tr>
      <w:tr>
        <w:tc>
          <w:tcPr/>
          <w:p>
            <w:pPr>
              <w:pStyle w:val="Compact"/>
            </w:pPr>
            <w:r>
              <w:t xml:space="preserve">Any CA someone uploads is trusted by Entra ID</w:t>
            </w:r>
          </w:p>
        </w:tc>
        <w:tc>
          <w:tcPr/>
          <w:p>
            <w:pPr>
              <w:pStyle w:val="Compact"/>
            </w:pPr>
            <w:r>
              <w:t xml:space="preserve">Trust anchors are a CISO decision; the identity team uploads only approved CAs, each with a CRL</w:t>
            </w:r>
          </w:p>
        </w:tc>
      </w:tr>
      <w:tr>
        <w:tc>
          <w:tcPr/>
          <w:p>
            <w:pPr>
              <w:pStyle w:val="Compact"/>
            </w:pPr>
            <w:r>
              <w:t xml:space="preserve">Renewal is whoever notices the expiry warning</w:t>
            </w:r>
          </w:p>
        </w:tc>
        <w:tc>
          <w:tcPr/>
          <w:p>
            <w:pPr>
              <w:pStyle w:val="Compact"/>
            </w:pPr>
            <w:r>
              <w:t xml:space="preserve">One renewal owner per certificate class, recorded in the CLM platform</w:t>
            </w:r>
          </w:p>
        </w:tc>
      </w:tr>
      <w:tr>
        <w:tc>
          <w:tcPr/>
          <w:p>
            <w:pPr>
              <w:pStyle w:val="Compact"/>
            </w:pPr>
            <w:r>
              <w:t xml:space="preserve">Revocation is a console click</w:t>
            </w:r>
          </w:p>
        </w:tc>
        <w:tc>
          <w:tcPr/>
          <w:p>
            <w:pPr>
              <w:pStyle w:val="Compact"/>
            </w:pPr>
            <w:r>
              <w:t xml:space="preserve">Routine revocation is the owner’s call; compromise is the CISO’s; CA configuration stays with a different role</w:t>
            </w:r>
          </w:p>
        </w:tc>
      </w:tr>
      <w:tr>
        <w:tc>
          <w:tcPr/>
          <w:p>
            <w:pPr>
              <w:pStyle w:val="Compact"/>
            </w:pPr>
            <w:r>
              <w:t xml:space="preserve">The CA retires when someone turns the server off</w:t>
            </w:r>
          </w:p>
        </w:tc>
        <w:tc>
          <w:tcPr/>
          <w:p>
            <w:pPr>
              <w:pStyle w:val="Compact"/>
            </w:pPr>
            <w:r>
              <w:t xml:space="preserve">AD CS retirement is a sponsor decision with the sequence and evidence in Chapter 08</w:t>
            </w:r>
          </w:p>
        </w:tc>
      </w:tr>
    </w:tbl>
    <w:bookmarkEnd w:id="475"/>
    <w:bookmarkStart w:id="476" w:name="continue-the-book-4"/>
    <w:p>
      <w:pPr>
        <w:pStyle w:val="Heading2"/>
      </w:pPr>
      <w:bookmarkStart w:id="980" w:name="_Toc00000980"/>
      <w:r>
        <w:t xml:space="preserve">Continue the book</w:t>
      </w:r>
      <w:bookmarkEnd w:id="980"/>
    </w:p>
    <w:p>
      <w:pPr>
        <w:pStyle w:val="FirstParagraph"/>
      </w:pPr>
      <w:r>
        <w:t xml:space="preserve">← Previous: Chapter 04 — The Target PKI: Cloud PKI, AD CS and Federal PKI · Book index · Next: Chapter 06 — Device and User Certificates: Intune and Entra CBA →</w:t>
      </w:r>
    </w:p>
    <w:bookmarkEnd w:id="476"/>
    <w:bookmarkEnd w:id="477"/>
    <w:bookmarkStart w:id="620" w:name="X8de795cff814cddd1e30b1b36a9e5a2f35831d7"/>
    <w:p>
      <w:pPr>
        <w:pStyle w:val="Heading1"/>
      </w:pPr>
      <w:bookmarkStart w:id="981" w:name="_Toc00000981"/>
      <w:r>
        <w:t xml:space="preserve">Chapter 06 — Device and User Certificates: Intune and Entra CBA</w:t>
      </w:r>
      <w:bookmarkEnd w:id="981"/>
    </w:p>
    <w:p>
      <w:pPr>
        <w:pStyle w:val="FirstParagraph"/>
      </w:pPr>
      <w:r>
        <w:rPr>
          <w:i/>
          <w:iCs/>
        </w:rPr>
        <w:t xml:space="preserve">Intune puts certificates on devices. Entra ID decides whether a certificate proves who someone is. Those are two jobs, and each one fails differently.</w:t>
      </w:r>
    </w:p>
    <w:bookmarkStart w:id="478" w:name="in-this-chapter-5"/>
    <w:p>
      <w:pPr>
        <w:pStyle w:val="Heading2"/>
      </w:pPr>
      <w:bookmarkStart w:id="982" w:name="_Toc00000982"/>
      <w:r>
        <w:t xml:space="preserve">In this chapter</w:t>
      </w:r>
      <w:bookmarkEnd w:id="982"/>
    </w:p>
    <w:p>
      <w:pPr>
        <w:pStyle w:val="FirstParagraph"/>
      </w:pPr>
      <w:r>
        <w:t xml:space="preserve">The three Intune certificate profile types: trusted certificate, SCEP (issued by Microsoft Cloud PKI, or by AD CS through NDES and the Certificate Connector) and PKCS. Which profile fits which use. Strong certificate mapping under KB5014754, where its enforcement stands today, and what Intune profiles need in order to meet it. Then Microsoft Entra certificate-based authentication (CBA): the sign-in flow, the trust store and revocation, username bindings and affinity, single-factor and multifactor certificates, staged rollout, and the move off AD FS.</w:t>
      </w:r>
    </w:p>
    <w:bookmarkEnd w:id="478"/>
    <w:bookmarkStart w:id="484" w:name="two-jobs-two-failure-modes"/>
    <w:p>
      <w:pPr>
        <w:pStyle w:val="Heading2"/>
      </w:pPr>
      <w:bookmarkStart w:id="983" w:name="_Toc00000983"/>
      <w:r>
        <w:t xml:space="preserve">Two jobs, two failure modes</w:t>
      </w:r>
      <w:bookmarkEnd w:id="983"/>
    </w:p>
    <w:p>
      <w:pPr>
        <w:pStyle w:val="FirstParagraph"/>
      </w:pPr>
      <w:r>
        <w:t xml:space="preserve">Intune is a delivery system. A certificate profile tells a managed device which CA to trust, where to ask for a certificate and what the certificate must contain. When delivery fails, a device has no certificate and Wi-Fi, VPN or an application refuses it. The failure is local and visible in the profile report.</w:t>
      </w:r>
    </w:p>
    <w:p>
      <w:pPr>
        <w:pStyle w:val="BodyText"/>
      </w:pPr>
      <w:r>
        <w:t xml:space="preserve">Entra certificate-based authentication is a relying party. It doesn’t issue anything. It checks a certificate the user presents against the CAs the tenant trusts, checks revocation, and maps the certificate to one user account.</w:t>
      </w:r>
      <w:r>
        <w:rPr>
          <w:rStyle w:val="FootnoteReference"/>
        </w:rPr>
        <w:footnoteReference w:id="479"/>
      </w:r>
      <w:r>
        <w:t xml:space="preserve"> </w:t>
      </w:r>
      <w:r>
        <w:t xml:space="preserve">When this goes wrong, the danger is the opposite: a certificate that</w:t>
      </w:r>
      <w:r>
        <w:t xml:space="preserve"> </w:t>
      </w:r>
      <w:r>
        <w:rPr>
          <w:i/>
          <w:iCs/>
        </w:rPr>
        <w:t xml:space="preserve">should</w:t>
      </w:r>
      <w:r>
        <w:t xml:space="preserve"> </w:t>
      </w:r>
      <w:r>
        <w:t xml:space="preserve">fail might pass, because the trust store holds too much, revocation isn’t configured, or a binding is weak. Book 02, Chapter 04 makes the same distinction: CBA validates certificates but isn’t a CA.</w:t>
      </w:r>
    </w:p>
    <w:p>
      <w:pPr>
        <w:pStyle w:val="BodyText"/>
      </w:pPr>
      <w:r>
        <w:t xml:space="preserve">Keep the two jobs apart in planning. The device side is about issuers and profiles. The user side is about trust and binding. They meet at one point, a user certificate delivered by Intune and then used to sign in, and that point is where most migration surprises come from.</w:t>
      </w:r>
    </w:p>
    <w:bookmarkStart w:id="483" w:name="fig-ch06-delivery-paths"/>
    <w:p>
      <w:pPr>
        <w:pStyle w:val="CaptionedFigure"/>
      </w:pPr>
      <w:r>
        <w:drawing>
          <wp:inline>
            <wp:extent cx="5334000" cy="2971800"/>
            <wp:effectExtent b="0" l="0" r="0" t="0"/>
            <wp:docPr descr="Intune delivers certificates by three paths: SCEP from Cloud PKI, SCEP from AD CS through NDES and the Certificate Connector, and PKCS from AD CS through the connector; every path needs the trusted certificate profile first." title="" id="481" name="Picture"/>
            <a:graphic>
              <a:graphicData uri="http://schemas.openxmlformats.org/drawingml/2006/picture">
                <pic:pic>
                  <pic:nvPicPr>
                    <pic:cNvPr descr="/home/runner/work/modernization-workbook/modernization-workbook/docs/images/diagrams/b07-pki/png/ch06-delivery-paths.png" id="482" name="Picture"/>
                    <pic:cNvPicPr>
                      <a:picLocks noChangeArrowheads="1" noChangeAspect="1"/>
                    </pic:cNvPicPr>
                  </pic:nvPicPr>
                  <pic:blipFill>
                    <a:blip r:embed="rId480"/>
                    <a:stretch>
                      <a:fillRect/>
                    </a:stretch>
                  </pic:blipFill>
                  <pic:spPr bwMode="auto">
                    <a:xfrm>
                      <a:off x="0" y="0"/>
                      <a:ext cx="5334000" cy="2971800"/>
                    </a:xfrm>
                    <a:prstGeom prst="rect">
                      <a:avLst/>
                    </a:prstGeom>
                    <a:noFill/>
                    <a:ln w="9525">
                      <a:noFill/>
                      <a:headEnd/>
                      <a:tailEnd/>
                    </a:ln>
                  </pic:spPr>
                </pic:pic>
              </a:graphicData>
            </a:graphic>
          </wp:inline>
        </w:drawing>
      </w:r>
    </w:p>
    <w:p>
      <w:pPr>
        <w:pStyle w:val="ImageCaption"/>
      </w:pPr>
      <w:r>
        <w:t xml:space="preserve">Intune delivers certificates by three paths: SCEP from Cloud PKI, SCEP from AD CS through NDES and the Certificate Connector, and PKCS from AD CS through the connector; every path needs the trusted certificate profile first.</w:t>
      </w:r>
    </w:p>
    <w:bookmarkEnd w:id="483"/>
    <w:bookmarkEnd w:id="484"/>
    <w:bookmarkStart w:id="492" w:name="X41e154dadb0189bb679edcd38a5e0f9c7cf13d5"/>
    <w:p>
      <w:pPr>
        <w:pStyle w:val="Heading2"/>
      </w:pPr>
      <w:bookmarkStart w:id="984" w:name="_Toc00000984"/>
      <w:r>
        <w:t xml:space="preserve">The trusted certificate profile comes first</w:t>
      </w:r>
      <w:bookmarkEnd w:id="984"/>
    </w:p>
    <w:p>
      <w:pPr>
        <w:pStyle w:val="FirstParagraph"/>
      </w:pPr>
      <w:r>
        <w:t xml:space="preserve">Every other profile depends on it. A trusted certificate profile deploys the public certificate of the root CA, and of intermediate or issuing CAs, so the device can build the chain to whatever issues its own certificates. Export each CA certificate as a DER-encoded</w:t>
      </w:r>
      <w:r>
        <w:t xml:space="preserve"> </w:t>
      </w:r>
      <w:r>
        <w:rPr>
          <w:rStyle w:val="VerbatimChar"/>
        </w:rPr>
        <w:t xml:space="preserve">.cer</w:t>
      </w:r>
      <w:r>
        <w:t xml:space="preserve"> </w:t>
      </w:r>
      <w:r>
        <w:t xml:space="preserve">file, never the private key, and create one trusted certificate profile per platform.</w:t>
      </w:r>
      <w:r>
        <w:rPr>
          <w:rStyle w:val="FootnoteReference"/>
        </w:rPr>
        <w:footnoteReference w:id="485"/>
      </w:r>
      <w:r>
        <w:t xml:space="preserve"> </w:t>
      </w:r>
      <w:r>
        <w:t xml:space="preserve">Deploy it to the same groups that receive the SCEP, PKCS or imported PKCS profiles and the Wi-Fi, VPN or email profiles that use them. SCEP profiles reference the trusted certificate profile directly; PKCS profiles reference the CA server instead, but the device still needs the chain. If a device doesn’t trust the root, the SCEP or PKCS profile fails.</w:t>
      </w:r>
      <w:r>
        <w:rPr>
          <w:rStyle w:val="FootnoteReference"/>
        </w:rPr>
        <w:footnoteReference w:id="487"/>
      </w:r>
    </w:p>
    <w:p>
      <w:pPr>
        <w:pStyle w:val="BodyText"/>
      </w:pPr>
      <w:r>
        <w:t xml:space="preserve">On Windows you choose the destination store: computer root, computer intermediate or user intermediate. The profile carries only root or intermediate certificates; Microsoft doesn’t support using it to deliver anything else.</w:t>
      </w:r>
      <w:r>
        <w:rPr>
          <w:rStyle w:val="FootnoteReference"/>
        </w:rPr>
        <w:footnoteReference w:id="488"/>
      </w:r>
      <w:r>
        <w:t xml:space="preserve"> </w:t>
      </w:r>
      <w:r>
        <w:t xml:space="preserve">The guide’s claim that the profile covers Linux was wrong: trusted certificate profiles are created for Android, iOS/iPadOS, macOS and Windows.</w:t>
      </w:r>
      <w:r>
        <w:rPr>
          <w:rStyle w:val="FootnoteReference"/>
        </w:rPr>
        <w:footnoteReference w:id="489"/>
      </w:r>
    </w:p>
    <w:p>
      <w:pPr>
        <w:pStyle w:val="BodyText"/>
      </w:pPr>
      <w:r>
        <w:t xml:space="preserve">With Cloud PKI, create trusted certificate profiles for the Cloud PKI root and issuing CAs. With a bring-your-own-CA (BYOCA) issuing CA anchored to a private root, create one for</w:t>
      </w:r>
      <w:r>
        <w:t xml:space="preserve"> </w:t>
      </w:r>
      <w:r>
        <w:rPr>
          <w:i/>
          <w:iCs/>
        </w:rPr>
        <w:t xml:space="preserve">every</w:t>
      </w:r>
      <w:r>
        <w:t xml:space="preserve"> </w:t>
      </w:r>
      <w:r>
        <w:t xml:space="preserve">CA certificate in the private hierarchy as well as for the Cloud PKI issuing CA, on every platform.</w:t>
      </w:r>
      <w:r>
        <w:rPr>
          <w:rStyle w:val="FootnoteReference"/>
        </w:rPr>
        <w:footnoteReference w:id="491"/>
      </w:r>
      <w:r>
        <w:t xml:space="preserve"> </w:t>
      </w:r>
      <w:r>
        <w:t xml:space="preserve">Chapter 04 covers the choice between the two Cloud PKI models.</w:t>
      </w:r>
    </w:p>
    <w:bookmarkEnd w:id="492"/>
    <w:bookmarkStart w:id="525" w:name="scep-profiles"/>
    <w:p>
      <w:pPr>
        <w:pStyle w:val="Heading2"/>
      </w:pPr>
      <w:bookmarkStart w:id="985" w:name="_Toc00000985"/>
      <w:r>
        <w:t xml:space="preserve">SCEP profiles</w:t>
      </w:r>
      <w:bookmarkEnd w:id="985"/>
    </w:p>
    <w:p>
      <w:pPr>
        <w:pStyle w:val="FirstParagraph"/>
      </w:pPr>
      <w:r>
        <w:t xml:space="preserve">With SCEP the device generates its own key pair and sends a certificate request; the private key never leaves the device.</w:t>
      </w:r>
      <w:r>
        <w:rPr>
          <w:rStyle w:val="FootnoteReference"/>
        </w:rPr>
        <w:footnoteReference w:id="493"/>
      </w:r>
      <w:r>
        <w:t xml:space="preserve"> </w:t>
      </w:r>
      <w:r>
        <w:t xml:space="preserve">Intune wraps each request with an encrypted, signed challenge that only Intune and the registration authority can read, and the registration authority rejects any request whose subject or subject alternative name doesn’t match what the challenge says Intune expected.</w:t>
      </w:r>
      <w:r>
        <w:rPr>
          <w:rStyle w:val="FootnoteReference"/>
        </w:rPr>
        <w:footnoteReference w:id="494"/>
      </w:r>
      <w:r>
        <w:t xml:space="preserve"> </w:t>
      </w:r>
      <w:r>
        <w:t xml:space="preserve">That challenge is what makes SCEP safe to expose to devices on the internet.</w:t>
      </w:r>
    </w:p>
    <w:bookmarkStart w:id="511" w:name="scep-with-microsoft-cloud-pki"/>
    <w:p>
      <w:pPr>
        <w:pStyle w:val="Heading3"/>
      </w:pPr>
      <w:r>
        <w:t xml:space="preserve">SCEP with Microsoft Cloud PKI</w:t>
      </w:r>
    </w:p>
    <w:p>
      <w:pPr>
        <w:pStyle w:val="FirstParagraph"/>
      </w:pPr>
      <w:r>
        <w:t xml:space="preserve">Cloud PKI hosts the CAs, a SCEP registration authority for each issuing CA, the CRL distribution point and the AIA endpoint, so it needs no on-premises CA, NDES server or Certificate Connector.</w:t>
      </w:r>
      <w:r>
        <w:rPr>
          <w:rStyle w:val="FootnoteReference"/>
        </w:rPr>
        <w:footnoteReference w:id="495"/>
      </w:r>
      <w:r>
        <w:t xml:space="preserve"> </w:t>
      </w:r>
      <w:r>
        <w:t xml:space="preserve">The administrator creates the root and issuing CAs (or a BYOCA issuing CA), creates trusted certificate profiles for them, and creates a SCEP profile per platform that points at the issuing CA’s SCEP URI. The device checks in, builds its request, the validation service checks it against the challenge, and the issuing CA signs.</w:t>
      </w:r>
      <w:r>
        <w:rPr>
          <w:rStyle w:val="FootnoteReference"/>
        </w:rPr>
        <w:footnoteReference w:id="496"/>
      </w:r>
      <w:r>
        <w:t xml:space="preserve"> </w:t>
      </w:r>
      <w:r>
        <w:t xml:space="preserve">The guide said that Intune generates the request on the device’s behalf. It doesn’t; the device does.</w:t>
      </w:r>
      <w:r>
        <w:rPr>
          <w:rStyle w:val="FootnoteReference"/>
        </w:rPr>
        <w:footnoteReference w:id="497"/>
      </w:r>
    </w:p>
    <w:p>
      <w:pPr>
        <w:pStyle w:val="BodyText"/>
      </w:pPr>
      <w:r>
        <w:t xml:space="preserve">The constraints that shape design:</w:t>
      </w:r>
    </w:p>
    <w:p>
      <w:pPr>
        <w:pStyle w:val="Compact"/>
        <w:numPr>
          <w:ilvl w:val="0"/>
          <w:numId w:val="1029"/>
        </w:numPr>
      </w:pPr>
      <w:r>
        <w:rPr>
          <w:b/>
          <w:bCs/>
        </w:rPr>
        <w:t xml:space="preserve">Only Intune-enrolled devices.</w:t>
      </w:r>
      <w:r>
        <w:t xml:space="preserve"> </w:t>
      </w:r>
      <w:r>
        <w:t xml:space="preserve">Leaf certificates go to Intune MDM-enrolled devices whose platform supports the SCEP profile: Android, iOS/iPadOS, macOS and Windows.</w:t>
      </w:r>
      <w:r>
        <w:rPr>
          <w:rStyle w:val="FootnoteReference"/>
        </w:rPr>
        <w:footnoteReference w:id="498"/>
      </w:r>
      <w:r>
        <w:t xml:space="preserve"> </w:t>
      </w:r>
      <w:r>
        <w:t xml:space="preserve">Intune’s supported platforms don’t include Windows Server,</w:t>
      </w:r>
      <w:r>
        <w:rPr>
          <w:rStyle w:val="FootnoteReference"/>
        </w:rPr>
        <w:footnoteReference w:id="499"/>
      </w:r>
      <w:r>
        <w:t xml:space="preserve"> </w:t>
      </w:r>
      <w:r>
        <w:t xml:space="preserve">so domain controllers, NPS servers, web servers and other servers can’t get Cloud PKI certificates. Book 05 explains how servers are managed instead; Chapter 07 covers where their certificates come from.</w:t>
      </w:r>
    </w:p>
    <w:p>
      <w:pPr>
        <w:pStyle w:val="Compact"/>
        <w:numPr>
          <w:ilvl w:val="0"/>
          <w:numId w:val="1029"/>
        </w:numPr>
      </w:pPr>
      <w:r>
        <w:rPr>
          <w:b/>
          <w:bCs/>
        </w:rPr>
        <w:t xml:space="preserve">SCEP only.</w:t>
      </w:r>
      <w:r>
        <w:t xml:space="preserve"> </w:t>
      </w:r>
      <w:r>
        <w:t xml:space="preserve">Cloud PKI issues through SCEP; it isn’t a PKCS issuer.</w:t>
      </w:r>
      <w:r>
        <w:rPr>
          <w:rStyle w:val="FootnoteReference"/>
        </w:rPr>
        <w:footnoteReference w:id="500"/>
      </w:r>
    </w:p>
    <w:p>
      <w:pPr>
        <w:pStyle w:val="Compact"/>
        <w:numPr>
          <w:ilvl w:val="0"/>
          <w:numId w:val="1029"/>
        </w:numPr>
      </w:pPr>
      <w:r>
        <w:rPr>
          <w:b/>
          <w:bCs/>
        </w:rPr>
        <w:t xml:space="preserve">Three CAs per tenant</w:t>
      </w:r>
      <w:r>
        <w:t xml:space="preserve">, counting root, issuing and BYOCA issuing CAs together.</w:t>
      </w:r>
      <w:r>
        <w:rPr>
          <w:rStyle w:val="FootnoteReference"/>
        </w:rPr>
        <w:footnoteReference w:id="501"/>
      </w:r>
    </w:p>
    <w:p>
      <w:pPr>
        <w:pStyle w:val="Compact"/>
        <w:numPr>
          <w:ilvl w:val="0"/>
          <w:numId w:val="1029"/>
        </w:numPr>
      </w:pPr>
      <w:r>
        <w:rPr>
          <w:b/>
          <w:bCs/>
        </w:rPr>
        <w:t xml:space="preserve">Fixed CA properties.</w:t>
      </w:r>
      <w:r>
        <w:t xml:space="preserve"> </w:t>
      </w:r>
      <w:r>
        <w:t xml:space="preserve">A CA’s extended key usages can’t be edited after creation, Any Purpose isn’t allowed, and a SCEP profile that asks for an EKU the issuing CA doesn’t carry fails. Don’t mix NDES SCEP URLs and Cloud PKI SCEP URLs in one profile.</w:t>
      </w:r>
      <w:r>
        <w:rPr>
          <w:rStyle w:val="FootnoteReference"/>
        </w:rPr>
        <w:footnoteReference w:id="502"/>
      </w:r>
    </w:p>
    <w:p>
      <w:pPr>
        <w:pStyle w:val="Compact"/>
        <w:numPr>
          <w:ilvl w:val="0"/>
          <w:numId w:val="1029"/>
        </w:numPr>
      </w:pPr>
      <w:r>
        <w:rPr>
          <w:b/>
          <w:bCs/>
        </w:rPr>
        <w:t xml:space="preserve">Keys and algorithms.</w:t>
      </w:r>
      <w:r>
        <w:t xml:space="preserve"> </w:t>
      </w:r>
      <w:r>
        <w:t xml:space="preserve">RSA 2048, 3072 or 4096 with SHA-256, SHA-384 or SHA-512; licensed CAs use Azure Managed HSM keys, while CAs created during a trial use software keys that can’t be converted later.</w:t>
      </w:r>
      <w:r>
        <w:rPr>
          <w:rStyle w:val="FootnoteReference"/>
        </w:rPr>
        <w:footnoteReference w:id="503"/>
      </w:r>
      <w:r>
        <w:t xml:space="preserve"> </w:t>
      </w:r>
      <w:r>
        <w:t xml:space="preserve">Don’t build production CAs during a trial.</w:t>
      </w:r>
    </w:p>
    <w:p>
      <w:pPr>
        <w:pStyle w:val="Compact"/>
        <w:numPr>
          <w:ilvl w:val="0"/>
          <w:numId w:val="1029"/>
        </w:numPr>
      </w:pPr>
      <w:r>
        <w:rPr>
          <w:b/>
          <w:bCs/>
        </w:rPr>
        <w:t xml:space="preserve">Revocation.</w:t>
      </w:r>
      <w:r>
        <w:t xml:space="preserve"> </w:t>
      </w:r>
      <w:r>
        <w:t xml:space="preserve">Intune hosts each CA’s CRL, valid for seven days, republished every 3.5 days and updated with every revocation.</w:t>
      </w:r>
      <w:r>
        <w:rPr>
          <w:rStyle w:val="FootnoteReference"/>
        </w:rPr>
        <w:footnoteReference w:id="504"/>
      </w:r>
      <w:r>
        <w:t xml:space="preserve"> </w:t>
      </w:r>
      <w:r>
        <w:t xml:space="preserve">This matches what Book 03, Chapter 09 records.</w:t>
      </w:r>
    </w:p>
    <w:p>
      <w:pPr>
        <w:pStyle w:val="FirstParagraph"/>
      </w:pPr>
      <w:r>
        <w:t xml:space="preserve">Licensing changed in 2026. Cloud PKI requires a subscription on top of Intune Plan 1 or Plan 2,</w:t>
      </w:r>
      <w:r>
        <w:rPr>
          <w:rStyle w:val="FootnoteReference"/>
        </w:rPr>
        <w:footnoteReference w:id="505"/>
      </w:r>
      <w:r>
        <w:t xml:space="preserve"> </w:t>
      </w:r>
      <w:r>
        <w:t xml:space="preserve">and from July 2026 Microsoft 365 E5 and E7 include it for commercial customers; Microsoft says Government plans are planned to align with the enterprise packaging subject to compliance requirements, so confirm the entitlement for a GCC tenant rather than assume it.</w:t>
      </w:r>
      <w:r>
        <w:rPr>
          <w:rStyle w:val="FootnoteReference"/>
        </w:rPr>
        <w:footnoteReference w:id="506"/>
      </w:r>
      <w:r>
        <w:rPr>
          <w:rStyle w:val="FootnoteReference"/>
        </w:rPr>
        <w:footnoteReference w:id="508"/>
      </w:r>
      <w:r>
        <w:t xml:space="preserve"> </w:t>
      </w:r>
      <w:r>
        <w:t xml:space="preserve">Cloud PKI is available in GCC High (announced for the week of September 28, 2026) and not in DoD environments.</w:t>
      </w:r>
      <w:r>
        <w:rPr>
          <w:rStyle w:val="FootnoteReference"/>
        </w:rPr>
        <w:footnoteReference w:id="509"/>
      </w:r>
      <w:r>
        <w:rPr>
          <w:rStyle w:val="FootnoteReference"/>
        </w:rPr>
        <w:footnoteReference w:id="510"/>
      </w:r>
    </w:p>
    <w:bookmarkEnd w:id="511"/>
    <w:bookmarkStart w:id="519" w:name="Xd0e26c7296274e204d924a63c795976df5f4be8"/>
    <w:p>
      <w:pPr>
        <w:pStyle w:val="Heading3"/>
      </w:pPr>
      <w:r>
        <w:t xml:space="preserve">SCEP with AD CS through NDES and the Certificate Connector</w:t>
      </w:r>
    </w:p>
    <w:p>
      <w:pPr>
        <w:pStyle w:val="FirstParagraph"/>
      </w:pPr>
      <w:r>
        <w:t xml:space="preserve">When the issuer is an AD CS CA, the path runs through two pieces of on-premises software. NDES is the SCEP registration authority; the Certificate Connector for Microsoft Intune installs on the same server, adds the Intune policy module that validates the challenge, and reports results to Intune.</w:t>
      </w:r>
      <w:r>
        <w:rPr>
          <w:rStyle w:val="FootnoteReference"/>
        </w:rPr>
        <w:footnoteReference w:id="512"/>
      </w:r>
      <w:r>
        <w:t xml:space="preserve"> </w:t>
      </w:r>
      <w:r>
        <w:t xml:space="preserve">The infrastructure rules are strict:</w:t>
      </w:r>
    </w:p>
    <w:p>
      <w:pPr>
        <w:pStyle w:val="TableCaption"/>
      </w:pPr>
      <w:r>
        <w:t xml:space="preserve">AD CS requirements for Intune SCEP</w:t>
      </w:r>
      <w:r>
        <w:rPr>
          <w:rStyle w:val="FootnoteReference"/>
        </w:rPr>
        <w:footnoteReference w:id="513"/>
      </w:r>
    </w:p>
    <w:tbl>
      <w:tblPr>
        <w:tblStyle w:val="Table"/>
        <w:tblW w:type="pct" w:w="5000"/>
        <w:tblLayout w:type="fixed"/>
        <w:tblLook w:firstRow="1" w:lastRow="0" w:firstColumn="0" w:lastColumn="0" w:noHBand="0" w:noVBand="0" w:val="0020"/>
        <w:tblCaption w:val="AD CS requirements for Intune SCEP"/>
      </w:tblPr>
      <w:tblGrid>
        <w:gridCol w:w="3960"/>
        <w:gridCol w:w="3960"/>
      </w:tblGrid>
      <w:tr>
        <w:trPr>
          <w:tblHeader w:val="on"/>
        </w:trPr>
        <w:tc>
          <w:tcPr/>
          <w:p>
            <w:pPr>
              <w:pStyle w:val="Compact"/>
            </w:pPr>
            <w:r>
              <w:t xml:space="preserve">Component</w:t>
            </w:r>
          </w:p>
        </w:tc>
        <w:tc>
          <w:tcPr/>
          <w:p>
            <w:pPr>
              <w:pStyle w:val="Compact"/>
            </w:pPr>
            <w:r>
              <w:t xml:space="preserve">Requirement</w:t>
            </w:r>
          </w:p>
        </w:tc>
      </w:tr>
      <w:tr>
        <w:tc>
          <w:tcPr/>
          <w:p>
            <w:pPr>
              <w:pStyle w:val="Compact"/>
            </w:pPr>
            <w:r>
              <w:t xml:space="preserve">Certification authority</w:t>
            </w:r>
          </w:p>
        </w:tc>
        <w:tc>
          <w:tcPr/>
          <w:p>
            <w:pPr>
              <w:pStyle w:val="Compact"/>
            </w:pPr>
            <w:r>
              <w:t xml:space="preserve">AD CS</w:t>
            </w:r>
            <w:r>
              <w:t xml:space="preserve"> </w:t>
            </w:r>
            <w:r>
              <w:rPr>
                <w:b/>
                <w:bCs/>
              </w:rPr>
              <w:t xml:space="preserve">enterprise</w:t>
            </w:r>
            <w:r>
              <w:t xml:space="preserve"> </w:t>
            </w:r>
            <w:r>
              <w:t xml:space="preserve">CA on a supported Windows Server; a standalone CA isn’t supported</w:t>
            </w:r>
          </w:p>
        </w:tc>
      </w:tr>
      <w:tr>
        <w:tc>
          <w:tcPr/>
          <w:p>
            <w:pPr>
              <w:pStyle w:val="Compact"/>
            </w:pPr>
            <w:r>
              <w:t xml:space="preserve">NDES and connector server</w:t>
            </w:r>
          </w:p>
        </w:tc>
        <w:tc>
          <w:tcPr/>
          <w:p>
            <w:pPr>
              <w:pStyle w:val="Compact"/>
            </w:pPr>
            <w:r>
              <w:t xml:space="preserve">Domain-joined, same forest as the enterprise CA; not a domain controller; not the issuing CA</w:t>
            </w:r>
          </w:p>
        </w:tc>
      </w:tr>
      <w:tr>
        <w:tc>
          <w:tcPr/>
          <w:p>
            <w:pPr>
              <w:pStyle w:val="Compact"/>
            </w:pPr>
            <w:r>
              <w:t xml:space="preserve">Publishing to the internet</w:t>
            </w:r>
          </w:p>
        </w:tc>
        <w:tc>
          <w:tcPr/>
          <w:p>
            <w:pPr>
              <w:pStyle w:val="Compact"/>
            </w:pPr>
            <w:r>
              <w:t xml:space="preserve">A reverse proxy (Microsoft Entra application proxy, Web Application Proxy or a third-party proxy) with preauthentication set to passthrough, because SCEP can’t preauthenticate</w:t>
            </w:r>
          </w:p>
        </w:tc>
      </w:tr>
      <w:tr>
        <w:tc>
          <w:tcPr/>
          <w:p>
            <w:pPr>
              <w:pStyle w:val="Compact"/>
            </w:pPr>
            <w:r>
              <w:t xml:space="preserve">Direct browsing of the NDES URL</w:t>
            </w:r>
          </w:p>
        </w:tc>
        <w:tc>
          <w:tcPr/>
          <w:p>
            <w:pPr>
              <w:pStyle w:val="Compact"/>
            </w:pPr>
            <w:r>
              <w:t xml:space="preserve">Returns 403 once the policy module is installed</w:t>
            </w:r>
          </w:p>
        </w:tc>
      </w:tr>
      <w:tr>
        <w:tc>
          <w:tcPr/>
          <w:p>
            <w:pPr>
              <w:pStyle w:val="Compact"/>
            </w:pPr>
            <w:r>
              <w:t xml:space="preserve">SCEP template</w:t>
            </w:r>
          </w:p>
        </w:tc>
        <w:tc>
          <w:tcPr/>
          <w:p>
            <w:pPr>
              <w:pStyle w:val="Compact"/>
            </w:pPr>
            <w:r>
              <w:t xml:space="preserve">Subject</w:t>
            </w:r>
            <w:r>
              <w:t xml:space="preserve"> </w:t>
            </w:r>
            <w:r>
              <w:rPr>
                <w:b/>
                <w:bCs/>
              </w:rPr>
              <w:t xml:space="preserve">supplied in the request</w:t>
            </w:r>
            <w:r>
              <w:t xml:space="preserve">; Client Authentication in application policies; NDES service account has Read and Enroll</w:t>
            </w:r>
          </w:p>
        </w:tc>
      </w:tr>
      <w:tr>
        <w:tc>
          <w:tcPr/>
          <w:p>
            <w:pPr>
              <w:pStyle w:val="Compact"/>
            </w:pPr>
            <w:r>
              <w:t xml:space="preserve">Revocation</w:t>
            </w:r>
          </w:p>
        </w:tc>
        <w:tc>
          <w:tcPr/>
          <w:p>
            <w:pPr>
              <w:pStyle w:val="Compact"/>
            </w:pPr>
            <w:r>
              <w:t xml:space="preserve">The connector’s account needs Issue and Manage Certificates on the CA</w:t>
            </w:r>
          </w:p>
        </w:tc>
      </w:tr>
    </w:tbl>
    <w:p>
      <w:pPr>
        <w:pStyle w:val="BodyText"/>
      </w:pPr>
      <w:r>
        <w:t xml:space="preserve">Two of those rows matter for hardening. The SCEP template supplies the subject in the request, which is the setting Chapter 03 treats as dangerous on any template a broad group can enroll in. Here the Intune policy module enforces the subject, so the template is safe only while its Enroll permission is limited to the NDES service account; audit that ACL as you would any other template’s. And the connector’s Issue and Manage Certificates right on the CA is a CA officer right, so the connector server belongs in the CA’s administrative tier.</w:t>
      </w:r>
    </w:p>
    <w:p>
      <w:pPr>
        <w:pStyle w:val="BodyText"/>
      </w:pPr>
      <w:r>
        <w:t xml:space="preserve">NDES maps a request to a template by the request’s purpose: signature, encryption, or both. One NDES server can therefore serve at most three templates; more than three needs more NDES servers.</w:t>
      </w:r>
      <w:r>
        <w:rPr>
          <w:rStyle w:val="FootnoteReference"/>
        </w:rPr>
        <w:footnoteReference w:id="514"/>
      </w:r>
      <w:r>
        <w:t xml:space="preserve"> </w:t>
      </w:r>
      <w:r>
        <w:t xml:space="preserve">NDES can’t be clustered or load balanced; for availability, install several identically configured NDES servers and let Intune spread requests across them.</w:t>
      </w:r>
      <w:r>
        <w:rPr>
          <w:rStyle w:val="FootnoteReference"/>
        </w:rPr>
        <w:footnoteReference w:id="516"/>
      </w:r>
      <w:r>
        <w:t xml:space="preserve"> </w:t>
      </w:r>
      <w:r>
        <w:t xml:space="preserve">Under the hood, NDES enrolls two registration-authority certificates of its own from the CEP Encryption and Exchange Enrollment Agent (Offline request) templates, both with the Certificate Request Agent purpose;</w:t>
      </w:r>
      <w:r>
        <w:rPr>
          <w:rStyle w:val="FootnoteReference"/>
        </w:rPr>
        <w:footnoteReference w:id="517"/>
      </w:r>
      <w:r>
        <w:t xml:space="preserve"> </w:t>
      </w:r>
      <w:r>
        <w:t xml:space="preserve">they expire like any other certificate and are a frequent cause of NDES outages.</w:t>
      </w:r>
    </w:p>
    <w:bookmarkEnd w:id="519"/>
    <w:bookmarkStart w:id="524" w:name="keep-the-connector-current"/>
    <w:p>
      <w:pPr>
        <w:pStyle w:val="Heading3"/>
      </w:pPr>
      <w:r>
        <w:t xml:space="preserve">Keep the connector current</w:t>
      </w:r>
    </w:p>
    <w:p>
      <w:pPr>
        <w:pStyle w:val="FirstParagraph"/>
      </w:pPr>
      <w:r>
        <w:t xml:space="preserve">The guide’s</w:t>
      </w:r>
      <w:r>
        <w:t xml:space="preserve"> </w:t>
      </w:r>
      <w:r>
        <w:t xml:space="preserve">“v6.2406 or later”</w:t>
      </w:r>
      <w:r>
        <w:t xml:space="preserve"> </w:t>
      </w:r>
      <w:r>
        <w:t xml:space="preserve">is out of date. Each connector release is supported for six months after the next one ships, and an out-of-support connector keeps working for up to 18 months before it may stop. Version 6.2406.0.1001 (September 2024) added the KB5014754 changes; the current release is 6.2510.3.3007 (May 18, 2026), and 6.2510.3.2002 (February 2026) began blocking unknown certificate extensions in SCEP requests.</w:t>
      </w:r>
      <w:r>
        <w:rPr>
          <w:rStyle w:val="FootnoteReference"/>
        </w:rPr>
        <w:footnoteReference w:id="520"/>
      </w:r>
      <w:r>
        <w:t xml:space="preserve"> </w:t>
      </w:r>
      <w:r>
        <w:t xml:space="preserve">Let the connector update itself (it needs outbound 443 to</w:t>
      </w:r>
      <w:r>
        <w:t xml:space="preserve"> </w:t>
      </w:r>
      <w:r>
        <w:rPr>
          <w:rStyle w:val="VerbatimChar"/>
        </w:rPr>
        <w:t xml:space="preserve">autoupdate.msappproxy.net</w:t>
      </w:r>
      <w:r>
        <w:t xml:space="preserve">) and alert when the admin center shows it as Warning or Error.</w:t>
      </w:r>
      <w:r>
        <w:rPr>
          <w:rStyle w:val="FootnoteReference"/>
        </w:rPr>
        <w:footnoteReference w:id="522"/>
      </w:r>
      <w:r>
        <w:t xml:space="preserve"> </w:t>
      </w:r>
      <w:r>
        <w:t xml:space="preserve">Up to 100 connector instances can run in a tenant; any instance with the PKCS feature can pick up any PKCS or revocation request, so every such instance needs the same CA permissions.</w:t>
      </w:r>
      <w:r>
        <w:rPr>
          <w:rStyle w:val="FootnoteReference"/>
        </w:rPr>
        <w:footnoteReference w:id="523"/>
      </w:r>
    </w:p>
    <w:bookmarkEnd w:id="524"/>
    <w:bookmarkEnd w:id="525"/>
    <w:bookmarkStart w:id="530" w:name="pkcs-and-imported-pkcs-profiles"/>
    <w:p>
      <w:pPr>
        <w:pStyle w:val="Heading2"/>
      </w:pPr>
      <w:bookmarkStart w:id="986" w:name="_Toc00000986"/>
      <w:r>
        <w:t xml:space="preserve">PKCS and imported PKCS profiles</w:t>
      </w:r>
      <w:bookmarkEnd w:id="986"/>
    </w:p>
    <w:p>
      <w:pPr>
        <w:pStyle w:val="FirstParagraph"/>
      </w:pPr>
      <w:r>
        <w:t xml:space="preserve">A PKCS profile doesn’t use NDES. The Certificate Connector receives the request from Intune,</w:t>
      </w:r>
      <w:r>
        <w:t xml:space="preserve"> </w:t>
      </w:r>
      <w:r>
        <w:rPr>
          <w:b/>
          <w:bCs/>
        </w:rPr>
        <w:t xml:space="preserve">generates the key pair on the connector server</w:t>
      </w:r>
      <w:r>
        <w:t xml:space="preserve">, requests the certificate from an AD CS enterprise CA, and returns the certificate and private key to Intune as a PFX, which Intune delivers to the device. Because of that, the template must allow the private key to be exported; on the device, Intune marks the key non-exportable.</w:t>
      </w:r>
      <w:r>
        <w:rPr>
          <w:rStyle w:val="FootnoteReference"/>
        </w:rPr>
        <w:footnoteReference w:id="526"/>
      </w:r>
      <w:r>
        <w:t xml:space="preserve"> </w:t>
      </w:r>
      <w:r>
        <w:t xml:space="preserve">The private key exists, however briefly, somewhere other than the device that uses it. That is the trade PKCS makes for not needing NDES, and it’s why the program prefers SCEP wherever a use case allows either.</w:t>
      </w:r>
    </w:p>
    <w:p>
      <w:pPr>
        <w:pStyle w:val="BodyText"/>
      </w:pPr>
      <w:r>
        <w:t xml:space="preserve">Microsoft’s template guidance for PKCS has the same hardening shape as for SCEP: subject supplied in the request, the connector’s computer account given Read and Enroll, and</w:t>
      </w:r>
      <w:r>
        <w:t xml:space="preserve"> </w:t>
      </w:r>
      <w:r>
        <w:rPr>
          <w:b/>
          <w:bCs/>
        </w:rPr>
        <w:t xml:space="preserve">Domain Users removed</w:t>
      </w:r>
      <w:r>
        <w:t xml:space="preserve"> </w:t>
      </w:r>
      <w:r>
        <w:t xml:space="preserve">from the template’s permissions.</w:t>
      </w:r>
      <w:r>
        <w:rPr>
          <w:rStyle w:val="FootnoteReference"/>
        </w:rPr>
        <w:footnoteReference w:id="527"/>
      </w:r>
      <w:r>
        <w:t xml:space="preserve"> </w:t>
      </w:r>
      <w:r>
        <w:t xml:space="preserve">A PKCS template with Domain Users still enrolled is an ESC1 finding (Chapter 03).</w:t>
      </w:r>
    </w:p>
    <w:p>
      <w:pPr>
        <w:pStyle w:val="BodyText"/>
      </w:pPr>
      <w:r>
        <w:t xml:space="preserve">Imported PKCS profiles distribute certificates that were issued elsewhere, typically S/MIME encryption certificates whose keys are archived so old mail stays readable; the connector handles the imported PFX files.</w:t>
      </w:r>
      <w:r>
        <w:rPr>
          <w:rStyle w:val="FootnoteReference"/>
        </w:rPr>
        <w:footnoteReference w:id="528"/>
      </w:r>
      <w:r>
        <w:t xml:space="preserve"> </w:t>
      </w:r>
      <w:r>
        <w:t xml:space="preserve">For S/MIME with AD CS, Microsoft notes that many administrators use the Exchange Signature Only template for signing and the Exchange User template for encryption.</w:t>
      </w:r>
      <w:r>
        <w:rPr>
          <w:rStyle w:val="FootnoteReference"/>
        </w:rPr>
        <w:footnoteReference w:id="529"/>
      </w:r>
    </w:p>
    <w:bookmarkEnd w:id="530"/>
    <w:bookmarkStart w:id="533" w:name="which-profile-for-which-use"/>
    <w:p>
      <w:pPr>
        <w:pStyle w:val="Heading2"/>
      </w:pPr>
      <w:bookmarkStart w:id="987" w:name="_Toc00000987"/>
      <w:r>
        <w:t xml:space="preserve">Which profile for which use</w:t>
      </w:r>
      <w:bookmarkEnd w:id="987"/>
    </w:p>
    <w:p>
      <w:pPr>
        <w:pStyle w:val="FirstParagraph"/>
      </w:pPr>
      <w:r>
        <w:t xml:space="preserve">The guide’s use-case table mixed client and server certificates. Corrected, and limited to what Intune can actually deliver:</w:t>
      </w:r>
    </w:p>
    <w:p>
      <w:pPr>
        <w:pStyle w:val="TableCaption"/>
      </w:pPr>
      <w:r>
        <w:t xml:space="preserve">Intune certificate profiles by use case</w:t>
      </w:r>
    </w:p>
    <w:tbl>
      <w:tblPr>
        <w:tblStyle w:val="Table"/>
        <w:tblW w:type="pct" w:w="5000"/>
        <w:tblLayout w:type="fixed"/>
        <w:tblLook w:firstRow="1" w:lastRow="0" w:firstColumn="0" w:lastColumn="0" w:noHBand="0" w:noVBand="0" w:val="0020"/>
        <w:tblCaption w:val="Intune certificate profiles by use case"/>
      </w:tblPr>
      <w:tblGrid>
        <w:gridCol w:w="1584"/>
        <w:gridCol w:w="1584"/>
        <w:gridCol w:w="1584"/>
        <w:gridCol w:w="1584"/>
        <w:gridCol w:w="1584"/>
      </w:tblGrid>
      <w:tr>
        <w:trPr>
          <w:tblHeader w:val="on"/>
        </w:trPr>
        <w:tc>
          <w:tcPr/>
          <w:p>
            <w:pPr>
              <w:pStyle w:val="Compact"/>
            </w:pPr>
            <w:r>
              <w:t xml:space="preserve">Use case</w:t>
            </w:r>
          </w:p>
        </w:tc>
        <w:tc>
          <w:tcPr/>
          <w:p>
            <w:pPr>
              <w:pStyle w:val="Compact"/>
            </w:pPr>
            <w:r>
              <w:t xml:space="preserve">Profile</w:t>
            </w:r>
          </w:p>
        </w:tc>
        <w:tc>
          <w:tcPr/>
          <w:p>
            <w:pPr>
              <w:pStyle w:val="Compact"/>
            </w:pPr>
            <w:r>
              <w:t xml:space="preserve">Issuer</w:t>
            </w:r>
          </w:p>
        </w:tc>
        <w:tc>
          <w:tcPr/>
          <w:p>
            <w:pPr>
              <w:pStyle w:val="Compact"/>
            </w:pPr>
            <w:r>
              <w:t xml:space="preserve">Platforms</w:t>
            </w:r>
          </w:p>
        </w:tc>
        <w:tc>
          <w:tcPr/>
          <w:p>
            <w:pPr>
              <w:pStyle w:val="Compact"/>
            </w:pPr>
            <w:r>
              <w:t xml:space="preserve">Notes</w:t>
            </w:r>
          </w:p>
        </w:tc>
      </w:tr>
      <w:tr>
        <w:tc>
          <w:tcPr/>
          <w:p>
            <w:pPr>
              <w:pStyle w:val="Compact"/>
            </w:pPr>
            <w:r>
              <w:t xml:space="preserve">Wi-Fi 802.1X (EAP-TLS), device or user</w:t>
            </w:r>
          </w:p>
        </w:tc>
        <w:tc>
          <w:tcPr/>
          <w:p>
            <w:pPr>
              <w:pStyle w:val="Compact"/>
            </w:pPr>
            <w:r>
              <w:t xml:space="preserve">Trusted certificate + SCEP</w:t>
            </w:r>
          </w:p>
        </w:tc>
        <w:tc>
          <w:tcPr/>
          <w:p>
            <w:pPr>
              <w:pStyle w:val="Compact"/>
            </w:pPr>
            <w:r>
              <w:t xml:space="preserve">Cloud PKI</w:t>
            </w:r>
          </w:p>
        </w:tc>
        <w:tc>
          <w:tcPr/>
          <w:p>
            <w:pPr>
              <w:pStyle w:val="Compact"/>
            </w:pPr>
            <w:r>
              <w:t xml:space="preserve">Windows, iOS/iPadOS, Android, macOS</w:t>
            </w:r>
          </w:p>
        </w:tc>
        <w:tc>
          <w:tcPr/>
          <w:p>
            <w:pPr>
              <w:pStyle w:val="Compact"/>
            </w:pPr>
            <w:r>
              <w:t xml:space="preserve">The RADIUS server must trust the Cloud PKI chain</w:t>
            </w:r>
          </w:p>
        </w:tc>
      </w:tr>
      <w:tr>
        <w:tc>
          <w:tcPr/>
          <w:p>
            <w:pPr>
              <w:pStyle w:val="Compact"/>
            </w:pPr>
            <w:r>
              <w:t xml:space="preserve">Wired 802.1X</w:t>
            </w:r>
          </w:p>
        </w:tc>
        <w:tc>
          <w:tcPr/>
          <w:p>
            <w:pPr>
              <w:pStyle w:val="Compact"/>
            </w:pPr>
            <w:r>
              <w:t xml:space="preserve">Trusted certificate + SCEP</w:t>
            </w:r>
          </w:p>
        </w:tc>
        <w:tc>
          <w:tcPr/>
          <w:p>
            <w:pPr>
              <w:pStyle w:val="Compact"/>
            </w:pPr>
            <w:r>
              <w:t xml:space="preserve">Cloud PKI</w:t>
            </w:r>
          </w:p>
        </w:tc>
        <w:tc>
          <w:tcPr/>
          <w:p>
            <w:pPr>
              <w:pStyle w:val="Compact"/>
            </w:pPr>
            <w:r>
              <w:t xml:space="preserve">Windows workstations</w:t>
            </w:r>
          </w:p>
        </w:tc>
        <w:tc>
          <w:tcPr/>
          <w:p>
            <w:pPr>
              <w:pStyle w:val="Compact"/>
            </w:pPr>
            <w:r>
              <w:t xml:space="preserve">Servers stay on AD CS auto-enrollment</w:t>
            </w:r>
          </w:p>
        </w:tc>
      </w:tr>
      <w:tr>
        <w:tc>
          <w:tcPr/>
          <w:p>
            <w:pPr>
              <w:pStyle w:val="Compact"/>
            </w:pPr>
            <w:r>
              <w:t xml:space="preserve">VPN client authentication</w:t>
            </w:r>
          </w:p>
        </w:tc>
        <w:tc>
          <w:tcPr/>
          <w:p>
            <w:pPr>
              <w:pStyle w:val="Compact"/>
            </w:pPr>
            <w:r>
              <w:t xml:space="preserve">Trusted certificate + SCEP</w:t>
            </w:r>
          </w:p>
        </w:tc>
        <w:tc>
          <w:tcPr/>
          <w:p>
            <w:pPr>
              <w:pStyle w:val="Compact"/>
            </w:pPr>
            <w:r>
              <w:t xml:space="preserve">Cloud PKI, or AD CS through NDES while the VPN trusts only AD CS</w:t>
            </w:r>
          </w:p>
        </w:tc>
        <w:tc>
          <w:tcPr/>
          <w:p>
            <w:pPr>
              <w:pStyle w:val="Compact"/>
            </w:pPr>
            <w:r>
              <w:t xml:space="preserve">Windows, iOS/iPadOS, Android, macOS</w:t>
            </w:r>
          </w:p>
        </w:tc>
        <w:tc>
          <w:tcPr/>
          <w:p>
            <w:pPr>
              <w:pStyle w:val="Compact"/>
            </w:pPr>
          </w:p>
        </w:tc>
      </w:tr>
      <w:tr>
        <w:tc>
          <w:tcPr/>
          <w:p>
            <w:pPr>
              <w:pStyle w:val="Compact"/>
            </w:pPr>
            <w:r>
              <w:t xml:space="preserve">Client certificate for web application mTLS</w:t>
            </w:r>
          </w:p>
        </w:tc>
        <w:tc>
          <w:tcPr/>
          <w:p>
            <w:pPr>
              <w:pStyle w:val="Compact"/>
            </w:pPr>
            <w:r>
              <w:t xml:space="preserve">Trusted certificate + SCEP</w:t>
            </w:r>
          </w:p>
        </w:tc>
        <w:tc>
          <w:tcPr/>
          <w:p>
            <w:pPr>
              <w:pStyle w:val="Compact"/>
            </w:pPr>
            <w:r>
              <w:t xml:space="preserve">Cloud PKI</w:t>
            </w:r>
          </w:p>
        </w:tc>
        <w:tc>
          <w:tcPr/>
          <w:p>
            <w:pPr>
              <w:pStyle w:val="Compact"/>
            </w:pPr>
            <w:r>
              <w:t xml:space="preserve">As the application supports</w:t>
            </w:r>
          </w:p>
        </w:tc>
        <w:tc>
          <w:tcPr/>
          <w:p>
            <w:pPr>
              <w:pStyle w:val="Compact"/>
            </w:pPr>
          </w:p>
        </w:tc>
      </w:tr>
      <w:tr>
        <w:tc>
          <w:tcPr/>
          <w:p>
            <w:pPr>
              <w:pStyle w:val="Compact"/>
            </w:pPr>
            <w:r>
              <w:t xml:space="preserve">User certificate for Entra CBA</w:t>
            </w:r>
          </w:p>
        </w:tc>
        <w:tc>
          <w:tcPr/>
          <w:p>
            <w:pPr>
              <w:pStyle w:val="Compact"/>
            </w:pPr>
            <w:r>
              <w:t xml:space="preserve">Trusted certificate + SCEP</w:t>
            </w:r>
          </w:p>
        </w:tc>
        <w:tc>
          <w:tcPr/>
          <w:p>
            <w:pPr>
              <w:pStyle w:val="Compact"/>
            </w:pPr>
            <w:r>
              <w:t xml:space="preserve">Cloud PKI or AD CS</w:t>
            </w:r>
          </w:p>
        </w:tc>
        <w:tc>
          <w:tcPr/>
          <w:p>
            <w:pPr>
              <w:pStyle w:val="Compact"/>
            </w:pPr>
            <w:r>
              <w:t xml:space="preserve">Windows, iOS/iPadOS, Android, macOS</w:t>
            </w:r>
          </w:p>
        </w:tc>
        <w:tc>
          <w:tcPr/>
          <w:p>
            <w:pPr>
              <w:pStyle w:val="Compact"/>
            </w:pPr>
            <w:r>
              <w:t xml:space="preserve">The issuing CA must be in the Entra trust store</w:t>
            </w:r>
          </w:p>
        </w:tc>
      </w:tr>
      <w:tr>
        <w:tc>
          <w:tcPr/>
          <w:p>
            <w:pPr>
              <w:pStyle w:val="Compact"/>
            </w:pPr>
            <w:r>
              <w:t xml:space="preserve">S/MIME signing</w:t>
            </w:r>
          </w:p>
        </w:tc>
        <w:tc>
          <w:tcPr/>
          <w:p>
            <w:pPr>
              <w:pStyle w:val="Compact"/>
            </w:pPr>
            <w:r>
              <w:t xml:space="preserve">PKCS</w:t>
            </w:r>
          </w:p>
        </w:tc>
        <w:tc>
          <w:tcPr/>
          <w:p>
            <w:pPr>
              <w:pStyle w:val="Compact"/>
            </w:pPr>
            <w:r>
              <w:t xml:space="preserve">AD CS or existing CA</w:t>
            </w:r>
          </w:p>
        </w:tc>
        <w:tc>
          <w:tcPr/>
          <w:p>
            <w:pPr>
              <w:pStyle w:val="Compact"/>
            </w:pPr>
            <w:r>
              <w:t xml:space="preserve">Windows, iOS/iPadOS, Android, macOS</w:t>
            </w:r>
          </w:p>
        </w:tc>
        <w:tc>
          <w:tcPr/>
          <w:p>
            <w:pPr>
              <w:pStyle w:val="Compact"/>
            </w:pPr>
            <w:r>
              <w:t xml:space="preserve">Exchange Signature Only template on AD CS</w:t>
            </w:r>
          </w:p>
        </w:tc>
      </w:tr>
      <w:tr>
        <w:tc>
          <w:tcPr/>
          <w:p>
            <w:pPr>
              <w:pStyle w:val="Compact"/>
            </w:pPr>
            <w:r>
              <w:t xml:space="preserve">S/MIME encryption</w:t>
            </w:r>
          </w:p>
        </w:tc>
        <w:tc>
          <w:tcPr/>
          <w:p>
            <w:pPr>
              <w:pStyle w:val="Compact"/>
            </w:pPr>
            <w:r>
              <w:t xml:space="preserve">Imported PKCS</w:t>
            </w:r>
          </w:p>
        </w:tc>
        <w:tc>
          <w:tcPr/>
          <w:p>
            <w:pPr>
              <w:pStyle w:val="Compact"/>
            </w:pPr>
            <w:r>
              <w:t xml:space="preserve">Existing CA with key archival</w:t>
            </w:r>
          </w:p>
        </w:tc>
        <w:tc>
          <w:tcPr/>
          <w:p>
            <w:pPr>
              <w:pStyle w:val="Compact"/>
            </w:pPr>
            <w:r>
              <w:t xml:space="preserve">Windows, iOS/iPadOS, Android, macOS</w:t>
            </w:r>
          </w:p>
        </w:tc>
        <w:tc>
          <w:tcPr/>
          <w:p>
            <w:pPr>
              <w:pStyle w:val="Compact"/>
            </w:pPr>
            <w:r>
              <w:t xml:space="preserve">Old mail needs the old keys</w:t>
            </w:r>
          </w:p>
        </w:tc>
      </w:tr>
      <w:tr>
        <w:tc>
          <w:tcPr/>
          <w:p>
            <w:pPr>
              <w:pStyle w:val="Compact"/>
            </w:pPr>
            <w:r>
              <w:t xml:space="preserve">User certificate for on-premises Kerberos (certificate logon to AD)</w:t>
            </w:r>
          </w:p>
        </w:tc>
        <w:tc>
          <w:tcPr/>
          <w:p>
            <w:pPr>
              <w:pStyle w:val="Compact"/>
            </w:pPr>
            <w:r>
              <w:t xml:space="preserve">SCEP or PKCS with the SID added</w:t>
            </w:r>
          </w:p>
        </w:tc>
        <w:tc>
          <w:tcPr/>
          <w:p>
            <w:pPr>
              <w:pStyle w:val="Compact"/>
            </w:pPr>
            <w:r>
              <w:t xml:space="preserve">AD CS, or a CA published to NTAuth</w:t>
            </w:r>
          </w:p>
        </w:tc>
        <w:tc>
          <w:tcPr/>
          <w:p>
            <w:pPr>
              <w:pStyle w:val="Compact"/>
            </w:pPr>
            <w:r>
              <w:t xml:space="preserve">Windows</w:t>
            </w:r>
          </w:p>
        </w:tc>
        <w:tc>
          <w:tcPr/>
          <w:p>
            <w:pPr>
              <w:pStyle w:val="Compact"/>
            </w:pPr>
            <w:r>
              <w:t xml:space="preserve">Strong mapping required (next section)</w:t>
            </w:r>
          </w:p>
        </w:tc>
      </w:tr>
    </w:tbl>
    <w:p>
      <w:pPr>
        <w:pStyle w:val="BodyText"/>
      </w:pPr>
      <w:r>
        <w:t xml:space="preserve">Three rows from the guide are gone.</w:t>
      </w:r>
      <w:r>
        <w:t xml:space="preserve"> </w:t>
      </w:r>
      <w:r>
        <w:rPr>
          <w:i/>
          <w:iCs/>
        </w:rPr>
        <w:t xml:space="preserve">RADIUS NPS server</w:t>
      </w:r>
      <w:r>
        <w:t xml:space="preserve">,</w:t>
      </w:r>
      <w:r>
        <w:t xml:space="preserve"> </w:t>
      </w:r>
      <w:r>
        <w:rPr>
          <w:i/>
          <w:iCs/>
        </w:rPr>
        <w:t xml:space="preserve">Remote Desktop Gateway</w:t>
      </w:r>
      <w:r>
        <w:t xml:space="preserve"> </w:t>
      </w:r>
      <w:r>
        <w:t xml:space="preserve">and</w:t>
      </w:r>
      <w:r>
        <w:t xml:space="preserve"> </w:t>
      </w:r>
      <w:r>
        <w:rPr>
          <w:i/>
          <w:iCs/>
        </w:rPr>
        <w:t xml:space="preserve">application proxy connector</w:t>
      </w:r>
      <w:r>
        <w:t xml:space="preserve"> </w:t>
      </w:r>
      <w:r>
        <w:t xml:space="preserve">certificates are server certificates, and Intune doesn’t manage Windows Server; Chapter 07 covers them.</w:t>
      </w:r>
      <w:r>
        <w:t xml:space="preserve"> </w:t>
      </w:r>
      <w:r>
        <w:rPr>
          <w:i/>
          <w:iCs/>
        </w:rPr>
        <w:t xml:space="preserve">MDM enrollment bootstrap</w:t>
      </w:r>
      <w:r>
        <w:t xml:space="preserve"> </w:t>
      </w:r>
      <w:r>
        <w:t xml:space="preserve">isn’t a certificate profile at all; enrollment doesn’t depend on one. Targeting is the program’s design: assign profiles to groups whose membership derives from governed attributes, with the dynamic group and filter templates in Book 05, Chapter 08, not from hand-maintained lists.</w:t>
      </w:r>
    </w:p>
    <w:p>
      <w:pPr>
        <w:pStyle w:val="BodyText"/>
      </w:pPr>
      <w:r>
        <w:t xml:space="preserve">Entra-joined devices are a special case for Wi-Fi. They have no on-premises computer object, so RADIUS authentication that maps a device certificate to an AD computer account doesn’t work for them; Microsoft’s alternative is certificates pushed by Intune or user credentials.</w:t>
      </w:r>
      <w:r>
        <w:rPr>
          <w:rStyle w:val="FootnoteReference"/>
        </w:rPr>
        <w:footnoteReference w:id="531"/>
      </w:r>
      <w:r>
        <w:t xml:space="preserve"> </w:t>
      </w:r>
      <w:r>
        <w:t xml:space="preserve">Check the RADIUS policy before you move the first Entra-joined device onto 802.1X.</w:t>
      </w:r>
    </w:p>
    <w:bookmarkEnd w:id="533"/>
    <w:bookmarkStart w:id="560" w:name="strong-certificate-mapping-kb5014754"/>
    <w:p>
      <w:pPr>
        <w:pStyle w:val="Heading2"/>
      </w:pPr>
      <w:bookmarkStart w:id="988" w:name="_Toc00000988"/>
      <w:r>
        <w:t xml:space="preserve">Strong certificate mapping (KB5014754)</w:t>
      </w:r>
      <w:bookmarkEnd w:id="988"/>
    </w:p>
    <w:bookmarkStart w:id="540" w:name="what-changed"/>
    <w:p>
      <w:pPr>
        <w:pStyle w:val="Heading3"/>
      </w:pPr>
      <w:r>
        <w:t xml:space="preserve">What changed</w:t>
      </w:r>
    </w:p>
    <w:p>
      <w:pPr>
        <w:pStyle w:val="FirstParagraph"/>
      </w:pPr>
      <w:r>
        <w:t xml:space="preserve">Before May 2022, a domain controller would map a certificate to an account by name: the UPN or DNS name in the certificate. Anyone who could get a certificate with someone else’s name in it could authenticate as that account. KB5014754 changed the Key Distribution Center (KDC) so that it wants a</w:t>
      </w:r>
      <w:r>
        <w:t xml:space="preserve"> </w:t>
      </w:r>
      <w:r>
        <w:rPr>
          <w:i/>
          <w:iCs/>
        </w:rPr>
        <w:t xml:space="preserve">strong</w:t>
      </w:r>
      <w:r>
        <w:t xml:space="preserve"> </w:t>
      </w:r>
      <w:r>
        <w:t xml:space="preserve">mapping: something in the certificate or on the account that ties the two together and can’t be reused.</w:t>
      </w:r>
      <w:r>
        <w:rPr>
          <w:rStyle w:val="FootnoteReference"/>
        </w:rPr>
        <w:footnoteReference w:id="534"/>
      </w:r>
    </w:p>
    <w:p>
      <w:pPr>
        <w:pStyle w:val="BodyText"/>
      </w:pPr>
      <w:r>
        <w:t xml:space="preserve">A strong mapping is any of:</w:t>
      </w:r>
    </w:p>
    <w:p>
      <w:pPr>
        <w:pStyle w:val="Compact"/>
        <w:numPr>
          <w:ilvl w:val="0"/>
          <w:numId w:val="1030"/>
        </w:numPr>
      </w:pPr>
      <w:r>
        <w:rPr>
          <w:b/>
          <w:bCs/>
        </w:rPr>
        <w:t xml:space="preserve">The SID extension.</w:t>
      </w:r>
      <w:r>
        <w:t xml:space="preserve"> </w:t>
      </w:r>
      <w:r>
        <w:t xml:space="preserve">After the May 10, 2022 update, AD CS adds a non-critical extension with OID</w:t>
      </w:r>
      <w:r>
        <w:t xml:space="preserve"> </w:t>
      </w:r>
      <w:r>
        <w:rPr>
          <w:rStyle w:val="VerbatimChar"/>
        </w:rPr>
        <w:t xml:space="preserve">1.3.6.1.4.1.311.25.2</w:t>
      </w:r>
      <w:r>
        <w:t xml:space="preserve">, carrying the requester’s SID, to certificates issued from online templates. Non-Microsoft CAs may not add it.</w:t>
      </w:r>
      <w:r>
        <w:rPr>
          <w:rStyle w:val="FootnoteReference"/>
        </w:rPr>
        <w:footnoteReference w:id="535"/>
      </w:r>
    </w:p>
    <w:p>
      <w:pPr>
        <w:pStyle w:val="Compact"/>
        <w:numPr>
          <w:ilvl w:val="0"/>
          <w:numId w:val="1030"/>
        </w:numPr>
      </w:pPr>
      <w:r>
        <w:rPr>
          <w:b/>
          <w:bCs/>
        </w:rPr>
        <w:t xml:space="preserve">The SID in a SAN URL.</w:t>
      </w:r>
      <w:r>
        <w:t xml:space="preserve"> </w:t>
      </w:r>
      <w:r>
        <w:t xml:space="preserve">Intune’s form:</w:t>
      </w:r>
      <w:r>
        <w:t xml:space="preserve"> </w:t>
      </w:r>
      <w:r>
        <w:rPr>
          <w:rStyle w:val="VerbatimChar"/>
        </w:rPr>
        <w:t xml:space="preserve">URL=tag:microsoft.com,2022-09-14:sid:&lt;value&gt;</w:t>
      </w:r>
      <w:r>
        <w:t xml:space="preserve">, added to new and renewed Intune certificates when the profile asks for it.</w:t>
      </w:r>
      <w:r>
        <w:rPr>
          <w:rStyle w:val="FootnoteReference"/>
        </w:rPr>
        <w:footnoteReference w:id="536"/>
      </w:r>
      <w:r>
        <w:rPr>
          <w:rStyle w:val="FootnoteReference"/>
        </w:rPr>
        <w:footnoteReference w:id="537"/>
      </w:r>
    </w:p>
    <w:p>
      <w:pPr>
        <w:pStyle w:val="Compact"/>
        <w:numPr>
          <w:ilvl w:val="0"/>
          <w:numId w:val="1030"/>
        </w:numPr>
      </w:pPr>
      <w:r>
        <w:rPr>
          <w:b/>
          <w:bCs/>
        </w:rPr>
        <w:t xml:space="preserve">An explicit strong mapping on the account,</w:t>
      </w:r>
      <w:r>
        <w:t xml:space="preserve"> </w:t>
      </w:r>
      <w:r>
        <w:t xml:space="preserve">written to</w:t>
      </w:r>
      <w:r>
        <w:t xml:space="preserve"> </w:t>
      </w:r>
      <w:r>
        <w:rPr>
          <w:rStyle w:val="VerbatimChar"/>
        </w:rPr>
        <w:t xml:space="preserve">altSecurityIdentities</w:t>
      </w:r>
      <w:r>
        <w:t xml:space="preserve">:</w:t>
      </w:r>
      <w:r>
        <w:t xml:space="preserve"> </w:t>
      </w:r>
      <w:r>
        <w:rPr>
          <w:rStyle w:val="VerbatimChar"/>
        </w:rPr>
        <w:t xml:space="preserve">X509IssuerSerialNumber</w:t>
      </w:r>
      <w:r>
        <w:t xml:space="preserve"> </w:t>
      </w:r>
      <w:r>
        <w:t xml:space="preserve">(Microsoft’s recommended form, with the serial number in reversed byte order),</w:t>
      </w:r>
      <w:r>
        <w:t xml:space="preserve"> </w:t>
      </w:r>
      <w:r>
        <w:rPr>
          <w:rStyle w:val="VerbatimChar"/>
        </w:rPr>
        <w:t xml:space="preserve">X509SKI</w:t>
      </w:r>
      <w:r>
        <w:t xml:space="preserve"> </w:t>
      </w:r>
      <w:r>
        <w:t xml:space="preserve">or</w:t>
      </w:r>
      <w:r>
        <w:t xml:space="preserve"> </w:t>
      </w:r>
      <w:r>
        <w:rPr>
          <w:rStyle w:val="VerbatimChar"/>
        </w:rPr>
        <w:t xml:space="preserve">X509SHA1PublicKey</w:t>
      </w:r>
      <w:r>
        <w:t xml:space="preserve">. The</w:t>
      </w:r>
      <w:r>
        <w:t xml:space="preserve"> </w:t>
      </w:r>
      <w:r>
        <w:rPr>
          <w:rStyle w:val="VerbatimChar"/>
        </w:rPr>
        <w:t xml:space="preserve">X509IssuerSubject</w:t>
      </w:r>
      <w:r>
        <w:t xml:space="preserve">,</w:t>
      </w:r>
      <w:r>
        <w:t xml:space="preserve"> </w:t>
      </w:r>
      <w:r>
        <w:rPr>
          <w:rStyle w:val="VerbatimChar"/>
        </w:rPr>
        <w:t xml:space="preserve">X509SubjectOnly</w:t>
      </w:r>
      <w:r>
        <w:t xml:space="preserve"> </w:t>
      </w:r>
      <w:r>
        <w:t xml:space="preserve">and</w:t>
      </w:r>
      <w:r>
        <w:t xml:space="preserve"> </w:t>
      </w:r>
      <w:r>
        <w:rPr>
          <w:rStyle w:val="VerbatimChar"/>
        </w:rPr>
        <w:t xml:space="preserve">X509RFC822</w:t>
      </w:r>
      <w:r>
        <w:t xml:space="preserve"> </w:t>
      </w:r>
      <w:r>
        <w:t xml:space="preserve">forms are weak.</w:t>
      </w:r>
      <w:r>
        <w:rPr>
          <w:rStyle w:val="FootnoteReference"/>
        </w:rPr>
        <w:footnoteReference w:id="539"/>
      </w:r>
    </w:p>
    <w:p>
      <w:pPr>
        <w:pStyle w:val="FirstParagraph"/>
      </w:pPr>
      <w:r>
        <w:t xml:space="preserve">The same</w:t>
      </w:r>
      <w:r>
        <w:t xml:space="preserve"> </w:t>
      </w:r>
      <w:r>
        <w:rPr>
          <w:rStyle w:val="VerbatimChar"/>
        </w:rPr>
        <w:t xml:space="preserve">altSecurityIdentities</w:t>
      </w:r>
      <w:r>
        <w:t xml:space="preserve"> </w:t>
      </w:r>
      <w:r>
        <w:t xml:space="preserve">values are what Entra Connect can sync to</w:t>
      </w:r>
      <w:r>
        <w:t xml:space="preserve"> </w:t>
      </w:r>
      <w:r>
        <w:rPr>
          <w:rStyle w:val="VerbatimChar"/>
        </w:rPr>
        <w:t xml:space="preserve">certificateUserIds</w:t>
      </w:r>
      <w:r>
        <w:t xml:space="preserve"> </w:t>
      </w:r>
      <w:r>
        <w:t xml:space="preserve">for Entra CBA; Book 03, Chapter 09 covers that write path and the risk of letting AD administrators control it.</w:t>
      </w:r>
    </w:p>
    <w:bookmarkEnd w:id="540"/>
    <w:bookmarkStart w:id="544" w:name="X11100825b622e42e72c175a113ece7ba46275fd"/>
    <w:p>
      <w:pPr>
        <w:pStyle w:val="Heading3"/>
      </w:pPr>
      <w:r>
        <w:t xml:space="preserve">The enforcement timeline and where it stands today</w:t>
      </w:r>
    </w:p>
    <w:p>
      <w:pPr>
        <w:pStyle w:val="FirstParagraph"/>
      </w:pPr>
      <w:r>
        <w:t xml:space="preserve">The guide said enforcement began in February 2025. That was one step of four:</w:t>
      </w:r>
    </w:p>
    <w:p>
      <w:pPr>
        <w:pStyle w:val="TableCaption"/>
      </w:pPr>
      <w:r>
        <w:t xml:space="preserve">KB5014754 strong mapping phases</w:t>
      </w:r>
      <w:r>
        <w:rPr>
          <w:rStyle w:val="FootnoteReference"/>
        </w:rPr>
        <w:footnoteReference w:id="541"/>
      </w:r>
    </w:p>
    <w:tbl>
      <w:tblPr>
        <w:tblStyle w:val="Table"/>
        <w:tblW w:type="pct" w:w="5000"/>
        <w:tblLayout w:type="fixed"/>
        <w:tblLook w:firstRow="1" w:lastRow="0" w:firstColumn="0" w:lastColumn="0" w:noHBand="0" w:noVBand="0" w:val="0020"/>
        <w:tblCaption w:val="KB5014754 strong mapping phases"/>
      </w:tblPr>
      <w:tblGrid>
        <w:gridCol w:w="3960"/>
        <w:gridCol w:w="3960"/>
      </w:tblGrid>
      <w:tr>
        <w:trPr>
          <w:tblHeader w:val="on"/>
        </w:trPr>
        <w:tc>
          <w:tcPr/>
          <w:p>
            <w:pPr>
              <w:pStyle w:val="Compact"/>
            </w:pPr>
            <w:r>
              <w:t xml:space="preserve">Date</w:t>
            </w:r>
          </w:p>
        </w:tc>
        <w:tc>
          <w:tcPr/>
          <w:p>
            <w:pPr>
              <w:pStyle w:val="Compact"/>
            </w:pPr>
            <w:r>
              <w:t xml:space="preserve">What happened</w:t>
            </w:r>
          </w:p>
        </w:tc>
      </w:tr>
      <w:tr>
        <w:tc>
          <w:tcPr/>
          <w:p>
            <w:pPr>
              <w:pStyle w:val="Compact"/>
            </w:pPr>
            <w:r>
              <w:t xml:space="preserve">May 10, 2022</w:t>
            </w:r>
          </w:p>
        </w:tc>
        <w:tc>
          <w:tcPr/>
          <w:p>
            <w:pPr>
              <w:pStyle w:val="Compact"/>
            </w:pPr>
            <w:r>
              <w:t xml:space="preserve">Updates install in</w:t>
            </w:r>
            <w:r>
              <w:t xml:space="preserve"> </w:t>
            </w:r>
            <w:r>
              <w:rPr>
                <w:b/>
                <w:bCs/>
              </w:rPr>
              <w:t xml:space="preserve">Compatibility mode</w:t>
            </w:r>
            <w:r>
              <w:t xml:space="preserve">: strong mapping preferred, weak mappings still allowed with warnings</w:t>
            </w:r>
          </w:p>
        </w:tc>
      </w:tr>
      <w:tr>
        <w:tc>
          <w:tcPr/>
          <w:p>
            <w:pPr>
              <w:pStyle w:val="Compact"/>
            </w:pPr>
            <w:r>
              <w:t xml:space="preserve">April 11, 2023</w:t>
            </w:r>
          </w:p>
        </w:tc>
        <w:tc>
          <w:tcPr/>
          <w:p>
            <w:pPr>
              <w:pStyle w:val="Compact"/>
            </w:pPr>
            <w:r>
              <w:t xml:space="preserve">Updates ignore the</w:t>
            </w:r>
            <w:r>
              <w:t xml:space="preserve"> </w:t>
            </w:r>
            <w:r>
              <w:rPr>
                <w:b/>
                <w:bCs/>
              </w:rPr>
              <w:t xml:space="preserve">Disabled</w:t>
            </w:r>
            <w:r>
              <w:t xml:space="preserve"> </w:t>
            </w:r>
            <w:r>
              <w:t xml:space="preserve">setting (</w:t>
            </w:r>
            <w:r>
              <w:rPr>
                <w:rStyle w:val="VerbatimChar"/>
              </w:rPr>
              <w:t xml:space="preserve">StrongCertificateBindingEnforcement</w:t>
            </w:r>
            <w:r>
              <w:t xml:space="preserve"> </w:t>
            </w:r>
            <w:r>
              <w:t xml:space="preserve">= 0)</w:t>
            </w:r>
          </w:p>
        </w:tc>
      </w:tr>
      <w:tr>
        <w:tc>
          <w:tcPr/>
          <w:p>
            <w:pPr>
              <w:pStyle w:val="Compact"/>
            </w:pPr>
            <w:r>
              <w:t xml:space="preserve">February 11, 2025</w:t>
            </w:r>
          </w:p>
        </w:tc>
        <w:tc>
          <w:tcPr/>
          <w:p>
            <w:pPr>
              <w:pStyle w:val="Compact"/>
            </w:pPr>
            <w:r>
              <w:t xml:space="preserve">Domain controllers without a</w:t>
            </w:r>
            <w:r>
              <w:t xml:space="preserve"> </w:t>
            </w:r>
            <w:r>
              <w:rPr>
                <w:rStyle w:val="VerbatimChar"/>
              </w:rPr>
              <w:t xml:space="preserve">StrongCertificateBindingEnforcement</w:t>
            </w:r>
            <w:r>
              <w:t xml:space="preserve"> </w:t>
            </w:r>
            <w:r>
              <w:t xml:space="preserve">value move to</w:t>
            </w:r>
            <w:r>
              <w:t xml:space="preserve"> </w:t>
            </w:r>
            <w:r>
              <w:rPr>
                <w:b/>
                <w:bCs/>
              </w:rPr>
              <w:t xml:space="preserve">Full Enforcement</w:t>
            </w:r>
            <w:r>
              <w:t xml:space="preserve">; administrators could still set Compatibility mode</w:t>
            </w:r>
          </w:p>
        </w:tc>
      </w:tr>
      <w:tr>
        <w:tc>
          <w:tcPr/>
          <w:p>
            <w:pPr>
              <w:pStyle w:val="Compact"/>
            </w:pPr>
            <w:r>
              <w:t xml:space="preserve">September 9, 2025</w:t>
            </w:r>
          </w:p>
        </w:tc>
        <w:tc>
          <w:tcPr/>
          <w:p>
            <w:pPr>
              <w:pStyle w:val="Compact"/>
            </w:pPr>
            <w:r>
              <w:t xml:space="preserve">Updates stop honoring the registry key; Compatibility mode can no longer be selected</w:t>
            </w:r>
          </w:p>
        </w:tc>
      </w:tr>
    </w:tbl>
    <w:p>
      <w:pPr>
        <w:pStyle w:val="BodyText"/>
      </w:pPr>
      <w:r>
        <w:t xml:space="preserve">As of October 2026, then, every domain controller on a current update is in Full Enforcement and there’s no supported way back.</w:t>
      </w:r>
      <w:r>
        <w:rPr>
          <w:rStyle w:val="FootnoteReference"/>
        </w:rPr>
        <w:footnoteReference w:id="542"/>
      </w:r>
      <w:r>
        <w:t xml:space="preserve"> </w:t>
      </w:r>
      <w:r>
        <w:t xml:space="preserve">A certificate used for Kerberos authentication to AD that has neither a strong mapping on the account nor a valid SID extension (or SAN URL) is rejected. The</w:t>
      </w:r>
      <w:r>
        <w:t xml:space="preserve"> </w:t>
      </w:r>
      <w:r>
        <w:rPr>
          <w:rStyle w:val="VerbatimChar"/>
        </w:rPr>
        <w:t xml:space="preserve">CertificateBackdatingCompensation</w:t>
      </w:r>
      <w:r>
        <w:t xml:space="preserve"> </w:t>
      </w:r>
      <w:r>
        <w:t xml:space="preserve">setting that some estates used to soften the weak-mapping check applies only to weak mappings in Compatibility mode, so it no longer has an effect.</w:t>
      </w:r>
      <w:r>
        <w:rPr>
          <w:rStyle w:val="FootnoteReference"/>
        </w:rPr>
        <w:footnoteReference w:id="543"/>
      </w:r>
    </w:p>
    <w:p>
      <w:pPr>
        <w:pStyle w:val="BodyText"/>
      </w:pPr>
      <w:r>
        <w:t xml:space="preserve">Two things follow for the migration. First, any certificate that still authenticates to AD has already passed this test; a certificate that fails it fails now, not at some future date. Second, a</w:t>
      </w:r>
      <w:r>
        <w:t xml:space="preserve"> </w:t>
      </w:r>
      <w:r>
        <w:rPr>
          <w:i/>
          <w:iCs/>
        </w:rPr>
        <w:t xml:space="preserve">new</w:t>
      </w:r>
      <w:r>
        <w:t xml:space="preserve"> </w:t>
      </w:r>
      <w:r>
        <w:t xml:space="preserve">issuer the migration introduces (Cloud PKI, a third-party CA, a new template) must produce strongly mapped certificates from day one if those certificates will ever be used against a domain controller.</w:t>
      </w:r>
    </w:p>
    <w:bookmarkEnd w:id="544"/>
    <w:bookmarkStart w:id="556" w:name="what-intune-profiles-need"/>
    <w:p>
      <w:pPr>
        <w:pStyle w:val="Heading3"/>
      </w:pPr>
      <w:r>
        <w:t xml:space="preserve">What Intune profiles need</w:t>
      </w:r>
    </w:p>
    <w:p>
      <w:pPr>
        <w:pStyle w:val="FirstParagraph"/>
      </w:pPr>
      <w:r>
        <w:t xml:space="preserve">Strong mapping applies to Intune</w:t>
      </w:r>
      <w:r>
        <w:t xml:space="preserve"> </w:t>
      </w:r>
      <w:r>
        <w:rPr>
          <w:b/>
          <w:bCs/>
        </w:rPr>
        <w:t xml:space="preserve">user</w:t>
      </w:r>
      <w:r>
        <w:t xml:space="preserve"> </w:t>
      </w:r>
      <w:r>
        <w:t xml:space="preserve">certificates on all platforms, and to</w:t>
      </w:r>
      <w:r>
        <w:t xml:space="preserve"> </w:t>
      </w:r>
      <w:r>
        <w:rPr>
          <w:b/>
          <w:bCs/>
        </w:rPr>
        <w:t xml:space="preserve">device</w:t>
      </w:r>
      <w:r>
        <w:t xml:space="preserve"> </w:t>
      </w:r>
      <w:r>
        <w:t xml:space="preserve">certificates only on Microsoft Entra hybrid joined Windows devices; both need the user or device to be synced from AD so that Entra ID holds an on-premises SID.</w:t>
      </w:r>
      <w:r>
        <w:rPr>
          <w:rStyle w:val="FootnoteReference"/>
        </w:rPr>
        <w:footnoteReference w:id="545"/>
      </w:r>
      <w:r>
        <w:rPr>
          <w:rStyle w:val="FootnoteReference"/>
        </w:rPr>
        <w:footnoteReference w:id="546"/>
      </w:r>
    </w:p>
    <w:p>
      <w:pPr>
        <w:pStyle w:val="Compact"/>
        <w:numPr>
          <w:ilvl w:val="0"/>
          <w:numId w:val="1031"/>
        </w:numPr>
      </w:pPr>
      <w:r>
        <w:rPr>
          <w:b/>
          <w:bCs/>
        </w:rPr>
        <w:t xml:space="preserve">SCEP profiles:</w:t>
      </w:r>
      <w:r>
        <w:t xml:space="preserve"> </w:t>
      </w:r>
      <w:r>
        <w:t xml:space="preserve">add a SAN attribute of type URI with the value</w:t>
      </w:r>
      <w:r>
        <w:t xml:space="preserve"> </w:t>
      </w:r>
      <w:r>
        <w:rPr>
          <w:rStyle w:val="VerbatimChar"/>
        </w:rPr>
        <w:t xml:space="preserve">{{OnPremisesSecurityIdentifier}}</w:t>
      </w:r>
      <w:r>
        <w:t xml:space="preserve">. Intune resolves it and writes the tagged SID URL. The variable works only with the URI attribute.</w:t>
      </w:r>
      <w:r>
        <w:rPr>
          <w:rStyle w:val="FootnoteReference"/>
        </w:rPr>
        <w:footnoteReference w:id="547"/>
      </w:r>
      <w:r>
        <w:t xml:space="preserve"> </w:t>
      </w:r>
      <w:r>
        <w:t xml:space="preserve">The guide said Cloud PKI SCEP includes the SID automatically with no configuration; Microsoft’s SCEP profile instructions say you must add the variable, so add it.</w:t>
      </w:r>
      <w:r>
        <w:rPr>
          <w:rStyle w:val="FootnoteReference"/>
        </w:rPr>
        <w:footnoteReference w:id="548"/>
      </w:r>
      <w:r>
        <w:t xml:space="preserve"> </w:t>
      </w:r>
      <w:r>
        <w:t xml:space="preserve">AD CS servers with the KB5014754 update support the tag; a third-party CA might refuse to issue a certificate with it, so check with the vendor first.</w:t>
      </w:r>
      <w:r>
        <w:rPr>
          <w:rStyle w:val="FootnoteReference"/>
        </w:rPr>
        <w:footnoteReference w:id="549"/>
      </w:r>
    </w:p>
    <w:p>
      <w:pPr>
        <w:pStyle w:val="Compact"/>
        <w:numPr>
          <w:ilvl w:val="0"/>
          <w:numId w:val="1031"/>
        </w:numPr>
      </w:pPr>
      <w:r>
        <w:rPr>
          <w:b/>
          <w:bCs/>
        </w:rPr>
        <w:t xml:space="preserve">PKCS profiles:</w:t>
      </w:r>
      <w:r>
        <w:t xml:space="preserve"> </w:t>
      </w:r>
      <w:r>
        <w:t xml:space="preserve">run connector 6.2406.0.1001 or later (in practice, the current release), set</w:t>
      </w:r>
      <w:r>
        <w:t xml:space="preserve"> </w:t>
      </w:r>
      <w:r>
        <w:rPr>
          <w:rStyle w:val="VerbatimChar"/>
        </w:rPr>
        <w:t xml:space="preserve">EnableSidSecurityExtension</w:t>
      </w:r>
      <w:r>
        <w:t xml:space="preserve"> </w:t>
      </w:r>
      <w:r>
        <w:t xml:space="preserve">to 1 under</w:t>
      </w:r>
      <w:r>
        <w:t xml:space="preserve"> </w:t>
      </w:r>
      <w:r>
        <w:rPr>
          <w:rStyle w:val="VerbatimChar"/>
        </w:rPr>
        <w:t xml:space="preserve">HKLM\Software\Microsoft\MicrosoftIntune\PFXCertificateConnector</w:t>
      </w:r>
      <w:r>
        <w:t xml:space="preserve">, and restart the two PFX connector services. The change applies to new and renewed certificates. To roll back, restore the value, restart the services and create a new PKCS profile to reissue without the SID.</w:t>
      </w:r>
      <w:r>
        <w:rPr>
          <w:rStyle w:val="FootnoteReference"/>
        </w:rPr>
        <w:footnoteReference w:id="550"/>
      </w:r>
    </w:p>
    <w:p>
      <w:pPr>
        <w:pStyle w:val="Compact"/>
        <w:numPr>
          <w:ilvl w:val="0"/>
          <w:numId w:val="1031"/>
        </w:numPr>
      </w:pPr>
      <w:r>
        <w:rPr>
          <w:b/>
          <w:bCs/>
        </w:rPr>
        <w:t xml:space="preserve">Entra-joined devices</w:t>
      </w:r>
      <w:r>
        <w:t xml:space="preserve"> </w:t>
      </w:r>
      <w:r>
        <w:t xml:space="preserve">have no on-premises SID. Their device certificates can’t be strongly mapped to AD and aren’t meant for Kerberos; use them for Wi-Fi, VPN and applications.</w:t>
      </w:r>
    </w:p>
    <w:p>
      <w:pPr>
        <w:pStyle w:val="Compact"/>
        <w:numPr>
          <w:ilvl w:val="0"/>
          <w:numId w:val="1031"/>
        </w:numPr>
      </w:pPr>
      <w:r>
        <w:rPr>
          <w:b/>
          <w:bCs/>
        </w:rPr>
        <w:t xml:space="preserve">Certificates used to sign in to AD</w:t>
      </w:r>
      <w:r>
        <w:t xml:space="preserve"> </w:t>
      </w:r>
      <w:r>
        <w:t xml:space="preserve">(certificate or smart card logon, which is Kerberos PKINIT) must also come from a CA in the forest’s NTAuth store. AD CS enterprise CAs publish themselves there; any other CA, including a Cloud PKI or BYOCA issuing CA, has to be added explicitly.</w:t>
      </w:r>
      <w:r>
        <w:rPr>
          <w:rStyle w:val="FootnoteReference"/>
        </w:rPr>
        <w:footnoteReference w:id="551"/>
      </w:r>
      <w:r>
        <w:t xml:space="preserve"> </w:t>
      </w:r>
      <w:r>
        <w:t xml:space="preserve">Don’t add a CA to NTAuth unless you intend it to issue logon certificates for the forest; NTAuth membership is one of the objects Chapter 03 tells you to watch.</w:t>
      </w:r>
    </w:p>
    <w:p>
      <w:pPr>
        <w:pStyle w:val="FirstParagraph"/>
      </w:pPr>
      <w:r>
        <w:t xml:space="preserve">Microsoft recommends piloting the SAN change on a small group of devices and rolling the updated certificates out gradually.</w:t>
      </w:r>
      <w:r>
        <w:rPr>
          <w:rStyle w:val="FootnoteReference"/>
        </w:rPr>
        <w:footnoteReference w:id="552"/>
      </w:r>
      <w:r>
        <w:t xml:space="preserve"> </w:t>
      </w:r>
      <w:r>
        <w:t xml:space="preserve">Do it with a new profile assigned to the pilot group, not by editing the production profile: on Windows, iOS/iPadOS and macOS, changing or updating a SCEP profile revokes the certificates it already issued.</w:t>
      </w:r>
      <w:r>
        <w:rPr>
          <w:rStyle w:val="FootnoteReference"/>
        </w:rPr>
        <w:footnoteReference w:id="554"/>
      </w:r>
    </w:p>
    <w:bookmarkEnd w:id="556"/>
    <w:bookmarkStart w:id="559" w:name="finding-weak-certificates"/>
    <w:p>
      <w:pPr>
        <w:pStyle w:val="Heading3"/>
      </w:pPr>
      <w:r>
        <w:t xml:space="preserve">Finding weak certificates</w:t>
      </w:r>
    </w:p>
    <w:p>
      <w:pPr>
        <w:pStyle w:val="FirstParagraph"/>
      </w:pPr>
      <w:r>
        <w:t xml:space="preserve">The KDC logs three events in the System log when a certificate falls short:</w:t>
      </w:r>
      <w:r>
        <w:rPr>
          <w:rStyle w:val="FootnoteReference"/>
        </w:rPr>
        <w:footnoteReference w:id="557"/>
      </w:r>
    </w:p>
    <w:p>
      <w:pPr>
        <w:pStyle w:val="TableCaption"/>
      </w:pPr>
      <w:r>
        <w:t xml:space="preserve">KDC strong-mapping events (IDs 41, 48 and 49 on Windows Server 2008 and 2008 R2)</w:t>
      </w:r>
      <w:r>
        <w:rPr>
          <w:rStyle w:val="FootnoteReference"/>
        </w:rPr>
        <w:footnoteReference w:id="558"/>
      </w:r>
    </w:p>
    <w:tbl>
      <w:tblPr>
        <w:tblStyle w:val="Table"/>
        <w:tblW w:type="auto" w:w="0"/>
        <w:tblLook w:firstRow="1" w:lastRow="0" w:firstColumn="0" w:lastColumn="0" w:noHBand="0" w:noVBand="0" w:val="0020"/>
        <w:tblCaption w:val="KDC strong-mapping events (IDs 41, 48 and 49 on Windows Server 2008 and 2008 R2)"/>
      </w:tblPr>
      <w:tblGrid>
        <w:gridCol w:w="3960"/>
        <w:gridCol w:w="3960"/>
      </w:tblGrid>
      <w:tr>
        <w:trPr>
          <w:tblHeader w:val="on"/>
        </w:trPr>
        <w:tc>
          <w:tcPr/>
          <w:p>
            <w:pPr>
              <w:pStyle w:val="Compact"/>
            </w:pPr>
            <w:r>
              <w:t xml:space="preserve">Event ID</w:t>
            </w:r>
          </w:p>
        </w:tc>
        <w:tc>
          <w:tcPr/>
          <w:p>
            <w:pPr>
              <w:pStyle w:val="Compact"/>
            </w:pPr>
            <w:r>
              <w:t xml:space="preserve">Meaning</w:t>
            </w:r>
          </w:p>
        </w:tc>
      </w:tr>
      <w:tr>
        <w:tc>
          <w:tcPr/>
          <w:p>
            <w:pPr>
              <w:pStyle w:val="Compact"/>
            </w:pPr>
            <w:r>
              <w:t xml:space="preserve">39</w:t>
            </w:r>
          </w:p>
        </w:tc>
        <w:tc>
          <w:tcPr/>
          <w:p>
            <w:pPr>
              <w:pStyle w:val="Compact"/>
            </w:pPr>
            <w:r>
              <w:t xml:space="preserve">No strong mapping found (an error under enforcement)</w:t>
            </w:r>
          </w:p>
        </w:tc>
      </w:tr>
      <w:tr>
        <w:tc>
          <w:tcPr/>
          <w:p>
            <w:pPr>
              <w:pStyle w:val="Compact"/>
            </w:pPr>
            <w:r>
              <w:t xml:space="preserve">40</w:t>
            </w:r>
          </w:p>
        </w:tc>
        <w:tc>
          <w:tcPr/>
          <w:p>
            <w:pPr>
              <w:pStyle w:val="Compact"/>
            </w:pPr>
            <w:r>
              <w:t xml:space="preserve">The certificate predates the account and has no strong mapping</w:t>
            </w:r>
          </w:p>
        </w:tc>
      </w:tr>
      <w:tr>
        <w:tc>
          <w:tcPr/>
          <w:p>
            <w:pPr>
              <w:pStyle w:val="Compact"/>
            </w:pPr>
            <w:r>
              <w:t xml:space="preserve">41</w:t>
            </w:r>
          </w:p>
        </w:tc>
        <w:tc>
          <w:tcPr/>
          <w:p>
            <w:pPr>
              <w:pStyle w:val="Compact"/>
            </w:pPr>
            <w:r>
              <w:t xml:space="preserve">The certificate’s SID extension doesn’t match the account’s SID</w:t>
            </w:r>
          </w:p>
        </w:tc>
      </w:tr>
    </w:tbl>
    <w:bookmarkEnd w:id="559"/>
    <w:bookmarkEnd w:id="560"/>
    <w:bookmarkStart w:id="561" w:name="Xafccff6812fd60e586243430e1b07e43b71e1b0"/>
    <w:p>
      <w:pPr>
        <w:pStyle w:val="Heading2"/>
      </w:pPr>
      <w:bookmarkStart w:id="989" w:name="_Toc00000989"/>
      <w:r>
        <w:t xml:space="preserve">Illustrative, not tested against a production forest</w:t>
      </w:r>
      <w:bookmarkEnd w:id="989"/>
    </w:p>
    <w:p>
      <w:pPr>
        <w:pStyle w:val="FirstParagraph"/>
      </w:pPr>
      <w:r>
        <w:t xml:space="preserve">The commands in this chapter are examples. They haven’t been run against a production forest or tenant. Read each one, run it first in a test scope, and review the output before you change anything.</w:t>
      </w:r>
    </w:p>
    <w:bookmarkEnd w:id="561"/>
    <w:p>
      <w:pPr>
        <w:pStyle w:val="BodyText"/>
      </w:pPr>
      <w:r>
        <w:t xml:space="preserve">A read-only sweep of one domain controller’s System log for those events:</w:t>
      </w:r>
    </w:p>
    <w:p>
      <w:pPr>
        <w:pStyle w:val="SourceCode"/>
      </w:pPr>
      <w:r>
        <w:rPr>
          <w:rStyle w:val="CommentTok"/>
        </w:rPr>
        <w:t xml:space="preserve"># Read-only: list strong-mapping failures logged by the KDC on this domain controller.</w:t>
      </w:r>
      <w:r>
        <w:br/>
      </w:r>
      <w:r>
        <w:rPr>
          <w:rStyle w:val="FunctionTok"/>
        </w:rPr>
        <w:t xml:space="preserve">Get-WinEvent</w:t>
      </w:r>
      <w:r>
        <w:rPr>
          <w:rStyle w:val="NormalTok"/>
        </w:rPr>
        <w:t xml:space="preserve"> </w:t>
      </w:r>
      <w:r>
        <w:rPr>
          <w:rStyle w:val="OperatorTok"/>
        </w:rPr>
        <w:t xml:space="preserve">-</w:t>
      </w:r>
      <w:r>
        <w:rPr>
          <w:rStyle w:val="NormalTok"/>
        </w:rPr>
        <w:t xml:space="preserve">FilterHashtable @</w:t>
      </w:r>
      <w:r>
        <w:rPr>
          <w:rStyle w:val="OperatorTok"/>
        </w:rPr>
        <w:t xml:space="preserve">{</w:t>
      </w:r>
      <w:r>
        <w:rPr>
          <w:rStyle w:val="NormalTok"/>
        </w:rPr>
        <w:t xml:space="preserve"> LogName </w:t>
      </w:r>
      <w:r>
        <w:rPr>
          <w:rStyle w:val="OperatorTok"/>
        </w:rPr>
        <w:t xml:space="preserve">=</w:t>
      </w:r>
      <w:r>
        <w:rPr>
          <w:rStyle w:val="NormalTok"/>
        </w:rPr>
        <w:t xml:space="preserve"> </w:t>
      </w:r>
      <w:r>
        <w:rPr>
          <w:rStyle w:val="StringTok"/>
        </w:rPr>
        <w:t xml:space="preserve">'System'</w:t>
      </w:r>
      <w:r>
        <w:rPr>
          <w:rStyle w:val="OperatorTok"/>
        </w:rPr>
        <w:t xml:space="preserve">;</w:t>
      </w:r>
      <w:r>
        <w:rPr>
          <w:rStyle w:val="NormalTok"/>
        </w:rPr>
        <w:t xml:space="preserve"> Id </w:t>
      </w:r>
      <w:r>
        <w:rPr>
          <w:rStyle w:val="OperatorTok"/>
        </w:rPr>
        <w:t xml:space="preserve">=</w:t>
      </w:r>
      <w:r>
        <w:rPr>
          <w:rStyle w:val="NormalTok"/>
        </w:rPr>
        <w:t xml:space="preserve"> </w:t>
      </w:r>
      <w:r>
        <w:rPr>
          <w:rStyle w:val="DecValTok"/>
        </w:rPr>
        <w:t xml:space="preserve">39</w:t>
      </w:r>
      <w:r>
        <w:rPr>
          <w:rStyle w:val="OperatorTok"/>
        </w:rPr>
        <w:t xml:space="preserve">,</w:t>
      </w:r>
      <w:r>
        <w:rPr>
          <w:rStyle w:val="NormalTok"/>
        </w:rPr>
        <w:t xml:space="preserve"> </w:t>
      </w:r>
      <w:r>
        <w:rPr>
          <w:rStyle w:val="DecValTok"/>
        </w:rPr>
        <w:t xml:space="preserve">40</w:t>
      </w:r>
      <w:r>
        <w:rPr>
          <w:rStyle w:val="OperatorTok"/>
        </w:rPr>
        <w:t xml:space="preserve">,</w:t>
      </w:r>
      <w:r>
        <w:rPr>
          <w:rStyle w:val="NormalTok"/>
        </w:rPr>
        <w:t xml:space="preserve"> </w:t>
      </w:r>
      <w:r>
        <w:rPr>
          <w:rStyle w:val="DecValTok"/>
        </w:rPr>
        <w:t xml:space="preserve">41</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ErrorAction SilentlyContinue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ProviderName</w:t>
      </w:r>
      <w:r>
        <w:rPr>
          <w:rStyle w:val="NormalTok"/>
        </w:rPr>
        <w:t xml:space="preserve"> </w:t>
      </w:r>
      <w:r>
        <w:rPr>
          <w:rStyle w:val="OperatorTok"/>
        </w:rPr>
        <w:t xml:space="preserve">-match</w:t>
      </w:r>
      <w:r>
        <w:rPr>
          <w:rStyle w:val="NormalTok"/>
        </w:rPr>
        <w:t xml:space="preserve"> </w:t>
      </w:r>
      <w:r>
        <w:rPr>
          <w:rStyle w:val="StringTok"/>
        </w:rPr>
        <w:t xml:space="preserve">'Kdc'</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Select-Object</w:t>
      </w:r>
      <w:r>
        <w:rPr>
          <w:rStyle w:val="NormalTok"/>
        </w:rPr>
        <w:t xml:space="preserve"> TimeCreated</w:t>
      </w:r>
      <w:r>
        <w:rPr>
          <w:rStyle w:val="OperatorTok"/>
        </w:rPr>
        <w:t xml:space="preserve">,</w:t>
      </w:r>
      <w:r>
        <w:rPr>
          <w:rStyle w:val="NormalTok"/>
        </w:rPr>
        <w:t xml:space="preserve"> Id</w:t>
      </w:r>
      <w:r>
        <w:rPr>
          <w:rStyle w:val="OperatorTok"/>
        </w:rPr>
        <w:t xml:space="preserve">,</w:t>
      </w:r>
      <w:r>
        <w:rPr>
          <w:rStyle w:val="NormalTok"/>
        </w:rPr>
        <w:t xml:space="preserve"> ProviderName</w:t>
      </w:r>
      <w:r>
        <w:rPr>
          <w:rStyle w:val="OperatorTok"/>
        </w:rPr>
        <w:t xml:space="preserve">,</w:t>
      </w:r>
      <w:r>
        <w:rPr>
          <w:rStyle w:val="NormalTok"/>
        </w:rPr>
        <w:t xml:space="preserve"> Message </w:t>
      </w:r>
      <w:r>
        <w:rPr>
          <w:rStyle w:val="OperatorTok"/>
        </w:rPr>
        <w:t xml:space="preserve">|</w:t>
      </w:r>
      <w:r>
        <w:br/>
      </w:r>
      <w:r>
        <w:rPr>
          <w:rStyle w:val="NormalTok"/>
        </w:rPr>
        <w:t xml:space="preserve">    </w:t>
      </w:r>
      <w:r>
        <w:rPr>
          <w:rStyle w:val="FunctionTok"/>
        </w:rPr>
        <w:t xml:space="preserve">Sort-Object</w:t>
      </w:r>
      <w:r>
        <w:rPr>
          <w:rStyle w:val="NormalTok"/>
        </w:rPr>
        <w:t xml:space="preserve"> TimeCreated </w:t>
      </w:r>
      <w:r>
        <w:rPr>
          <w:rStyle w:val="OperatorTok"/>
        </w:rPr>
        <w:t xml:space="preserve">-</w:t>
      </w:r>
      <w:r>
        <w:rPr>
          <w:rStyle w:val="NormalTok"/>
        </w:rPr>
        <w:t xml:space="preserve">Descending</w:t>
      </w:r>
    </w:p>
    <w:p>
      <w:pPr>
        <w:pStyle w:val="FirstParagraph"/>
      </w:pPr>
      <w:r>
        <w:t xml:space="preserve">Run it on every domain controller, or better, forward the events to the log workspace and alert on them (Chapter 08). Each hit is a certificate the migration has to reissue or map.</w:t>
      </w:r>
    </w:p>
    <w:bookmarkStart w:id="617" w:name="entra-certificate-based-authentication"/>
    <w:p>
      <w:pPr>
        <w:pStyle w:val="Heading2"/>
      </w:pPr>
      <w:bookmarkStart w:id="990" w:name="_Toc00000990"/>
      <w:r>
        <w:t xml:space="preserve">Entra certificate-based authentication</w:t>
      </w:r>
      <w:bookmarkEnd w:id="990"/>
    </w:p>
    <w:bookmarkStart w:id="569" w:name="how-a-cba-sign-in-works"/>
    <w:p>
      <w:pPr>
        <w:pStyle w:val="Heading3"/>
      </w:pPr>
      <w:r>
        <w:t xml:space="preserve">How a CBA sign-in works</w:t>
      </w:r>
    </w:p>
    <w:bookmarkStart w:id="565" w:name="fig-ch06-cba-sign-in"/>
    <w:p>
      <w:pPr>
        <w:pStyle w:val="CaptionedFigure"/>
      </w:pPr>
      <w:r>
        <w:drawing>
          <wp:inline>
            <wp:extent cx="5334000" cy="7784756"/>
            <wp:effectExtent b="0" l="0" r="0" t="0"/>
            <wp:docPr descr="A CBA sign-in: the user enters a username, the client is sent to the certificate authentication endpoint for a mutual-TLS handshake, Entra ID checks the CRL and finds the user by username binding, the authentication binding decides single-factor or multifactor, and Conditional Access decides the rest." title="" id="563" name="Picture"/>
            <a:graphic>
              <a:graphicData uri="http://schemas.openxmlformats.org/drawingml/2006/picture">
                <pic:pic>
                  <pic:nvPicPr>
                    <pic:cNvPr descr="/home/runner/work/modernization-workbook/modernization-workbook/docs/images/diagrams/b07-pki/png/ch06-cba-sign-in.png" id="564" name="Picture"/>
                    <pic:cNvPicPr>
                      <a:picLocks noChangeArrowheads="1" noChangeAspect="1"/>
                    </pic:cNvPicPr>
                  </pic:nvPicPr>
                  <pic:blipFill>
                    <a:blip r:embed="rId562"/>
                    <a:stretch>
                      <a:fillRect/>
                    </a:stretch>
                  </pic:blipFill>
                  <pic:spPr bwMode="auto">
                    <a:xfrm>
                      <a:off x="0" y="0"/>
                      <a:ext cx="5334000" cy="7784756"/>
                    </a:xfrm>
                    <a:prstGeom prst="rect">
                      <a:avLst/>
                    </a:prstGeom>
                    <a:noFill/>
                    <a:ln w="9525">
                      <a:noFill/>
                      <a:headEnd/>
                      <a:tailEnd/>
                    </a:ln>
                  </pic:spPr>
                </pic:pic>
              </a:graphicData>
            </a:graphic>
          </wp:inline>
        </w:drawing>
      </w:r>
    </w:p>
    <w:p>
      <w:pPr>
        <w:pStyle w:val="ImageCaption"/>
      </w:pPr>
      <w:r>
        <w:t xml:space="preserve">A CBA sign-in: the user enters a username, the client is sent to the certificate authentication endpoint for a mutual-TLS handshake, Entra ID checks the CRL and finds the user by username binding, the authentication binding decides single-factor or multifactor, and Conditional Access decides the rest.</w:t>
      </w:r>
    </w:p>
    <w:bookmarkEnd w:id="565"/>
    <w:p>
      <w:pPr>
        <w:pStyle w:val="BodyText"/>
      </w:pPr>
      <w:r>
        <w:t xml:space="preserve">The flow, as Microsoft documents it:</w:t>
      </w:r>
      <w:r>
        <w:rPr>
          <w:rStyle w:val="FootnoteReference"/>
        </w:rPr>
        <w:footnoteReference w:id="566"/>
      </w:r>
    </w:p>
    <w:p>
      <w:pPr>
        <w:pStyle w:val="Compact"/>
        <w:numPr>
          <w:ilvl w:val="0"/>
          <w:numId w:val="1032"/>
        </w:numPr>
      </w:pPr>
      <w:r>
        <w:t xml:space="preserve">The user enters a username; Entra ID performs home realm discovery and finds the user. If CBA is enabled, the sign-in page offers</w:t>
      </w:r>
      <w:r>
        <w:t xml:space="preserve"> </w:t>
      </w:r>
      <w:r>
        <w:rPr>
          <w:b/>
          <w:bCs/>
        </w:rPr>
        <w:t xml:space="preserve">Use a certificate or smart card</w:t>
      </w:r>
      <w:r>
        <w:t xml:space="preserve">.</w:t>
      </w:r>
    </w:p>
    <w:p>
      <w:pPr>
        <w:pStyle w:val="Compact"/>
        <w:numPr>
          <w:ilvl w:val="0"/>
          <w:numId w:val="1032"/>
        </w:numPr>
      </w:pPr>
      <w:r>
        <w:t xml:space="preserve">The client is redirected to the certificate authentication endpoint (</w:t>
      </w:r>
      <w:r>
        <w:rPr>
          <w:rStyle w:val="VerbatimChar"/>
        </w:rPr>
        <w:t xml:space="preserve">certauth.login.microsoftonline.com</w:t>
      </w:r>
      <w:r>
        <w:t xml:space="preserve"> </w:t>
      </w:r>
      <w:r>
        <w:t xml:space="preserve">in the commercial cloud, which includes GCC;</w:t>
      </w:r>
      <w:r>
        <w:t xml:space="preserve"> </w:t>
      </w:r>
      <w:r>
        <w:rPr>
          <w:rStyle w:val="VerbatimChar"/>
        </w:rPr>
        <w:t xml:space="preserve">certauth.login.microsoftonline.us</w:t>
      </w:r>
      <w:r>
        <w:t xml:space="preserve"> </w:t>
      </w:r>
      <w:r>
        <w:t xml:space="preserve">in Azure Government), which requests the client certificate as part of a mutual-TLS handshake.</w:t>
      </w:r>
    </w:p>
    <w:p>
      <w:pPr>
        <w:pStyle w:val="Compact"/>
        <w:numPr>
          <w:ilvl w:val="0"/>
          <w:numId w:val="1032"/>
        </w:numPr>
      </w:pPr>
      <w:r>
        <w:t xml:space="preserve">The user picks a certificate. Entra ID checks the CRL to confirm it isn’t revoked and is valid, and finds the user through the tenant’s username bindings.</w:t>
      </w:r>
    </w:p>
    <w:p>
      <w:pPr>
        <w:pStyle w:val="Compact"/>
        <w:numPr>
          <w:ilvl w:val="0"/>
          <w:numId w:val="1032"/>
        </w:numPr>
      </w:pPr>
      <w:r>
        <w:t xml:space="preserve">If Conditional Access requires MFA and the authentication binding rule makes the certificate multifactor, Entra ID signs the user in. If the certificate is only single-factor, Entra ID offers a registered second factor.</w:t>
      </w:r>
    </w:p>
    <w:p>
      <w:pPr>
        <w:pStyle w:val="Compact"/>
        <w:numPr>
          <w:ilvl w:val="0"/>
          <w:numId w:val="1032"/>
        </w:numPr>
      </w:pPr>
      <w:r>
        <w:t xml:space="preserve">Entra ID returns a primary refresh token, and the application gets its token.</w:t>
      </w:r>
    </w:p>
    <w:p>
      <w:pPr>
        <w:pStyle w:val="FirstParagraph"/>
      </w:pPr>
      <w:r>
        <w:t xml:space="preserve">The guide put Conditional Access last and token issuance before it; in practice MFA strength is evaluated against what Conditional Access requires before sign-in completes.</w:t>
      </w:r>
      <w:r>
        <w:rPr>
          <w:rStyle w:val="FootnoteReference"/>
        </w:rPr>
        <w:footnoteReference w:id="567"/>
      </w:r>
      <w:r>
        <w:t xml:space="preserve"> </w:t>
      </w:r>
      <w:r>
        <w:t xml:space="preserve">Allow the certificate authentication endpoint through proxies and firewalls and</w:t>
      </w:r>
      <w:r>
        <w:t xml:space="preserve"> </w:t>
      </w:r>
      <w:r>
        <w:rPr>
          <w:b/>
          <w:bCs/>
        </w:rPr>
        <w:t xml:space="preserve">turn off TLS inspection</w:t>
      </w:r>
      <w:r>
        <w:t xml:space="preserve"> </w:t>
      </w:r>
      <w:r>
        <w:t xml:space="preserve">for</w:t>
      </w:r>
      <w:r>
        <w:t xml:space="preserve"> </w:t>
      </w:r>
      <w:r>
        <w:rPr>
          <w:rStyle w:val="VerbatimChar"/>
        </w:rPr>
        <w:t xml:space="preserve">*.certauth.login.microsoftonline.com</w:t>
      </w:r>
      <w:r>
        <w:t xml:space="preserve">, or the client certificate never reaches Entra ID.</w:t>
      </w:r>
      <w:r>
        <w:rPr>
          <w:rStyle w:val="FootnoteReference"/>
        </w:rPr>
        <w:footnoteReference w:id="568"/>
      </w:r>
    </w:p>
    <w:bookmarkEnd w:id="569"/>
    <w:bookmarkStart w:id="578" w:name="the-trust-store"/>
    <w:p>
      <w:pPr>
        <w:pStyle w:val="Heading3"/>
      </w:pPr>
      <w:r>
        <w:t xml:space="preserve">The trust store</w:t>
      </w:r>
    </w:p>
    <w:p>
      <w:pPr>
        <w:pStyle w:val="FirstParagraph"/>
      </w:pPr>
      <w:r>
        <w:t xml:space="preserve">Upload every CA in the chain that issues user certificates. Microsoft now has a</w:t>
      </w:r>
      <w:r>
        <w:t xml:space="preserve"> </w:t>
      </w:r>
      <w:r>
        <w:rPr>
          <w:b/>
          <w:bCs/>
        </w:rPr>
        <w:t xml:space="preserve">PKI-based trust store</w:t>
      </w:r>
      <w:r>
        <w:t xml:space="preserve"> </w:t>
      </w:r>
      <w:r>
        <w:t xml:space="preserve">that groups CAs into a container per PKI, holds up to 250 CAs of up to 8 KB each, and supports issuer hints; Microsoft highly recommends it over the classic flat store. Managing it takes the Privileged Authentication Administrator role. Bulk upload of a</w:t>
      </w:r>
      <w:r>
        <w:t xml:space="preserve"> </w:t>
      </w:r>
      <w:r>
        <w:rPr>
          <w:rStyle w:val="VerbatimChar"/>
        </w:rPr>
        <w:t xml:space="preserve">.p7b</w:t>
      </w:r>
      <w:r>
        <w:t xml:space="preserve"> </w:t>
      </w:r>
      <w:r>
        <w:t xml:space="preserve">needs Entra ID P1 or P2; with the free tier, upload CAs one at a time.</w:t>
      </w:r>
      <w:r>
        <w:rPr>
          <w:rStyle w:val="FootnoteReference"/>
        </w:rPr>
        <w:footnoteReference w:id="570"/>
      </w:r>
      <w:r>
        <w:t xml:space="preserve"> </w:t>
      </w:r>
      <w:r>
        <w:t xml:space="preserve">Where a CA exists in both stores the PKI-based one takes priority, and sign-in logs show whether the classic store was used, so you can retire it once the logs stay clean.</w:t>
      </w:r>
      <w:r>
        <w:rPr>
          <w:rStyle w:val="FootnoteReference"/>
        </w:rPr>
        <w:footnoteReference w:id="572"/>
      </w:r>
    </w:p>
    <w:p>
      <w:pPr>
        <w:pStyle w:val="BodyText"/>
      </w:pPr>
      <w:r>
        <w:t xml:space="preserve">For each CA, set the base CRL URL and, if the CA publishes them, the delta CRL URL. Without a CRL URL, a revoked certificate still authenticates.</w:t>
      </w:r>
      <w:r>
        <w:rPr>
          <w:rStyle w:val="FootnoteReference"/>
        </w:rPr>
        <w:footnoteReference w:id="573"/>
      </w:r>
      <w:r>
        <w:t xml:space="preserve"> </w:t>
      </w:r>
      <w:r>
        <w:t xml:space="preserve">Turn on</w:t>
      </w:r>
      <w:r>
        <w:t xml:space="preserve"> </w:t>
      </w:r>
      <w:r>
        <w:rPr>
          <w:b/>
          <w:bCs/>
        </w:rPr>
        <w:t xml:space="preserve">Require CRL validation</w:t>
      </w:r>
      <w:r>
        <w:t xml:space="preserve"> </w:t>
      </w:r>
      <w:r>
        <w:t xml:space="preserve">so that a CA without a CRL fails closed, and use exemptions only while fixing a broken CRL.</w:t>
      </w:r>
      <w:r>
        <w:rPr>
          <w:rStyle w:val="FootnoteReference"/>
        </w:rPr>
        <w:footnoteReference w:id="574"/>
      </w:r>
      <w:r>
        <w:t xml:space="preserve"> </w:t>
      </w:r>
      <w:r>
        <w:t xml:space="preserve">The other revocation facts were verified in Book 03, Chapter 09 and still hold:</w:t>
      </w:r>
      <w:r>
        <w:rPr>
          <w:rStyle w:val="FootnoteReference"/>
        </w:rPr>
        <w:footnoteReference w:id="575"/>
      </w:r>
    </w:p>
    <w:p>
      <w:pPr>
        <w:pStyle w:val="Compact"/>
        <w:numPr>
          <w:ilvl w:val="0"/>
          <w:numId w:val="1033"/>
        </w:numPr>
      </w:pPr>
      <w:r>
        <w:t xml:space="preserve">CRLs must be reachable over HTTP or HTTPS from the internet; Microsoft recommends HTTP. Entra ID supports one CRL endpoint per CA and downloads it within 10 seconds or fails.</w:t>
      </w:r>
    </w:p>
    <w:p>
      <w:pPr>
        <w:pStyle w:val="Compact"/>
        <w:numPr>
          <w:ilvl w:val="0"/>
          <w:numId w:val="1033"/>
        </w:numPr>
      </w:pPr>
      <w:r>
        <w:t xml:space="preserve">Entra ID</w:t>
      </w:r>
      <w:r>
        <w:t xml:space="preserve"> </w:t>
      </w:r>
      <w:r>
        <w:rPr>
          <w:b/>
          <w:bCs/>
        </w:rPr>
        <w:t xml:space="preserve">doesn’t support OCSP</w:t>
      </w:r>
      <w:r>
        <w:t xml:space="preserve">. The guide said OCSP was supported if configured; that was wrong.</w:t>
      </w:r>
    </w:p>
    <w:p>
      <w:pPr>
        <w:pStyle w:val="Compact"/>
        <w:numPr>
          <w:ilvl w:val="0"/>
          <w:numId w:val="1033"/>
        </w:numPr>
      </w:pPr>
      <w:r>
        <w:t xml:space="preserve">Interactive sign-in can download a CRL of up to 20 MB in the commercial cloud (including GCC) and 45 MB in Azure Government; the service limits are 65 MB and 150 MB.</w:t>
      </w:r>
    </w:p>
    <w:p>
      <w:pPr>
        <w:pStyle w:val="Compact"/>
        <w:numPr>
          <w:ilvl w:val="0"/>
          <w:numId w:val="1033"/>
        </w:numPr>
      </w:pPr>
      <w:r>
        <w:t xml:space="preserve">Entra ID caches the CRL until its next update. A newly revoked certificate is caught only when a newer base or delta CRL loads, so revoke the user’s sessions when revocation must be immediate.</w:t>
      </w:r>
    </w:p>
    <w:p>
      <w:pPr>
        <w:pStyle w:val="Compact"/>
        <w:numPr>
          <w:ilvl w:val="0"/>
          <w:numId w:val="1033"/>
        </w:numPr>
      </w:pPr>
      <w:r>
        <w:t xml:space="preserve">Chains are built on Subject Key Identifier and Authority Key Identifier, and CRL validation covers up to 10 CAs from the leaf.</w:t>
      </w:r>
    </w:p>
    <w:p>
      <w:pPr>
        <w:pStyle w:val="FirstParagraph"/>
      </w:pPr>
      <w:r>
        <w:t xml:space="preserve">The trust store is also a blast radius. Adding a CA lets any certificate it issues authenticate</w:t>
      </w:r>
      <w:r>
        <w:t xml:space="preserve"> </w:t>
      </w:r>
      <w:r>
        <w:rPr>
          <w:i/>
          <w:iCs/>
        </w:rPr>
        <w:t xml:space="preserve">any</w:t>
      </w:r>
      <w:r>
        <w:t xml:space="preserve"> </w:t>
      </w:r>
      <w:r>
        <w:t xml:space="preserve">user it can be bound to, including synchronized users; Microsoft tells administrators to make sure the PKI can’t be easily compromised and to rely on high-affinity bindings.</w:t>
      </w:r>
      <w:r>
        <w:rPr>
          <w:rStyle w:val="FootnoteReference"/>
        </w:rPr>
        <w:footnoteReference w:id="576"/>
      </w:r>
      <w:r>
        <w:t xml:space="preserve"> </w:t>
      </w:r>
      <w:r>
        <w:rPr>
          <w:b/>
          <w:bCs/>
        </w:rPr>
        <w:t xml:space="preserve">CA scoping</w:t>
      </w:r>
      <w:r>
        <w:t xml:space="preserve"> </w:t>
      </w:r>
      <w:r>
        <w:t xml:space="preserve">narrows that: a rule ties a CA (by its SKI) to one group, and a user outside the group can’t authenticate with that CA’s certificates. It allows one group per CA and up to 30 rules, and a mistake can lock users out.</w:t>
      </w:r>
      <w:r>
        <w:rPr>
          <w:rStyle w:val="FootnoteReference"/>
        </w:rPr>
        <w:footnoteReference w:id="577"/>
      </w:r>
      <w:r>
        <w:t xml:space="preserve"> </w:t>
      </w:r>
      <w:r>
        <w:t xml:space="preserve">Use it when several PKIs serve different populations, for example a Federal PKI shared service provider for PIV and a Cloud PKI CA for derived software certificates.</w:t>
      </w:r>
    </w:p>
    <w:bookmarkEnd w:id="578"/>
    <w:bookmarkStart w:id="583" w:name="username-bindings-and-affinity"/>
    <w:p>
      <w:pPr>
        <w:pStyle w:val="Heading3"/>
      </w:pPr>
      <w:r>
        <w:t xml:space="preserve">Username bindings and affinity</w:t>
      </w:r>
    </w:p>
    <w:p>
      <w:pPr>
        <w:pStyle w:val="FirstParagraph"/>
      </w:pPr>
      <w:r>
        <w:t xml:space="preserve">Username bindings map a certificate field to a user attribute. By default the SAN Principal Name maps to</w:t>
      </w:r>
      <w:r>
        <w:t xml:space="preserve"> </w:t>
      </w:r>
      <w:r>
        <w:rPr>
          <w:rStyle w:val="VerbatimChar"/>
        </w:rPr>
        <w:t xml:space="preserve">userPrincipalName</w:t>
      </w:r>
      <w:r>
        <w:t xml:space="preserve">.</w:t>
      </w:r>
      <w:r>
        <w:rPr>
          <w:rStyle w:val="FootnoteReference"/>
        </w:rPr>
        <w:footnoteReference w:id="579"/>
      </w:r>
      <w:r>
        <w:t xml:space="preserve"> </w:t>
      </w:r>
      <w:r>
        <w:t xml:space="preserve">The full binding table, with example</w:t>
      </w:r>
      <w:r>
        <w:t xml:space="preserve"> </w:t>
      </w:r>
      <w:r>
        <w:rPr>
          <w:rStyle w:val="VerbatimChar"/>
        </w:rPr>
        <w:t xml:space="preserve">certificateUserIds</w:t>
      </w:r>
      <w:r>
        <w:t xml:space="preserve"> </w:t>
      </w:r>
      <w:r>
        <w:t xml:space="preserve">values, is in Book 03, Chapter 09; in summary,</w:t>
      </w:r>
      <w:r>
        <w:t xml:space="preserve"> </w:t>
      </w:r>
      <w:r>
        <w:rPr>
          <w:rStyle w:val="VerbatimChar"/>
        </w:rPr>
        <w:t xml:space="preserve">PrincipalName</w:t>
      </w:r>
      <w:r>
        <w:t xml:space="preserve">,</w:t>
      </w:r>
      <w:r>
        <w:t xml:space="preserve"> </w:t>
      </w:r>
      <w:r>
        <w:rPr>
          <w:rStyle w:val="VerbatimChar"/>
        </w:rPr>
        <w:t xml:space="preserve">RFC822Name</w:t>
      </w:r>
      <w:r>
        <w:t xml:space="preserve">,</w:t>
      </w:r>
      <w:r>
        <w:t xml:space="preserve"> </w:t>
      </w:r>
      <w:r>
        <w:rPr>
          <w:rStyle w:val="VerbatimChar"/>
        </w:rPr>
        <w:t xml:space="preserve">Subject</w:t>
      </w:r>
      <w:r>
        <w:t xml:space="preserve"> </w:t>
      </w:r>
      <w:r>
        <w:t xml:space="preserve">and</w:t>
      </w:r>
      <w:r>
        <w:t xml:space="preserve"> </w:t>
      </w:r>
      <w:r>
        <w:rPr>
          <w:rStyle w:val="VerbatimChar"/>
        </w:rPr>
        <w:t xml:space="preserve">IssuerAndSubject</w:t>
      </w:r>
      <w:r>
        <w:t xml:space="preserve"> </w:t>
      </w:r>
      <w:r>
        <w:t xml:space="preserve">are</w:t>
      </w:r>
      <w:r>
        <w:t xml:space="preserve"> </w:t>
      </w:r>
      <w:r>
        <w:rPr>
          <w:b/>
          <w:bCs/>
        </w:rPr>
        <w:t xml:space="preserve">low affinity</w:t>
      </w:r>
      <w:r>
        <w:t xml:space="preserve">, and</w:t>
      </w:r>
      <w:r>
        <w:t xml:space="preserve"> </w:t>
      </w:r>
      <w:r>
        <w:rPr>
          <w:rStyle w:val="VerbatimChar"/>
        </w:rPr>
        <w:t xml:space="preserve">SKI</w:t>
      </w:r>
      <w:r>
        <w:t xml:space="preserve">,</w:t>
      </w:r>
      <w:r>
        <w:t xml:space="preserve"> </w:t>
      </w:r>
      <w:r>
        <w:rPr>
          <w:rStyle w:val="VerbatimChar"/>
        </w:rPr>
        <w:t xml:space="preserve">SHA1PublicKey</w:t>
      </w:r>
      <w:r>
        <w:t xml:space="preserve"> </w:t>
      </w:r>
      <w:r>
        <w:t xml:space="preserve">and</w:t>
      </w:r>
      <w:r>
        <w:t xml:space="preserve"> </w:t>
      </w:r>
      <w:r>
        <w:rPr>
          <w:rStyle w:val="VerbatimChar"/>
        </w:rPr>
        <w:t xml:space="preserve">IssuerAndSerialNumber</w:t>
      </w:r>
      <w:r>
        <w:t xml:space="preserve"> </w:t>
      </w:r>
      <w:r>
        <w:t xml:space="preserve">are</w:t>
      </w:r>
      <w:r>
        <w:t xml:space="preserve"> </w:t>
      </w:r>
      <w:r>
        <w:rPr>
          <w:b/>
          <w:bCs/>
        </w:rPr>
        <w:t xml:space="preserve">high affinity</w:t>
      </w:r>
      <w:r>
        <w:t xml:space="preserve">.</w:t>
      </w:r>
      <w:r>
        <w:rPr>
          <w:rStyle w:val="FootnoteReference"/>
        </w:rPr>
        <w:footnoteReference w:id="580"/>
      </w:r>
      <w:r>
        <w:t xml:space="preserve"> </w:t>
      </w:r>
      <w:r>
        <w:t xml:space="preserve">The guide classed Issuer + Subject as high affinity; Microsoft classes it as low, because a CA can issue several certificates with the same subject.</w:t>
      </w:r>
    </w:p>
    <w:p>
      <w:pPr>
        <w:pStyle w:val="BodyText"/>
      </w:pPr>
      <w:r>
        <w:t xml:space="preserve">How Entra ID evaluates them:</w:t>
      </w:r>
      <w:r>
        <w:rPr>
          <w:rStyle w:val="FootnoteReference"/>
        </w:rPr>
        <w:footnoteReference w:id="581"/>
      </w:r>
    </w:p>
    <w:p>
      <w:pPr>
        <w:pStyle w:val="Compact"/>
        <w:numPr>
          <w:ilvl w:val="0"/>
          <w:numId w:val="1034"/>
        </w:numPr>
      </w:pPr>
      <w:r>
        <w:t xml:space="preserve">Bindings are evaluated in priority order (lowest number first). The admin center doesn’t show priority; Microsoft Graph returns it.</w:t>
      </w:r>
    </w:p>
    <w:p>
      <w:pPr>
        <w:pStyle w:val="Compact"/>
        <w:numPr>
          <w:ilvl w:val="0"/>
          <w:numId w:val="1034"/>
        </w:numPr>
      </w:pPr>
      <w:r>
        <w:t xml:space="preserve">If the tenant requires high affinity, or a custom rule requires it for this certificate, every low-affinity binding is dropped from the list.</w:t>
      </w:r>
    </w:p>
    <w:p>
      <w:pPr>
        <w:pStyle w:val="Compact"/>
        <w:numPr>
          <w:ilvl w:val="0"/>
          <w:numId w:val="1034"/>
        </w:numPr>
      </w:pPr>
      <w:r>
        <w:t xml:space="preserve">If a binding’s certificate field is present but no user matches, Entra ID moves to the next binding.</w:t>
      </w:r>
    </w:p>
    <w:p>
      <w:pPr>
        <w:pStyle w:val="Compact"/>
        <w:numPr>
          <w:ilvl w:val="0"/>
          <w:numId w:val="1034"/>
        </w:numPr>
      </w:pPr>
      <w:r>
        <w:t xml:space="preserve">With several bindings configured, CBA is</w:t>
      </w:r>
      <w:r>
        <w:t xml:space="preserve"> </w:t>
      </w:r>
      <w:r>
        <w:rPr>
          <w:b/>
          <w:bCs/>
        </w:rPr>
        <w:t xml:space="preserve">only as secure as the lowest-affinity binding</w:t>
      </w:r>
      <w:r>
        <w:t xml:space="preserve">. Configure one low-affinity binding at most.</w:t>
      </w:r>
    </w:p>
    <w:p>
      <w:pPr>
        <w:pStyle w:val="FirstParagraph"/>
      </w:pPr>
      <w:r>
        <w:t xml:space="preserve">The program’s position: production tenants require high affinity, using</w:t>
      </w:r>
      <w:r>
        <w:t xml:space="preserve"> </w:t>
      </w:r>
      <w:r>
        <w:rPr>
          <w:rStyle w:val="VerbatimChar"/>
        </w:rPr>
        <w:t xml:space="preserve">IssuerAndSerialNumber</w:t>
      </w:r>
      <w:r>
        <w:t xml:space="preserve"> </w:t>
      </w:r>
      <w:r>
        <w:t xml:space="preserve">or</w:t>
      </w:r>
      <w:r>
        <w:t xml:space="preserve"> </w:t>
      </w:r>
      <w:r>
        <w:rPr>
          <w:rStyle w:val="VerbatimChar"/>
        </w:rPr>
        <w:t xml:space="preserve">SKI</w:t>
      </w:r>
      <w:r>
        <w:t xml:space="preserve"> </w:t>
      </w:r>
      <w:r>
        <w:t xml:space="preserve">in</w:t>
      </w:r>
      <w:r>
        <w:t xml:space="preserve"> </w:t>
      </w:r>
      <w:r>
        <w:rPr>
          <w:rStyle w:val="VerbatimChar"/>
        </w:rPr>
        <w:t xml:space="preserve">certificateUserIds</w:t>
      </w:r>
      <w:r>
        <w:t xml:space="preserve">, written by the credential system’s issuance event (Book 03). Low-affinity UPN binding is acceptable in a pilot with test certificates. Change the tenant-wide</w:t>
      </w:r>
      <w:r>
        <w:t xml:space="preserve"> </w:t>
      </w:r>
      <w:r>
        <w:rPr>
          <w:b/>
          <w:bCs/>
        </w:rPr>
        <w:t xml:space="preserve">Required affinity binding</w:t>
      </w:r>
      <w:r>
        <w:t xml:space="preserve"> </w:t>
      </w:r>
      <w:r>
        <w:t xml:space="preserve">carefully: setting it to high before every user’s</w:t>
      </w:r>
      <w:r>
        <w:t xml:space="preserve"> </w:t>
      </w:r>
      <w:r>
        <w:rPr>
          <w:rStyle w:val="VerbatimChar"/>
        </w:rPr>
        <w:t xml:space="preserve">certificateUserIds</w:t>
      </w:r>
      <w:r>
        <w:t xml:space="preserve"> </w:t>
      </w:r>
      <w:r>
        <w:t xml:space="preserve">holds correct values locks those users out, and so does a high-affinity custom rule that applies to everyone.</w:t>
      </w:r>
      <w:r>
        <w:rPr>
          <w:rStyle w:val="FootnoteReference"/>
        </w:rPr>
        <w:footnoteReference w:id="582"/>
      </w:r>
    </w:p>
    <w:bookmarkEnd w:id="583"/>
    <w:bookmarkStart w:id="592" w:name="Xbd7e11512ff62b8cca7f279b93eb2f32b892347"/>
    <w:p>
      <w:pPr>
        <w:pStyle w:val="Heading3"/>
      </w:pPr>
      <w:r>
        <w:t xml:space="preserve">Single-factor and multifactor certificates</w:t>
      </w:r>
    </w:p>
    <w:p>
      <w:pPr>
        <w:pStyle w:val="FirstParagraph"/>
      </w:pPr>
      <w:r>
        <w:t xml:space="preserve">The authentication binding policy decides whether a certificate counts as one factor or two. The tenant default is single-factor; an Authentication Policy Administrator can change the default or add rules by certificate issuer, by policy OID, or by both.</w:t>
      </w:r>
      <w:r>
        <w:rPr>
          <w:rStyle w:val="FootnoteReference"/>
        </w:rPr>
        <w:footnoteReference w:id="584"/>
      </w:r>
      <w:r>
        <w:t xml:space="preserve"> </w:t>
      </w:r>
      <w:r>
        <w:t xml:space="preserve">When rules overlap, issuer-and-OID rules beat OID rules, and OID rules beat issuer rules; a certificate whose OIDs map to both single-factor and multifactor is treated as single-factor.</w:t>
      </w:r>
      <w:r>
        <w:rPr>
          <w:rStyle w:val="FootnoteReference"/>
        </w:rPr>
        <w:footnoteReference w:id="585"/>
      </w:r>
      <w:r>
        <w:t xml:space="preserve"> </w:t>
      </w:r>
      <w:r>
        <w:t xml:space="preserve">A derived credential whose policy OID differs from the card’s doesn’t inherit the card’s rule; give it its own.</w:t>
      </w:r>
      <w:r>
        <w:rPr>
          <w:rStyle w:val="FootnoteReference"/>
        </w:rPr>
        <w:footnoteReference w:id="586"/>
      </w:r>
      <w:r>
        <w:t xml:space="preserve"> </w:t>
      </w:r>
      <w:r>
        <w:t xml:space="preserve">Enter OIDs in dotted form;</w:t>
      </w:r>
      <w:r>
        <w:t xml:space="preserve"> </w:t>
      </w:r>
      <w:r>
        <w:t xml:space="preserve">“All Issuance Policies”</w:t>
      </w:r>
      <w:r>
        <w:t xml:space="preserve"> </w:t>
      </w:r>
      <w:r>
        <w:t xml:space="preserve">must be entered as</w:t>
      </w:r>
      <w:r>
        <w:t xml:space="preserve"> </w:t>
      </w:r>
      <w:r>
        <w:rPr>
          <w:rStyle w:val="VerbatimChar"/>
        </w:rPr>
        <w:t xml:space="preserve">2.5.29.32.0</w:t>
      </w:r>
      <w:r>
        <w:t xml:space="preserve">.</w:t>
      </w:r>
      <w:r>
        <w:rPr>
          <w:rStyle w:val="FootnoteReference"/>
        </w:rPr>
        <w:footnoteReference w:id="587"/>
      </w:r>
    </w:p>
    <w:p>
      <w:pPr>
        <w:pStyle w:val="BodyText"/>
      </w:pPr>
      <w:r>
        <w:t xml:space="preserve">The guide’s rationale for multifactor is right in substance: Microsoft says a certificate should be treated as multifactor only if it’s protected by a PIN or biometric.</w:t>
      </w:r>
      <w:r>
        <w:rPr>
          <w:rStyle w:val="FootnoteReference"/>
        </w:rPr>
        <w:footnoteReference w:id="588"/>
      </w:r>
      <w:r>
        <w:t xml:space="preserve"> </w:t>
      </w:r>
      <w:r>
        <w:t xml:space="preserve">A PIV card qualifies; a software certificate in the user store doesn’t. Use policy OIDs to separate them where one CA issues both.</w:t>
      </w:r>
    </w:p>
    <w:p>
      <w:pPr>
        <w:pStyle w:val="BodyText"/>
      </w:pPr>
      <w:r>
        <w:t xml:space="preserve">A single-factor certificate can be the first factor with a passkey, passwordless phone sign-in or a FIDO2 key as the second, or a password can be first and the certificate second.</w:t>
      </w:r>
      <w:r>
        <w:rPr>
          <w:rStyle w:val="FootnoteReference"/>
        </w:rPr>
        <w:footnoteReference w:id="589"/>
      </w:r>
      <w:r>
        <w:t xml:space="preserve"> </w:t>
      </w:r>
      <w:r>
        <w:t xml:space="preserve">Two rules protect users from lockout:</w:t>
      </w:r>
      <w:r>
        <w:rPr>
          <w:rStyle w:val="FootnoteReference"/>
        </w:rPr>
        <w:footnoteReference w:id="590"/>
      </w:r>
      <w:r>
        <w:rPr>
          <w:rStyle w:val="FootnoteReference"/>
        </w:rPr>
        <w:footnoteReference w:id="591"/>
      </w:r>
    </w:p>
    <w:p>
      <w:pPr>
        <w:pStyle w:val="Compact"/>
        <w:numPr>
          <w:ilvl w:val="0"/>
          <w:numId w:val="1035"/>
        </w:numPr>
      </w:pPr>
      <w:r>
        <w:t xml:space="preserve">A user in scope of the CBA method is treated as MFA-capable and can’t use another method to prove identity while registering new ones. Target CBA to groups of users who actually hold valid certificates, never to All users.</w:t>
      </w:r>
    </w:p>
    <w:p>
      <w:pPr>
        <w:pStyle w:val="Compact"/>
        <w:numPr>
          <w:ilvl w:val="0"/>
          <w:numId w:val="1035"/>
        </w:numPr>
      </w:pPr>
      <w:r>
        <w:t xml:space="preserve">A user without a certificate, or whose device can’t read a smart card, needs another path: a Temporary Access Pass, or another MFA method registered in advance.</w:t>
      </w:r>
    </w:p>
    <w:bookmarkEnd w:id="592"/>
    <w:bookmarkStart w:id="598" w:name="conditional-access"/>
    <w:p>
      <w:pPr>
        <w:pStyle w:val="Heading3"/>
      </w:pPr>
      <w:r>
        <w:t xml:space="preserve">Conditional Access</w:t>
      </w:r>
    </w:p>
    <w:p>
      <w:pPr>
        <w:pStyle w:val="FirstParagraph"/>
      </w:pPr>
      <w:r>
        <w:t xml:space="preserve">The built-in</w:t>
      </w:r>
      <w:r>
        <w:t xml:space="preserve"> </w:t>
      </w:r>
      <w:r>
        <w:rPr>
          <w:b/>
          <w:bCs/>
        </w:rPr>
        <w:t xml:space="preserve">Phishing-resistant MFA</w:t>
      </w:r>
      <w:r>
        <w:t xml:space="preserve"> </w:t>
      </w:r>
      <w:r>
        <w:t xml:space="preserve">authentication strength accepts CBA alongside FIDO2 security keys and Windows Hello for Business. A custom authentication strength can allow only CBA, as single-factor, multifactor or both, and its advanced options can require certificates from a particular issuer or with a particular policy OID for sensitive resources.</w:t>
      </w:r>
      <w:r>
        <w:rPr>
          <w:rStyle w:val="FootnoteReference"/>
        </w:rPr>
        <w:footnoteReference w:id="593"/>
      </w:r>
      <w:r>
        <w:t xml:space="preserve"> </w:t>
      </w:r>
      <w:r>
        <w:t xml:space="preserve">Conditional Access needs Entra ID P1.</w:t>
      </w:r>
      <w:r>
        <w:rPr>
          <w:rStyle w:val="FootnoteReference"/>
        </w:rPr>
        <w:footnoteReference w:id="594"/>
      </w:r>
      <w:r>
        <w:t xml:space="preserve"> </w:t>
      </w:r>
      <w:r>
        <w:t xml:space="preserve">The guide said CBA itself needs P1; it doesn’t, though the PKI bulk upload does and Conditional Access, which every real deployment uses, does.</w:t>
      </w:r>
      <w:r>
        <w:rPr>
          <w:rStyle w:val="FootnoteReference"/>
        </w:rPr>
        <w:footnoteReference w:id="596"/>
      </w:r>
      <w:r>
        <w:rPr>
          <w:rStyle w:val="FootnoteReference"/>
        </w:rPr>
        <w:footnoteReference w:id="597"/>
      </w:r>
    </w:p>
    <w:bookmarkEnd w:id="598"/>
    <w:bookmarkStart w:id="608" w:name="staged-rollout"/>
    <w:p>
      <w:pPr>
        <w:pStyle w:val="Heading3"/>
      </w:pPr>
      <w:r>
        <w:t xml:space="preserve">Staged rollout</w:t>
      </w:r>
    </w:p>
    <w:p>
      <w:pPr>
        <w:pStyle w:val="FirstParagraph"/>
      </w:pPr>
      <w:r>
        <w:t xml:space="preserve">Staged rollout lets synchronized users in a federated domain sign in at Entra ID with CBA instead of being redirected to AD FS, while everyone else stays federated.</w:t>
      </w:r>
      <w:r>
        <w:rPr>
          <w:rStyle w:val="FootnoteReference"/>
        </w:rPr>
        <w:footnoteReference w:id="599"/>
      </w:r>
      <w:r>
        <w:t xml:space="preserve"> </w:t>
      </w:r>
      <w:r>
        <w:t xml:space="preserve">Microsoft is explicit that it’s a temporary testing mechanism, not a permanent mixed state, and that the domain should be cut over to managed authentication once testing succeeds.</w:t>
      </w:r>
      <w:r>
        <w:rPr>
          <w:rStyle w:val="FootnoteReference"/>
        </w:rPr>
        <w:footnoteReference w:id="601"/>
      </w:r>
      <w:r>
        <w:t xml:space="preserve"> </w:t>
      </w:r>
      <w:r>
        <w:t xml:space="preserve">Its limits are tighter than the guide implied:</w:t>
      </w:r>
      <w:r>
        <w:rPr>
          <w:rStyle w:val="FootnoteReference"/>
        </w:rPr>
        <w:footnoteReference w:id="603"/>
      </w:r>
    </w:p>
    <w:p>
      <w:pPr>
        <w:pStyle w:val="Compact"/>
        <w:numPr>
          <w:ilvl w:val="0"/>
          <w:numId w:val="1036"/>
        </w:numPr>
      </w:pPr>
      <w:r>
        <w:t xml:space="preserve">It applies only to users synced by Entra Connect, not cloud-only users, and only to browser and modern-authentication sign-in; legacy authentication still goes to the federation server.</w:t>
      </w:r>
    </w:p>
    <w:p>
      <w:pPr>
        <w:pStyle w:val="Compact"/>
        <w:numPr>
          <w:ilvl w:val="0"/>
          <w:numId w:val="1036"/>
        </w:numPr>
      </w:pPr>
      <w:r>
        <w:t xml:space="preserve">Up to 10 groups per feature. Nested groups and dynamic groups aren’t supported. A group added for the first time is limited to 200 users to avoid a time-out; members added later take up to 24 hours to take effect. Microsoft recommends cloud groups to avoid sync delay.</w:t>
      </w:r>
    </w:p>
    <w:p>
      <w:pPr>
        <w:pStyle w:val="Compact"/>
        <w:numPr>
          <w:ilvl w:val="0"/>
          <w:numId w:val="1036"/>
        </w:numPr>
      </w:pPr>
      <w:r>
        <w:t xml:space="preserve">A user added to staged rollout needs one more interactive federated sign-in before managed authentication applies; issuing a Temporary Access Pass right after adding the user avoids it.</w:t>
      </w:r>
    </w:p>
    <w:p>
      <w:pPr>
        <w:pStyle w:val="Compact"/>
        <w:numPr>
          <w:ilvl w:val="0"/>
          <w:numId w:val="1036"/>
        </w:numPr>
      </w:pPr>
      <w:r>
        <w:t xml:space="preserve">Configuring it needs at least the Hybrid Identity Administrator role, under</w:t>
      </w:r>
      <w:r>
        <w:t xml:space="preserve"> </w:t>
      </w:r>
      <w:r>
        <w:rPr>
          <w:b/>
          <w:bCs/>
        </w:rPr>
        <w:t xml:space="preserve">Entra ID &gt; Entra Connect &gt; Connect sync</w:t>
      </w:r>
      <w:r>
        <w:t xml:space="preserve">.</w:t>
      </w:r>
    </w:p>
    <w:p>
      <w:pPr>
        <w:pStyle w:val="Compact"/>
        <w:numPr>
          <w:ilvl w:val="0"/>
          <w:numId w:val="1036"/>
        </w:numPr>
      </w:pPr>
      <w:r>
        <w:t xml:space="preserve">For a CBA staged rollout, password sign-in for those users works only if password hash sync is also on.</w:t>
      </w:r>
      <w:r>
        <w:rPr>
          <w:rStyle w:val="FootnoteReference"/>
        </w:rPr>
        <w:footnoteReference w:id="604"/>
      </w:r>
    </w:p>
    <w:p>
      <w:pPr>
        <w:pStyle w:val="Compact"/>
        <w:numPr>
          <w:ilvl w:val="0"/>
          <w:numId w:val="1036"/>
        </w:numPr>
      </w:pPr>
      <w:r>
        <w:t xml:space="preserve">Microsoft recommends separate groups for the CBA staged-rollout feature and for the CBA authentication method policy.</w:t>
      </w:r>
      <w:r>
        <w:rPr>
          <w:rStyle w:val="FootnoteReference"/>
        </w:rPr>
        <w:footnoteReference w:id="605"/>
      </w:r>
    </w:p>
    <w:p>
      <w:pPr>
        <w:pStyle w:val="Compact"/>
        <w:numPr>
          <w:ilvl w:val="0"/>
          <w:numId w:val="1036"/>
        </w:numPr>
      </w:pPr>
      <w:r>
        <w:t xml:space="preserve">Staged rollout doesn’t support Windows Hello for Business hybrid certificate trust with certificates issued through the federation server as registration authority, or smart card users in that model.</w:t>
      </w:r>
      <w:r>
        <w:rPr>
          <w:rStyle w:val="FootnoteReference"/>
        </w:rPr>
        <w:footnoteReference w:id="606"/>
      </w:r>
    </w:p>
    <w:p>
      <w:pPr>
        <w:pStyle w:val="FirstParagraph"/>
      </w:pPr>
      <w:r>
        <w:t xml:space="preserve">The sequence the program uses:</w:t>
      </w:r>
    </w:p>
    <w:p>
      <w:pPr>
        <w:pStyle w:val="Compact"/>
        <w:numPr>
          <w:ilvl w:val="0"/>
          <w:numId w:val="1037"/>
        </w:numPr>
      </w:pPr>
      <w:r>
        <w:t xml:space="preserve">Configure the trust store with CRL URLs and turn on Require CRL validation.</w:t>
      </w:r>
    </w:p>
    <w:p>
      <w:pPr>
        <w:pStyle w:val="Compact"/>
        <w:numPr>
          <w:ilvl w:val="0"/>
          <w:numId w:val="1037"/>
        </w:numPr>
      </w:pPr>
      <w:r>
        <w:t xml:space="preserve">Set username bindings and authentication bindings. Pilot users can start on UPN binding with test certificates; production rules require high affinity.</w:t>
      </w:r>
    </w:p>
    <w:p>
      <w:pPr>
        <w:pStyle w:val="Compact"/>
        <w:numPr>
          <w:ilvl w:val="0"/>
          <w:numId w:val="1037"/>
        </w:numPr>
      </w:pPr>
      <w:r>
        <w:t xml:space="preserve">Create pilot groups as cloud security groups, ten to twenty users across certificate types, platforms and CAs.</w:t>
      </w:r>
    </w:p>
    <w:p>
      <w:pPr>
        <w:pStyle w:val="Compact"/>
        <w:numPr>
          <w:ilvl w:val="0"/>
          <w:numId w:val="1037"/>
        </w:numPr>
      </w:pPr>
      <w:r>
        <w:t xml:space="preserve">Enable the CBA method for the pilot method group (not All users).</w:t>
      </w:r>
    </w:p>
    <w:p>
      <w:pPr>
        <w:pStyle w:val="Compact"/>
        <w:numPr>
          <w:ilvl w:val="0"/>
          <w:numId w:val="1037"/>
        </w:numPr>
      </w:pPr>
      <w:r>
        <w:t xml:space="preserve">Turn on password hash sync if it isn’t already, then enable staged rollout for certificate-based authentication with the pilot staged-rollout groups.</w:t>
      </w:r>
    </w:p>
    <w:p>
      <w:pPr>
        <w:pStyle w:val="Compact"/>
        <w:numPr>
          <w:ilvl w:val="0"/>
          <w:numId w:val="1037"/>
        </w:numPr>
      </w:pPr>
      <w:r>
        <w:t xml:space="preserve">Issue a Temporary Access Pass to each new pilot user, have them sign in, and confirm in the sign-in log that the certificate was used, which binding matched and what authentication level was granted.</w:t>
      </w:r>
    </w:p>
    <w:p>
      <w:pPr>
        <w:pStyle w:val="Compact"/>
        <w:numPr>
          <w:ilvl w:val="0"/>
          <w:numId w:val="1037"/>
        </w:numPr>
      </w:pPr>
      <w:r>
        <w:t xml:space="preserve">Grow the groups in steps the sign-in data supports, inside the 10-group and initial-200 limits.</w:t>
      </w:r>
    </w:p>
    <w:p>
      <w:pPr>
        <w:pStyle w:val="Compact"/>
        <w:numPr>
          <w:ilvl w:val="0"/>
          <w:numId w:val="1037"/>
        </w:numPr>
      </w:pPr>
      <w:r>
        <w:t xml:space="preserve">Convert the domain to managed authentication when every population is proven (Chapter 07, wave 5).</w:t>
      </w:r>
    </w:p>
    <w:p>
      <w:pPr>
        <w:pStyle w:val="Compact"/>
        <w:numPr>
          <w:ilvl w:val="0"/>
          <w:numId w:val="1037"/>
        </w:numPr>
      </w:pPr>
      <w:r>
        <w:t xml:space="preserve">Remove the staged-rollout groups after conversion.</w:t>
      </w:r>
    </w:p>
    <w:p>
      <w:pPr>
        <w:pStyle w:val="FirstParagraph"/>
      </w:pPr>
      <w:r>
        <w:t xml:space="preserve">One trap at the end: when you remove a user from a CBA staged-rollout group after the user has signed in to Windows with a certificate, keep the user enabled for the CBA method long enough to sign in to Windows and refresh the primary refresh token through the federation server.</w:t>
      </w:r>
      <w:r>
        <w:rPr>
          <w:rStyle w:val="FootnoteReference"/>
        </w:rPr>
        <w:footnoteReference w:id="607"/>
      </w:r>
    </w:p>
    <w:bookmarkEnd w:id="608"/>
    <w:bookmarkStart w:id="616" w:name="X04be59fc52697d26849d09cc910ddf2c58472a7"/>
    <w:p>
      <w:pPr>
        <w:pStyle w:val="Heading3"/>
      </w:pPr>
      <w:r>
        <w:t xml:space="preserve">Migrating from AD FS certificate authentication</w:t>
      </w:r>
    </w:p>
    <w:p>
      <w:pPr>
        <w:pStyle w:val="FirstParagraph"/>
      </w:pPr>
      <w:r>
        <w:t xml:space="preserve">Many agencies run AD FS only to do certificate authentication. Entra CBA removes that dependency; the credential and the PKI don’t change, and the PKI owners keep control of issuance and revocation. Only the place where revocation and authentication are checked moves.</w:t>
      </w:r>
      <w:r>
        <w:rPr>
          <w:rStyle w:val="FootnoteReference"/>
        </w:rPr>
        <w:footnoteReference w:id="609"/>
      </w:r>
    </w:p>
    <w:p>
      <w:pPr>
        <w:pStyle w:val="Compact"/>
        <w:numPr>
          <w:ilvl w:val="0"/>
          <w:numId w:val="1038"/>
        </w:numPr>
      </w:pPr>
      <w:r>
        <w:rPr>
          <w:b/>
          <w:bCs/>
        </w:rPr>
        <w:t xml:space="preserve">Trust parity.</w:t>
      </w:r>
      <w:r>
        <w:t xml:space="preserve"> </w:t>
      </w:r>
      <w:r>
        <w:t xml:space="preserve">Every CA AD FS trusts for user certificates goes into the Entra trust store, with internet-reachable CRLs. AD FS may have been reading LDAP CRL locations that Entra ID can’t use; Chapter 07 covers the fix.</w:t>
      </w:r>
    </w:p>
    <w:p>
      <w:pPr>
        <w:pStyle w:val="Compact"/>
        <w:numPr>
          <w:ilvl w:val="0"/>
          <w:numId w:val="1038"/>
        </w:numPr>
      </w:pPr>
      <w:r>
        <w:rPr>
          <w:b/>
          <w:bCs/>
        </w:rPr>
        <w:t xml:space="preserve">Binding parity.</w:t>
      </w:r>
      <w:r>
        <w:t xml:space="preserve"> </w:t>
      </w:r>
      <w:r>
        <w:t xml:space="preserve">Translate each AD FS certificate claim rule into a username binding, and test certificates with several SANs and certificates from each CA. Where AD FS mapped through</w:t>
      </w:r>
      <w:r>
        <w:t xml:space="preserve"> </w:t>
      </w:r>
      <w:r>
        <w:rPr>
          <w:rStyle w:val="VerbatimChar"/>
        </w:rPr>
        <w:t xml:space="preserve">altSecurityIdentities</w:t>
      </w:r>
      <w:r>
        <w:t xml:space="preserve">, sync those values to</w:t>
      </w:r>
      <w:r>
        <w:t xml:space="preserve"> </w:t>
      </w:r>
      <w:r>
        <w:rPr>
          <w:rStyle w:val="VerbatimChar"/>
        </w:rPr>
        <w:t xml:space="preserve">certificateUserIds</w:t>
      </w:r>
      <w:r>
        <w:t xml:space="preserve"> </w:t>
      </w:r>
      <w:r>
        <w:t xml:space="preserve">with Entra Connect sync rules, which needs the Hybrid Identity Administrator role.</w:t>
      </w:r>
      <w:r>
        <w:rPr>
          <w:rStyle w:val="FootnoteReference"/>
        </w:rPr>
        <w:footnoteReference w:id="610"/>
      </w:r>
    </w:p>
    <w:p>
      <w:pPr>
        <w:pStyle w:val="Compact"/>
        <w:numPr>
          <w:ilvl w:val="0"/>
          <w:numId w:val="1038"/>
        </w:numPr>
      </w:pPr>
      <w:r>
        <w:rPr>
          <w:b/>
          <w:bCs/>
        </w:rPr>
        <w:t xml:space="preserve">Protect the sync path.</w:t>
      </w:r>
      <w:r>
        <w:t xml:space="preserve"> </w:t>
      </w:r>
      <w:r>
        <w:t xml:space="preserve">If a binding uses a synced attribute, anyone with administrative access to the Entra Connect server can change the value; keep that access tight and privileged accounts cloud-only.</w:t>
      </w:r>
      <w:r>
        <w:rPr>
          <w:rStyle w:val="FootnoteReference"/>
        </w:rPr>
        <w:footnoteReference w:id="611"/>
      </w:r>
    </w:p>
    <w:p>
      <w:pPr>
        <w:pStyle w:val="Compact"/>
        <w:numPr>
          <w:ilvl w:val="0"/>
          <w:numId w:val="1038"/>
        </w:numPr>
      </w:pPr>
      <w:r>
        <w:rPr>
          <w:b/>
          <w:bCs/>
        </w:rPr>
        <w:t xml:space="preserve">Federation risk during the move.</w:t>
      </w:r>
      <w:r>
        <w:t xml:space="preserve"> </w:t>
      </w:r>
      <w:r>
        <w:t xml:space="preserve">Users in a federated domain who are on staged rollout are still exposed to a compromise of the federation server until the whole domain is converted.</w:t>
      </w:r>
      <w:r>
        <w:rPr>
          <w:rStyle w:val="FootnoteReference"/>
        </w:rPr>
        <w:footnoteReference w:id="612"/>
      </w:r>
      <w:r>
        <w:t xml:space="preserve"> </w:t>
      </w:r>
      <w:r>
        <w:t xml:space="preserve">That argues for a short staged-rollout period, not a long one.</w:t>
      </w:r>
    </w:p>
    <w:p>
      <w:pPr>
        <w:pStyle w:val="Compact"/>
        <w:numPr>
          <w:ilvl w:val="0"/>
          <w:numId w:val="1038"/>
        </w:numPr>
      </w:pPr>
      <w:r>
        <w:rPr>
          <w:b/>
          <w:bCs/>
        </w:rPr>
        <w:t xml:space="preserve">Record the federation configuration before conversion.</w:t>
      </w:r>
      <w:r>
        <w:t xml:space="preserve"> </w:t>
      </w:r>
      <w:r>
        <w:rPr>
          <w:rStyle w:val="VerbatimChar"/>
        </w:rPr>
        <w:t xml:space="preserve">Get-MgDomainFederationConfiguration</w:t>
      </w:r>
      <w:r>
        <w:t xml:space="preserve"> </w:t>
      </w:r>
      <w:r>
        <w:t xml:space="preserve">captures it, along with customized settings such as</w:t>
      </w:r>
      <w:r>
        <w:t xml:space="preserve"> </w:t>
      </w:r>
      <w:r>
        <w:rPr>
          <w:rStyle w:val="VerbatimChar"/>
        </w:rPr>
        <w:t xml:space="preserve">federatedIdpMfaBehavior</w:t>
      </w:r>
      <w:r>
        <w:t xml:space="preserve"> </w:t>
      </w:r>
      <w:r>
        <w:t xml:space="preserve">and</w:t>
      </w:r>
      <w:r>
        <w:t xml:space="preserve"> </w:t>
      </w:r>
      <w:r>
        <w:rPr>
          <w:rStyle w:val="VerbatimChar"/>
        </w:rPr>
        <w:t xml:space="preserve">PromptLoginBehavior</w:t>
      </w:r>
      <w:r>
        <w:t xml:space="preserve">; back up the AD FS farm (the AD FS Rapid Restore Tool) and the Microsoft 365 relying party trust and its claim rules.</w:t>
      </w:r>
      <w:r>
        <w:rPr>
          <w:rStyle w:val="FootnoteReference"/>
        </w:rPr>
        <w:footnoteReference w:id="613"/>
      </w:r>
    </w:p>
    <w:p>
      <w:pPr>
        <w:pStyle w:val="Compact"/>
        <w:numPr>
          <w:ilvl w:val="0"/>
          <w:numId w:val="1038"/>
        </w:numPr>
      </w:pPr>
      <w:r>
        <w:rPr>
          <w:b/>
          <w:bCs/>
        </w:rPr>
        <w:t xml:space="preserve">Conversion isn’t one-way.</w:t>
      </w:r>
      <w:r>
        <w:t xml:space="preserve"> </w:t>
      </w:r>
      <w:r>
        <w:t xml:space="preserve">The guide called it one-way.</w:t>
      </w:r>
      <w:r>
        <w:t xml:space="preserve"> </w:t>
      </w:r>
      <w:r>
        <w:rPr>
          <w:rStyle w:val="VerbatimChar"/>
        </w:rPr>
        <w:t xml:space="preserve">Update-MgDomain -AuthenticationType "Managed"</w:t>
      </w:r>
      <w:r>
        <w:t xml:space="preserve"> </w:t>
      </w:r>
      <w:r>
        <w:t xml:space="preserve">converts a domain, and Microsoft’s rollback is to re-federate with</w:t>
      </w:r>
      <w:r>
        <w:t xml:space="preserve"> </w:t>
      </w:r>
      <w:r>
        <w:rPr>
          <w:rStyle w:val="VerbatimChar"/>
        </w:rPr>
        <w:t xml:space="preserve">New-MgDomainFederationConfiguration</w:t>
      </w:r>
      <w:r>
        <w:t xml:space="preserve"> </w:t>
      </w:r>
      <w:r>
        <w:t xml:space="preserve">and restore claim rules.</w:t>
      </w:r>
      <w:r>
        <w:rPr>
          <w:rStyle w:val="FootnoteReference"/>
        </w:rPr>
        <w:footnoteReference w:id="615"/>
      </w:r>
      <w:r>
        <w:t xml:space="preserve"> </w:t>
      </w:r>
      <w:r>
        <w:t xml:space="preserve">Rollback is possible, but only while the AD FS farm can still be brought back, which is why Chapter 07 keeps it restorable through a defined window.</w:t>
      </w:r>
    </w:p>
    <w:bookmarkEnd w:id="616"/>
    <w:bookmarkEnd w:id="617"/>
    <w:bookmarkStart w:id="618" w:name="what-chapter-07-takes-from-here"/>
    <w:p>
      <w:pPr>
        <w:pStyle w:val="Heading2"/>
      </w:pPr>
      <w:bookmarkStart w:id="991" w:name="_Toc00000991"/>
      <w:r>
        <w:t xml:space="preserve">What Chapter 07 takes from here</w:t>
      </w:r>
      <w:bookmarkEnd w:id="991"/>
    </w:p>
    <w:p>
      <w:pPr>
        <w:pStyle w:val="FirstParagraph"/>
      </w:pPr>
      <w:r>
        <w:t xml:space="preserve">The device side leaves a list of certificates Intune can’t deliver: domain controllers, LDAPS, NPS and other servers. The user side leaves a set of CAs Entra ID must trust and CRLs it must reach. Chapter 07 runs both AD CS and the cloud issuers side by side while those lists shrink, and sequences the cutover. For the lifecycle and token context behind CBA, see the Federal Compliance book on certificates, tokens and cryptographic identity.</w:t>
      </w:r>
    </w:p>
    <w:bookmarkEnd w:id="618"/>
    <w:bookmarkStart w:id="619" w:name="continue-the-book-5"/>
    <w:p>
      <w:pPr>
        <w:pStyle w:val="Heading2"/>
      </w:pPr>
      <w:bookmarkStart w:id="992" w:name="_Toc00000992"/>
      <w:r>
        <w:t xml:space="preserve">Continue the book</w:t>
      </w:r>
      <w:bookmarkEnd w:id="992"/>
    </w:p>
    <w:p>
      <w:pPr>
        <w:pStyle w:val="FirstParagraph"/>
      </w:pPr>
      <w:r>
        <w:t xml:space="preserve">← Previous: Chapter 05 — Who Owns the Certificate Estate · Book index · Next: Chapter 07 — Coexistence and Migration →</w:t>
      </w:r>
    </w:p>
    <w:bookmarkEnd w:id="619"/>
    <w:bookmarkEnd w:id="620"/>
    <w:bookmarkStart w:id="708" w:name="chapter-07-coexistence-and-migration"/>
    <w:p>
      <w:pPr>
        <w:pStyle w:val="Heading1"/>
      </w:pPr>
      <w:bookmarkStart w:id="993" w:name="_Toc00000993"/>
      <w:r>
        <w:t xml:space="preserve">Chapter 07 — Coexistence and Migration</w:t>
      </w:r>
      <w:bookmarkEnd w:id="993"/>
    </w:p>
    <w:p>
      <w:pPr>
        <w:pStyle w:val="FirstParagraph"/>
      </w:pPr>
      <w:r>
        <w:rPr>
          <w:i/>
          <w:iCs/>
        </w:rPr>
        <w:t xml:space="preserve">For most of the migration, both PKIs are production. The plan has to say which one each certificate comes from on any given day, and how to go back.</w:t>
      </w:r>
    </w:p>
    <w:bookmarkStart w:id="621" w:name="in-this-chapter-6"/>
    <w:p>
      <w:pPr>
        <w:pStyle w:val="Heading2"/>
      </w:pPr>
      <w:bookmarkStart w:id="994" w:name="_Toc00000994"/>
      <w:r>
        <w:t xml:space="preserve">In this chapter</w:t>
      </w:r>
      <w:bookmarkEnd w:id="994"/>
    </w:p>
    <w:p>
      <w:pPr>
        <w:pStyle w:val="FirstParagraph"/>
      </w:pPr>
      <w:r>
        <w:t xml:space="preserve">The coexistence architecture: what stays on AD CS until Active Directory itself retires (domain controller, LDAPS and other server certificates), how trust has to run in both directions between AD CS and the cloud, why CRL reachability is the most common cause of failure, and how renewals behave while two issuers overlap. Then the migration playbook as six waves, each with an entry gate, the work, an exit gate, a rollback and a planning duration.</w:t>
      </w:r>
    </w:p>
    <w:bookmarkEnd w:id="621"/>
    <w:bookmarkStart w:id="626" w:name="two-pkis-one-estate"/>
    <w:p>
      <w:pPr>
        <w:pStyle w:val="Heading2"/>
      </w:pPr>
      <w:bookmarkStart w:id="995" w:name="_Toc00000995"/>
      <w:r>
        <w:t xml:space="preserve">Two PKIs, one estate</w:t>
      </w:r>
      <w:bookmarkEnd w:id="995"/>
    </w:p>
    <w:p>
      <w:pPr>
        <w:pStyle w:val="FirstParagraph"/>
      </w:pPr>
      <w:r>
        <w:t xml:space="preserve">Coexistence isn’t a phase at the end of the project; it’s the condition the project runs in. From the day the first Cloud PKI certificate is issued until the last AD CS-dependent workload retires, devices carry certificates from both issuers, relying parties trust both chains, and two sets of CRLs have to stay reachable. Chapter 06 showed what Intune and Entra ID can take over. This chapter covers the remainder and the order of the moves.</w:t>
      </w:r>
    </w:p>
    <w:p>
      <w:pPr>
        <w:pStyle w:val="BodyText"/>
      </w:pPr>
      <w:r>
        <w:t xml:space="preserve">The program’s coexistence rules:</w:t>
      </w:r>
    </w:p>
    <w:p>
      <w:pPr>
        <w:pStyle w:val="Compact"/>
        <w:numPr>
          <w:ilvl w:val="0"/>
          <w:numId w:val="1039"/>
        </w:numPr>
      </w:pPr>
      <w:r>
        <w:rPr>
          <w:b/>
          <w:bCs/>
        </w:rPr>
        <w:t xml:space="preserve">Each use case has one issuer at a time per population.</w:t>
      </w:r>
      <w:r>
        <w:t xml:space="preserve"> </w:t>
      </w:r>
      <w:r>
        <w:t xml:space="preserve">A device group gets its Wi-Fi certificate from AD CS or from Cloud PKI, never both by design; overlap happens only during the renewal window of a move.</w:t>
      </w:r>
    </w:p>
    <w:p>
      <w:pPr>
        <w:pStyle w:val="Compact"/>
        <w:numPr>
          <w:ilvl w:val="0"/>
          <w:numId w:val="1039"/>
        </w:numPr>
      </w:pPr>
      <w:r>
        <w:rPr>
          <w:b/>
          <w:bCs/>
        </w:rPr>
        <w:t xml:space="preserve">Trust goes up before issuance moves.</w:t>
      </w:r>
      <w:r>
        <w:t xml:space="preserve"> </w:t>
      </w:r>
      <w:r>
        <w:t xml:space="preserve">A relying party trusts the new chain before the first certificate from it is issued to anything that relying party sees.</w:t>
      </w:r>
    </w:p>
    <w:p>
      <w:pPr>
        <w:pStyle w:val="Compact"/>
        <w:numPr>
          <w:ilvl w:val="0"/>
          <w:numId w:val="1039"/>
        </w:numPr>
      </w:pPr>
      <w:r>
        <w:rPr>
          <w:b/>
          <w:bCs/>
        </w:rPr>
        <w:t xml:space="preserve">Revocation must be reachable wherever validation happens.</w:t>
      </w:r>
      <w:r>
        <w:t xml:space="preserve"> </w:t>
      </w:r>
      <w:r>
        <w:t xml:space="preserve">For every CA, someone can name the CRL URL each relying party uses, and that URL works from where the relying party sits.</w:t>
      </w:r>
    </w:p>
    <w:p>
      <w:pPr>
        <w:pStyle w:val="Compact"/>
        <w:numPr>
          <w:ilvl w:val="0"/>
          <w:numId w:val="1039"/>
        </w:numPr>
      </w:pPr>
      <w:r>
        <w:rPr>
          <w:b/>
          <w:bCs/>
        </w:rPr>
        <w:t xml:space="preserve">Nothing is revoked to force a move.</w:t>
      </w:r>
      <w:r>
        <w:t xml:space="preserve"> </w:t>
      </w:r>
      <w:r>
        <w:t xml:space="preserve">An AD CS certificate is replaced at renewal or expiry, not revoked early (the guide’s own rule, which stands).</w:t>
      </w:r>
    </w:p>
    <w:p>
      <w:pPr>
        <w:pStyle w:val="Compact"/>
        <w:numPr>
          <w:ilvl w:val="0"/>
          <w:numId w:val="1039"/>
        </w:numPr>
      </w:pPr>
      <w:r>
        <w:rPr>
          <w:b/>
          <w:bCs/>
        </w:rPr>
        <w:t xml:space="preserve">Every move has a rollback that has been tested,</w:t>
      </w:r>
      <w:r>
        <w:t xml:space="preserve"> </w:t>
      </w:r>
      <w:r>
        <w:t xml:space="preserve">and the rollback doesn’t depend on something the move itself retired.</w:t>
      </w:r>
    </w:p>
    <w:bookmarkStart w:id="625" w:name="fig-ch07-trust-directions"/>
    <w:p>
      <w:pPr>
        <w:pStyle w:val="CaptionedFigure"/>
      </w:pPr>
      <w:r>
        <w:drawing>
          <wp:inline>
            <wp:extent cx="5334000" cy="3332070"/>
            <wp:effectExtent b="0" l="0" r="0" t="0"/>
            <wp:docPr descr="Trust has to run both ways during coexistence: the AD CS root goes into the Entra ID trust store so Entra ID accepts AD CS-issued user certificates, the Cloud PKI chain goes to domain-joined machines so they accept Cloud PKI-issued certificates, and logon certificates need their issuing CA in NTAuth." title="" id="623" name="Picture"/>
            <a:graphic>
              <a:graphicData uri="http://schemas.openxmlformats.org/drawingml/2006/picture">
                <pic:pic>
                  <pic:nvPicPr>
                    <pic:cNvPr descr="/home/runner/work/modernization-workbook/modernization-workbook/docs/images/diagrams/b07-pki/png/ch07-trust-directions.png" id="624" name="Picture"/>
                    <pic:cNvPicPr>
                      <a:picLocks noChangeArrowheads="1" noChangeAspect="1"/>
                    </pic:cNvPicPr>
                  </pic:nvPicPr>
                  <pic:blipFill>
                    <a:blip r:embed="rId622"/>
                    <a:stretch>
                      <a:fillRect/>
                    </a:stretch>
                  </pic:blipFill>
                  <pic:spPr bwMode="auto">
                    <a:xfrm>
                      <a:off x="0" y="0"/>
                      <a:ext cx="5334000" cy="3332070"/>
                    </a:xfrm>
                    <a:prstGeom prst="rect">
                      <a:avLst/>
                    </a:prstGeom>
                    <a:noFill/>
                    <a:ln w="9525">
                      <a:noFill/>
                      <a:headEnd/>
                      <a:tailEnd/>
                    </a:ln>
                  </pic:spPr>
                </pic:pic>
              </a:graphicData>
            </a:graphic>
          </wp:inline>
        </w:drawing>
      </w:r>
    </w:p>
    <w:p>
      <w:pPr>
        <w:pStyle w:val="ImageCaption"/>
      </w:pPr>
      <w:r>
        <w:t xml:space="preserve">Trust has to run both ways during coexistence: the AD CS root goes into the Entra ID trust store so Entra ID accepts AD CS-issued user certificates, the Cloud PKI chain goes to domain-joined machines so they accept Cloud PKI-issued certificates, and logon certificates need their issuing CA in NTAuth.</w:t>
      </w:r>
    </w:p>
    <w:bookmarkEnd w:id="625"/>
    <w:bookmarkEnd w:id="626"/>
    <w:bookmarkStart w:id="648" w:name="X353409cb985c78efe431c704cf5c1a1067ff09d"/>
    <w:p>
      <w:pPr>
        <w:pStyle w:val="Heading2"/>
      </w:pPr>
      <w:bookmarkStart w:id="996" w:name="_Toc00000996"/>
      <w:r>
        <w:t xml:space="preserve">What stays on AD CS until Active Directory retires</w:t>
      </w:r>
      <w:bookmarkEnd w:id="996"/>
    </w:p>
    <w:bookmarkStart w:id="635" w:name="domain-controller-certificates"/>
    <w:p>
      <w:pPr>
        <w:pStyle w:val="Heading3"/>
      </w:pPr>
      <w:r>
        <w:t xml:space="preserve">Domain controller certificates</w:t>
      </w:r>
    </w:p>
    <w:p>
      <w:pPr>
        <w:pStyle w:val="FirstParagraph"/>
      </w:pPr>
      <w:r>
        <w:t xml:space="preserve">Domain controller certificates stay on AD CS for as long as there are domain controllers. The guide’s reason was that Cloud PKI can’t issue the KDC Authentication EKU. The decisive reason is simpler and verifiable: Cloud PKI issues only to Intune-enrolled devices through SCEP, and Intune doesn’t manage Windows Server.</w:t>
      </w:r>
      <w:r>
        <w:rPr>
          <w:rStyle w:val="FootnoteReference"/>
        </w:rPr>
        <w:footnoteReference w:id="627"/>
      </w:r>
      <w:r>
        <w:rPr>
          <w:rStyle w:val="FootnoteReference"/>
        </w:rPr>
        <w:footnoteReference w:id="628"/>
      </w:r>
      <w:r>
        <w:t xml:space="preserve"> </w:t>
      </w:r>
      <w:r>
        <w:t xml:space="preserve">Domain controllers enroll through AD auto-enrollment, and that is how they renew.</w:t>
      </w:r>
    </w:p>
    <w:p>
      <w:pPr>
        <w:pStyle w:val="BodyText"/>
      </w:pPr>
      <w:r>
        <w:t xml:space="preserve">Make sure the template is right before coexistence starts, because Microsoft Entra joined devices are less forgiving than domain-joined ones:</w:t>
      </w:r>
    </w:p>
    <w:p>
      <w:pPr>
        <w:pStyle w:val="Compact"/>
        <w:numPr>
          <w:ilvl w:val="0"/>
          <w:numId w:val="1040"/>
        </w:numPr>
      </w:pPr>
      <w:r>
        <w:rPr>
          <w:b/>
          <w:bCs/>
        </w:rPr>
        <w:t xml:space="preserve">Use the Kerberos Authentication template, or a copy of it.</w:t>
      </w:r>
      <w:r>
        <w:t xml:space="preserve"> </w:t>
      </w:r>
      <w:r>
        <w:t xml:space="preserve">The older Domain Controller and Domain Controller Authentication templates don’t include the KDC Authentication OID. A domain controller certificate for certificate-based sign-in must carry Client Authentication (</w:t>
      </w:r>
      <w:r>
        <w:rPr>
          <w:rStyle w:val="VerbatimChar"/>
        </w:rPr>
        <w:t xml:space="preserve">1.3.6.1.5.5.7.3.2</w:t>
      </w:r>
      <w:r>
        <w:t xml:space="preserve">), Server Authentication (</w:t>
      </w:r>
      <w:r>
        <w:rPr>
          <w:rStyle w:val="VerbatimChar"/>
        </w:rPr>
        <w:t xml:space="preserve">1.3.6.1.5.5.7.3.1</w:t>
      </w:r>
      <w:r>
        <w:t xml:space="preserve">) and KDC Authentication (</w:t>
      </w:r>
      <w:r>
        <w:rPr>
          <w:rStyle w:val="VerbatimChar"/>
        </w:rPr>
        <w:t xml:space="preserve">1.3.6.1.5.2.3.5</w:t>
      </w:r>
      <w:r>
        <w:t xml:space="preserve">), the domain’s DNS name in the SAN, and a CRL distribution point that points to a valid CRL (or an AIA pointing to an OCSP responder). Microsoft’s guidance is to duplicate the Kerberos Authentication template with current cryptography and have it supersede the older domain controller templates, so auto-enrollment replaces them.</w:t>
      </w:r>
      <w:r>
        <w:rPr>
          <w:rStyle w:val="FootnoteReference"/>
        </w:rPr>
        <w:footnoteReference w:id="629"/>
      </w:r>
    </w:p>
    <w:p>
      <w:pPr>
        <w:pStyle w:val="Compact"/>
        <w:numPr>
          <w:ilvl w:val="0"/>
          <w:numId w:val="1040"/>
        </w:numPr>
      </w:pPr>
      <w:r>
        <w:rPr>
          <w:b/>
          <w:bCs/>
        </w:rPr>
        <w:t xml:space="preserve">Give it an HTTP CRL location.</w:t>
      </w:r>
      <w:r>
        <w:t xml:space="preserve"> </w:t>
      </w:r>
      <w:r>
        <w:t xml:space="preserve">Entra-joined devices can’t read the CRL from Active Directory before they’ve authenticated, so an LDAP-only CDP on a domain controller certificate breaks their on-premises sign-in. Publish the CRL on an HTTP (not HTTPS) URL, listed first among the distribution points, and publish the delta CRL there too if the CA issues them.</w:t>
      </w:r>
      <w:r>
        <w:rPr>
          <w:rStyle w:val="FootnoteReference"/>
        </w:rPr>
        <w:footnoteReference w:id="631"/>
      </w:r>
    </w:p>
    <w:p>
      <w:pPr>
        <w:pStyle w:val="Compact"/>
        <w:numPr>
          <w:ilvl w:val="0"/>
          <w:numId w:val="1040"/>
        </w:numPr>
      </w:pPr>
      <w:r>
        <w:rPr>
          <w:b/>
          <w:bCs/>
        </w:rPr>
        <w:t xml:space="preserve">Put the root on Entra-joined devices</w:t>
      </w:r>
      <w:r>
        <w:t xml:space="preserve"> </w:t>
      </w:r>
      <w:r>
        <w:t xml:space="preserve">with an Intune trusted certificate profile.</w:t>
      </w:r>
      <w:r>
        <w:rPr>
          <w:rStyle w:val="FootnoteReference"/>
        </w:rPr>
        <w:footnoteReference w:id="633"/>
      </w:r>
    </w:p>
    <w:p>
      <w:pPr>
        <w:pStyle w:val="FirstParagraph"/>
      </w:pPr>
      <w:r>
        <w:t xml:space="preserve">Classify every domain controller template BRIDGE (Chapter 02 defines the classes). It retires with the last domain controller, not with the PKI migration.</w:t>
      </w:r>
    </w:p>
    <w:bookmarkEnd w:id="635"/>
    <w:bookmarkStart w:id="641" w:name="ldaps"/>
    <w:p>
      <w:pPr>
        <w:pStyle w:val="Heading3"/>
      </w:pPr>
      <w:r>
        <w:t xml:space="preserve">LDAPS</w:t>
      </w:r>
    </w:p>
    <w:p>
      <w:pPr>
        <w:pStyle w:val="FirstParagraph"/>
      </w:pPr>
      <w:r>
        <w:t xml:space="preserve">The guide said LDAPS certificates</w:t>
      </w:r>
      <w:r>
        <w:t xml:space="preserve"> </w:t>
      </w:r>
      <w:r>
        <w:t xml:space="preserve">“for endpoints consumed by cloud services”</w:t>
      </w:r>
      <w:r>
        <w:t xml:space="preserve"> </w:t>
      </w:r>
      <w:r>
        <w:t xml:space="preserve">could move to Cloud PKI. They can’t: an LDAPS endpoint is a server, and Cloud PKI doesn’t issue to servers.</w:t>
      </w:r>
      <w:r>
        <w:rPr>
          <w:rStyle w:val="FootnoteReference"/>
        </w:rPr>
        <w:footnoteReference w:id="636"/>
      </w:r>
      <w:r>
        <w:t xml:space="preserve"> </w:t>
      </w:r>
      <w:r>
        <w:t xml:space="preserve">LDAPS on domain controllers is enabled simply by installing a qualifying certificate: Server Authentication EKU, the domain controller’s FQDN in the subject CN or a SAN DNS entry, a private key in the local computer store without strong private key protection, a key from the Schannel provider, and a chain both the domain controller and LDAPS clients trust. Active Directory checks the NTDS service’s certificate store first and picks up a new certificate there without a restart; in the computer’s Personal store, a domain controller that finds several qualifying certificates picks one at random.</w:t>
      </w:r>
      <w:r>
        <w:rPr>
          <w:rStyle w:val="FootnoteReference"/>
        </w:rPr>
        <w:footnoteReference w:id="637"/>
      </w:r>
      <w:r>
        <w:rPr>
          <w:rStyle w:val="FootnoteReference"/>
        </w:rPr>
        <w:footnoteReference w:id="638"/>
      </w:r>
    </w:p>
    <w:p>
      <w:pPr>
        <w:pStyle w:val="BodyText"/>
      </w:pPr>
      <w:r>
        <w:t xml:space="preserve">During coexistence that has two consequences. The LDAPS certificate keeps renewing from AD CS (the Domain Controller template already has the right properties</w:t>
      </w:r>
      <w:r>
        <w:rPr>
          <w:rStyle w:val="FootnoteReference"/>
        </w:rPr>
        <w:footnoteReference w:id="640"/>
      </w:r>
      <w:r>
        <w:t xml:space="preserve">), and every LDAPS</w:t>
      </w:r>
      <w:r>
        <w:t xml:space="preserve"> </w:t>
      </w:r>
      <w:r>
        <w:rPr>
          <w:i/>
          <w:iCs/>
        </w:rPr>
        <w:t xml:space="preserve">client</w:t>
      </w:r>
      <w:r>
        <w:t xml:space="preserve"> </w:t>
      </w:r>
      <w:r>
        <w:t xml:space="preserve">must trust that chain, including cloud-side components and appliances that bind to domain controllers. When an application migrates off LDAP (Book 02, Chapter 04 covers the LDAP adapter), remove it from the list of LDAPS clients; LDAPS itself ends with the domain controllers.</w:t>
      </w:r>
    </w:p>
    <w:bookmarkEnd w:id="641"/>
    <w:bookmarkStart w:id="647" w:name="other-server-certificates"/>
    <w:p>
      <w:pPr>
        <w:pStyle w:val="Heading3"/>
      </w:pPr>
      <w:r>
        <w:t xml:space="preserve">Other server certificates</w:t>
      </w:r>
    </w:p>
    <w:p>
      <w:pPr>
        <w:pStyle w:val="FirstParagraph"/>
      </w:pPr>
      <w:r>
        <w:t xml:space="preserve">NPS and other RADIUS servers, Remote Desktop gateways, internal web servers, SQL Server (Book 06, Chapter 22) and network appliances all need server certificates, and none of them is an Intune-managed device. They stay on AD CS auto-enrollment or manual enrollment during coexistence; internet-facing names use a public CA. The longer-term target for these certificates, and how their inventory and renewal are automated, is Chapter 08’s subject. Where the program needs certificate lifecycle tooling across servers and appliances, it uses its existing vendor, CyberArk, and CyberArk Certificate Manager, which CyberArk documents as discovering certificates across the enterprise and renewing them before they expire.</w:t>
      </w:r>
      <w:r>
        <w:rPr>
          <w:rStyle w:val="FootnoteReference"/>
        </w:rPr>
        <w:footnoteReference w:id="642"/>
      </w:r>
      <w:r>
        <w:t xml:space="preserve"> </w:t>
      </w:r>
      <w:r>
        <w:t xml:space="preserve">The program consolidates on it rather than adding a second lifecycle vendor. Palo Alto Networks completed its acquisition of CyberArk on February 11, 2026,</w:t>
      </w:r>
      <w:r>
        <w:rPr>
          <w:rStyle w:val="FootnoteReference"/>
        </w:rPr>
        <w:footnoteReference w:id="643"/>
      </w:r>
      <w:r>
        <w:t xml:space="preserve"> </w:t>
      </w:r>
      <w:r>
        <w:t xml:space="preserve">and now presents CyberArk Certificate Manager as Next-Generation Trust Security, which it describes as the evolution of the SaaS offering previously known as Venafi TLS Protect;</w:t>
      </w:r>
      <w:r>
        <w:rPr>
          <w:rStyle w:val="FootnoteReference"/>
        </w:rPr>
        <w:footnoteReference w:id="644"/>
      </w:r>
      <w:r>
        <w:t xml:space="preserve"> </w:t>
      </w:r>
      <w:r>
        <w:t xml:space="preserve">check the current product name in contract documents.</w:t>
      </w:r>
    </w:p>
    <w:p>
      <w:pPr>
        <w:pStyle w:val="BodyText"/>
      </w:pPr>
      <w:r>
        <w:t xml:space="preserve">The NPS server certificate needs particular care during the Wi-Fi move. Clients validate it against the root they trust and, for wireless, expect the server’s FQDN in its SAN;</w:t>
      </w:r>
      <w:r>
        <w:rPr>
          <w:rStyle w:val="FootnoteReference"/>
        </w:rPr>
        <w:footnoteReference w:id="645"/>
      </w:r>
      <w:r>
        <w:t xml:space="preserve"> </w:t>
      </w:r>
      <w:r>
        <w:t xml:space="preserve">the client certificates it validates change issuer when devices move to Cloud PKI. NPS must trust the Cloud PKI chain before the first pilot device gets a Cloud PKI Wi-Fi certificate (rule 2), and must keep trusting the AD CS chain until the last AD CS client certificate has expired.</w:t>
      </w:r>
    </w:p>
    <w:bookmarkEnd w:id="647"/>
    <w:bookmarkEnd w:id="648"/>
    <w:bookmarkStart w:id="665" w:name="trust-in-both-directions"/>
    <w:p>
      <w:pPr>
        <w:pStyle w:val="Heading2"/>
      </w:pPr>
      <w:bookmarkStart w:id="997" w:name="_Toc00000997"/>
      <w:r>
        <w:t xml:space="preserve">Trust in both directions</w:t>
      </w:r>
      <w:bookmarkEnd w:id="997"/>
    </w:p>
    <w:bookmarkStart w:id="650" w:name="ad-cs-chain-into-entra-id"/>
    <w:p>
      <w:pPr>
        <w:pStyle w:val="Heading3"/>
      </w:pPr>
      <w:r>
        <w:t xml:space="preserve">AD CS chain into Entra ID</w:t>
      </w:r>
    </w:p>
    <w:p>
      <w:pPr>
        <w:pStyle w:val="FirstParagraph"/>
      </w:pPr>
      <w:r>
        <w:t xml:space="preserve">To let Entra CBA accept certificates issued by AD CS (smart card certificates, software user certificates, PIV certificates chaining through a Federal PKI bridge), upload the root and every intermediate and issuing CA to the Entra ID trust store, each with an internet-facing CRL URL (Chapter 06).</w:t>
      </w:r>
      <w:r>
        <w:rPr>
          <w:rStyle w:val="FootnoteReference"/>
        </w:rPr>
        <w:footnoteReference w:id="649"/>
      </w:r>
      <w:r>
        <w:t xml:space="preserve"> </w:t>
      </w:r>
      <w:r>
        <w:t xml:space="preserve">This is also what lets AD FS certificate authentication move to Entra ID without reissuing a single certificate.</w:t>
      </w:r>
    </w:p>
    <w:bookmarkEnd w:id="650"/>
    <w:bookmarkStart w:id="658" w:name="cloud-chain-into-the-forest"/>
    <w:p>
      <w:pPr>
        <w:pStyle w:val="Heading3"/>
      </w:pPr>
      <w:r>
        <w:t xml:space="preserve">Cloud chain into the forest</w:t>
      </w:r>
    </w:p>
    <w:p>
      <w:pPr>
        <w:pStyle w:val="FirstParagraph"/>
      </w:pPr>
      <w:r>
        <w:t xml:space="preserve">Domain-joined machines that validate Cloud PKI certificates (RADIUS servers, VPN concentrators joined to the domain, web servers doing mutual TLS) need the Cloud PKI root, and for a BYOCA hierarchy every CA in the private chain plus the BYOCA issuing CA, which Microsoft says must be installed on all relying parties.</w:t>
      </w:r>
      <w:r>
        <w:rPr>
          <w:rStyle w:val="FootnoteReference"/>
        </w:rPr>
        <w:footnoteReference w:id="651"/>
      </w:r>
      <w:r>
        <w:t xml:space="preserve"> </w:t>
      </w:r>
      <w:r>
        <w:t xml:space="preserve">Two ways to get them there:</w:t>
      </w:r>
    </w:p>
    <w:p>
      <w:pPr>
        <w:pStyle w:val="Compact"/>
        <w:numPr>
          <w:ilvl w:val="0"/>
          <w:numId w:val="1041"/>
        </w:numPr>
      </w:pPr>
      <w:r>
        <w:rPr>
          <w:b/>
          <w:bCs/>
        </w:rPr>
        <w:t xml:space="preserve">Group Policy:</w:t>
      </w:r>
      <w:r>
        <w:t xml:space="preserve"> </w:t>
      </w:r>
      <w:r>
        <w:t xml:space="preserve">import the certificate into</w:t>
      </w:r>
      <w:r>
        <w:t xml:space="preserve"> </w:t>
      </w:r>
      <w:r>
        <w:rPr>
          <w:i/>
          <w:iCs/>
        </w:rPr>
        <w:t xml:space="preserve">Computer Configuration &gt; Policies &gt; Windows Settings &gt; Security Settings &gt; Public Key Policies &gt; Trusted Root Certification Authorities</w:t>
      </w:r>
      <w:r>
        <w:t xml:space="preserve"> </w:t>
      </w:r>
      <w:r>
        <w:t xml:space="preserve">in a GPO linked where the relying parties are.</w:t>
      </w:r>
      <w:r>
        <w:rPr>
          <w:rStyle w:val="FootnoteReference"/>
        </w:rPr>
        <w:footnoteReference w:id="652"/>
      </w:r>
      <w:r>
        <w:t xml:space="preserve"> </w:t>
      </w:r>
      <w:r>
        <w:t xml:space="preserve">Microsoft documents an intermittent problem with this method when many root certificates are distributed by GPO: during policy refresh, applications can briefly see an incomplete root list and treat valid chains as untrusted; Microsoft’s workarounds use other stores or Group Policy Preferences.</w:t>
      </w:r>
      <w:r>
        <w:rPr>
          <w:rStyle w:val="FootnoteReference"/>
        </w:rPr>
        <w:footnoteReference w:id="654"/>
      </w:r>
    </w:p>
    <w:p>
      <w:pPr>
        <w:pStyle w:val="Compact"/>
        <w:numPr>
          <w:ilvl w:val="0"/>
          <w:numId w:val="1041"/>
        </w:numPr>
      </w:pPr>
      <w:r>
        <w:rPr>
          <w:b/>
          <w:bCs/>
        </w:rPr>
        <w:t xml:space="preserve">Active Directory publication:</w:t>
      </w:r>
      <w:r>
        <w:t xml:space="preserve"> </w:t>
      </w:r>
      <w:r>
        <w:rPr>
          <w:rStyle w:val="VerbatimChar"/>
        </w:rPr>
        <w:t xml:space="preserve">certutil -dspublish &lt;file&gt; RootCA</w:t>
      </w:r>
      <w:r>
        <w:t xml:space="preserve"> </w:t>
      </w:r>
      <w:r>
        <w:t xml:space="preserve">publishes a root to the directory’s trusted root store for the forest.</w:t>
      </w:r>
      <w:r>
        <w:rPr>
          <w:rStyle w:val="FootnoteReference"/>
        </w:rPr>
        <w:footnoteReference w:id="656"/>
      </w:r>
    </w:p>
    <w:p>
      <w:pPr>
        <w:pStyle w:val="FirstParagraph"/>
      </w:pPr>
      <w:r>
        <w:t xml:space="preserve">For a BYOCA hierarchy chained to the existing AD CS root, domain-joined machines already trust the root; they still need the intermediate and the BYOCA issuing CA in the intermediate store for chain building. That’s one of the reasons Chapter 04 recommends BYOCA where an AD CS hierarchy and cross-forest trust already exist.</w:t>
      </w:r>
    </w:p>
    <w:bookmarkEnd w:id="658"/>
    <w:bookmarkStart w:id="662" w:name="ntauth-only-for-logon-certificates"/>
    <w:p>
      <w:pPr>
        <w:pStyle w:val="Heading3"/>
      </w:pPr>
      <w:r>
        <w:t xml:space="preserve">NTAuth: only for logon certificates</w:t>
      </w:r>
    </w:p>
    <w:p>
      <w:pPr>
        <w:pStyle w:val="FirstParagraph"/>
      </w:pPr>
      <w:r>
        <w:t xml:space="preserve">A certificate used to sign in to AD (smart card logon or other certificate logon) must come from a CA in the forest’s NTAuth store; enterprise CAs publish themselves there automatically, other CAs need</w:t>
      </w:r>
      <w:r>
        <w:t xml:space="preserve"> </w:t>
      </w:r>
      <w:r>
        <w:rPr>
          <w:rStyle w:val="VerbatimChar"/>
        </w:rPr>
        <w:t xml:space="preserve">certutil -dspublish &lt;file&gt; NTAuthCA</w:t>
      </w:r>
      <w:r>
        <w:t xml:space="preserve">.</w:t>
      </w:r>
      <w:r>
        <w:rPr>
          <w:rStyle w:val="FootnoteReference"/>
        </w:rPr>
        <w:footnoteReference w:id="659"/>
      </w:r>
      <w:r>
        <w:rPr>
          <w:rStyle w:val="FootnoteReference"/>
        </w:rPr>
        <w:footnoteReference w:id="661"/>
      </w:r>
      <w:r>
        <w:t xml:space="preserve"> </w:t>
      </w:r>
      <w:r>
        <w:t xml:space="preserve">Wi-Fi, VPN and mTLS certificates don’t need NTAuth. Publish a Cloud PKI or BYOCA issuing CA to NTAuth only if it will issue logon certificates for that forest, and then only for issuing CAs whose profiles produce strongly mapped user certificates (Chapter 06). Every NTAuth entry is a CA the forest lets mint logon credentials; Chapter 03 treats changes to it as a monitored event.</w:t>
      </w:r>
    </w:p>
    <w:bookmarkEnd w:id="662"/>
    <w:bookmarkStart w:id="664" w:name="more-than-one-forest"/>
    <w:p>
      <w:pPr>
        <w:pStyle w:val="Heading3"/>
      </w:pPr>
      <w:r>
        <w:t xml:space="preserve">More than one forest</w:t>
      </w:r>
    </w:p>
    <w:p>
      <w:pPr>
        <w:pStyle w:val="FirstParagraph"/>
      </w:pPr>
      <w:r>
        <w:t xml:space="preserve">Each forest has its own configuration partition, so each needs its own trust distribution (GPO or</w:t>
      </w:r>
      <w:r>
        <w:t xml:space="preserve"> </w:t>
      </w:r>
      <w:r>
        <w:rPr>
          <w:rStyle w:val="VerbatimChar"/>
        </w:rPr>
        <w:t xml:space="preserve">-dspublish</w:t>
      </w:r>
      <w:r>
        <w:t xml:space="preserve">) and, if applicable, its own NTAuth entry. Each forest’s AD CS root that issues user certificates goes into the single Entra ID trust store. Where several PKIs serve different populations, Entra CBA’s CA scoping can tie each CA to the group of users it’s meant for.</w:t>
      </w:r>
      <w:r>
        <w:rPr>
          <w:rStyle w:val="FootnoteReference"/>
        </w:rPr>
        <w:footnoteReference w:id="663"/>
      </w:r>
      <w:r>
        <w:t xml:space="preserve"> </w:t>
      </w:r>
      <w:r>
        <w:t xml:space="preserve">The guide’s phrase</w:t>
      </w:r>
      <w:r>
        <w:t xml:space="preserve"> </w:t>
      </w:r>
      <w:r>
        <w:t xml:space="preserve">“trusted by Cloud PKI (via Entra upload)”</w:t>
      </w:r>
      <w:r>
        <w:t xml:space="preserve"> </w:t>
      </w:r>
      <w:r>
        <w:t xml:space="preserve">conflated two things: Cloud PKI doesn’t trust other CAs; Entra ID’s CBA trust store does.</w:t>
      </w:r>
    </w:p>
    <w:bookmarkEnd w:id="664"/>
    <w:bookmarkEnd w:id="665"/>
    <w:bookmarkStart w:id="675" w:name="crl-availability"/>
    <w:p>
      <w:pPr>
        <w:pStyle w:val="Heading2"/>
      </w:pPr>
      <w:bookmarkStart w:id="998" w:name="_Toc00000998"/>
      <w:r>
        <w:t xml:space="preserve">CRL availability</w:t>
      </w:r>
      <w:bookmarkEnd w:id="998"/>
    </w:p>
    <w:p>
      <w:pPr>
        <w:pStyle w:val="FirstParagraph"/>
      </w:pPr>
      <w:r>
        <w:t xml:space="preserve">Most coexistence outages are revocation outages. The relying parties now sit in three places (inside the network, on the internet, and in Entra ID), and each CA’s CRL must be reachable from all three where its certificates are validated.</w:t>
      </w:r>
    </w:p>
    <w:p>
      <w:pPr>
        <w:pStyle w:val="TableCaption"/>
      </w:pPr>
      <w:r>
        <w:t xml:space="preserve">Where each CRL must be reachable during coexistence</w:t>
      </w:r>
    </w:p>
    <w:tbl>
      <w:tblPr>
        <w:tblStyle w:val="Table"/>
        <w:tblW w:type="pct" w:w="5000"/>
        <w:tblLayout w:type="fixed"/>
        <w:tblLook w:firstRow="1" w:lastRow="0" w:firstColumn="0" w:lastColumn="0" w:noHBand="0" w:noVBand="0" w:val="0020"/>
        <w:tblCaption w:val="Where each CRL must be reachable during coexistence"/>
      </w:tblPr>
      <w:tblGrid>
        <w:gridCol w:w="1980"/>
        <w:gridCol w:w="1980"/>
        <w:gridCol w:w="1980"/>
        <w:gridCol w:w="1980"/>
      </w:tblGrid>
      <w:tr>
        <w:trPr>
          <w:tblHeader w:val="on"/>
        </w:trPr>
        <w:tc>
          <w:tcPr/>
          <w:p>
            <w:pPr>
              <w:pStyle w:val="Compact"/>
            </w:pPr>
            <w:r>
              <w:t xml:space="preserve">CA</w:t>
            </w:r>
          </w:p>
        </w:tc>
        <w:tc>
          <w:tcPr/>
          <w:p>
            <w:pPr>
              <w:pStyle w:val="Compact"/>
            </w:pPr>
            <w:r>
              <w:t xml:space="preserve">Where its CRL lives</w:t>
            </w:r>
          </w:p>
        </w:tc>
        <w:tc>
          <w:tcPr/>
          <w:p>
            <w:pPr>
              <w:pStyle w:val="Compact"/>
            </w:pPr>
            <w:r>
              <w:t xml:space="preserve">Who must reach it</w:t>
            </w:r>
          </w:p>
        </w:tc>
        <w:tc>
          <w:tcPr/>
          <w:p>
            <w:pPr>
              <w:pStyle w:val="Compact"/>
            </w:pPr>
            <w:r>
              <w:t xml:space="preserve">Watch for</w:t>
            </w:r>
          </w:p>
        </w:tc>
      </w:tr>
      <w:tr>
        <w:tc>
          <w:tcPr/>
          <w:p>
            <w:pPr>
              <w:pStyle w:val="Compact"/>
            </w:pPr>
            <w:r>
              <w:t xml:space="preserve">Cloud PKI root and issuing CAs</w:t>
            </w:r>
          </w:p>
        </w:tc>
        <w:tc>
          <w:tcPr/>
          <w:p>
            <w:pPr>
              <w:pStyle w:val="Compact"/>
            </w:pPr>
            <w:r>
              <w:t xml:space="preserve">Hosted by Intune; valid seven days, republished every 3.5 days and on each revocation</w:t>
            </w:r>
            <w:r>
              <w:rPr>
                <w:rStyle w:val="FootnoteReference"/>
              </w:rPr>
              <w:footnoteReference w:id="666"/>
            </w:r>
          </w:p>
        </w:tc>
        <w:tc>
          <w:tcPr/>
          <w:p>
            <w:pPr>
              <w:pStyle w:val="Compact"/>
            </w:pPr>
            <w:r>
              <w:t xml:space="preserve">Every relying party that validates Cloud PKI certificates, including on-premises RADIUS and VPN</w:t>
            </w:r>
          </w:p>
        </w:tc>
        <w:tc>
          <w:tcPr/>
          <w:p>
            <w:pPr>
              <w:pStyle w:val="Compact"/>
            </w:pPr>
            <w:r>
              <w:t xml:space="preserve">Outbound HTTP from RADIUS and VPN servers to the Intune-hosted CDP and AIA</w:t>
            </w:r>
          </w:p>
        </w:tc>
      </w:tr>
      <w:tr>
        <w:tc>
          <w:tcPr/>
          <w:p>
            <w:pPr>
              <w:pStyle w:val="Compact"/>
            </w:pPr>
            <w:r>
              <w:t xml:space="preserve">BYOCA issuing CA</w:t>
            </w:r>
          </w:p>
        </w:tc>
        <w:tc>
          <w:tcPr/>
          <w:p>
            <w:pPr>
              <w:pStyle w:val="Compact"/>
            </w:pPr>
            <w:r>
              <w:t xml:space="preserve">Hosted by Intune, like other Cloud PKI CAs</w:t>
            </w:r>
            <w:r>
              <w:rPr>
                <w:rStyle w:val="FootnoteReference"/>
              </w:rPr>
              <w:footnoteReference w:id="667"/>
            </w:r>
          </w:p>
        </w:tc>
        <w:tc>
          <w:tcPr/>
          <w:p>
            <w:pPr>
              <w:pStyle w:val="Compact"/>
            </w:pPr>
            <w:r>
              <w:t xml:space="preserve">As above</w:t>
            </w:r>
          </w:p>
        </w:tc>
        <w:tc>
          <w:tcPr/>
          <w:p>
            <w:pPr>
              <w:pStyle w:val="Compact"/>
            </w:pPr>
            <w:r>
              <w:t xml:space="preserve">The</w:t>
            </w:r>
            <w:r>
              <w:t xml:space="preserve"> </w:t>
            </w:r>
            <w:r>
              <w:rPr>
                <w:i/>
                <w:iCs/>
              </w:rPr>
              <w:t xml:space="preserve">parent</w:t>
            </w:r>
            <w:r>
              <w:t xml:space="preserve"> </w:t>
            </w:r>
            <w:r>
              <w:t xml:space="preserve">CRLs and AIA come from the private CA; AD CS defaults to an LDAP AIA location</w:t>
            </w:r>
            <w:r>
              <w:rPr>
                <w:rStyle w:val="FootnoteReference"/>
              </w:rPr>
              <w:footnoteReference w:id="668"/>
            </w:r>
          </w:p>
        </w:tc>
      </w:tr>
      <w:tr>
        <w:tc>
          <w:tcPr/>
          <w:p>
            <w:pPr>
              <w:pStyle w:val="Compact"/>
            </w:pPr>
            <w:r>
              <w:t xml:space="preserve">AD CS root and issuing CAs (user certificates for Entra CBA)</w:t>
            </w:r>
          </w:p>
        </w:tc>
        <w:tc>
          <w:tcPr/>
          <w:p>
            <w:pPr>
              <w:pStyle w:val="Compact"/>
            </w:pPr>
            <w:r>
              <w:t xml:space="preserve">Wherever the CA publishes: often LDAP plus an internal HTTP URL</w:t>
            </w:r>
          </w:p>
        </w:tc>
        <w:tc>
          <w:tcPr/>
          <w:p>
            <w:pPr>
              <w:pStyle w:val="Compact"/>
            </w:pPr>
            <w:r>
              <w:t xml:space="preserve">Entra ID, over the internet; one HTTP or HTTPS URL per CA, HTTP recommended; no OCSP, no LDAP</w:t>
            </w:r>
            <w:r>
              <w:rPr>
                <w:rStyle w:val="FootnoteReference"/>
              </w:rPr>
              <w:footnoteReference w:id="669"/>
            </w:r>
          </w:p>
        </w:tc>
        <w:tc>
          <w:tcPr/>
          <w:p>
            <w:pPr>
              <w:pStyle w:val="Compact"/>
            </w:pPr>
            <w:r>
              <w:t xml:space="preserve">Internal-only URLs; CRLs over 20 MB (commercial and GCC) or 45 MB (Azure Government) for interactive sign-in</w:t>
            </w:r>
            <w:r>
              <w:rPr>
                <w:rStyle w:val="FootnoteReference"/>
              </w:rPr>
              <w:footnoteReference w:id="670"/>
            </w:r>
          </w:p>
        </w:tc>
      </w:tr>
      <w:tr>
        <w:tc>
          <w:tcPr/>
          <w:p>
            <w:pPr>
              <w:pStyle w:val="Compact"/>
            </w:pPr>
            <w:r>
              <w:t xml:space="preserve">AD CS CAs behind domain controller certificates</w:t>
            </w:r>
          </w:p>
        </w:tc>
        <w:tc>
          <w:tcPr/>
          <w:p>
            <w:pPr>
              <w:pStyle w:val="Compact"/>
            </w:pPr>
            <w:r>
              <w:t xml:space="preserve">As above</w:t>
            </w:r>
          </w:p>
        </w:tc>
        <w:tc>
          <w:tcPr/>
          <w:p>
            <w:pPr>
              <w:pStyle w:val="Compact"/>
            </w:pPr>
            <w:r>
              <w:t xml:space="preserve">Entra-joined devices signing in on-premises, without authentication</w:t>
            </w:r>
          </w:p>
        </w:tc>
        <w:tc>
          <w:tcPr/>
          <w:p>
            <w:pPr>
              <w:pStyle w:val="Compact"/>
            </w:pPr>
            <w:r>
              <w:t xml:space="preserve">LDAP-only CDPs; publish an HTTP CDP first</w:t>
            </w:r>
            <w:r>
              <w:rPr>
                <w:rStyle w:val="FootnoteReference"/>
              </w:rPr>
              <w:footnoteReference w:id="671"/>
            </w:r>
          </w:p>
        </w:tc>
      </w:tr>
    </w:tbl>
    <w:p>
      <w:pPr>
        <w:pStyle w:val="BodyText"/>
      </w:pPr>
      <w:r>
        <w:t xml:space="preserve">Fixing an AD CS CDP means two things. Add an HTTP distribution point that’s reachable from the internet (a highly available web server or content delivery network; Microsoft recommends HTTP over HTTPS to avoid a circular dependency), and recognize that the new URL appears only in certificates issued</w:t>
      </w:r>
      <w:r>
        <w:t xml:space="preserve"> </w:t>
      </w:r>
      <w:r>
        <w:rPr>
          <w:i/>
          <w:iCs/>
        </w:rPr>
        <w:t xml:space="preserve">after</w:t>
      </w:r>
      <w:r>
        <w:t xml:space="preserve"> </w:t>
      </w:r>
      <w:r>
        <w:t xml:space="preserve">the change. Entra ID uses the CRL URL configured on the CA in its trust store, not the one inside each certificate,</w:t>
      </w:r>
      <w:r>
        <w:rPr>
          <w:rStyle w:val="FootnoteReference"/>
        </w:rPr>
        <w:footnoteReference w:id="672"/>
      </w:r>
      <w:r>
        <w:t xml:space="preserve"> </w:t>
      </w:r>
      <w:r>
        <w:t xml:space="preserve">so Entra CBA works as soon as the trust store points at the published CRL; other relying parties that read the CDP from the certificate keep failing until the certificate renews. The guide suggested Microsoft Entra application proxy for publishing an internal CRL; the program publishes CRLs on plain anonymous HTTP endpoints instead, because Entra ID must download the CRL without authentication within 10 seconds and fails the sign-in if it can’t.</w:t>
      </w:r>
      <w:r>
        <w:rPr>
          <w:rStyle w:val="FootnoteReference"/>
        </w:rPr>
        <w:footnoteReference w:id="673"/>
      </w:r>
    </w:p>
    <w:p>
      <w:pPr>
        <w:pStyle w:val="BodyText"/>
      </w:pPr>
      <w:r>
        <w:t xml:space="preserve">Entra ID doesn’t support OCSP (the guide said it did), so OCSP responders matter only to on-premises relying parties that use them.</w:t>
      </w:r>
      <w:r>
        <w:rPr>
          <w:rStyle w:val="FootnoteReference"/>
        </w:rPr>
        <w:footnoteReference w:id="674"/>
      </w:r>
    </w:p>
    <w:bookmarkEnd w:id="675"/>
    <w:bookmarkStart w:id="679" w:name="renewal-while-two-issuers-overlap"/>
    <w:p>
      <w:pPr>
        <w:pStyle w:val="Heading2"/>
      </w:pPr>
      <w:bookmarkStart w:id="999" w:name="_Toc00000999"/>
      <w:r>
        <w:t xml:space="preserve">Renewal while two issuers overlap</w:t>
      </w:r>
      <w:bookmarkEnd w:id="999"/>
    </w:p>
    <w:p>
      <w:pPr>
        <w:pStyle w:val="FirstParagraph"/>
      </w:pPr>
      <w:r>
        <w:t xml:space="preserve">The guide’s renewal rules stand, with two corrections:</w:t>
      </w:r>
    </w:p>
    <w:p>
      <w:pPr>
        <w:pStyle w:val="Compact"/>
        <w:numPr>
          <w:ilvl w:val="0"/>
          <w:numId w:val="1042"/>
        </w:numPr>
      </w:pPr>
      <w:r>
        <w:rPr>
          <w:b/>
          <w:bCs/>
        </w:rPr>
        <w:t xml:space="preserve">Existing AD CS certificates renew through auto-enrollment</w:t>
      </w:r>
      <w:r>
        <w:t xml:space="preserve"> </w:t>
      </w:r>
      <w:r>
        <w:t xml:space="preserve">until their population moves. Don’t revoke early.</w:t>
      </w:r>
    </w:p>
    <w:p>
      <w:pPr>
        <w:pStyle w:val="Compact"/>
        <w:numPr>
          <w:ilvl w:val="0"/>
          <w:numId w:val="1042"/>
        </w:numPr>
      </w:pPr>
      <w:r>
        <w:rPr>
          <w:b/>
          <w:bCs/>
        </w:rPr>
        <w:t xml:space="preserve">New Intune-enrolled devices get the Cloud PKI certificate</w:t>
      </w:r>
      <w:r>
        <w:t xml:space="preserve"> </w:t>
      </w:r>
      <w:r>
        <w:t xml:space="preserve">for every use case already moved, from their first check-in.</w:t>
      </w:r>
    </w:p>
    <w:p>
      <w:pPr>
        <w:pStyle w:val="Compact"/>
        <w:numPr>
          <w:ilvl w:val="0"/>
          <w:numId w:val="1042"/>
        </w:numPr>
      </w:pPr>
      <w:r>
        <w:rPr>
          <w:b/>
          <w:bCs/>
        </w:rPr>
        <w:t xml:space="preserve">A population moves at the profile assignment, and the old certificate leaves at its renewal.</w:t>
      </w:r>
      <w:r>
        <w:t xml:space="preserve"> </w:t>
      </w:r>
      <w:r>
        <w:t xml:space="preserve">Remove the AD CS auto-enrollment permission or GPO link for that use case only after the population holds valid Cloud PKI certificates and the relying parties have accepted them.</w:t>
      </w:r>
    </w:p>
    <w:p>
      <w:pPr>
        <w:pStyle w:val="Compact"/>
        <w:numPr>
          <w:ilvl w:val="0"/>
          <w:numId w:val="1042"/>
        </w:numPr>
      </w:pPr>
      <w:r>
        <w:rPr>
          <w:b/>
          <w:bCs/>
        </w:rPr>
        <w:t xml:space="preserve">Lifetimes.</w:t>
      </w:r>
      <w:r>
        <w:t xml:space="preserve"> </w:t>
      </w:r>
      <w:r>
        <w:t xml:space="preserve">The guide said to set Cloud PKI validity at or above the remaining AD CS validity to avoid gaps. The gap that matters is between a device getting its new certificate and losing its old one, so the program’s rule is different: keep the AD CS certificate valid until the Cloud PKI one is in use, which the auto-enrollment rule above already does. Set Cloud PKI leaf lifetimes by policy; Intune SCEP and PKCS profiles shouldn’t go below five days, because a certificate that close to expiry can be rejected on install.</w:t>
      </w:r>
      <w:r>
        <w:rPr>
          <w:rStyle w:val="FootnoteReference"/>
        </w:rPr>
        <w:footnoteReference w:id="676"/>
      </w:r>
    </w:p>
    <w:p>
      <w:pPr>
        <w:pStyle w:val="Compact"/>
        <w:numPr>
          <w:ilvl w:val="0"/>
          <w:numId w:val="1042"/>
        </w:numPr>
      </w:pPr>
      <w:r>
        <w:rPr>
          <w:b/>
          <w:bCs/>
        </w:rPr>
        <w:t xml:space="preserve">Removing a profile revokes.</w:t>
      </w:r>
      <w:r>
        <w:t xml:space="preserve"> </w:t>
      </w:r>
      <w:r>
        <w:t xml:space="preserve">When a SCEP profile assignment is removed from a group, or a device leaves the assigned group, Intune revokes and removes the SCEP certificate on Windows, iOS/iPadOS and macOS.</w:t>
      </w:r>
      <w:r>
        <w:rPr>
          <w:rStyle w:val="FootnoteReference"/>
        </w:rPr>
        <w:footnoteReference w:id="677"/>
      </w:r>
      <w:r>
        <w:t xml:space="preserve"> </w:t>
      </w:r>
      <w:r>
        <w:t xml:space="preserve">A rollback that</w:t>
      </w:r>
      <w:r>
        <w:t xml:space="preserve"> </w:t>
      </w:r>
      <w:r>
        <w:t xml:space="preserve">“falls back to AD CS certificates”</w:t>
      </w:r>
      <w:r>
        <w:t xml:space="preserve"> </w:t>
      </w:r>
      <w:r>
        <w:t xml:space="preserve">only works if those certificates still exist, which is another reason auto-enrollment stays on until a wave’s exit gate.</w:t>
      </w:r>
    </w:p>
    <w:p>
      <w:pPr>
        <w:pStyle w:val="Compact"/>
        <w:numPr>
          <w:ilvl w:val="0"/>
          <w:numId w:val="1042"/>
        </w:numPr>
      </w:pPr>
      <w:r>
        <w:rPr>
          <w:b/>
          <w:bCs/>
        </w:rPr>
        <w:t xml:space="preserve">Issuing CA renewal.</w:t>
      </w:r>
      <w:r>
        <w:t xml:space="preserve"> </w:t>
      </w:r>
      <w:r>
        <w:t xml:space="preserve">Cloud PKI now supports in-place renewal of eligible issuing CAs, so issuance continues without editing SCEP profiles or assignments.</w:t>
      </w:r>
      <w:r>
        <w:rPr>
          <w:rStyle w:val="FootnoteReference"/>
        </w:rPr>
        <w:footnoteReference w:id="678"/>
      </w:r>
      <w:r>
        <w:t xml:space="preserve"> </w:t>
      </w:r>
      <w:r>
        <w:t xml:space="preserve">Plan it in the CA lifecycle calendar (Chapter 08) rather than at the deadline.</w:t>
      </w:r>
    </w:p>
    <w:bookmarkEnd w:id="679"/>
    <w:bookmarkStart w:id="703" w:name="the-migration-playbook"/>
    <w:p>
      <w:pPr>
        <w:pStyle w:val="Heading2"/>
      </w:pPr>
      <w:bookmarkStart w:id="1000" w:name="_Toc00001000"/>
      <w:r>
        <w:t xml:space="preserve">The migration playbook</w:t>
      </w:r>
      <w:bookmarkEnd w:id="1000"/>
    </w:p>
    <w:p>
      <w:pPr>
        <w:pStyle w:val="FirstParagraph"/>
      </w:pPr>
      <w:r>
        <w:t xml:space="preserve">The guide’s six phases stand as six waves. Each has an entry gate (the previous wave’s exit gate), the work, an exit gate, a rollback and a planning duration. Durations are the program’s planning figures for a single-forest estate, not commitments; scale them to the inventory from wave 1.</w:t>
      </w:r>
    </w:p>
    <w:bookmarkStart w:id="683" w:name="fig-ch07-migration-waves"/>
    <w:p>
      <w:pPr>
        <w:pStyle w:val="CaptionedFigure"/>
      </w:pPr>
      <w:r>
        <w:drawing>
          <wp:inline>
            <wp:extent cx="5334000" cy="6750843"/>
            <wp:effectExtent b="0" l="0" r="0" t="0"/>
            <wp:docPr descr="Six waves, each gated: Assess, Foundation, Pilot, Scale, Cutover and Decommission; each wave’s exit gate is the next wave’s entry gate, and each wave has its own rollback." title="" id="681" name="Picture"/>
            <a:graphic>
              <a:graphicData uri="http://schemas.openxmlformats.org/drawingml/2006/picture">
                <pic:pic>
                  <pic:nvPicPr>
                    <pic:cNvPr descr="/home/runner/work/modernization-workbook/modernization-workbook/docs/images/diagrams/b07-pki/png/ch07-migration-waves.png" id="682" name="Picture"/>
                    <pic:cNvPicPr>
                      <a:picLocks noChangeArrowheads="1" noChangeAspect="1"/>
                    </pic:cNvPicPr>
                  </pic:nvPicPr>
                  <pic:blipFill>
                    <a:blip r:embed="rId680"/>
                    <a:stretch>
                      <a:fillRect/>
                    </a:stretch>
                  </pic:blipFill>
                  <pic:spPr bwMode="auto">
                    <a:xfrm>
                      <a:off x="0" y="0"/>
                      <a:ext cx="5334000" cy="6750843"/>
                    </a:xfrm>
                    <a:prstGeom prst="rect">
                      <a:avLst/>
                    </a:prstGeom>
                    <a:noFill/>
                    <a:ln w="9525">
                      <a:noFill/>
                      <a:headEnd/>
                      <a:tailEnd/>
                    </a:ln>
                  </pic:spPr>
                </pic:pic>
              </a:graphicData>
            </a:graphic>
          </wp:inline>
        </w:drawing>
      </w:r>
    </w:p>
    <w:p>
      <w:pPr>
        <w:pStyle w:val="ImageCaption"/>
      </w:pPr>
      <w:r>
        <w:t xml:space="preserve">Six waves, each gated: Assess, Foundation, Pilot, Scale, Cutover and Decommission; each wave’s exit gate is the next wave’s entry gate, and each wave has its own rollback.</w:t>
      </w:r>
    </w:p>
    <w:bookmarkEnd w:id="683"/>
    <w:p>
      <w:pPr>
        <w:pStyle w:val="TableCaption"/>
      </w:pPr>
      <w:r>
        <w:t xml:space="preserve">Migration waves and exit gates</w:t>
      </w:r>
    </w:p>
    <w:tbl>
      <w:tblPr>
        <w:tblStyle w:val="Table"/>
        <w:tblW w:type="pct" w:w="5000"/>
        <w:tblLayout w:type="fixed"/>
        <w:tblLook w:firstRow="1" w:lastRow="0" w:firstColumn="0" w:lastColumn="0" w:noHBand="0" w:noVBand="0" w:val="0020"/>
        <w:tblCaption w:val="Migration waves and exit gates"/>
      </w:tblPr>
      <w:tblGrid>
        <w:gridCol w:w="2640"/>
        <w:gridCol w:w="2640"/>
        <w:gridCol w:w="2640"/>
      </w:tblGrid>
      <w:tr>
        <w:trPr>
          <w:tblHeader w:val="on"/>
        </w:trPr>
        <w:tc>
          <w:tcPr/>
          <w:p>
            <w:pPr>
              <w:pStyle w:val="Compact"/>
            </w:pPr>
            <w:r>
              <w:t xml:space="preserve">Wave</w:t>
            </w:r>
          </w:p>
        </w:tc>
        <w:tc>
          <w:tcPr/>
          <w:p>
            <w:pPr>
              <w:pStyle w:val="Compact"/>
            </w:pPr>
            <w:r>
              <w:t xml:space="preserve">Weeks</w:t>
            </w:r>
          </w:p>
        </w:tc>
        <w:tc>
          <w:tcPr/>
          <w:p>
            <w:pPr>
              <w:pStyle w:val="Compact"/>
            </w:pPr>
            <w:r>
              <w:t xml:space="preserve">Exit gate in one line</w:t>
            </w:r>
          </w:p>
        </w:tc>
      </w:tr>
      <w:tr>
        <w:tc>
          <w:tcPr/>
          <w:p>
            <w:pPr>
              <w:pStyle w:val="Compact"/>
            </w:pPr>
            <w:r>
              <w:t xml:space="preserve">1 Assess</w:t>
            </w:r>
          </w:p>
        </w:tc>
        <w:tc>
          <w:tcPr/>
          <w:p>
            <w:pPr>
              <w:pStyle w:val="Compact"/>
            </w:pPr>
            <w:r>
              <w:t xml:space="preserve">1–4</w:t>
            </w:r>
          </w:p>
        </w:tc>
        <w:tc>
          <w:tcPr/>
          <w:p>
            <w:pPr>
              <w:pStyle w:val="Compact"/>
            </w:pPr>
            <w:r>
              <w:t xml:space="preserve">Every template classified; Critical and High hardening findings remediated</w:t>
            </w:r>
          </w:p>
        </w:tc>
      </w:tr>
      <w:tr>
        <w:tc>
          <w:tcPr/>
          <w:p>
            <w:pPr>
              <w:pStyle w:val="Compact"/>
            </w:pPr>
            <w:r>
              <w:t xml:space="preserve">2 Foundation</w:t>
            </w:r>
          </w:p>
        </w:tc>
        <w:tc>
          <w:tcPr/>
          <w:p>
            <w:pPr>
              <w:pStyle w:val="Compact"/>
            </w:pPr>
            <w:r>
              <w:t xml:space="preserve">5–8</w:t>
            </w:r>
          </w:p>
        </w:tc>
        <w:tc>
          <w:tcPr/>
          <w:p>
            <w:pPr>
              <w:pStyle w:val="Compact"/>
            </w:pPr>
            <w:r>
              <w:t xml:space="preserve">Cloud issuing CA live, trust deployed, test certificate validates everywhere</w:t>
            </w:r>
          </w:p>
        </w:tc>
      </w:tr>
      <w:tr>
        <w:tc>
          <w:tcPr/>
          <w:p>
            <w:pPr>
              <w:pStyle w:val="Compact"/>
            </w:pPr>
            <w:r>
              <w:t xml:space="preserve">3 Pilot</w:t>
            </w:r>
          </w:p>
        </w:tc>
        <w:tc>
          <w:tcPr/>
          <w:p>
            <w:pPr>
              <w:pStyle w:val="Compact"/>
            </w:pPr>
            <w:r>
              <w:t xml:space="preserve">9–16</w:t>
            </w:r>
          </w:p>
        </w:tc>
        <w:tc>
          <w:tcPr/>
          <w:p>
            <w:pPr>
              <w:pStyle w:val="Compact"/>
            </w:pPr>
            <w:r>
              <w:t xml:space="preserve">Pilot devices and users authenticate with cloud-issued certificates and Entra CBA</w:t>
            </w:r>
          </w:p>
        </w:tc>
      </w:tr>
      <w:tr>
        <w:tc>
          <w:tcPr/>
          <w:p>
            <w:pPr>
              <w:pStyle w:val="Compact"/>
            </w:pPr>
            <w:r>
              <w:t xml:space="preserve">4 Scale</w:t>
            </w:r>
          </w:p>
        </w:tc>
        <w:tc>
          <w:tcPr/>
          <w:p>
            <w:pPr>
              <w:pStyle w:val="Compact"/>
            </w:pPr>
            <w:r>
              <w:t xml:space="preserve">17–28</w:t>
            </w:r>
          </w:p>
        </w:tc>
        <w:tc>
          <w:tcPr/>
          <w:p>
            <w:pPr>
              <w:pStyle w:val="Compact"/>
            </w:pPr>
            <w:r>
              <w:t xml:space="preserve">Every managed device has cloud certificates for MIGRATE use cases</w:t>
            </w:r>
          </w:p>
        </w:tc>
      </w:tr>
      <w:tr>
        <w:tc>
          <w:tcPr/>
          <w:p>
            <w:pPr>
              <w:pStyle w:val="Compact"/>
            </w:pPr>
            <w:r>
              <w:t xml:space="preserve">5 Cutover</w:t>
            </w:r>
          </w:p>
        </w:tc>
        <w:tc>
          <w:tcPr/>
          <w:p>
            <w:pPr>
              <w:pStyle w:val="Compact"/>
            </w:pPr>
            <w:r>
              <w:t xml:space="preserve">29–36</w:t>
            </w:r>
          </w:p>
        </w:tc>
        <w:tc>
          <w:tcPr/>
          <w:p>
            <w:pPr>
              <w:pStyle w:val="Compact"/>
            </w:pPr>
            <w:r>
              <w:t xml:space="preserve">Federated domains managed; AD FS certificate authentication off</w:t>
            </w:r>
          </w:p>
        </w:tc>
      </w:tr>
      <w:tr>
        <w:tc>
          <w:tcPr/>
          <w:p>
            <w:pPr>
              <w:pStyle w:val="Compact"/>
            </w:pPr>
            <w:r>
              <w:t xml:space="preserve">6 Decommission</w:t>
            </w:r>
          </w:p>
        </w:tc>
        <w:tc>
          <w:tcPr/>
          <w:p>
            <w:pPr>
              <w:pStyle w:val="Compact"/>
            </w:pPr>
            <w:r>
              <w:t xml:space="preserve">37–44</w:t>
            </w:r>
          </w:p>
        </w:tc>
        <w:tc>
          <w:tcPr/>
          <w:p>
            <w:pPr>
              <w:pStyle w:val="Compact"/>
            </w:pPr>
            <w:r>
              <w:t xml:space="preserve">AD CS components serving only MIGRATE workloads retired</w:t>
            </w:r>
          </w:p>
        </w:tc>
      </w:tr>
    </w:tbl>
    <w:bookmarkStart w:id="684" w:name="wave-1-assess-weeks-14"/>
    <w:p>
      <w:pPr>
        <w:pStyle w:val="Heading3"/>
      </w:pPr>
      <w:r>
        <w:t xml:space="preserve">Wave 1 — Assess (weeks 1–4)</w:t>
      </w:r>
    </w:p>
    <w:p>
      <w:pPr>
        <w:pStyle w:val="FirstParagraph"/>
      </w:pPr>
      <w:r>
        <w:rPr>
          <w:b/>
          <w:bCs/>
        </w:rPr>
        <w:t xml:space="preserve">Entry gate.</w:t>
      </w:r>
      <w:r>
        <w:t xml:space="preserve"> </w:t>
      </w:r>
      <w:r>
        <w:t xml:space="preserve">Read access to the CA servers and the forest’s configuration partition, and the AD and AD CS management tools on an administrative workstation.</w:t>
      </w:r>
    </w:p>
    <w:p>
      <w:pPr>
        <w:pStyle w:val="BodyText"/>
      </w:pPr>
      <w:r>
        <w:rPr>
          <w:b/>
          <w:bCs/>
        </w:rPr>
        <w:t xml:space="preserve">Work.</w:t>
      </w:r>
    </w:p>
    <w:p>
      <w:pPr>
        <w:pStyle w:val="Compact"/>
        <w:numPr>
          <w:ilvl w:val="0"/>
          <w:numId w:val="1043"/>
        </w:numPr>
      </w:pPr>
      <w:r>
        <w:t xml:space="preserve">Inventory every CA: name, host, key algorithm and length, signature algorithm, validity, and whether it’s a root.</w:t>
      </w:r>
    </w:p>
    <w:p>
      <w:pPr>
        <w:pStyle w:val="Compact"/>
        <w:numPr>
          <w:ilvl w:val="0"/>
          <w:numId w:val="1043"/>
        </w:numPr>
      </w:pPr>
      <w:r>
        <w:t xml:space="preserve">Export every certificate template’s configuration and permissions.</w:t>
      </w:r>
    </w:p>
    <w:p>
      <w:pPr>
        <w:pStyle w:val="Compact"/>
        <w:numPr>
          <w:ilvl w:val="0"/>
          <w:numId w:val="1043"/>
        </w:numPr>
      </w:pPr>
      <w:r>
        <w:t xml:space="preserve">Run the hardening and detection checklist in Chapter 03 against templates, CA settings and PKI object ACLs.</w:t>
      </w:r>
    </w:p>
    <w:p>
      <w:pPr>
        <w:pStyle w:val="Compact"/>
        <w:numPr>
          <w:ilvl w:val="0"/>
          <w:numId w:val="1043"/>
        </w:numPr>
      </w:pPr>
      <w:r>
        <w:t xml:space="preserve">Inventory issued, unexpired certificates by template, with expiry dates.</w:t>
      </w:r>
    </w:p>
    <w:p>
      <w:pPr>
        <w:pStyle w:val="Compact"/>
        <w:numPr>
          <w:ilvl w:val="0"/>
          <w:numId w:val="1043"/>
        </w:numPr>
      </w:pPr>
      <w:r>
        <w:t xml:space="preserve">Classify every template MIGRATE, BRIDGE, RETAIN or RETIRE (Chapter 02; Appendix B is the starting matrix).</w:t>
      </w:r>
    </w:p>
    <w:p>
      <w:pPr>
        <w:pStyle w:val="Compact"/>
        <w:numPr>
          <w:ilvl w:val="0"/>
          <w:numId w:val="1043"/>
        </w:numPr>
      </w:pPr>
      <w:r>
        <w:t xml:space="preserve">List every relying party (RADIUS, VPN, Wi-Fi controllers, web applications, appliances, AD FS) and the chains and CRLs each one uses.</w:t>
      </w:r>
    </w:p>
    <w:p>
      <w:pPr>
        <w:pStyle w:val="Compact"/>
        <w:numPr>
          <w:ilvl w:val="0"/>
          <w:numId w:val="1043"/>
        </w:numPr>
      </w:pPr>
      <w:r>
        <w:t xml:space="preserve">Run the strong-mapping event sweep on every domain controller and list certificates that fail it (Chapter 06).</w:t>
      </w:r>
    </w:p>
    <w:p>
      <w:pPr>
        <w:pStyle w:val="Compact"/>
        <w:numPr>
          <w:ilvl w:val="0"/>
          <w:numId w:val="1043"/>
        </w:numPr>
      </w:pPr>
      <w:r>
        <w:t xml:space="preserve">Remediate Critical and High hardening findings first.</w:t>
      </w:r>
    </w:p>
    <w:p>
      <w:pPr>
        <w:pStyle w:val="Compact"/>
        <w:numPr>
          <w:ilvl w:val="0"/>
          <w:numId w:val="1043"/>
        </w:numPr>
      </w:pPr>
      <w:r>
        <w:t xml:space="preserve">Commit the assessment record to the program’s evidence repository.</w:t>
      </w:r>
    </w:p>
    <w:p>
      <w:pPr>
        <w:pStyle w:val="FirstParagraph"/>
      </w:pPr>
      <w:r>
        <w:t xml:space="preserve">The guide’s PowerShell assessment module (its Appendix C) automated steps 1–5. It remains in the archive pending a technical review and isn’t reproduced in this book; use it only after that review, or use the read-only checks in Chapter 03.</w:t>
      </w:r>
    </w:p>
    <w:p>
      <w:pPr>
        <w:pStyle w:val="BodyText"/>
      </w:pPr>
      <w:r>
        <w:rPr>
          <w:b/>
          <w:bCs/>
        </w:rPr>
        <w:t xml:space="preserve">Exit gate.</w:t>
      </w:r>
      <w:r>
        <w:t xml:space="preserve"> </w:t>
      </w:r>
      <w:r>
        <w:t xml:space="preserve">Assessment approved by the PKI owner and the security team (Chapter 05); no unclassified templates; every Critical finding remediated and re-tested.</w:t>
      </w:r>
    </w:p>
    <w:p>
      <w:pPr>
        <w:pStyle w:val="BodyText"/>
      </w:pPr>
      <w:r>
        <w:rPr>
          <w:b/>
          <w:bCs/>
        </w:rPr>
        <w:t xml:space="preserve">Rollback.</w:t>
      </w:r>
      <w:r>
        <w:t xml:space="preserve"> </w:t>
      </w:r>
      <w:r>
        <w:t xml:space="preserve">None needed: the wave reads, it doesn’t change. The remediations in step 8 have their own change records and rollbacks.</w:t>
      </w:r>
    </w:p>
    <w:bookmarkEnd w:id="684"/>
    <w:bookmarkStart w:id="687" w:name="wave-2-foundation-weeks-58"/>
    <w:p>
      <w:pPr>
        <w:pStyle w:val="Heading3"/>
      </w:pPr>
      <w:r>
        <w:t xml:space="preserve">Wave 2 — Foundation (weeks 5–8)</w:t>
      </w:r>
    </w:p>
    <w:p>
      <w:pPr>
        <w:pStyle w:val="FirstParagraph"/>
      </w:pPr>
      <w:r>
        <w:rPr>
          <w:b/>
          <w:bCs/>
        </w:rPr>
        <w:t xml:space="preserve">Entry gate.</w:t>
      </w:r>
      <w:r>
        <w:t xml:space="preserve"> </w:t>
      </w:r>
      <w:r>
        <w:t xml:space="preserve">Wave 1 exit gate. Cloud PKI entitlement confirmed for the tenant (Chapter 06). Users and devices synced with their on-premises SIDs, for any certificate that will be used against AD. For BYOCA, the private root or signing CA available for the signing ceremony.</w:t>
      </w:r>
    </w:p>
    <w:p>
      <w:pPr>
        <w:pStyle w:val="BodyText"/>
      </w:pPr>
      <w:r>
        <w:rPr>
          <w:b/>
          <w:bCs/>
        </w:rPr>
        <w:t xml:space="preserve">Work.</w:t>
      </w:r>
    </w:p>
    <w:p>
      <w:pPr>
        <w:pStyle w:val="Compact"/>
        <w:numPr>
          <w:ilvl w:val="0"/>
          <w:numId w:val="1044"/>
        </w:numPr>
      </w:pPr>
      <w:r>
        <w:t xml:space="preserve">Create the Cloud PKI CAs: a root and issuing CA, or a BYOCA issuing CA whose request is signed with the Subordinate Certification Authority template on the private CA.</w:t>
      </w:r>
      <w:r>
        <w:rPr>
          <w:rStyle w:val="FootnoteReference"/>
        </w:rPr>
        <w:footnoteReference w:id="685"/>
      </w:r>
      <w:r>
        <w:t xml:space="preserve"> </w:t>
      </w:r>
      <w:r>
        <w:t xml:space="preserve">Use licensed (HSM-backed) keys, not a trial.</w:t>
      </w:r>
    </w:p>
    <w:p>
      <w:pPr>
        <w:pStyle w:val="Compact"/>
        <w:numPr>
          <w:ilvl w:val="0"/>
          <w:numId w:val="1044"/>
        </w:numPr>
      </w:pPr>
      <w:r>
        <w:t xml:space="preserve">For BYOCA, export the full chain and confirm the private CA’s CRL and AIA locations are reachable over HTTP from where relying parties sit; replace LDAP-only AIA if necessary.</w:t>
      </w:r>
    </w:p>
    <w:p>
      <w:pPr>
        <w:pStyle w:val="Compact"/>
        <w:numPr>
          <w:ilvl w:val="0"/>
          <w:numId w:val="1044"/>
        </w:numPr>
      </w:pPr>
      <w:r>
        <w:t xml:space="preserve">Install or update the Certificate Connector (current release) on its own servers if any BRIDGE workload still needs SCEP from AD CS or PKCS (Chapter 06).</w:t>
      </w:r>
    </w:p>
    <w:p>
      <w:pPr>
        <w:pStyle w:val="Compact"/>
        <w:numPr>
          <w:ilvl w:val="0"/>
          <w:numId w:val="1044"/>
        </w:numPr>
      </w:pPr>
      <w:r>
        <w:t xml:space="preserve">Upload every CA that will issue user certificates to the Entra ID trust store with its CRL URL.</w:t>
      </w:r>
    </w:p>
    <w:p>
      <w:pPr>
        <w:pStyle w:val="Compact"/>
        <w:numPr>
          <w:ilvl w:val="0"/>
          <w:numId w:val="1044"/>
        </w:numPr>
      </w:pPr>
      <w:r>
        <w:t xml:space="preserve">Deploy Intune trusted certificate profiles for the cloud chain to all managed devices, per platform.</w:t>
      </w:r>
    </w:p>
    <w:p>
      <w:pPr>
        <w:pStyle w:val="Compact"/>
        <w:numPr>
          <w:ilvl w:val="0"/>
          <w:numId w:val="1044"/>
        </w:numPr>
      </w:pPr>
      <w:r>
        <w:t xml:space="preserve">Deploy the cloud chain to domain-joined relying parties (Group Policy or</w:t>
      </w:r>
      <w:r>
        <w:t xml:space="preserve"> </w:t>
      </w:r>
      <w:r>
        <w:rPr>
          <w:rStyle w:val="VerbatimChar"/>
        </w:rPr>
        <w:t xml:space="preserve">-dspublish</w:t>
      </w:r>
      <w:r>
        <w:t xml:space="preserve">). Publish to NTAuth only if a cloud CA will issue logon certificates.</w:t>
      </w:r>
    </w:p>
    <w:p>
      <w:pPr>
        <w:pStyle w:val="Compact"/>
        <w:numPr>
          <w:ilvl w:val="0"/>
          <w:numId w:val="1044"/>
        </w:numPr>
      </w:pPr>
      <w:r>
        <w:t xml:space="preserve">Issue a test certificate to a test device and validate it on every relying party type.</w:t>
      </w:r>
    </w:p>
    <w:p>
      <w:pPr>
        <w:pStyle w:val="Compact"/>
        <w:numPr>
          <w:ilvl w:val="0"/>
          <w:numId w:val="1044"/>
        </w:numPr>
      </w:pPr>
      <w:r>
        <w:t xml:space="preserve">Check each CRL and AIA URL from inside the network, from the internet, and through the Entra ID sign-in log of a test CBA sign-in.</w:t>
      </w:r>
    </w:p>
    <w:p>
      <w:pPr>
        <w:pStyle w:val="FirstParagraph"/>
      </w:pPr>
      <w:r>
        <w:rPr>
          <w:b/>
          <w:bCs/>
        </w:rPr>
        <w:t xml:space="preserve">Exit gate.</w:t>
      </w:r>
      <w:r>
        <w:t xml:space="preserve"> </w:t>
      </w:r>
      <w:r>
        <w:t xml:space="preserve">Issuing CA active; trusted certificate profiles successful on at least 99% of managed devices; connector healthy in the admin center; test certificate validated by every relying party type; every CRL reachable from all three locations.</w:t>
      </w:r>
    </w:p>
    <w:p>
      <w:pPr>
        <w:pStyle w:val="BodyText"/>
      </w:pPr>
      <w:r>
        <w:rPr>
          <w:b/>
          <w:bCs/>
        </w:rPr>
        <w:t xml:space="preserve">Rollback.</w:t>
      </w:r>
      <w:r>
        <w:t xml:space="preserve"> </w:t>
      </w:r>
      <w:r>
        <w:t xml:space="preserve">Unassign the trusted certificate profiles and remove the cloud chain from the GPO or directory; remove the new CAs from the Entra ID trust store; uninstall or stop the connector. AD CS is unchanged throughout. Deleting a Cloud PKI CA is a last step, because the tenant can hold only three CAs and a re-created CA has new keys.</w:t>
      </w:r>
      <w:r>
        <w:rPr>
          <w:rStyle w:val="FootnoteReference"/>
        </w:rPr>
        <w:footnoteReference w:id="686"/>
      </w:r>
    </w:p>
    <w:p>
      <w:pPr>
        <w:pStyle w:val="BodyText"/>
      </w:pPr>
      <w:r>
        <w:rPr>
          <w:b/>
          <w:bCs/>
        </w:rPr>
        <w:t xml:space="preserve">Duration.</w:t>
      </w:r>
      <w:r>
        <w:t xml:space="preserve"> </w:t>
      </w:r>
      <w:r>
        <w:t xml:space="preserve">Four weeks.</w:t>
      </w:r>
    </w:p>
    <w:bookmarkEnd w:id="687"/>
    <w:bookmarkStart w:id="691" w:name="wave-3-pilot-weeks-916"/>
    <w:p>
      <w:pPr>
        <w:pStyle w:val="Heading3"/>
      </w:pPr>
      <w:r>
        <w:t xml:space="preserve">Wave 3 — Pilot (weeks 9–16)</w:t>
      </w:r>
    </w:p>
    <w:p>
      <w:pPr>
        <w:pStyle w:val="FirstParagraph"/>
      </w:pPr>
      <w:r>
        <w:rPr>
          <w:b/>
          <w:bCs/>
        </w:rPr>
        <w:t xml:space="preserve">Entry gate.</w:t>
      </w:r>
      <w:r>
        <w:t xml:space="preserve"> </w:t>
      </w:r>
      <w:r>
        <w:t xml:space="preserve">Wave 2 exit gate. A pilot device group (50–100 devices across platforms and sites) and a pilot user group defined as cloud security groups. Every pilot relying party trusts the cloud chain.</w:t>
      </w:r>
    </w:p>
    <w:p>
      <w:pPr>
        <w:pStyle w:val="BodyText"/>
      </w:pPr>
      <w:r>
        <w:rPr>
          <w:b/>
          <w:bCs/>
        </w:rPr>
        <w:t xml:space="preserve">Work.</w:t>
      </w:r>
    </w:p>
    <w:p>
      <w:pPr>
        <w:pStyle w:val="Compact"/>
        <w:numPr>
          <w:ilvl w:val="0"/>
          <w:numId w:val="1045"/>
        </w:numPr>
      </w:pPr>
      <w:r>
        <w:t xml:space="preserve">Assign a SCEP profile for Wi-Fi 802.1X to the pilot devices, with the SID URI attribute where the certificate will be used against AD.</w:t>
      </w:r>
    </w:p>
    <w:p>
      <w:pPr>
        <w:pStyle w:val="Compact"/>
        <w:numPr>
          <w:ilvl w:val="0"/>
          <w:numId w:val="1045"/>
        </w:numPr>
      </w:pPr>
      <w:r>
        <w:t xml:space="preserve">Confirm on a sample of devices: certificate issued, chain valid, SID URL present where expected.</w:t>
      </w:r>
    </w:p>
    <w:p>
      <w:pPr>
        <w:pStyle w:val="Compact"/>
        <w:numPr>
          <w:ilvl w:val="0"/>
          <w:numId w:val="1045"/>
        </w:numPr>
      </w:pPr>
      <w:r>
        <w:t xml:space="preserve">Test Wi-Fi, then VPN, with the cloud-issued certificates.</w:t>
      </w:r>
    </w:p>
    <w:p>
      <w:pPr>
        <w:pStyle w:val="Compact"/>
        <w:numPr>
          <w:ilvl w:val="0"/>
          <w:numId w:val="1045"/>
        </w:numPr>
      </w:pPr>
      <w:r>
        <w:t xml:space="preserve">Enable the CBA method and staged rollout for the pilot users (Chapter 06), within staged rollout’s limits: no nested or dynamic groups, at most 10 groups per feature, 200 users when a group is first added.</w:t>
      </w:r>
      <w:r>
        <w:rPr>
          <w:rStyle w:val="FootnoteReference"/>
        </w:rPr>
        <w:footnoteReference w:id="688"/>
      </w:r>
    </w:p>
    <w:p>
      <w:pPr>
        <w:pStyle w:val="Compact"/>
        <w:numPr>
          <w:ilvl w:val="0"/>
          <w:numId w:val="1045"/>
        </w:numPr>
      </w:pPr>
      <w:r>
        <w:t xml:space="preserve">Test Entra CBA sign-in: in the sign-in log, confirm the certificate binding and authentication level, and that Conditional Access accepted the strength.</w:t>
      </w:r>
    </w:p>
    <w:p>
      <w:pPr>
        <w:pStyle w:val="Compact"/>
        <w:numPr>
          <w:ilvl w:val="0"/>
          <w:numId w:val="1045"/>
        </w:numPr>
      </w:pPr>
      <w:r>
        <w:t xml:space="preserve">Watch the Intune certificate reports and the Entra sign-in logs throughout; route failures to the troubleshooting runbook (Chapter 08).</w:t>
      </w:r>
    </w:p>
    <w:p>
      <w:pPr>
        <w:pStyle w:val="FirstParagraph"/>
      </w:pPr>
      <w:r>
        <w:t xml:space="preserve">AD CS auto-enrollment stays on for pilot devices throughout the wave. That’s what makes the rollback work.</w:t>
      </w:r>
    </w:p>
    <w:p>
      <w:pPr>
        <w:pStyle w:val="BodyText"/>
      </w:pPr>
      <w:r>
        <w:rPr>
          <w:b/>
          <w:bCs/>
        </w:rPr>
        <w:t xml:space="preserve">Exit gate.</w:t>
      </w:r>
      <w:r>
        <w:t xml:space="preserve"> </w:t>
      </w:r>
      <w:r>
        <w:t xml:space="preserve">At least 95% issuance success on pilot devices; no authentication failures caused by certificate configuration; pilot users authenticating with CBA at the intended authentication level; every pilot relying party accepting cloud-issued certificates. These are the program’s thresholds.</w:t>
      </w:r>
    </w:p>
    <w:p>
      <w:pPr>
        <w:pStyle w:val="BodyText"/>
      </w:pPr>
      <w:r>
        <w:rPr>
          <w:b/>
          <w:bCs/>
        </w:rPr>
        <w:t xml:space="preserve">Rollback.</w:t>
      </w:r>
      <w:r>
        <w:t xml:space="preserve"> </w:t>
      </w:r>
      <w:r>
        <w:t xml:space="preserve">Remove the pilot SCEP profile assignments. Intune revokes and removes the cloud certificates,</w:t>
      </w:r>
      <w:r>
        <w:rPr>
          <w:rStyle w:val="FootnoteReference"/>
        </w:rPr>
        <w:footnoteReference w:id="689"/>
      </w:r>
      <w:r>
        <w:t xml:space="preserve"> </w:t>
      </w:r>
      <w:r>
        <w:t xml:space="preserve">and devices fall back to the AD CS certificates they still hold. Remove the pilot groups from staged rollout; users return to federated sign-in after one more interactive sign-in, and users who signed in to Windows with a certificate should stay enabled for the CBA method long enough to refresh their primary refresh token through the federation server.</w:t>
      </w:r>
      <w:r>
        <w:rPr>
          <w:rStyle w:val="FootnoteReference"/>
        </w:rPr>
        <w:footnoteReference w:id="690"/>
      </w:r>
    </w:p>
    <w:p>
      <w:pPr>
        <w:pStyle w:val="BodyText"/>
      </w:pPr>
      <w:r>
        <w:rPr>
          <w:b/>
          <w:bCs/>
        </w:rPr>
        <w:t xml:space="preserve">Duration.</w:t>
      </w:r>
      <w:r>
        <w:t xml:space="preserve"> </w:t>
      </w:r>
      <w:r>
        <w:t xml:space="preserve">Eight weeks.</w:t>
      </w:r>
    </w:p>
    <w:bookmarkEnd w:id="691"/>
    <w:bookmarkStart w:id="693" w:name="wave-4-scale-weeks-1728"/>
    <w:p>
      <w:pPr>
        <w:pStyle w:val="Heading3"/>
      </w:pPr>
      <w:r>
        <w:t xml:space="preserve">Wave 4 — Scale (weeks 17–28)</w:t>
      </w:r>
    </w:p>
    <w:p>
      <w:pPr>
        <w:pStyle w:val="FirstParagraph"/>
      </w:pPr>
      <w:r>
        <w:rPr>
          <w:b/>
          <w:bCs/>
        </w:rPr>
        <w:t xml:space="preserve">Entry gate.</w:t>
      </w:r>
      <w:r>
        <w:t xml:space="preserve"> </w:t>
      </w:r>
      <w:r>
        <w:t xml:space="preserve">Wave 3 exit gate. Dynamic groups for certificate targeting built from governed attributes. Every relying party in scope trusts the cloud chain.</w:t>
      </w:r>
    </w:p>
    <w:p>
      <w:pPr>
        <w:pStyle w:val="BodyText"/>
      </w:pPr>
      <w:r>
        <w:rPr>
          <w:b/>
          <w:bCs/>
        </w:rPr>
        <w:t xml:space="preserve">Work.</w:t>
      </w:r>
    </w:p>
    <w:p>
      <w:pPr>
        <w:pStyle w:val="Compact"/>
        <w:numPr>
          <w:ilvl w:val="0"/>
          <w:numId w:val="1046"/>
        </w:numPr>
      </w:pPr>
      <w:r>
        <w:t xml:space="preserve">Extend SCEP profiles to production device groups in rings (by site, region, department or device tier).</w:t>
      </w:r>
    </w:p>
    <w:p>
      <w:pPr>
        <w:pStyle w:val="Compact"/>
        <w:numPr>
          <w:ilvl w:val="0"/>
          <w:numId w:val="1046"/>
        </w:numPr>
      </w:pPr>
      <w:r>
        <w:t xml:space="preserve">Deploy PKCS and imported PKCS profiles for S/MIME and the remaining application-specific certificates.</w:t>
      </w:r>
    </w:p>
    <w:p>
      <w:pPr>
        <w:pStyle w:val="Compact"/>
        <w:numPr>
          <w:ilvl w:val="0"/>
          <w:numId w:val="1046"/>
        </w:numPr>
      </w:pPr>
      <w:r>
        <w:t xml:space="preserve">Extend staged rollout to further user populations as the sign-in data supports. Staged rollout is a test mechanism with a 10-group limit, not a way to run a permanent mixed state;</w:t>
      </w:r>
      <w:r>
        <w:rPr>
          <w:rStyle w:val="FootnoteReference"/>
        </w:rPr>
        <w:footnoteReference w:id="692"/>
      </w:r>
      <w:r>
        <w:t xml:space="preserve"> </w:t>
      </w:r>
      <w:r>
        <w:t xml:space="preserve">if the populations don’t fit, cut over domain by domain (wave 5) rather than stretching staged rollout.</w:t>
      </w:r>
    </w:p>
    <w:p>
      <w:pPr>
        <w:pStyle w:val="Compact"/>
        <w:numPr>
          <w:ilvl w:val="0"/>
          <w:numId w:val="1046"/>
        </w:numPr>
      </w:pPr>
      <w:r>
        <w:t xml:space="preserve">Confirm coverage on each platform: Windows, iOS/iPadOS, Android and macOS.</w:t>
      </w:r>
    </w:p>
    <w:p>
      <w:pPr>
        <w:pStyle w:val="Compact"/>
        <w:numPr>
          <w:ilvl w:val="0"/>
          <w:numId w:val="1046"/>
        </w:numPr>
      </w:pPr>
      <w:r>
        <w:t xml:space="preserve">Track two populations per use case: devices holding both AD CS and cloud certificates (expected during the wave), and devices holding only cloud certificates (the target).</w:t>
      </w:r>
    </w:p>
    <w:p>
      <w:pPr>
        <w:pStyle w:val="Compact"/>
        <w:numPr>
          <w:ilvl w:val="0"/>
          <w:numId w:val="1046"/>
        </w:numPr>
      </w:pPr>
      <w:r>
        <w:t xml:space="preserve">For each ring whose devices hold valid cloud certificates and whose relying parties have accepted them, remove AD CS auto-enrollment for the MIGRATE templates that ring used.</w:t>
      </w:r>
    </w:p>
    <w:p>
      <w:pPr>
        <w:pStyle w:val="FirstParagraph"/>
      </w:pPr>
      <w:r>
        <w:rPr>
          <w:b/>
          <w:bCs/>
        </w:rPr>
        <w:t xml:space="preserve">Exit gate.</w:t>
      </w:r>
      <w:r>
        <w:t xml:space="preserve"> </w:t>
      </w:r>
      <w:r>
        <w:t xml:space="preserve">Every managed device holds cloud-issued certificates for its MIGRATE use cases; all users intended for Entra CBA are on it, by staged rollout or by a converted domain; AD CS auto-enrollment for MIGRATE templates removed on every migrated ring.</w:t>
      </w:r>
    </w:p>
    <w:p>
      <w:pPr>
        <w:pStyle w:val="BodyText"/>
      </w:pPr>
      <w:r>
        <w:rPr>
          <w:b/>
          <w:bCs/>
        </w:rPr>
        <w:t xml:space="preserve">Rollback.</w:t>
      </w:r>
      <w:r>
        <w:t xml:space="preserve"> </w:t>
      </w:r>
      <w:r>
        <w:t xml:space="preserve">Per ring: re-link the auto-enrollment GPO or restore the template permission so AD CS certificates are issued again at the next policy refresh, then remove that ring’s SCEP assignment. For users: remove the groups from staged rollout.</w:t>
      </w:r>
    </w:p>
    <w:p>
      <w:pPr>
        <w:pStyle w:val="BodyText"/>
      </w:pPr>
      <w:r>
        <w:rPr>
          <w:b/>
          <w:bCs/>
        </w:rPr>
        <w:t xml:space="preserve">Duration.</w:t>
      </w:r>
      <w:r>
        <w:t xml:space="preserve"> </w:t>
      </w:r>
      <w:r>
        <w:t xml:space="preserve">Twelve weeks.</w:t>
      </w:r>
    </w:p>
    <w:bookmarkEnd w:id="693"/>
    <w:bookmarkStart w:id="701" w:name="wave-5-cutover-weeks-2936"/>
    <w:p>
      <w:pPr>
        <w:pStyle w:val="Heading3"/>
      </w:pPr>
      <w:r>
        <w:t xml:space="preserve">Wave 5 — Cutover (weeks 29–36)</w:t>
      </w:r>
    </w:p>
    <w:p>
      <w:pPr>
        <w:pStyle w:val="FirstParagraph"/>
      </w:pPr>
      <w:r>
        <w:rPr>
          <w:b/>
          <w:bCs/>
        </w:rPr>
        <w:t xml:space="preserve">Entry gate.</w:t>
      </w:r>
      <w:r>
        <w:t xml:space="preserve"> </w:t>
      </w:r>
      <w:r>
        <w:t xml:space="preserve">Wave 4 exit gate. All users in each domain to be converted validated on Entra CBA.</w:t>
      </w:r>
    </w:p>
    <w:p>
      <w:pPr>
        <w:pStyle w:val="BodyText"/>
      </w:pPr>
      <w:r>
        <w:rPr>
          <w:b/>
          <w:bCs/>
        </w:rPr>
        <w:t xml:space="preserve">Work.</w:t>
      </w:r>
    </w:p>
    <w:p>
      <w:pPr>
        <w:pStyle w:val="Compact"/>
        <w:numPr>
          <w:ilvl w:val="0"/>
          <w:numId w:val="1047"/>
        </w:numPr>
      </w:pPr>
      <w:r>
        <w:t xml:space="preserve">Confirm there are no unexpired AD CS certificates left on managed devices for MIGRATE use cases.</w:t>
      </w:r>
    </w:p>
    <w:p>
      <w:pPr>
        <w:pStyle w:val="Compact"/>
        <w:numPr>
          <w:ilvl w:val="0"/>
          <w:numId w:val="1047"/>
        </w:numPr>
      </w:pPr>
      <w:r>
        <w:t xml:space="preserve">Record each federated domain’s configuration with</w:t>
      </w:r>
      <w:r>
        <w:t xml:space="preserve"> </w:t>
      </w:r>
      <w:r>
        <w:rPr>
          <w:rStyle w:val="VerbatimChar"/>
        </w:rPr>
        <w:t xml:space="preserve">Get-MgDomainFederationConfiguration</w:t>
      </w:r>
      <w:r>
        <w:t xml:space="preserve">, export the Microsoft 365 relying party trust and claim rules, and back up the AD FS farm.</w:t>
      </w:r>
      <w:r>
        <w:rPr>
          <w:rStyle w:val="FootnoteReference"/>
        </w:rPr>
        <w:footnoteReference w:id="694"/>
      </w:r>
    </w:p>
    <w:p>
      <w:pPr>
        <w:pStyle w:val="Compact"/>
        <w:numPr>
          <w:ilvl w:val="0"/>
          <w:numId w:val="1047"/>
        </w:numPr>
      </w:pPr>
      <w:r>
        <w:t xml:space="preserve">Convert each domain with</w:t>
      </w:r>
      <w:r>
        <w:t xml:space="preserve"> </w:t>
      </w:r>
      <w:r>
        <w:rPr>
          <w:rStyle w:val="VerbatimChar"/>
        </w:rPr>
        <w:t xml:space="preserve">Update-MgDomain -DomainId &lt;domain&gt; -AuthenticationType "Managed"</w:t>
      </w:r>
      <w:r>
        <w:t xml:space="preserve">, starting with a test domain or the domain with the fewest users, and confirm with</w:t>
      </w:r>
      <w:r>
        <w:t xml:space="preserve"> </w:t>
      </w:r>
      <w:r>
        <w:rPr>
          <w:rStyle w:val="VerbatimChar"/>
        </w:rPr>
        <w:t xml:space="preserve">Get-MgDomain</w:t>
      </w:r>
      <w:r>
        <w:t xml:space="preserve">.</w:t>
      </w:r>
      <w:r>
        <w:rPr>
          <w:rStyle w:val="FootnoteReference"/>
        </w:rPr>
        <w:footnoteReference w:id="695"/>
      </w:r>
      <w:r>
        <w:rPr>
          <w:rStyle w:val="FootnoteReference"/>
        </w:rPr>
        <w:footnoteReference w:id="696"/>
      </w:r>
    </w:p>
    <w:p>
      <w:pPr>
        <w:pStyle w:val="Compact"/>
        <w:numPr>
          <w:ilvl w:val="0"/>
          <w:numId w:val="1047"/>
        </w:numPr>
      </w:pPr>
      <w:r>
        <w:t xml:space="preserve">Remove staged rollout groups for converted domains.</w:t>
      </w:r>
    </w:p>
    <w:p>
      <w:pPr>
        <w:pStyle w:val="Compact"/>
        <w:numPr>
          <w:ilvl w:val="0"/>
          <w:numId w:val="1047"/>
        </w:numPr>
      </w:pPr>
      <w:r>
        <w:t xml:space="preserve">Turn off AD FS certificate authentication for any relying parties that stay on AD FS.</w:t>
      </w:r>
    </w:p>
    <w:p>
      <w:pPr>
        <w:pStyle w:val="Compact"/>
        <w:numPr>
          <w:ilvl w:val="0"/>
          <w:numId w:val="1047"/>
        </w:numPr>
      </w:pPr>
      <w:r>
        <w:t xml:space="preserve">Keep AD FS restorable but out of the sign-in path for the rollback window (the program uses 30 days).</w:t>
      </w:r>
    </w:p>
    <w:p>
      <w:pPr>
        <w:pStyle w:val="Compact"/>
        <w:numPr>
          <w:ilvl w:val="0"/>
          <w:numId w:val="1047"/>
        </w:numPr>
      </w:pPr>
      <w:r>
        <w:t xml:space="preserve">Keep BRIDGE templates on AD CS: domain controllers, LDAPS, NPS and other servers.</w:t>
      </w:r>
    </w:p>
    <w:p>
      <w:pPr>
        <w:pStyle w:val="Compact"/>
        <w:numPr>
          <w:ilvl w:val="0"/>
          <w:numId w:val="1047"/>
        </w:numPr>
      </w:pPr>
      <w:r>
        <w:t xml:space="preserve">Revise AD CS operating procedures to cover BRIDGE and RETAIN scope only.</w:t>
      </w:r>
    </w:p>
    <w:p>
      <w:pPr>
        <w:pStyle w:val="FirstParagraph"/>
      </w:pPr>
      <w:r>
        <w:rPr>
          <w:b/>
          <w:bCs/>
        </w:rPr>
        <w:t xml:space="preserve">Exit gate.</w:t>
      </w:r>
      <w:r>
        <w:t xml:space="preserve"> </w:t>
      </w:r>
      <w:r>
        <w:t xml:space="preserve">All target domains managed; AD FS certificate authentication off; Entra CBA working for all users; no AD CS certificates on managed endpoints for MIGRATE templates. Before AD FS is decommissioned, Microsoft’s guidance is to observe application usage for at least a week with Entra Connect Health and the sign-in logs.</w:t>
      </w:r>
      <w:r>
        <w:rPr>
          <w:rStyle w:val="FootnoteReference"/>
        </w:rPr>
        <w:footnoteReference w:id="698"/>
      </w:r>
    </w:p>
    <w:p>
      <w:pPr>
        <w:pStyle w:val="BodyText"/>
      </w:pPr>
      <w:r>
        <w:rPr>
          <w:b/>
          <w:bCs/>
        </w:rPr>
        <w:t xml:space="preserve">Rollback.</w:t>
      </w:r>
      <w:r>
        <w:t xml:space="preserve"> </w:t>
      </w:r>
      <w:r>
        <w:t xml:space="preserve">Re-federate the domain with</w:t>
      </w:r>
      <w:r>
        <w:t xml:space="preserve"> </w:t>
      </w:r>
      <w:r>
        <w:rPr>
          <w:rStyle w:val="VerbatimChar"/>
        </w:rPr>
        <w:t xml:space="preserve">New-MgDomainFederationConfiguration</w:t>
      </w:r>
      <w:r>
        <w:t xml:space="preserve"> </w:t>
      </w:r>
      <w:r>
        <w:t xml:space="preserve">from the recorded configuration and restore the claim rules;</w:t>
      </w:r>
      <w:r>
        <w:rPr>
          <w:rStyle w:val="FootnoteReference"/>
        </w:rPr>
        <w:footnoteReference w:id="700"/>
      </w:r>
      <w:r>
        <w:t xml:space="preserve"> </w:t>
      </w:r>
      <w:r>
        <w:t xml:space="preserve">bring AD FS back into the path; re-link the auto-enrollment GPOs for any ring whose certificates must come back. The program’s recovery objective is four hours, which is achievable only while the AD FS farm is restorable, hence step 6.</w:t>
      </w:r>
    </w:p>
    <w:p>
      <w:pPr>
        <w:pStyle w:val="BodyText"/>
      </w:pPr>
      <w:r>
        <w:rPr>
          <w:b/>
          <w:bCs/>
        </w:rPr>
        <w:t xml:space="preserve">Duration.</w:t>
      </w:r>
      <w:r>
        <w:t xml:space="preserve"> </w:t>
      </w:r>
      <w:r>
        <w:t xml:space="preserve">Eight weeks.</w:t>
      </w:r>
    </w:p>
    <w:bookmarkEnd w:id="701"/>
    <w:bookmarkStart w:id="702" w:name="wave-6-decommission-weeks-3744"/>
    <w:p>
      <w:pPr>
        <w:pStyle w:val="Heading3"/>
      </w:pPr>
      <w:r>
        <w:t xml:space="preserve">Wave 6 — Decommission (weeks 37–44)</w:t>
      </w:r>
    </w:p>
    <w:p>
      <w:pPr>
        <w:pStyle w:val="FirstParagraph"/>
      </w:pPr>
      <w:r>
        <w:rPr>
          <w:b/>
          <w:bCs/>
        </w:rPr>
        <w:t xml:space="preserve">Entry gate.</w:t>
      </w:r>
      <w:r>
        <w:t xml:space="preserve"> </w:t>
      </w:r>
      <w:r>
        <w:t xml:space="preserve">Wave 5 exit gate; rollback window closed with no incidents; BRIDGE and RETAIN workloads documented and running.</w:t>
      </w:r>
    </w:p>
    <w:p>
      <w:pPr>
        <w:pStyle w:val="BodyText"/>
      </w:pPr>
      <w:r>
        <w:rPr>
          <w:b/>
          <w:bCs/>
        </w:rPr>
        <w:t xml:space="preserve">Work.</w:t>
      </w:r>
      <w:r>
        <w:t xml:space="preserve"> </w:t>
      </w:r>
      <w:r>
        <w:t xml:space="preserve">Retire the AD CS components that served only MIGRATE workloads: NDES and connector servers no longer needed, CES/CEP servers, auto-enrollment GPOs for retired templates, and issuing CAs whose remaining certificates have all expired or been superseded. Archive each retired CA’s database and keys, keep publishing its final CRL for as long as its certificates could still be validated, and remove its enrollment service object from the directory. Keep the offline root under its documented recovery procedures. Chapter 08 gives the decommissioning procedure step by step.</w:t>
      </w:r>
    </w:p>
    <w:p>
      <w:pPr>
        <w:pStyle w:val="BodyText"/>
      </w:pPr>
      <w:r>
        <w:t xml:space="preserve">Two corrections to the guide’s version of this wave:</w:t>
      </w:r>
    </w:p>
    <w:p>
      <w:pPr>
        <w:pStyle w:val="Compact"/>
        <w:numPr>
          <w:ilvl w:val="0"/>
          <w:numId w:val="1048"/>
        </w:numPr>
      </w:pPr>
      <w:r>
        <w:rPr>
          <w:b/>
          <w:bCs/>
        </w:rPr>
        <w:t xml:space="preserve">The BYOCA case.</w:t>
      </w:r>
      <w:r>
        <w:t xml:space="preserve"> </w:t>
      </w:r>
      <w:r>
        <w:t xml:space="preserve">The guide said</w:t>
      </w:r>
      <w:r>
        <w:t xml:space="preserve"> </w:t>
      </w:r>
      <w:r>
        <w:t xml:space="preserve">“don’t revoke”</w:t>
      </w:r>
      <w:r>
        <w:t xml:space="preserve"> </w:t>
      </w:r>
      <w:r>
        <w:t xml:space="preserve">under BYOCA, which is right but incomplete. The BYOCA issuing CA’s certificate was signed by a CA in the private hierarchy, and that CA’s CRL is what relying parties check for it. Whichever private CA signed the BYOCA certificate must stay, and keep publishing CRLs, for as long as the BYOCA issuing CA is in use. Chapter 04 recommends signing the BYOCA request with the offline root for exactly this reason: the root outlives the issuing CAs.</w:t>
      </w:r>
    </w:p>
    <w:p>
      <w:pPr>
        <w:pStyle w:val="Compact"/>
        <w:numPr>
          <w:ilvl w:val="0"/>
          <w:numId w:val="1048"/>
        </w:numPr>
      </w:pPr>
      <w:r>
        <w:rPr>
          <w:b/>
          <w:bCs/>
        </w:rPr>
        <w:t xml:space="preserve">The cloud-root case.</w:t>
      </w:r>
      <w:r>
        <w:t xml:space="preserve"> </w:t>
      </w:r>
      <w:r>
        <w:t xml:space="preserve">The guide said to revoke the AD CS issuing CA’s certificate from the root when Cloud PKI has its own root. Revoke only after every certificate the issuing CA issued has expired or been revoked and no BRIDGE or RETAIN workload depends on that issuing CA, and publish the root’s CRL afterward. Revoking a still-used issuing CA breaks every certificate under it.</w:t>
      </w:r>
    </w:p>
    <w:p>
      <w:pPr>
        <w:pStyle w:val="FirstParagraph"/>
      </w:pPr>
      <w:r>
        <w:rPr>
          <w:b/>
          <w:bCs/>
        </w:rPr>
        <w:t xml:space="preserve">Exit gate.</w:t>
      </w:r>
      <w:r>
        <w:t xml:space="preserve"> </w:t>
      </w:r>
      <w:r>
        <w:t xml:space="preserve">MIGRATE-only AD CS components retired or archived; offline root retained and documented; no orphaned auto-enrollment GPOs; decommission record committed to the evidence repository.</w:t>
      </w:r>
    </w:p>
    <w:p>
      <w:pPr>
        <w:pStyle w:val="BodyText"/>
      </w:pPr>
      <w:r>
        <w:rPr>
          <w:b/>
          <w:bCs/>
        </w:rPr>
        <w:t xml:space="preserve">Rollback.</w:t>
      </w:r>
      <w:r>
        <w:t xml:space="preserve"> </w:t>
      </w:r>
      <w:r>
        <w:t xml:space="preserve">Restore the issuing CA from its backup, rejoin it, republish its templates and re-link its GPOs. The program plans eight to twelve hours for a full CA restoration, which is why backups are tested before this wave starts.</w:t>
      </w:r>
    </w:p>
    <w:p>
      <w:pPr>
        <w:pStyle w:val="BodyText"/>
      </w:pPr>
      <w:r>
        <w:rPr>
          <w:b/>
          <w:bCs/>
        </w:rPr>
        <w:t xml:space="preserve">Duration.</w:t>
      </w:r>
      <w:r>
        <w:t xml:space="preserve"> </w:t>
      </w:r>
      <w:r>
        <w:t xml:space="preserve">Eight weeks.</w:t>
      </w:r>
    </w:p>
    <w:bookmarkEnd w:id="702"/>
    <w:bookmarkEnd w:id="703"/>
    <w:bookmarkStart w:id="706" w:name="rollback-rules-that-hold-across-waves"/>
    <w:p>
      <w:pPr>
        <w:pStyle w:val="Heading2"/>
      </w:pPr>
      <w:bookmarkStart w:id="1001" w:name="_Toc00001001"/>
      <w:r>
        <w:t xml:space="preserve">Rollback rules that hold across waves</w:t>
      </w:r>
      <w:bookmarkEnd w:id="1001"/>
    </w:p>
    <w:p>
      <w:pPr>
        <w:pStyle w:val="Compact"/>
        <w:numPr>
          <w:ilvl w:val="0"/>
          <w:numId w:val="1049"/>
        </w:numPr>
      </w:pPr>
      <w:r>
        <w:t xml:space="preserve">A wave doesn’t start until its rollback has been rehearsed in a test scope.</w:t>
      </w:r>
    </w:p>
    <w:p>
      <w:pPr>
        <w:pStyle w:val="Compact"/>
        <w:numPr>
          <w:ilvl w:val="0"/>
          <w:numId w:val="1049"/>
        </w:numPr>
      </w:pPr>
      <w:r>
        <w:t xml:space="preserve">No wave’s rollback depends on a component the same wave retires. Auto-enrollment, AD FS and the AD CS issuing CAs each stay restorable until the wave after the one that stopped using them.</w:t>
      </w:r>
    </w:p>
    <w:p>
      <w:pPr>
        <w:pStyle w:val="Compact"/>
        <w:numPr>
          <w:ilvl w:val="0"/>
          <w:numId w:val="1049"/>
        </w:numPr>
      </w:pPr>
      <w:r>
        <w:t xml:space="preserve">Removing a SCEP profile assignment revokes the certificates it issued on Windows, iOS/iPadOS and macOS, and so does editing the profile.</w:t>
      </w:r>
      <w:r>
        <w:rPr>
          <w:rStyle w:val="FootnoteReference"/>
        </w:rPr>
        <w:footnoteReference w:id="704"/>
      </w:r>
      <w:r>
        <w:t xml:space="preserve"> </w:t>
      </w:r>
      <w:r>
        <w:t xml:space="preserve">Treat profile changes and unassignment as changes with impact, not as a harmless undo.</w:t>
      </w:r>
    </w:p>
    <w:p>
      <w:pPr>
        <w:pStyle w:val="Compact"/>
        <w:numPr>
          <w:ilvl w:val="0"/>
          <w:numId w:val="1049"/>
        </w:numPr>
      </w:pPr>
      <w:r>
        <w:t xml:space="preserve">Staged rollout changes for existing groups can take up to 24 hours,</w:t>
      </w:r>
      <w:r>
        <w:rPr>
          <w:rStyle w:val="FootnoteReference"/>
        </w:rPr>
        <w:footnoteReference w:id="705"/>
      </w:r>
      <w:r>
        <w:t xml:space="preserve"> </w:t>
      </w:r>
      <w:r>
        <w:t xml:space="preserve">so a user rollback isn’t instant; plan the communication accordingly.</w:t>
      </w:r>
    </w:p>
    <w:p>
      <w:pPr>
        <w:pStyle w:val="FirstParagraph"/>
      </w:pPr>
      <w:r>
        <w:t xml:space="preserve">For the federal policy context behind the move to phishing-resistant, certificate-based sign-in, see the Federal Compliance book on certificates, tokens and cryptographic identity.</w:t>
      </w:r>
    </w:p>
    <w:bookmarkEnd w:id="706"/>
    <w:bookmarkStart w:id="707" w:name="continue-the-book-6"/>
    <w:p>
      <w:pPr>
        <w:pStyle w:val="Heading2"/>
      </w:pPr>
      <w:bookmarkStart w:id="1002" w:name="_Toc00001002"/>
      <w:r>
        <w:t xml:space="preserve">Continue the book</w:t>
      </w:r>
      <w:bookmarkEnd w:id="1002"/>
    </w:p>
    <w:p>
      <w:pPr>
        <w:pStyle w:val="FirstParagraph"/>
      </w:pPr>
      <w:r>
        <w:t xml:space="preserve">← Previous: Chapter 06 — Device and User Certificates: Intune and Entra CBA · Book index · Next: Chapter 08 — Lifecycle, Monitoring and Decommissioning →</w:t>
      </w:r>
    </w:p>
    <w:bookmarkEnd w:id="707"/>
    <w:bookmarkEnd w:id="708"/>
    <w:bookmarkStart w:id="825" w:name="X120987c073f7e4c8bc8c1a362386debe919de44"/>
    <w:p>
      <w:pPr>
        <w:pStyle w:val="Heading1"/>
      </w:pPr>
      <w:bookmarkStart w:id="1003" w:name="_Toc00001003"/>
      <w:r>
        <w:t xml:space="preserve">Chapter 08 — Lifecycle, Monitoring and Decommissioning</w:t>
      </w:r>
      <w:bookmarkEnd w:id="1003"/>
    </w:p>
    <w:p>
      <w:pPr>
        <w:pStyle w:val="FirstParagraph"/>
      </w:pPr>
      <w:r>
        <w:rPr>
          <w:i/>
          <w:iCs/>
        </w:rPr>
        <w:t xml:space="preserve">A certificate estate fails at its next expiry or its next stale CRL, so after the migration the work is keeping every certificate owned, renewed and checkable, and retiring the old CAs without stranding a single one.</w:t>
      </w:r>
    </w:p>
    <w:bookmarkStart w:id="709" w:name="in-this-chapter-7"/>
    <w:p>
      <w:pPr>
        <w:pStyle w:val="Heading2"/>
      </w:pPr>
      <w:bookmarkStart w:id="1004" w:name="_Toc00001004"/>
      <w:r>
        <w:t xml:space="preserve">In this chapter</w:t>
      </w:r>
      <w:bookmarkEnd w:id="1004"/>
    </w:p>
    <w:p>
      <w:pPr>
        <w:pStyle w:val="FirstParagraph"/>
      </w:pPr>
      <w:r>
        <w:t xml:space="preserve">Renewal at scale as publicly trusted TLS lifetimes fall to 47 days, the three renewal engines in the target, ACME where it applies, and inventory and renewal through CyberArk Certificate Manager. Revocation and the availability of CRLs, including what Entra CBA does and doesn’t check. Monitoring sources, compliance checks and drift patterns, a troubleshooting reference, the AD CS decommissioning sequence, and the NIST SP 800-53 evidence an assessor reads for IA-5(2), SC-12 and SC-17.</w:t>
      </w:r>
    </w:p>
    <w:bookmarkEnd w:id="709"/>
    <w:p>
      <w:pPr>
        <w:pStyle w:val="BodyText"/>
      </w:pPr>
      <w:r>
        <w:t xml:space="preserve">Migration ends on a date. Certificates don’t. Every certificate issued during the migration (Chapter 06) and every one carried across the coexistence period (Chapter 07) will reach its expiry date, and every CA that issued it must keep publishing a CRL that relying parties can reach until then. The failure modes are well known: an expiry nobody owned, a certificate nobody inventoried, a key reused across renewals. The Federal Compliance book on certificates and tokens describes them in its</w:t>
      </w:r>
      <w:r>
        <w:t xml:space="preserve"> </w:t>
      </w:r>
      <w:r>
        <w:t xml:space="preserve">“Certificate Lifecycle Automation”</w:t>
      </w:r>
      <w:r>
        <w:t xml:space="preserve"> </w:t>
      </w:r>
      <w:r>
        <w:t xml:space="preserve">sections, along with the argument that manual renewal can’t keep up. This chapter is the operating detail for the target in this book. Chapter 05 names who owns each part.</w:t>
      </w:r>
    </w:p>
    <w:bookmarkStart w:id="713" w:name="fig-ch08-lifecycle-loop"/>
    <w:p>
      <w:pPr>
        <w:pStyle w:val="CaptionedFigure"/>
      </w:pPr>
      <w:r>
        <w:drawing>
          <wp:inline>
            <wp:extent cx="5334000" cy="5341775"/>
            <wp:effectExtent b="0" l="0" r="0" t="0"/>
            <wp:docPr descr="The certificate lifecycle the program operates: discover, inventory with an owner, issue under policy, renew before expiry, and revoke or let expire, with monitoring feeding every stage back into the inventory." title="" id="711" name="Picture"/>
            <a:graphic>
              <a:graphicData uri="http://schemas.openxmlformats.org/drawingml/2006/picture">
                <pic:pic>
                  <pic:nvPicPr>
                    <pic:cNvPr descr="/home/runner/work/modernization-workbook/modernization-workbook/docs/images/diagrams/b07-pki/png/ch08-lifecycle-loop.png" id="712" name="Picture"/>
                    <pic:cNvPicPr>
                      <a:picLocks noChangeArrowheads="1" noChangeAspect="1"/>
                    </pic:cNvPicPr>
                  </pic:nvPicPr>
                  <pic:blipFill>
                    <a:blip r:embed="rId710"/>
                    <a:stretch>
                      <a:fillRect/>
                    </a:stretch>
                  </pic:blipFill>
                  <pic:spPr bwMode="auto">
                    <a:xfrm>
                      <a:off x="0" y="0"/>
                      <a:ext cx="5334000" cy="5341775"/>
                    </a:xfrm>
                    <a:prstGeom prst="rect">
                      <a:avLst/>
                    </a:prstGeom>
                    <a:noFill/>
                    <a:ln w="9525">
                      <a:noFill/>
                      <a:headEnd/>
                      <a:tailEnd/>
                    </a:ln>
                  </pic:spPr>
                </pic:pic>
              </a:graphicData>
            </a:graphic>
          </wp:inline>
        </w:drawing>
      </w:r>
    </w:p>
    <w:p>
      <w:pPr>
        <w:pStyle w:val="ImageCaption"/>
      </w:pPr>
      <w:r>
        <w:t xml:space="preserve">The certificate lifecycle the program operates: discover, inventory with an owner, issue under policy, renew before expiry, and revoke or let expire, with monitoring feeding every stage back into the inventory.</w:t>
      </w:r>
    </w:p>
    <w:bookmarkEnd w:id="713"/>
    <w:bookmarkStart w:id="731" w:name="renewal-at-scale-as-lifetimes-shrink"/>
    <w:p>
      <w:pPr>
        <w:pStyle w:val="Heading2"/>
      </w:pPr>
      <w:bookmarkStart w:id="1005" w:name="_Toc00001005"/>
      <w:r>
        <w:t xml:space="preserve">Renewal at scale as lifetimes shrink</w:t>
      </w:r>
      <w:bookmarkEnd w:id="1005"/>
    </w:p>
    <w:p>
      <w:pPr>
        <w:pStyle w:val="FirstParagraph"/>
      </w:pPr>
      <w:r>
        <w:t xml:space="preserve">On April 11, 2025, the CA/Browser Forum adopted ballot SC-081v3, which reduces the maximum validity of publicly trusted TLS certificates from 398 days in steps from March 2026 to March 2029.</w:t>
      </w:r>
      <w:r>
        <w:rPr>
          <w:rStyle w:val="FootnoteReference"/>
        </w:rPr>
        <w:footnoteReference w:id="714"/>
      </w:r>
      <w:r>
        <w:t xml:space="preserve"> </w:t>
      </w:r>
      <w:r>
        <w:t xml:space="preserve">Under the Baseline Requirements, the maximum validity is 200 days from March 15, 2026, 100 days from March 15, 2027, and 47 days from March 15, 2029.</w:t>
      </w:r>
      <w:r>
        <w:rPr>
          <w:rStyle w:val="FootnoteReference"/>
        </w:rPr>
        <w:footnoteReference w:id="715"/>
      </w:r>
      <w:r>
        <w:t xml:space="preserve"> </w:t>
      </w:r>
      <w:r>
        <w:t xml:space="preserve">As of this writing, the first step is in force. The schedule binds publicly trusted certificates, not internal CAs. The program aligns internal lifetimes with it anyway, profile by profile, as renewal automation proves itself. An estate built to renew a certificate every 47 days can absorb shorter internal lifetimes. An estate that can’t renew automatically can’t absorb either.</w:t>
      </w:r>
    </w:p>
    <w:p>
      <w:pPr>
        <w:pStyle w:val="BodyText"/>
      </w:pPr>
      <w:r>
        <w:t xml:space="preserve">The arithmetic leads to one design rule: no certificate class may depend on a person remembering a date. The target has three renewal engines, and every class in Chapter 05 runs through one of them.</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Engine</w:t>
            </w:r>
          </w:p>
        </w:tc>
        <w:tc>
          <w:tcPr/>
          <w:p>
            <w:pPr>
              <w:pStyle w:val="Compact"/>
            </w:pPr>
            <w:r>
              <w:t xml:space="preserve">Covers</w:t>
            </w:r>
          </w:p>
        </w:tc>
        <w:tc>
          <w:tcPr/>
          <w:p>
            <w:pPr>
              <w:pStyle w:val="Compact"/>
            </w:pPr>
            <w:r>
              <w:t xml:space="preserve">How renewal works</w:t>
            </w:r>
          </w:p>
        </w:tc>
        <w:tc>
          <w:tcPr/>
          <w:p>
            <w:pPr>
              <w:pStyle w:val="Compact"/>
            </w:pPr>
            <w:r>
              <w:t xml:space="preserve">What to watch</w:t>
            </w:r>
          </w:p>
        </w:tc>
      </w:tr>
      <w:tr>
        <w:tc>
          <w:tcPr/>
          <w:p>
            <w:pPr>
              <w:pStyle w:val="Compact"/>
            </w:pPr>
            <w:r>
              <w:t xml:space="preserve">Intune certificate profiles</w:t>
            </w:r>
          </w:p>
        </w:tc>
        <w:tc>
          <w:tcPr/>
          <w:p>
            <w:pPr>
              <w:pStyle w:val="Compact"/>
            </w:pPr>
            <w:r>
              <w:t xml:space="preserve">User and device certificates on Intune-managed devices, from Cloud PKI or AD CS</w:t>
            </w:r>
          </w:p>
        </w:tc>
        <w:tc>
          <w:tcPr/>
          <w:p>
            <w:pPr>
              <w:pStyle w:val="Compact"/>
            </w:pPr>
            <w:r>
              <w:t xml:space="preserve">The device requests renewal when the remaining lifetime falls to the profile’s renewal threshold. For example, a threshold of 20 means renewal at 80 percent of the lifetime. SCEP renewal generates a new key pair.</w:t>
            </w:r>
            <w:r>
              <w:rPr>
                <w:rStyle w:val="FootnoteReference"/>
              </w:rPr>
              <w:footnoteReference w:id="717"/>
            </w:r>
          </w:p>
        </w:tc>
        <w:tc>
          <w:tcPr/>
          <w:p>
            <w:pPr>
              <w:pStyle w:val="Compact"/>
            </w:pPr>
            <w:r>
              <w:t xml:space="preserve">On iOS, iPadOS and macOS, renewal happens only inside the threshold window and the device must be unlocked while it syncs. A failed renewal leaves the expired certificate on the device, and Intune doesn’t retry.</w:t>
            </w:r>
            <w:r>
              <w:rPr>
                <w:rStyle w:val="FootnoteReference"/>
              </w:rPr>
              <w:footnoteReference w:id="718"/>
            </w:r>
          </w:p>
        </w:tc>
      </w:tr>
      <w:tr>
        <w:tc>
          <w:tcPr/>
          <w:p>
            <w:pPr>
              <w:pStyle w:val="Compact"/>
            </w:pPr>
            <w:r>
              <w:t xml:space="preserve">AD CS autoenrollment</w:t>
            </w:r>
          </w:p>
        </w:tc>
        <w:tc>
          <w:tcPr/>
          <w:p>
            <w:pPr>
              <w:pStyle w:val="Compact"/>
            </w:pPr>
            <w:r>
              <w:t xml:space="preserve">Classes that stay on retained AD CS: domain controllers, LDAPS, RADIUS servers</w:t>
            </w:r>
          </w:p>
        </w:tc>
        <w:tc>
          <w:tcPr/>
          <w:p>
            <w:pPr>
              <w:pStyle w:val="Compact"/>
            </w:pPr>
            <w:r>
              <w:t xml:space="preserve">Group Policy and template permissions drive renewal on domain-joined machines (Chapter 02)</w:t>
            </w:r>
          </w:p>
        </w:tc>
        <w:tc>
          <w:tcPr/>
          <w:p>
            <w:pPr>
              <w:pStyle w:val="Compact"/>
            </w:pPr>
            <w:r>
              <w:t xml:space="preserve">The CA must stay online and its CRL current for as long as the class exists</w:t>
            </w:r>
          </w:p>
        </w:tc>
      </w:tr>
      <w:tr>
        <w:tc>
          <w:tcPr/>
          <w:p>
            <w:pPr>
              <w:pStyle w:val="Compact"/>
            </w:pPr>
            <w:r>
              <w:t xml:space="preserve">CyberArk Certificate Manager</w:t>
            </w:r>
          </w:p>
        </w:tc>
        <w:tc>
          <w:tcPr/>
          <w:p>
            <w:pPr>
              <w:pStyle w:val="Compact"/>
            </w:pPr>
            <w:r>
              <w:t xml:space="preserve">Server TLS, appliances, public TLS, network devices</w:t>
            </w:r>
          </w:p>
        </w:tc>
        <w:tc>
          <w:tcPr/>
          <w:p>
            <w:pPr>
              <w:pStyle w:val="Compact"/>
            </w:pPr>
            <w:r>
              <w:t xml:space="preserve">The platform discovers certificates, tracks them and renews them before they expire, through its CA integrations and its ACME service</w:t>
            </w:r>
            <w:r>
              <w:rPr>
                <w:rStyle w:val="FootnoteReference"/>
              </w:rPr>
              <w:footnoteReference w:id="719"/>
            </w:r>
          </w:p>
        </w:tc>
        <w:tc>
          <w:tcPr/>
          <w:p>
            <w:pPr>
              <w:pStyle w:val="Compact"/>
            </w:pPr>
            <w:r>
              <w:t xml:space="preserve">Every certificate needs a Server Owner, and the platform’s CA account needs a deliberately scoped set of templates (Chapter 05)</w:t>
            </w:r>
          </w:p>
        </w:tc>
      </w:tr>
    </w:tbl>
    <w:bookmarkStart w:id="726" w:name="acme-where-it-applies"/>
    <w:p>
      <w:pPr>
        <w:pStyle w:val="Heading3"/>
      </w:pPr>
      <w:r>
        <w:t xml:space="preserve">ACME where it applies</w:t>
      </w:r>
    </w:p>
    <w:p>
      <w:pPr>
        <w:pStyle w:val="FirstParagraph"/>
      </w:pPr>
      <w:r>
        <w:t xml:space="preserve">ACME, the Automatic Certificate Management Environment protocol in RFC 8555, lets a client prove control of a name and obtain a certificate with no person in the loop. It defines the</w:t>
      </w:r>
      <w:r>
        <w:t xml:space="preserve"> </w:t>
      </w:r>
      <w:r>
        <w:rPr>
          <w:rStyle w:val="VerbatimChar"/>
        </w:rPr>
        <w:t xml:space="preserve">http-01</w:t>
      </w:r>
      <w:r>
        <w:t xml:space="preserve"> </w:t>
      </w:r>
      <w:r>
        <w:t xml:space="preserve">and</w:t>
      </w:r>
      <w:r>
        <w:t xml:space="preserve"> </w:t>
      </w:r>
      <w:r>
        <w:rPr>
          <w:rStyle w:val="VerbatimChar"/>
        </w:rPr>
        <w:t xml:space="preserve">dns-01</w:t>
      </w:r>
      <w:r>
        <w:t xml:space="preserve"> </w:t>
      </w:r>
      <w:r>
        <w:t xml:space="preserve">challenges for that proof.</w:t>
      </w:r>
      <w:r>
        <w:rPr>
          <w:rStyle w:val="FootnoteReference"/>
        </w:rPr>
        <w:footnoteReference w:id="720"/>
      </w:r>
      <w:r>
        <w:t xml:space="preserve"> </w:t>
      </w:r>
      <w:r>
        <w:t xml:space="preserve">It fits web listeners, load-balanced services and anything else with a resolvable name and a client that can complete a challenge. It doesn’t fit managed endpoints, which already renew through Intune, or devices that can’t run a client.</w:t>
      </w:r>
    </w:p>
    <w:p>
      <w:pPr>
        <w:pStyle w:val="BodyText"/>
      </w:pPr>
      <w:r>
        <w:t xml:space="preserve">Neither Microsoft issuer in the target offers ACME. Cloud PKI’s only enrollment path is its SCEP registration authority for Intune-managed devices.</w:t>
      </w:r>
      <w:r>
        <w:rPr>
          <w:rStyle w:val="FootnoteReference"/>
        </w:rPr>
        <w:footnoteReference w:id="722"/>
      </w:r>
      <w:r>
        <w:t xml:space="preserve"> </w:t>
      </w:r>
      <w:r>
        <w:t xml:space="preserve">The program provides ACME through CyberArk Certificate Manager (now part of Palo Alto Networks), the program’s single lifecycle tool. Its self-hosted edition includes an ACME service. CyberArk documents support for</w:t>
      </w:r>
      <w:r>
        <w:t xml:space="preserve"> </w:t>
      </w:r>
      <w:r>
        <w:rPr>
          <w:rStyle w:val="VerbatimChar"/>
        </w:rPr>
        <w:t xml:space="preserve">http-01</w:t>
      </w:r>
      <w:r>
        <w:t xml:space="preserve"> </w:t>
      </w:r>
      <w:r>
        <w:t xml:space="preserve">and</w:t>
      </w:r>
      <w:r>
        <w:t xml:space="preserve"> </w:t>
      </w:r>
      <w:r>
        <w:rPr>
          <w:rStyle w:val="VerbatimChar"/>
        </w:rPr>
        <w:t xml:space="preserve">dns-01</w:t>
      </w:r>
      <w:r>
        <w:t xml:space="preserve"> </w:t>
      </w:r>
      <w:r>
        <w:t xml:space="preserve">challenges, says the implementation was designed and tested with the certbot, win-acme and acme.sh clients, and warns that other clients may run into unsupported parts of the protocol.</w:t>
      </w:r>
      <w:r>
        <w:rPr>
          <w:rStyle w:val="FootnoteReference"/>
        </w:rPr>
        <w:footnoteReference w:id="723"/>
      </w:r>
      <w:r>
        <w:t xml:space="preserve"> </w:t>
      </w:r>
      <w:r>
        <w:t xml:space="preserve">One limit matters for federal deployments: CyberArk documents that using win-acme requires FIPS mode to be disabled on the CyberArk server.</w:t>
      </w:r>
      <w:r>
        <w:rPr>
          <w:rStyle w:val="FootnoteReference"/>
        </w:rPr>
        <w:footnoteReference w:id="725"/>
      </w:r>
      <w:r>
        <w:t xml:space="preserve"> </w:t>
      </w:r>
      <w:r>
        <w:t xml:space="preserve">Where the server must run in a FIPS-approved mode, use one of the other tested clients. The</w:t>
      </w:r>
      <w:r>
        <w:t xml:space="preserve"> </w:t>
      </w:r>
      <w:r>
        <w:rPr>
          <w:rStyle w:val="VerbatimChar"/>
        </w:rPr>
        <w:t xml:space="preserve">dns-01</w:t>
      </w:r>
      <w:r>
        <w:t xml:space="preserve"> </w:t>
      </w:r>
      <w:r>
        <w:t xml:space="preserve">challenge makes the authoritative DNS zone the gate for automated issuance. The Federal Compliance book develops that point, and it’s why the DNS team is consulted on ACME rollout.</w:t>
      </w:r>
    </w:p>
    <w:bookmarkEnd w:id="726"/>
    <w:bookmarkStart w:id="730" w:name="X7d1c202934de72abda1e43760d5f36848ff6e7a"/>
    <w:p>
      <w:pPr>
        <w:pStyle w:val="Heading3"/>
      </w:pPr>
      <w:r>
        <w:t xml:space="preserve">Inventory and renewal through CyberArk Certificate Manager</w:t>
      </w:r>
    </w:p>
    <w:p>
      <w:pPr>
        <w:pStyle w:val="FirstParagraph"/>
      </w:pPr>
      <w:r>
        <w:t xml:space="preserve">The CLM platform is where the inventory lives for every certificate Intune doesn’t manage. CyberArk Certificate Manager, Self-Hosted automates the provisioning, discovery, monitoring, validation and management of keys and certificates, and it supports multiple CAs.</w:t>
      </w:r>
      <w:r>
        <w:rPr>
          <w:rStyle w:val="FootnoteReference"/>
        </w:rPr>
        <w:footnoteReference w:id="727"/>
      </w:r>
      <w:r>
        <w:t xml:space="preserve"> </w:t>
      </w:r>
      <w:r>
        <w:t xml:space="preserve">For AD CS it uses a Microsoft CA template object. That requires Microsoft CA support to be installed and an account with Read, Issue and Manage Certificates, and Request Certificates permissions on the CA.</w:t>
      </w:r>
      <w:r>
        <w:rPr>
          <w:rStyle w:val="FootnoteReference"/>
        </w:rPr>
        <w:footnoteReference w:id="728"/>
      </w:r>
      <w:r>
        <w:t xml:space="preserve"> </w:t>
      </w:r>
      <w:r>
        <w:t xml:space="preserve">Since Palo Alto Networks acquired CyberArk, the SaaS edition has been marketed as Next-Generation Trust Security. The self-hosted edition continues under its own name.</w:t>
      </w:r>
      <w:r>
        <w:rPr>
          <w:rStyle w:val="FootnoteReference"/>
        </w:rPr>
        <w:footnoteReference w:id="729"/>
      </w:r>
      <w:r>
        <w:t xml:space="preserve"> </w:t>
      </w:r>
      <w:r>
        <w:t xml:space="preserve">The program’s operating model is the same on either edition.</w:t>
      </w:r>
    </w:p>
    <w:p>
      <w:pPr>
        <w:pStyle w:val="BodyText"/>
      </w:pPr>
      <w:r>
        <w:t xml:space="preserve">In the program’s model, the platform answers three questions for every certificate it finds: which class it belongs to, who owns its renewal, and whether an issuance record explains it. A certificate on a listener with no enrollment record and no owner is a finding. It’s either shadow infrastructure or an unauthorized issuance, and the Federal Compliance book treats it as drift by definition. The platform also reports any certificate that comes within two renewal windows of expiry with no renewal path bound to it. That’s an incident while it can still be fixed, not on the day it expires.</w:t>
      </w:r>
    </w:p>
    <w:bookmarkEnd w:id="730"/>
    <w:bookmarkEnd w:id="731"/>
    <w:bookmarkStart w:id="749" w:name="revocation-and-crl-availability"/>
    <w:p>
      <w:pPr>
        <w:pStyle w:val="Heading2"/>
      </w:pPr>
      <w:bookmarkStart w:id="1006" w:name="_Toc00001006"/>
      <w:r>
        <w:t xml:space="preserve">Revocation and CRL availability</w:t>
      </w:r>
      <w:bookmarkEnd w:id="1006"/>
    </w:p>
    <w:p>
      <w:pPr>
        <w:pStyle w:val="FirstParagraph"/>
      </w:pPr>
      <w:r>
        <w:t xml:space="preserve">Revocation is the part of the lifecycle that fails silently. Microsoft’s AD CS guidance is plain about why. Revocation doesn’t take effect everywhere at once. Relying parties keep trusting a certificate until they fetch a newer CRL from a location they can reach, and if publication or distribution breaks, a revoked certificate can stay usable.</w:t>
      </w:r>
      <w:r>
        <w:rPr>
          <w:rStyle w:val="FootnoteReference"/>
        </w:rPr>
        <w:footnoteReference w:id="732"/>
      </w:r>
      <w:r>
        <w:t xml:space="preserve"> </w:t>
      </w:r>
      <w:r>
        <w:t xml:space="preserve">Short lifetimes change the balance. Most retirements become non-renewals, and revocation is left for compromise. But they don’t remove the need for CRLs that work.</w:t>
      </w:r>
    </w:p>
    <w:bookmarkStart w:id="739" w:name="operating-the-crls-that-stay"/>
    <w:p>
      <w:pPr>
        <w:pStyle w:val="Heading3"/>
      </w:pPr>
      <w:r>
        <w:t xml:space="preserve">Operating the CRLs that stay</w:t>
      </w:r>
    </w:p>
    <w:p>
      <w:pPr>
        <w:pStyle w:val="FirstParagraph"/>
      </w:pPr>
      <w:r>
        <w:t xml:space="preserve">For each CA that stays, the PKI administrators run CRL publication as a production service.</w:t>
      </w:r>
    </w:p>
    <w:p>
      <w:pPr>
        <w:pStyle w:val="Compact"/>
        <w:numPr>
          <w:ilvl w:val="0"/>
          <w:numId w:val="1050"/>
        </w:numPr>
      </w:pPr>
      <w:r>
        <w:rPr>
          <w:b/>
          <w:bCs/>
        </w:rPr>
        <w:t xml:space="preserve">Publish before expiry, and plan the overlap.</w:t>
      </w:r>
      <w:r>
        <w:t xml:space="preserve"> </w:t>
      </w:r>
      <w:r>
        <w:t xml:space="preserve">A base CRL must be published before it expires and be available at every retrieval endpoint. A delta CRL complements a base CRL but doesn’t replace it. Overlap must cover the real end-to-end delay of publication, replication, transfer and client reachability. Microsoft recommends sizing these intervals from measurements rather than adopting another organization’s schedule.</w:t>
      </w:r>
      <w:r>
        <w:rPr>
          <w:rStyle w:val="FootnoteReference"/>
        </w:rPr>
        <w:footnoteReference w:id="733"/>
      </w:r>
    </w:p>
    <w:p>
      <w:pPr>
        <w:pStyle w:val="Compact"/>
        <w:numPr>
          <w:ilvl w:val="0"/>
          <w:numId w:val="1050"/>
        </w:numPr>
      </w:pPr>
      <w:r>
        <w:rPr>
          <w:b/>
          <w:bCs/>
        </w:rPr>
        <w:t xml:space="preserve">Treat the offline root as a ceremony.</w:t>
      </w:r>
      <w:r>
        <w:t xml:space="preserve"> </w:t>
      </w:r>
      <w:r>
        <w:t xml:space="preserve">For an offline root, Microsoft advises against delta CRLs unless a documented requirement justifies them. Instead it recommends a scheduled, witnessed process that publishes a new base CRL, transfers it to every retrieval endpoint, and verifies it from the networks that depend on the root.</w:t>
      </w:r>
      <w:r>
        <w:rPr>
          <w:rStyle w:val="FootnoteReference"/>
        </w:rPr>
        <w:footnoteReference w:id="734"/>
      </w:r>
    </w:p>
    <w:p>
      <w:pPr>
        <w:pStyle w:val="Compact"/>
        <w:numPr>
          <w:ilvl w:val="0"/>
          <w:numId w:val="1050"/>
        </w:numPr>
      </w:pPr>
      <w:r>
        <w:rPr>
          <w:b/>
          <w:bCs/>
        </w:rPr>
        <w:t xml:space="preserve">Monitor the delivery chain, not just the CA.</w:t>
      </w:r>
      <w:r>
        <w:t xml:space="preserve"> </w:t>
      </w:r>
      <w:r>
        <w:t xml:space="preserve">A CA that generated a CRL hasn’t proved the web endpoint is serving it. Verify that each HTTP endpoint serves a current, complete and readable file, and alert before the CRL reaches its next-update time.</w:t>
      </w:r>
      <w:r>
        <w:rPr>
          <w:rStyle w:val="FootnoteReference"/>
        </w:rPr>
        <w:footnoteReference w:id="735"/>
      </w:r>
    </w:p>
    <w:p>
      <w:pPr>
        <w:pStyle w:val="Compact"/>
        <w:numPr>
          <w:ilvl w:val="0"/>
          <w:numId w:val="1050"/>
        </w:numPr>
      </w:pPr>
      <w:r>
        <w:rPr>
          <w:b/>
          <w:bCs/>
        </w:rPr>
        <w:t xml:space="preserve">Never strand an old CDP.</w:t>
      </w:r>
      <w:r>
        <w:t xml:space="preserve"> </w:t>
      </w:r>
      <w:r>
        <w:t xml:space="preserve">Changing a CDP URL affects only certificates issued after the change. Keep the old endpoint and its current CRL available until no unexpired certificate, including a long-lived CA certificate, references it.</w:t>
      </w:r>
      <w:r>
        <w:rPr>
          <w:rStyle w:val="FootnoteReference"/>
        </w:rPr>
        <w:footnoteReference w:id="736"/>
      </w:r>
    </w:p>
    <w:p>
      <w:pPr>
        <w:pStyle w:val="Compact"/>
        <w:numPr>
          <w:ilvl w:val="0"/>
          <w:numId w:val="1050"/>
        </w:numPr>
      </w:pPr>
      <w:r>
        <w:rPr>
          <w:b/>
          <w:bCs/>
        </w:rPr>
        <w:t xml:space="preserve">Use the right reason code.</w:t>
      </w:r>
      <w:r>
        <w:t xml:space="preserve"> </w:t>
      </w:r>
      <w:r>
        <w:t xml:space="preserve">Use</w:t>
      </w:r>
      <w:r>
        <w:t xml:space="preserve"> </w:t>
      </w:r>
      <w:r>
        <w:rPr>
          <w:i/>
          <w:iCs/>
        </w:rPr>
        <w:t xml:space="preserve">key compromise</w:t>
      </w:r>
      <w:r>
        <w:t xml:space="preserve"> </w:t>
      </w:r>
      <w:r>
        <w:t xml:space="preserve">or</w:t>
      </w:r>
      <w:r>
        <w:t xml:space="preserve"> </w:t>
      </w:r>
      <w:r>
        <w:rPr>
          <w:i/>
          <w:iCs/>
        </w:rPr>
        <w:t xml:space="preserve">CA compromise</w:t>
      </w:r>
      <w:r>
        <w:t xml:space="preserve"> </w:t>
      </w:r>
      <w:r>
        <w:t xml:space="preserve">for incidents,</w:t>
      </w:r>
      <w:r>
        <w:t xml:space="preserve"> </w:t>
      </w:r>
      <w:r>
        <w:rPr>
          <w:i/>
          <w:iCs/>
        </w:rPr>
        <w:t xml:space="preserve">superseded</w:t>
      </w:r>
      <w:r>
        <w:t xml:space="preserve"> </w:t>
      </w:r>
      <w:r>
        <w:t xml:space="preserve">for replacements, and</w:t>
      </w:r>
      <w:r>
        <w:t xml:space="preserve"> </w:t>
      </w:r>
      <w:r>
        <w:rPr>
          <w:i/>
          <w:iCs/>
        </w:rPr>
        <w:t xml:space="preserve">cessation of operation</w:t>
      </w:r>
      <w:r>
        <w:t xml:space="preserve"> </w:t>
      </w:r>
      <w:r>
        <w:t xml:space="preserve">for retired services.</w:t>
      </w:r>
      <w:r>
        <w:t xml:space="preserve"> </w:t>
      </w:r>
      <w:r>
        <w:rPr>
          <w:i/>
          <w:iCs/>
        </w:rPr>
        <w:t xml:space="preserve">Certificate hold</w:t>
      </w:r>
      <w:r>
        <w:t xml:space="preserve"> </w:t>
      </w:r>
      <w:r>
        <w:t xml:space="preserve">is the only reason that can be reversed.</w:t>
      </w:r>
      <w:r>
        <w:rPr>
          <w:rStyle w:val="FootnoteReference"/>
        </w:rPr>
        <w:footnoteReference w:id="737"/>
      </w:r>
    </w:p>
    <w:p>
      <w:pPr>
        <w:pStyle w:val="FirstParagraph"/>
      </w:pPr>
      <w:r>
        <w:t xml:space="preserve">Enterprise PKI (PKIView) gives an early-warning view of CA certificate and CRL health across the forest’s Windows CAs, with warnings for failed validation or approaching expiry. Microsoft notes that it doesn’t replace end-to-end validation from a relying party.</w:t>
      </w:r>
      <w:r>
        <w:rPr>
          <w:rStyle w:val="FootnoteReference"/>
        </w:rPr>
        <w:footnoteReference w:id="738"/>
      </w:r>
    </w:p>
    <w:bookmarkEnd w:id="739"/>
    <w:bookmarkStart w:id="748" w:name="what-entra-cba-checks"/>
    <w:p>
      <w:pPr>
        <w:pStyle w:val="Heading3"/>
      </w:pPr>
      <w:r>
        <w:t xml:space="preserve">What Entra CBA checks</w:t>
      </w:r>
    </w:p>
    <w:p>
      <w:pPr>
        <w:pStyle w:val="FirstParagraph"/>
      </w:pPr>
      <w:r>
        <w:t xml:space="preserve">Entra CBA has its own revocation rules, and they shape the CRL design for any CA it trusts. Book 03, Chapter 09 covers caching and the</w:t>
      </w:r>
      <w:r>
        <w:t xml:space="preserve"> </w:t>
      </w:r>
      <w:r>
        <w:rPr>
          <w:b/>
          <w:bCs/>
        </w:rPr>
        <w:t xml:space="preserve">Require CRL validation</w:t>
      </w:r>
      <w:r>
        <w:t xml:space="preserve"> </w:t>
      </w:r>
      <w:r>
        <w:t xml:space="preserve">setting.</w:t>
      </w:r>
    </w:p>
    <w:p>
      <w:pPr>
        <w:pStyle w:val="Compact"/>
        <w:numPr>
          <w:ilvl w:val="0"/>
          <w:numId w:val="1051"/>
        </w:numPr>
      </w:pPr>
      <w:r>
        <w:t xml:space="preserve">Each trusted CA supports one CRL distribution point, which must be an HTTP or HTTPS URL. Entra CBA doesn’t support OCSP or LDAP URLs.</w:t>
      </w:r>
      <w:r>
        <w:rPr>
          <w:rStyle w:val="FootnoteReference"/>
        </w:rPr>
        <w:footnoteReference w:id="740"/>
      </w:r>
      <w:r>
        <w:t xml:space="preserve"> </w:t>
      </w:r>
      <w:r>
        <w:t xml:space="preserve">Microsoft recommends HTTP rather than HTTPS for the CRL, to minimize latency and avoid a circular dependency on certificate validation.</w:t>
      </w:r>
      <w:r>
        <w:rPr>
          <w:rStyle w:val="FootnoteReference"/>
        </w:rPr>
        <w:footnoteReference w:id="741"/>
      </w:r>
    </w:p>
    <w:p>
      <w:pPr>
        <w:pStyle w:val="Compact"/>
        <w:numPr>
          <w:ilvl w:val="0"/>
          <w:numId w:val="1051"/>
        </w:numPr>
      </w:pPr>
      <w:r>
        <w:t xml:space="preserve">The largest CRL Entra ID downloads during an interactive sign-in is 20 MB in public Microsoft Entra ID and 45 MB in the Azure US Government clouds, and the download must finish within 10 seconds. If Entra can’t download the CRL, CBA fails for every certificate that CA issued.</w:t>
      </w:r>
      <w:r>
        <w:rPr>
          <w:rStyle w:val="FootnoteReference"/>
        </w:rPr>
        <w:footnoteReference w:id="742"/>
      </w:r>
      <w:r>
        <w:t xml:space="preserve"> </w:t>
      </w:r>
      <w:r>
        <w:t xml:space="preserve">Keep lifetimes reasonable and clean up expired certificates so that CRLs stay inside those limits.</w:t>
      </w:r>
      <w:r>
        <w:rPr>
          <w:rStyle w:val="FootnoteReference"/>
        </w:rPr>
        <w:footnoteReference w:id="743"/>
      </w:r>
    </w:p>
    <w:p>
      <w:pPr>
        <w:pStyle w:val="Compact"/>
        <w:numPr>
          <w:ilvl w:val="0"/>
          <w:numId w:val="1051"/>
        </w:numPr>
      </w:pPr>
      <w:r>
        <w:t xml:space="preserve">If a CA is uploaded without a CRL URL, authentication with that CA’s revoked certificates doesn’t fail.</w:t>
      </w:r>
      <w:r>
        <w:rPr>
          <w:rStyle w:val="FootnoteReference"/>
        </w:rPr>
        <w:footnoteReference w:id="744"/>
      </w:r>
    </w:p>
    <w:p>
      <w:pPr>
        <w:pStyle w:val="FirstParagraph"/>
      </w:pPr>
      <w:r>
        <w:t xml:space="preserve">Cloud PKI hosts its own CRLs. Each CRL is valid for seven days, republished every 3.5 days, and updated with every revocation.</w:t>
      </w:r>
      <w:r>
        <w:rPr>
          <w:rStyle w:val="FootnoteReference"/>
        </w:rPr>
        <w:footnoteReference w:id="745"/>
      </w:r>
      <w:r>
        <w:t xml:space="preserve"> </w:t>
      </w:r>
      <w:r>
        <w:t xml:space="preserve">One Cloud PKI trap belongs in every runbook. If you revoke a certificate by hand while the user or device still has an active SCEP profile assignment, the device requests and gets a new certificate at its next check-in. Remove the SCEP assignments first.</w:t>
      </w:r>
      <w:r>
        <w:rPr>
          <w:rStyle w:val="FootnoteReference"/>
        </w:rPr>
        <w:footnoteReference w:id="746"/>
      </w:r>
    </w:p>
    <w:bookmarkEnd w:id="748"/>
    <w:bookmarkEnd w:id="749"/>
    <w:bookmarkStart w:id="761" w:name="monitoring"/>
    <w:p>
      <w:pPr>
        <w:pStyle w:val="Heading2"/>
      </w:pPr>
      <w:bookmarkStart w:id="1007" w:name="_Toc00001007"/>
      <w:r>
        <w:t xml:space="preserve">Monitoring</w:t>
      </w:r>
      <w:bookmarkEnd w:id="1007"/>
    </w:p>
    <w:p>
      <w:pPr>
        <w:pStyle w:val="FirstParagraph"/>
      </w:pPr>
      <w:r>
        <w:t xml:space="preserve">Each part of the estate reports in a different place. The program collects these signals into one view, and security operations owns the alerts (Chapter 05).</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w:t>
            </w:r>
          </w:p>
        </w:tc>
        <w:tc>
          <w:tcPr/>
          <w:p>
            <w:pPr>
              <w:pStyle w:val="Compact"/>
            </w:pPr>
            <w:r>
              <w:t xml:space="preserve">What it shows</w:t>
            </w:r>
          </w:p>
        </w:tc>
        <w:tc>
          <w:tcPr/>
          <w:p>
            <w:pPr>
              <w:pStyle w:val="Compact"/>
            </w:pPr>
            <w:r>
              <w:t xml:space="preserve">Where</w:t>
            </w:r>
          </w:p>
        </w:tc>
      </w:tr>
      <w:tr>
        <w:tc>
          <w:tcPr/>
          <w:p>
            <w:pPr>
              <w:pStyle w:val="Compact"/>
            </w:pPr>
            <w:r>
              <w:t xml:space="preserve">Intune certificates report</w:t>
            </w:r>
          </w:p>
        </w:tc>
        <w:tc>
          <w:tcPr/>
          <w:p>
            <w:pPr>
              <w:pStyle w:val="Compact"/>
            </w:pPr>
            <w:r>
              <w:t xml:space="preserve">Certificates on managed devices, with thumbprints, issuance details and status</w:t>
            </w:r>
            <w:r>
              <w:rPr>
                <w:rStyle w:val="FootnoteReference"/>
              </w:rPr>
              <w:footnoteReference w:id="750"/>
            </w:r>
          </w:p>
        </w:tc>
        <w:tc>
          <w:tcPr/>
          <w:p>
            <w:pPr>
              <w:pStyle w:val="Compact"/>
            </w:pPr>
            <w:r>
              <w:rPr>
                <w:b/>
                <w:bCs/>
              </w:rPr>
              <w:t xml:space="preserve">Devices</w:t>
            </w:r>
            <w:r>
              <w:t xml:space="preserve"> </w:t>
            </w:r>
            <w:r>
              <w:t xml:space="preserve">&gt;</w:t>
            </w:r>
            <w:r>
              <w:t xml:space="preserve"> </w:t>
            </w:r>
            <w:r>
              <w:rPr>
                <w:b/>
                <w:bCs/>
              </w:rPr>
              <w:t xml:space="preserve">Monitor</w:t>
            </w:r>
            <w:r>
              <w:t xml:space="preserve"> </w:t>
            </w:r>
            <w:r>
              <w:t xml:space="preserve">&gt;</w:t>
            </w:r>
            <w:r>
              <w:t xml:space="preserve"> </w:t>
            </w:r>
            <w:r>
              <w:rPr>
                <w:b/>
                <w:bCs/>
              </w:rPr>
              <w:t xml:space="preserve">Certificates</w:t>
            </w:r>
          </w:p>
        </w:tc>
      </w:tr>
      <w:tr>
        <w:tc>
          <w:tcPr/>
          <w:p>
            <w:pPr>
              <w:pStyle w:val="Compact"/>
            </w:pPr>
            <w:r>
              <w:t xml:space="preserve">Cloud PKI CA dashboard</w:t>
            </w:r>
          </w:p>
        </w:tc>
        <w:tc>
          <w:tcPr/>
          <w:p>
            <w:pPr>
              <w:pStyle w:val="Compact"/>
            </w:pPr>
            <w:r>
              <w:t xml:space="preserve">Active, expired, revoked and total issued certificates per issuing CA. Report details can take up to 24 hours to appear.</w:t>
            </w:r>
            <w:r>
              <w:rPr>
                <w:rStyle w:val="FootnoteReference"/>
              </w:rPr>
              <w:footnoteReference w:id="752"/>
            </w:r>
          </w:p>
        </w:tc>
        <w:tc>
          <w:tcPr/>
          <w:p>
            <w:pPr>
              <w:pStyle w:val="Compact"/>
            </w:pPr>
            <w:r>
              <w:t xml:space="preserve">Each Cloud PKI issuing CA in the Intune admin center</w:t>
            </w:r>
          </w:p>
        </w:tc>
      </w:tr>
      <w:tr>
        <w:tc>
          <w:tcPr/>
          <w:p>
            <w:pPr>
              <w:pStyle w:val="Compact"/>
            </w:pPr>
            <w:r>
              <w:t xml:space="preserve">Certificate Connector for Microsoft Intune</w:t>
            </w:r>
          </w:p>
        </w:tc>
        <w:tc>
          <w:tcPr/>
          <w:p>
            <w:pPr>
              <w:pStyle w:val="Compact"/>
            </w:pPr>
            <w:r>
              <w:t xml:space="preserve">Admin and Operational event logs. Event ID ranges: 1000–1999 PKCS, 3000–3999 revoke, 4000–4999 SCEP, 5000–5999 connector health. The admin center shows a warning for deprecated connector versions and an error after the grace period.</w:t>
            </w:r>
            <w:r>
              <w:rPr>
                <w:rStyle w:val="FootnoteReference"/>
              </w:rPr>
              <w:footnoteReference w:id="753"/>
            </w:r>
          </w:p>
        </w:tc>
        <w:tc>
          <w:tcPr/>
          <w:p>
            <w:pPr>
              <w:pStyle w:val="Compact"/>
            </w:pPr>
            <w:r>
              <w:t xml:space="preserve">Event Viewer on the connector server;</w:t>
            </w:r>
            <w:r>
              <w:t xml:space="preserve"> </w:t>
            </w:r>
            <w:r>
              <w:rPr>
                <w:b/>
                <w:bCs/>
              </w:rPr>
              <w:t xml:space="preserve">Tenant administration</w:t>
            </w:r>
            <w:r>
              <w:t xml:space="preserve"> </w:t>
            </w:r>
            <w:r>
              <w:t xml:space="preserve">&gt;</w:t>
            </w:r>
            <w:r>
              <w:t xml:space="preserve"> </w:t>
            </w:r>
            <w:r>
              <w:rPr>
                <w:b/>
                <w:bCs/>
              </w:rPr>
              <w:t xml:space="preserve">Connectors and tokens</w:t>
            </w:r>
            <w:r>
              <w:t xml:space="preserve"> </w:t>
            </w:r>
            <w:r>
              <w:t xml:space="preserve">&gt;</w:t>
            </w:r>
            <w:r>
              <w:t xml:space="preserve"> </w:t>
            </w:r>
            <w:r>
              <w:rPr>
                <w:b/>
                <w:bCs/>
              </w:rPr>
              <w:t xml:space="preserve">Certificate connectors</w:t>
            </w:r>
          </w:p>
        </w:tc>
      </w:tr>
      <w:tr>
        <w:tc>
          <w:tcPr/>
          <w:p>
            <w:pPr>
              <w:pStyle w:val="Compact"/>
            </w:pPr>
            <w:r>
              <w:t xml:space="preserve">AD CS audit events</w:t>
            </w:r>
          </w:p>
        </w:tc>
        <w:tc>
          <w:tcPr/>
          <w:p>
            <w:pPr>
              <w:pStyle w:val="Compact"/>
            </w:pPr>
            <w:r>
              <w:t xml:space="preserve">Requests received (4886), issued (4887) and denied (4888); revocations (4870); permission, audit-filter, certificate-manager and CA property changes (4882, 4885, 4890, 4892); database row deletion (4896); role separation (4897); CRL publication requests and publications (4871, 4872)</w:t>
            </w:r>
            <w:r>
              <w:rPr>
                <w:rStyle w:val="FootnoteReference"/>
              </w:rPr>
              <w:footnoteReference w:id="754"/>
            </w:r>
          </w:p>
        </w:tc>
        <w:tc>
          <w:tcPr/>
          <w:p>
            <w:pPr>
              <w:pStyle w:val="Compact"/>
            </w:pPr>
            <w:r>
              <w:t xml:space="preserve">CA Security log, forwarded to the collector</w:t>
            </w:r>
          </w:p>
        </w:tc>
      </w:tr>
      <w:tr>
        <w:tc>
          <w:tcPr/>
          <w:p>
            <w:pPr>
              <w:pStyle w:val="Compact"/>
            </w:pPr>
            <w:r>
              <w:t xml:space="preserve">Enterprise PKI (PKIView)</w:t>
            </w:r>
          </w:p>
        </w:tc>
        <w:tc>
          <w:tcPr/>
          <w:p>
            <w:pPr>
              <w:pStyle w:val="Compact"/>
            </w:pPr>
            <w:r>
              <w:t xml:space="preserve">CA certificate and CRL validity and approaching expiration</w:t>
            </w:r>
            <w:r>
              <w:rPr>
                <w:rStyle w:val="FootnoteReference"/>
              </w:rPr>
              <w:footnoteReference w:id="755"/>
            </w:r>
          </w:p>
        </w:tc>
        <w:tc>
          <w:tcPr/>
          <w:p>
            <w:pPr>
              <w:pStyle w:val="Compact"/>
            </w:pPr>
            <w:r>
              <w:t xml:space="preserve">AD CS management tools</w:t>
            </w:r>
          </w:p>
        </w:tc>
      </w:tr>
      <w:tr>
        <w:tc>
          <w:tcPr/>
          <w:p>
            <w:pPr>
              <w:pStyle w:val="Compact"/>
            </w:pPr>
            <w:r>
              <w:t xml:space="preserve">Entra sign-in and audit logs</w:t>
            </w:r>
          </w:p>
        </w:tc>
        <w:tc>
          <w:tcPr/>
          <w:p>
            <w:pPr>
              <w:pStyle w:val="Compact"/>
            </w:pPr>
            <w:r>
              <w:t xml:space="preserve">CBA results and failure reasons, whether the classic trust store was used (</w:t>
            </w:r>
            <w:r>
              <w:rPr>
                <w:b/>
                <w:bCs/>
              </w:rPr>
              <w:t xml:space="preserve">Is Legacy Store Used</w:t>
            </w:r>
            <w:r>
              <w:t xml:space="preserve">), and every create, update and delete on the PKI-based trust store</w:t>
            </w:r>
            <w:r>
              <w:rPr>
                <w:rStyle w:val="FootnoteReference"/>
              </w:rPr>
              <w:footnoteReference w:id="756"/>
            </w:r>
          </w:p>
        </w:tc>
        <w:tc>
          <w:tcPr/>
          <w:p>
            <w:pPr>
              <w:pStyle w:val="Compact"/>
            </w:pPr>
            <w:r>
              <w:t xml:space="preserve">Microsoft Entra admin center</w:t>
            </w:r>
          </w:p>
        </w:tc>
      </w:tr>
      <w:tr>
        <w:tc>
          <w:tcPr/>
          <w:p>
            <w:pPr>
              <w:pStyle w:val="Compact"/>
            </w:pPr>
            <w:r>
              <w:t xml:space="preserve">Microsoft Defender for Identity</w:t>
            </w:r>
          </w:p>
        </w:tc>
        <w:tc>
          <w:tcPr/>
          <w:p>
            <w:pPr>
              <w:pStyle w:val="Compact"/>
            </w:pPr>
            <w:r>
              <w:t xml:space="preserve">AD CS posture assessments in Secure Score, including ESC1–ESC4, ESC6–ESC8, ESC11 and ESC15. CA-level assessments need a sensor on the AD CS server.</w:t>
            </w:r>
            <w:r>
              <w:rPr>
                <w:rStyle w:val="FootnoteReference"/>
              </w:rPr>
              <w:footnoteReference w:id="757"/>
            </w:r>
          </w:p>
        </w:tc>
        <w:tc>
          <w:tcPr/>
          <w:p>
            <w:pPr>
              <w:pStyle w:val="Compact"/>
            </w:pPr>
            <w:r>
              <w:t xml:space="preserve">Microsoft Defender portal, Secure Score</w:t>
            </w:r>
          </w:p>
        </w:tc>
      </w:tr>
      <w:tr>
        <w:tc>
          <w:tcPr/>
          <w:p>
            <w:pPr>
              <w:pStyle w:val="Compact"/>
            </w:pPr>
            <w:r>
              <w:t xml:space="preserve">CyberArk Certificate Manager</w:t>
            </w:r>
          </w:p>
        </w:tc>
        <w:tc>
          <w:tcPr/>
          <w:p>
            <w:pPr>
              <w:pStyle w:val="Compact"/>
            </w:pPr>
            <w:r>
              <w:t xml:space="preserve">Discovered certificates, owners, expiry and renewal status</w:t>
            </w:r>
            <w:r>
              <w:rPr>
                <w:rStyle w:val="FootnoteReference"/>
              </w:rPr>
              <w:footnoteReference w:id="758"/>
            </w:r>
          </w:p>
        </w:tc>
        <w:tc>
          <w:tcPr/>
          <w:p>
            <w:pPr>
              <w:pStyle w:val="Compact"/>
            </w:pPr>
            <w:r>
              <w:t xml:space="preserve">The CLM platform</w:t>
            </w:r>
          </w:p>
        </w:tc>
      </w:tr>
    </w:tbl>
    <w:p>
      <w:pPr>
        <w:pStyle w:val="BodyText"/>
      </w:pPr>
      <w:r>
        <w:t xml:space="preserve">Auditing on AD CS needs two settings. The CA audit filter selects which CA operations are audited. The</w:t>
      </w:r>
      <w:r>
        <w:t xml:space="preserve"> </w:t>
      </w:r>
      <w:r>
        <w:rPr>
          <w:b/>
          <w:bCs/>
        </w:rPr>
        <w:t xml:space="preserve">Audit Certification Services</w:t>
      </w:r>
      <w:r>
        <w:t xml:space="preserve"> </w:t>
      </w:r>
      <w:r>
        <w:t xml:space="preserve">advanced audit subcategory makes the operating system generate the events. Neither works without the other.</w:t>
      </w:r>
      <w:r>
        <w:rPr>
          <w:rStyle w:val="FootnoteReference"/>
        </w:rPr>
        <w:footnoteReference w:id="759"/>
      </w:r>
      <w:r>
        <w:t xml:space="preserve"> </w:t>
      </w:r>
      <w:r>
        <w:t xml:space="preserve">Size the local Security log so that a collector outage can’t overwrite CA audit evidence before it’s collected.</w:t>
      </w:r>
      <w:r>
        <w:rPr>
          <w:rStyle w:val="FootnoteReference"/>
        </w:rPr>
        <w:footnoteReference w:id="760"/>
      </w:r>
      <w:r>
        <w:t xml:space="preserve"> </w:t>
      </w:r>
      <w:r>
        <w:t xml:space="preserve">Chapter 03 covers the CA hardening that these events confirm.</w:t>
      </w:r>
    </w:p>
    <w:bookmarkEnd w:id="761"/>
    <w:bookmarkStart w:id="775" w:name="compliance-and-drift-detection"/>
    <w:p>
      <w:pPr>
        <w:pStyle w:val="Heading2"/>
      </w:pPr>
      <w:bookmarkStart w:id="1008" w:name="_Toc00001008"/>
      <w:r>
        <w:t xml:space="preserve">Compliance and drift detection</w:t>
      </w:r>
      <w:bookmarkEnd w:id="1008"/>
    </w:p>
    <w:bookmarkStart w:id="764" w:name="Xd77bdc07ed2c0c5fa506bb89e2edf1c855ae98a"/>
    <w:p>
      <w:pPr>
        <w:pStyle w:val="Heading3"/>
      </w:pPr>
      <w:r>
        <w:t xml:space="preserve">Certificate presence as a compliance condition</w:t>
      </w:r>
    </w:p>
    <w:p>
      <w:pPr>
        <w:pStyle w:val="FirstParagraph"/>
      </w:pPr>
      <w:r>
        <w:t xml:space="preserve">Intune can include custom settings in a device compliance policy, using a PowerShell discovery script on Windows, or a shell script on macOS and Linux, together with a JSON file that defines the compliant values. Custom results count toward Conditional Access decisions the same way built-in settings do. On Windows, the scripts run every eight hours.</w:t>
      </w:r>
      <w:r>
        <w:rPr>
          <w:rStyle w:val="FootnoteReference"/>
        </w:rPr>
        <w:footnoteReference w:id="762"/>
      </w:r>
      <w:r>
        <w:t xml:space="preserve"> </w:t>
      </w:r>
      <w:r>
        <w:t xml:space="preserve">A discovery script can check that a device holds an unexpired certificate from the expected issuer with the expected EKU. The program uses that check carefully. Making certificate presence a compliance condition turns a failed renewal into lost access, so the grace period is a security-office decision, as in Book 05, Chapter 06.</w:t>
      </w:r>
    </w:p>
    <w:p>
      <w:pPr>
        <w:pStyle w:val="BodyText"/>
      </w:pPr>
      <w:r>
        <w:t xml:space="preserve">The source guide’s PowerShell health and compliance functions aren’t reproduced here. They stay in the archive with the guide’s assessment module until they’ve had a technical review. Their strong-mapping check looked only for the SID tag in the subject alternative name. It would have flagged AD CS-issued certificates that carry the SID in the certificate extension that AD CS adds instead, which is why the table below lists both forms.</w:t>
      </w:r>
    </w:p>
    <w:bookmarkEnd w:id="764"/>
    <w:bookmarkStart w:id="773" w:name="drift-patterns"/>
    <w:p>
      <w:pPr>
        <w:pStyle w:val="Heading3"/>
      </w:pPr>
      <w:r>
        <w:t xml:space="preserve">Drift patterns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Drift</w:t>
            </w:r>
          </w:p>
        </w:tc>
        <w:tc>
          <w:tcPr/>
          <w:p>
            <w:pPr>
              <w:pStyle w:val="Compact"/>
            </w:pPr>
            <w:r>
              <w:t xml:space="preserve">What it means</w:t>
            </w:r>
          </w:p>
        </w:tc>
        <w:tc>
          <w:tcPr/>
          <w:p>
            <w:pPr>
              <w:pStyle w:val="Compact"/>
            </w:pPr>
            <w:r>
              <w:t xml:space="preserve">How to detect it</w:t>
            </w:r>
          </w:p>
        </w:tc>
        <w:tc>
          <w:tcPr/>
          <w:p>
            <w:pPr>
              <w:pStyle w:val="Compact"/>
            </w:pPr>
            <w:r>
              <w:t xml:space="preserve">Response</w:t>
            </w:r>
          </w:p>
        </w:tc>
      </w:tr>
      <w:tr>
        <w:tc>
          <w:tcPr/>
          <w:p>
            <w:pPr>
              <w:pStyle w:val="Compact"/>
            </w:pPr>
            <w:r>
              <w:t xml:space="preserve">Expiring with no renewal path</w:t>
            </w:r>
          </w:p>
        </w:tc>
        <w:tc>
          <w:tcPr/>
          <w:p>
            <w:pPr>
              <w:pStyle w:val="Compact"/>
            </w:pPr>
            <w:r>
              <w:t xml:space="preserve">A certificate within two renewal windows of expiry with no renewal engine bound to it</w:t>
            </w:r>
          </w:p>
        </w:tc>
        <w:tc>
          <w:tcPr/>
          <w:p>
            <w:pPr>
              <w:pStyle w:val="Compact"/>
            </w:pPr>
            <w:r>
              <w:t xml:space="preserve">CLM inventory; Intune certificates report</w:t>
            </w:r>
          </w:p>
        </w:tc>
        <w:tc>
          <w:tcPr/>
          <w:p>
            <w:pPr>
              <w:pStyle w:val="Compact"/>
            </w:pPr>
            <w:r>
              <w:t xml:space="preserve">Assign the class owner and bind the certificate to an engine. Reissue if it’s too late.</w:t>
            </w:r>
          </w:p>
        </w:tc>
      </w:tr>
      <w:tr>
        <w:tc>
          <w:tcPr/>
          <w:p>
            <w:pPr>
              <w:pStyle w:val="Compact"/>
            </w:pPr>
            <w:r>
              <w:t xml:space="preserve">AD CS certificate on a migrated device</w:t>
            </w:r>
          </w:p>
        </w:tc>
        <w:tc>
          <w:tcPr/>
          <w:p>
            <w:pPr>
              <w:pStyle w:val="Compact"/>
            </w:pPr>
            <w:r>
              <w:t xml:space="preserve">A device still holds an AD CS certificate for a use case that moved to Cloud PKI</w:t>
            </w:r>
          </w:p>
        </w:tc>
        <w:tc>
          <w:tcPr/>
          <w:p>
            <w:pPr>
              <w:pStyle w:val="Compact"/>
            </w:pPr>
            <w:r>
              <w:t xml:space="preserve">Compare the issuer with the Cloud PKI CA distinguished name</w:t>
            </w:r>
          </w:p>
        </w:tc>
        <w:tc>
          <w:tcPr/>
          <w:p>
            <w:pPr>
              <w:pStyle w:val="Compact"/>
            </w:pPr>
            <w:r>
              <w:t xml:space="preserve">Expected during coexistence until the old certificate expires. Drift once AD CS autoenrollment is unlinked (Chapter 07).</w:t>
            </w:r>
          </w:p>
        </w:tc>
      </w:tr>
      <w:tr>
        <w:tc>
          <w:tcPr/>
          <w:p>
            <w:pPr>
              <w:pStyle w:val="Compact"/>
            </w:pPr>
            <w:r>
              <w:t xml:space="preserve">Issuance outside policy</w:t>
            </w:r>
          </w:p>
        </w:tc>
        <w:tc>
          <w:tcPr/>
          <w:p>
            <w:pPr>
              <w:pStyle w:val="Compact"/>
            </w:pPr>
            <w:r>
              <w:t xml:space="preserve">A certificate issued from a template that should be disabled, or by an unexpected CA</w:t>
            </w:r>
          </w:p>
        </w:tc>
        <w:tc>
          <w:tcPr/>
          <w:p>
            <w:pPr>
              <w:pStyle w:val="Compact"/>
            </w:pPr>
            <w:r>
              <w:t xml:space="preserve">Event 4887 for retired templates; changes to the NTAuthCertificates store; CLM discovery of certificates with no enrollment record</w:t>
            </w:r>
          </w:p>
        </w:tc>
        <w:tc>
          <w:tcPr/>
          <w:p>
            <w:pPr>
              <w:pStyle w:val="Compact"/>
            </w:pPr>
            <w:r>
              <w:t xml:space="preserve">Investigate the CA and requester. Revoke unauthorized certificates with the correct reason.</w:t>
            </w:r>
          </w:p>
        </w:tc>
      </w:tr>
      <w:tr>
        <w:tc>
          <w:tcPr/>
          <w:p>
            <w:pPr>
              <w:pStyle w:val="Compact"/>
            </w:pPr>
            <w:r>
              <w:t xml:space="preserve">Missing strong mapping</w:t>
            </w:r>
          </w:p>
        </w:tc>
        <w:tc>
          <w:tcPr/>
          <w:p>
            <w:pPr>
              <w:pStyle w:val="Compact"/>
            </w:pPr>
            <w:r>
              <w:t xml:space="preserve">A certificate used for Kerberos authentication without the SID, which domain controllers in Full Enforcement reject</w:t>
            </w:r>
          </w:p>
        </w:tc>
        <w:tc>
          <w:tcPr/>
          <w:p>
            <w:pPr>
              <w:pStyle w:val="Compact"/>
            </w:pPr>
            <w:r>
              <w:t xml:space="preserve">No SID extension (OID 1.3.6.1.4.1.311.25.2) and no</w:t>
            </w:r>
            <w:r>
              <w:t xml:space="preserve"> </w:t>
            </w:r>
            <w:r>
              <w:rPr>
                <w:rStyle w:val="VerbatimChar"/>
              </w:rPr>
              <w:t xml:space="preserve">tag:microsoft.com,2022-09-14:sid:</w:t>
            </w:r>
            <w:r>
              <w:t xml:space="preserve"> </w:t>
            </w:r>
            <w:r>
              <w:t xml:space="preserve">URL in the SAN; KDC event 39</w:t>
            </w:r>
          </w:p>
        </w:tc>
        <w:tc>
          <w:tcPr/>
          <w:p>
            <w:pPr>
              <w:pStyle w:val="Compact"/>
            </w:pPr>
            <w:r>
              <w:t xml:space="preserve">Add the</w:t>
            </w:r>
            <w:r>
              <w:t xml:space="preserve"> </w:t>
            </w:r>
            <w:r>
              <w:rPr>
                <w:rStyle w:val="VerbatimChar"/>
              </w:rPr>
              <w:t xml:space="preserve">OnPremisesSecurityIdentifier</w:t>
            </w:r>
            <w:r>
              <w:t xml:space="preserve"> </w:t>
            </w:r>
            <w:r>
              <w:t xml:space="preserve">URL to SCEP profiles, update the connector for PKCS, and reissue</w:t>
            </w:r>
            <w:r>
              <w:rPr>
                <w:rStyle w:val="FootnoteReference"/>
              </w:rPr>
              <w:footnoteReference w:id="765"/>
            </w:r>
            <w:r>
              <w:rPr>
                <w:rStyle w:val="FootnoteReference"/>
              </w:rPr>
              <w:footnoteReference w:id="767"/>
            </w:r>
            <w:r>
              <w:rPr>
                <w:rStyle w:val="FootnoteReference"/>
              </w:rPr>
              <w:footnoteReference w:id="768"/>
            </w:r>
          </w:p>
        </w:tc>
      </w:tr>
      <w:tr>
        <w:tc>
          <w:tcPr/>
          <w:p>
            <w:pPr>
              <w:pStyle w:val="Compact"/>
            </w:pPr>
            <w:r>
              <w:t xml:space="preserve">Trust store drift</w:t>
            </w:r>
          </w:p>
        </w:tc>
        <w:tc>
          <w:tcPr/>
          <w:p>
            <w:pPr>
              <w:pStyle w:val="Compact"/>
            </w:pPr>
            <w:r>
              <w:t xml:space="preserve">A trust store holds an anchor that isn’t on the approved list, which is an SC-17(b) finding</w:t>
            </w:r>
          </w:p>
        </w:tc>
        <w:tc>
          <w:tcPr/>
          <w:p>
            <w:pPr>
              <w:pStyle w:val="Compact"/>
            </w:pPr>
            <w:r>
              <w:t xml:space="preserve">Entra audit log for trust store changes;</w:t>
            </w:r>
            <w:r>
              <w:t xml:space="preserve"> </w:t>
            </w:r>
            <w:r>
              <w:rPr>
                <w:b/>
                <w:bCs/>
              </w:rPr>
              <w:t xml:space="preserve">Is Legacy Store Used</w:t>
            </w:r>
            <w:r>
              <w:t xml:space="preserve"> </w:t>
            </w:r>
            <w:r>
              <w:t xml:space="preserve">in sign-in logs; review of Intune trusted certificate profiles and Group Policy-published roots</w:t>
            </w:r>
          </w:p>
        </w:tc>
        <w:tc>
          <w:tcPr/>
          <w:p>
            <w:pPr>
              <w:pStyle w:val="Compact"/>
            </w:pPr>
            <w:r>
              <w:t xml:space="preserve">Remove unapproved anchors. Retire the classic store after the sign-in logs show it’s no longer used.</w:t>
            </w:r>
            <w:r>
              <w:rPr>
                <w:rStyle w:val="FootnoteReference"/>
              </w:rPr>
              <w:footnoteReference w:id="769"/>
            </w:r>
          </w:p>
        </w:tc>
      </w:tr>
      <w:tr>
        <w:tc>
          <w:tcPr/>
          <w:p>
            <w:pPr>
              <w:pStyle w:val="Compact"/>
            </w:pPr>
            <w:r>
              <w:t xml:space="preserve">CRL near its next update, or an endpoint serving a stale CRL</w:t>
            </w:r>
          </w:p>
        </w:tc>
        <w:tc>
          <w:tcPr/>
          <w:p>
            <w:pPr>
              <w:pStyle w:val="Compact"/>
            </w:pPr>
            <w:r>
              <w:t xml:space="preserve">Revocation checking is about to fail, or is silently out of date</w:t>
            </w:r>
          </w:p>
        </w:tc>
        <w:tc>
          <w:tcPr/>
          <w:p>
            <w:pPr>
              <w:pStyle w:val="Compact"/>
            </w:pPr>
            <w:r>
              <w:t xml:space="preserve">PKIView warnings; endpoint freshness checks; AADSTS220501 in sign-in logs</w:t>
            </w:r>
          </w:p>
        </w:tc>
        <w:tc>
          <w:tcPr/>
          <w:p>
            <w:pPr>
              <w:pStyle w:val="Compact"/>
            </w:pPr>
            <w:r>
              <w:t xml:space="preserve">Publish and verify delivery. Bring an offline CA online if it’s the issuer.</w:t>
            </w:r>
          </w:p>
        </w:tc>
      </w:tr>
      <w:tr>
        <w:tc>
          <w:tcPr/>
          <w:p>
            <w:pPr>
              <w:pStyle w:val="Compact"/>
            </w:pPr>
            <w:r>
              <w:t xml:space="preserve">AD CS posture regression</w:t>
            </w:r>
          </w:p>
        </w:tc>
        <w:tc>
          <w:tcPr/>
          <w:p>
            <w:pPr>
              <w:pStyle w:val="Compact"/>
            </w:pPr>
            <w:r>
              <w:t xml:space="preserve">A template or CA setting that was remediated has come back</w:t>
            </w:r>
          </w:p>
        </w:tc>
        <w:tc>
          <w:tcPr/>
          <w:p>
            <w:pPr>
              <w:pStyle w:val="Compact"/>
            </w:pPr>
            <w:r>
              <w:t xml:space="preserve">Defender for Identity recommendations reopening</w:t>
            </w:r>
          </w:p>
        </w:tc>
        <w:tc>
          <w:tcPr/>
          <w:p>
            <w:pPr>
              <w:pStyle w:val="Compact"/>
            </w:pPr>
            <w:r>
              <w:t xml:space="preserve">Re-remediate through Chapter 03. Find the change through events 4882 and 4892.</w:t>
            </w:r>
          </w:p>
        </w:tc>
      </w:tr>
      <w:tr>
        <w:tc>
          <w:tcPr/>
          <w:p>
            <w:pPr>
              <w:pStyle w:val="Compact"/>
            </w:pPr>
            <w:r>
              <w:t xml:space="preserve">Orphaned profile</w:t>
            </w:r>
          </w:p>
        </w:tc>
        <w:tc>
          <w:tcPr/>
          <w:p>
            <w:pPr>
              <w:pStyle w:val="Compact"/>
            </w:pPr>
            <w:r>
              <w:t xml:space="preserve">A certificate profile assigned to an empty group</w:t>
            </w:r>
          </w:p>
        </w:tc>
        <w:tc>
          <w:tcPr/>
          <w:p>
            <w:pPr>
              <w:pStyle w:val="Compact"/>
            </w:pPr>
            <w:r>
              <w:t xml:space="preserve">Intune assignment review</w:t>
            </w:r>
          </w:p>
        </w:tc>
        <w:tc>
          <w:tcPr/>
          <w:p>
            <w:pPr>
              <w:pStyle w:val="Compact"/>
            </w:pPr>
            <w:r>
              <w:t xml:space="preserve">Remove or reassign the profile</w:t>
            </w:r>
          </w:p>
        </w:tc>
      </w:tr>
      <w:tr>
        <w:tc>
          <w:tcPr/>
          <w:p>
            <w:pPr>
              <w:pStyle w:val="Compact"/>
            </w:pPr>
            <w:r>
              <w:t xml:space="preserve">Unsupported connector</w:t>
            </w:r>
          </w:p>
        </w:tc>
        <w:tc>
          <w:tcPr/>
          <w:p>
            <w:pPr>
              <w:pStyle w:val="Compact"/>
            </w:pPr>
            <w:r>
              <w:t xml:space="preserve">A connector version past its support window</w:t>
            </w:r>
          </w:p>
        </w:tc>
        <w:tc>
          <w:tcPr/>
          <w:p>
            <w:pPr>
              <w:pStyle w:val="Compact"/>
            </w:pPr>
            <w:r>
              <w:t xml:space="preserve">Connector status shows Warning or Error</w:t>
            </w:r>
          </w:p>
        </w:tc>
        <w:tc>
          <w:tcPr/>
          <w:p>
            <w:pPr>
              <w:pStyle w:val="Compact"/>
            </w:pPr>
            <w:r>
              <w:t xml:space="preserve">Restore automatic update, or update manually</w:t>
            </w:r>
            <w:r>
              <w:rPr>
                <w:rStyle w:val="FootnoteReference"/>
              </w:rPr>
              <w:footnoteReference w:id="770"/>
            </w:r>
          </w:p>
        </w:tc>
      </w:tr>
    </w:tbl>
    <w:p>
      <w:pPr>
        <w:pStyle w:val="BodyText"/>
      </w:pPr>
      <w:r>
        <w:t xml:space="preserve">Since the February 2025 Windows security update, domain controllers that weren’t already set to a specific mode run in Full Enforcement and deny authentication for certificates that can’t be strongly mapped. The option to return to Compatibility mode ended with the September 9, 2025 update, after which the</w:t>
      </w:r>
      <w:r>
        <w:t xml:space="preserve"> </w:t>
      </w:r>
      <w:r>
        <w:rPr>
          <w:rStyle w:val="VerbatimChar"/>
        </w:rPr>
        <w:t xml:space="preserve">StrongCertificateBindingEnforcement</w:t>
      </w:r>
      <w:r>
        <w:t xml:space="preserve"> </w:t>
      </w:r>
      <w:r>
        <w:t xml:space="preserve">registry key is no longer supported.</w:t>
      </w:r>
      <w:r>
        <w:rPr>
          <w:rStyle w:val="FootnoteReference"/>
        </w:rPr>
        <w:footnoteReference w:id="771"/>
      </w:r>
      <w:r>
        <w:t xml:space="preserve"> </w:t>
      </w:r>
      <w:r>
        <w:t xml:space="preserve">KDC event 39 means a certificate couldn’t be strongly mapped and has no SID extension. Event 41 means the SID in the certificate doesn’t match the account, which can mean the certificate was issued to a different user. Treat 41 as a security event, not a configuration error.</w:t>
      </w:r>
      <w:r>
        <w:rPr>
          <w:rStyle w:val="FootnoteReference"/>
        </w:rPr>
        <w:footnoteReference w:id="772"/>
      </w:r>
    </w:p>
    <w:bookmarkEnd w:id="773"/>
    <w:bookmarkStart w:id="774" w:name="persisting-the-evidence"/>
    <w:p>
      <w:pPr>
        <w:pStyle w:val="Heading3"/>
      </w:pPr>
      <w:r>
        <w:t xml:space="preserve">Persisting the evidence</w:t>
      </w:r>
    </w:p>
    <w:p>
      <w:pPr>
        <w:pStyle w:val="FirstParagraph"/>
      </w:pPr>
      <w:r>
        <w:t xml:space="preserve">In the program’s model, the drift checks run on a schedule, at least weekly, and their outputs are committed to the program’s evidence repository under</w:t>
      </w:r>
      <w:r>
        <w:t xml:space="preserve"> </w:t>
      </w:r>
      <w:r>
        <w:rPr>
          <w:rStyle w:val="VerbatimChar"/>
        </w:rPr>
        <w:t xml:space="preserve">assessments/pki/{domain}/{timestamp}/</w:t>
      </w:r>
      <w:r>
        <w:t xml:space="preserve">. The outputs are the CA and template inventory, the posture findings, certificate health and the compliance results. History matters more than any single run. An assessor asks how long a finding stayed open, not only whether it’s open now.</w:t>
      </w:r>
    </w:p>
    <w:bookmarkEnd w:id="774"/>
    <w:bookmarkEnd w:id="775"/>
    <w:bookmarkStart w:id="797" w:name="troubleshooting-reference"/>
    <w:p>
      <w:pPr>
        <w:pStyle w:val="Heading2"/>
      </w:pPr>
      <w:bookmarkStart w:id="1009" w:name="_Toc00001009"/>
      <w:r>
        <w:t xml:space="preserve">Troubleshooting reference</w:t>
      </w:r>
      <w:bookmarkEnd w:id="1009"/>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Symptom</w:t>
            </w:r>
          </w:p>
        </w:tc>
        <w:tc>
          <w:tcPr/>
          <w:p>
            <w:pPr>
              <w:pStyle w:val="Compact"/>
            </w:pPr>
            <w:r>
              <w:t xml:space="preserve">Likely cause</w:t>
            </w:r>
          </w:p>
        </w:tc>
        <w:tc>
          <w:tcPr/>
          <w:p>
            <w:pPr>
              <w:pStyle w:val="Compact"/>
            </w:pPr>
            <w:r>
              <w:t xml:space="preserve">Check and fix</w:t>
            </w:r>
          </w:p>
        </w:tc>
      </w:tr>
      <w:tr>
        <w:tc>
          <w:tcPr/>
          <w:p>
            <w:pPr>
              <w:pStyle w:val="Compact"/>
            </w:pPr>
            <w:r>
              <w:t xml:space="preserve">SCEP profile stays</w:t>
            </w:r>
            <w:r>
              <w:t xml:space="preserve"> </w:t>
            </w:r>
            <w:r>
              <w:rPr>
                <w:b/>
                <w:bCs/>
              </w:rPr>
              <w:t xml:space="preserve">Pending</w:t>
            </w:r>
          </w:p>
        </w:tc>
        <w:tc>
          <w:tcPr/>
          <w:p>
            <w:pPr>
              <w:pStyle w:val="Compact"/>
            </w:pPr>
            <w:r>
              <w:t xml:space="preserve">The device hasn’t checked in; the NDES or connector path is down; the Cloud PKI issuing CA is paused</w:t>
            </w:r>
          </w:p>
        </w:tc>
        <w:tc>
          <w:tcPr/>
          <w:p>
            <w:pPr>
              <w:pStyle w:val="Compact"/>
            </w:pPr>
            <w:r>
              <w:t xml:space="preserve">Sync the device. Check connector status and NDES reachability. Check the CA’s status in the Intune admin center.</w:t>
            </w:r>
          </w:p>
        </w:tc>
      </w:tr>
      <w:tr>
        <w:tc>
          <w:tcPr/>
          <w:p>
            <w:pPr>
              <w:pStyle w:val="Compact"/>
            </w:pPr>
            <w:r>
              <w:t xml:space="preserve">PKCS profile fails; connector logs event 1001, or the CA reports</w:t>
            </w:r>
            <w:r>
              <w:t xml:space="preserve"> </w:t>
            </w:r>
            <w:r>
              <w:t xml:space="preserve">“Denied by Policy Module”</w:t>
            </w:r>
          </w:p>
        </w:tc>
        <w:tc>
          <w:tcPr/>
          <w:p>
            <w:pPr>
              <w:pStyle w:val="Compact"/>
            </w:pPr>
            <w:r>
              <w:t xml:space="preserve">Wrong CA FQDN or CA name in the profile; the connector server’s computer account lacks Read and Enroll on the template</w:t>
            </w:r>
          </w:p>
        </w:tc>
        <w:tc>
          <w:tcPr/>
          <w:p>
            <w:pPr>
              <w:pStyle w:val="Compact"/>
            </w:pPr>
            <w:r>
              <w:t xml:space="preserve">Confirm both names with</w:t>
            </w:r>
            <w:r>
              <w:t xml:space="preserve"> </w:t>
            </w:r>
            <w:r>
              <w:rPr>
                <w:rStyle w:val="VerbatimChar"/>
              </w:rPr>
              <w:t xml:space="preserve">certutil</w:t>
            </w:r>
            <w:r>
              <w:t xml:space="preserve"> </w:t>
            </w:r>
            <w:r>
              <w:t xml:space="preserve">on the CA. Grant Read and Enroll, then reissue the template.</w:t>
            </w:r>
            <w:r>
              <w:rPr>
                <w:rStyle w:val="FootnoteReference"/>
              </w:rPr>
              <w:footnoteReference w:id="776"/>
            </w:r>
            <w:r>
              <w:rPr>
                <w:rStyle w:val="FootnoteReference"/>
              </w:rPr>
              <w:footnoteReference w:id="778"/>
            </w:r>
          </w:p>
        </w:tc>
      </w:tr>
      <w:tr>
        <w:tc>
          <w:tcPr/>
          <w:p>
            <w:pPr>
              <w:pStyle w:val="Compact"/>
            </w:pPr>
            <w:r>
              <w:t xml:space="preserve">Certificate sign-in to AD fails after Full Enforcement; KDC events 39 or 41</w:t>
            </w:r>
          </w:p>
        </w:tc>
        <w:tc>
          <w:tcPr/>
          <w:p>
            <w:pPr>
              <w:pStyle w:val="Compact"/>
            </w:pPr>
            <w:r>
              <w:t xml:space="preserve">No strong mapping; or a SID mismatch</w:t>
            </w:r>
          </w:p>
        </w:tc>
        <w:tc>
          <w:tcPr/>
          <w:p>
            <w:pPr>
              <w:pStyle w:val="Compact"/>
            </w:pPr>
            <w:r>
              <w:t xml:space="preserve">See the drift row above. Users and devices must be synchronized for Intune to add the SID.</w:t>
            </w:r>
            <w:r>
              <w:rPr>
                <w:rStyle w:val="FootnoteReference"/>
              </w:rPr>
              <w:footnoteReference w:id="779"/>
            </w:r>
            <w:r>
              <w:t xml:space="preserve"> </w:t>
            </w:r>
            <w:r>
              <w:t xml:space="preserve">Investigate every event 41.</w:t>
            </w:r>
            <w:r>
              <w:rPr>
                <w:rStyle w:val="FootnoteReference"/>
              </w:rPr>
              <w:footnoteReference w:id="780"/>
            </w:r>
          </w:p>
        </w:tc>
      </w:tr>
      <w:tr>
        <w:tc>
          <w:tcPr/>
          <w:p>
            <w:pPr>
              <w:pStyle w:val="Compact"/>
            </w:pPr>
            <w:r>
              <w:t xml:space="preserve">Entra CBA: AADSTS50017 or</w:t>
            </w:r>
            <w:r>
              <w:t xml:space="preserve"> </w:t>
            </w:r>
            <w:r>
              <w:t xml:space="preserve">“certificate validation failed”</w:t>
            </w:r>
          </w:p>
        </w:tc>
        <w:tc>
          <w:tcPr/>
          <w:p>
            <w:pPr>
              <w:pStyle w:val="Compact"/>
            </w:pPr>
            <w:r>
              <w:t xml:space="preserve">A CA in the chain is missing from the trust store; inconsistent certificate policy extensions across the chain</w:t>
            </w:r>
          </w:p>
        </w:tc>
        <w:tc>
          <w:tcPr/>
          <w:p>
            <w:pPr>
              <w:pStyle w:val="Compact"/>
            </w:pPr>
            <w:r>
              <w:t xml:space="preserve">Upload every CA up to the root. Check the policy OIDs across the chain.</w:t>
            </w:r>
            <w:r>
              <w:rPr>
                <w:rStyle w:val="FootnoteReference"/>
              </w:rPr>
              <w:footnoteReference w:id="781"/>
            </w:r>
            <w:r>
              <w:rPr>
                <w:rStyle w:val="FootnoteReference"/>
              </w:rPr>
              <w:footnoteReference w:id="782"/>
            </w:r>
          </w:p>
        </w:tc>
      </w:tr>
      <w:tr>
        <w:tc>
          <w:tcPr/>
          <w:p>
            <w:pPr>
              <w:pStyle w:val="Compact"/>
            </w:pPr>
            <w:r>
              <w:t xml:space="preserve">Entra CBA: AADSTS220501 or AADSTS500179</w:t>
            </w:r>
          </w:p>
        </w:tc>
        <w:tc>
          <w:tcPr/>
          <w:p>
            <w:pPr>
              <w:pStyle w:val="Compact"/>
            </w:pPr>
            <w:r>
              <w:t xml:space="preserve">The CRL is unreachable or expired; or too large or too slow to download</w:t>
            </w:r>
          </w:p>
        </w:tc>
        <w:tc>
          <w:tcPr/>
          <w:p>
            <w:pPr>
              <w:pStyle w:val="Compact"/>
            </w:pPr>
            <w:r>
              <w:t xml:space="preserve">Serve the CRL from an internet-facing HTTP endpoint. Check its</w:t>
            </w:r>
            <w:r>
              <w:t xml:space="preserve"> </w:t>
            </w:r>
            <w:r>
              <w:rPr>
                <w:b/>
                <w:bCs/>
              </w:rPr>
              <w:t xml:space="preserve">Next Update</w:t>
            </w:r>
            <w:r>
              <w:t xml:space="preserve"> </w:t>
            </w:r>
            <w:r>
              <w:t xml:space="preserve">time. Keep it under the size and 10-second limits.</w:t>
            </w:r>
            <w:r>
              <w:rPr>
                <w:rStyle w:val="FootnoteReference"/>
              </w:rPr>
              <w:footnoteReference w:id="784"/>
            </w:r>
            <w:r>
              <w:rPr>
                <w:rStyle w:val="FootnoteReference"/>
              </w:rPr>
              <w:footnoteReference w:id="786"/>
            </w:r>
          </w:p>
        </w:tc>
      </w:tr>
      <w:tr>
        <w:tc>
          <w:tcPr/>
          <w:p>
            <w:pPr>
              <w:pStyle w:val="Compact"/>
            </w:pPr>
            <w:r>
              <w:t xml:space="preserve">CBA sign-in works but Conditional Access still demands MFA</w:t>
            </w:r>
          </w:p>
        </w:tc>
        <w:tc>
          <w:tcPr/>
          <w:p>
            <w:pPr>
              <w:pStyle w:val="Compact"/>
            </w:pPr>
            <w:r>
              <w:t xml:space="preserve">The authentication binding rule for that issuer or policy OID is single-factor</w:t>
            </w:r>
          </w:p>
        </w:tc>
        <w:tc>
          <w:tcPr/>
          <w:p>
            <w:pPr>
              <w:pStyle w:val="Compact"/>
            </w:pPr>
            <w:r>
              <w:t xml:space="preserve">Set the rule’s protection level to multifactor (Chapter 06)</w:t>
            </w:r>
            <w:r>
              <w:rPr>
                <w:rStyle w:val="FootnoteReference"/>
              </w:rPr>
              <w:footnoteReference w:id="787"/>
            </w:r>
          </w:p>
        </w:tc>
      </w:tr>
      <w:tr>
        <w:tc>
          <w:tcPr/>
          <w:p>
            <w:pPr>
              <w:pStyle w:val="Compact"/>
            </w:pPr>
            <w:r>
              <w:t xml:space="preserve">Cloud PKI SCEP returns a certificate authority error</w:t>
            </w:r>
          </w:p>
        </w:tc>
        <w:tc>
          <w:tcPr/>
          <w:p>
            <w:pPr>
              <w:pStyle w:val="Compact"/>
            </w:pPr>
            <w:r>
              <w:t xml:space="preserve">The issuing CA is paused or not active; a BYOCA request was never signed and uploaded; the Cloud PKI license has lapsed</w:t>
            </w:r>
          </w:p>
        </w:tc>
        <w:tc>
          <w:tcPr/>
          <w:p>
            <w:pPr>
              <w:pStyle w:val="Compact"/>
            </w:pPr>
            <w:r>
              <w:t xml:space="preserve">Check the CA’s status. Complete the BYOCA signing. Check licensing.</w:t>
            </w:r>
            <w:r>
              <w:rPr>
                <w:rStyle w:val="FootnoteReference"/>
              </w:rPr>
              <w:footnoteReference w:id="788"/>
            </w:r>
          </w:p>
        </w:tc>
      </w:tr>
      <w:tr>
        <w:tc>
          <w:tcPr/>
          <w:p>
            <w:pPr>
              <w:pStyle w:val="Compact"/>
            </w:pPr>
            <w:r>
              <w:t xml:space="preserve">Trusted root missing on a device</w:t>
            </w:r>
          </w:p>
        </w:tc>
        <w:tc>
          <w:tcPr/>
          <w:p>
            <w:pPr>
              <w:pStyle w:val="Compact"/>
            </w:pPr>
            <w:r>
              <w:t xml:space="preserve">Profile not assigned; device not syncing; bad certificate file</w:t>
            </w:r>
          </w:p>
        </w:tc>
        <w:tc>
          <w:tcPr/>
          <w:p>
            <w:pPr>
              <w:pStyle w:val="Compact"/>
            </w:pPr>
            <w:r>
              <w:t xml:space="preserve">Check the assignment, sync the device, and re-export the CA certificate</w:t>
            </w:r>
          </w:p>
        </w:tc>
      </w:tr>
      <w:tr>
        <w:tc>
          <w:tcPr/>
          <w:p>
            <w:pPr>
              <w:pStyle w:val="Compact"/>
            </w:pPr>
            <w:r>
              <w:t xml:space="preserve">Certificate expires without renewing</w:t>
            </w:r>
          </w:p>
        </w:tc>
        <w:tc>
          <w:tcPr/>
          <w:p>
            <w:pPr>
              <w:pStyle w:val="Compact"/>
            </w:pPr>
            <w:r>
              <w:t xml:space="preserve">Device offline through the renewal window; profile removed; on Apple platforms, the device was locked or outside the window</w:t>
            </w:r>
          </w:p>
        </w:tc>
        <w:tc>
          <w:tcPr/>
          <w:p>
            <w:pPr>
              <w:pStyle w:val="Compact"/>
            </w:pPr>
            <w:r>
              <w:t xml:space="preserve">Check the profile’s assignment and renewal threshold. On iOS, iPadOS and macOS, exclude the device from the profile temporarily to remove the expired certificate and trigger a new request.</w:t>
            </w:r>
            <w:r>
              <w:rPr>
                <w:rStyle w:val="FootnoteReference"/>
              </w:rPr>
              <w:footnoteReference w:id="789"/>
            </w:r>
          </w:p>
        </w:tc>
      </w:tr>
      <w:tr>
        <w:tc>
          <w:tcPr/>
          <w:p>
            <w:pPr>
              <w:pStyle w:val="Compact"/>
            </w:pPr>
            <w:r>
              <w:t xml:space="preserve">Servers reject Cloud PKI certificates, or the cloud rejects AD CS certificates</w:t>
            </w:r>
          </w:p>
        </w:tc>
        <w:tc>
          <w:tcPr/>
          <w:p>
            <w:pPr>
              <w:pStyle w:val="Compact"/>
            </w:pPr>
            <w:r>
              <w:t xml:space="preserve">The Cloud PKI chain isn’t distributed to systems Intune doesn’t manage; the AD CS chain isn’t in the Entra trust store</w:t>
            </w:r>
          </w:p>
        </w:tc>
        <w:tc>
          <w:tcPr/>
          <w:p>
            <w:pPr>
              <w:pStyle w:val="Compact"/>
            </w:pPr>
            <w:r>
              <w:t xml:space="preserve">Distribute the Cloud PKI root and issuing CA to servers through Group Policy or the CLM platform. Upload the AD CS chain to Entra (Chapter 07).</w:t>
            </w:r>
          </w:p>
        </w:tc>
      </w:tr>
      <w:tr>
        <w:tc>
          <w:tcPr/>
          <w:p>
            <w:pPr>
              <w:pStyle w:val="Compact"/>
            </w:pPr>
            <w:r>
              <w:t xml:space="preserve">“Revocation check failed”</w:t>
            </w:r>
            <w:r>
              <w:t xml:space="preserve"> </w:t>
            </w:r>
            <w:r>
              <w:t xml:space="preserve">on premises</w:t>
            </w:r>
          </w:p>
        </w:tc>
        <w:tc>
          <w:tcPr/>
          <w:p>
            <w:pPr>
              <w:pStyle w:val="Compact"/>
            </w:pPr>
            <w:r>
              <w:t xml:space="preserve">The CRL expired because an offline CA didn’t publish; the publication or transfer path is broken</w:t>
            </w:r>
          </w:p>
        </w:tc>
        <w:tc>
          <w:tcPr/>
          <w:p>
            <w:pPr>
              <w:pStyle w:val="Compact"/>
            </w:pPr>
            <w:r>
              <w:t xml:space="preserve">Publish a new CRL and verify it at each endpoint, not only at the CA</w:t>
            </w:r>
            <w:r>
              <w:rPr>
                <w:rStyle w:val="FootnoteReference"/>
              </w:rPr>
              <w:footnoteReference w:id="790"/>
            </w:r>
          </w:p>
        </w:tc>
      </w:tr>
      <w:tr>
        <w:tc>
          <w:tcPr/>
          <w:p>
            <w:pPr>
              <w:pStyle w:val="Compact"/>
            </w:pPr>
            <w:r>
              <w:t xml:space="preserve">Connector shows</w:t>
            </w:r>
            <w:r>
              <w:t xml:space="preserve"> </w:t>
            </w:r>
            <w:r>
              <w:rPr>
                <w:b/>
                <w:bCs/>
              </w:rPr>
              <w:t xml:space="preserve">Warning</w:t>
            </w:r>
            <w:r>
              <w:t xml:space="preserve"> </w:t>
            </w:r>
            <w:r>
              <w:t xml:space="preserve">or</w:t>
            </w:r>
            <w:r>
              <w:t xml:space="preserve"> </w:t>
            </w:r>
            <w:r>
              <w:rPr>
                <w:b/>
                <w:bCs/>
              </w:rPr>
              <w:t xml:space="preserve">Error</w:t>
            </w:r>
          </w:p>
        </w:tc>
        <w:tc>
          <w:tcPr/>
          <w:p>
            <w:pPr>
              <w:pStyle w:val="Compact"/>
            </w:pPr>
            <w:r>
              <w:t xml:space="preserve">The version is past its support window; the server can’t reach Intune or the update service; the service has stopped</w:t>
            </w:r>
          </w:p>
        </w:tc>
        <w:tc>
          <w:tcPr/>
          <w:p>
            <w:pPr>
              <w:pStyle w:val="Compact"/>
            </w:pPr>
            <w:r>
              <w:t xml:space="preserve">Allow</w:t>
            </w:r>
            <w:r>
              <w:t xml:space="preserve"> </w:t>
            </w:r>
            <w:r>
              <w:rPr>
                <w:rStyle w:val="VerbatimChar"/>
              </w:rPr>
              <w:t xml:space="preserve">autoupdate.msappproxy.net</w:t>
            </w:r>
            <w:r>
              <w:t xml:space="preserve"> </w:t>
            </w:r>
            <w:r>
              <w:t xml:space="preserve">on port 443 and the Intune endpoints, update the connector, and restart the service. Health events are 5000–5002.</w:t>
            </w:r>
            <w:r>
              <w:rPr>
                <w:rStyle w:val="FootnoteReference"/>
              </w:rPr>
              <w:footnoteReference w:id="791"/>
            </w:r>
          </w:p>
        </w:tc>
      </w:tr>
      <w:tr>
        <w:tc>
          <w:tcPr/>
          <w:p>
            <w:pPr>
              <w:pStyle w:val="Compact"/>
            </w:pPr>
            <w:r>
              <w:t xml:space="preserve">SCEP through NDES fails after the CA certificate is renewed</w:t>
            </w:r>
          </w:p>
        </w:tc>
        <w:tc>
          <w:tcPr/>
          <w:p>
            <w:pPr>
              <w:pStyle w:val="Compact"/>
            </w:pPr>
            <w:r>
              <w:t xml:space="preserve">The NDES registration authority certificates still refer to the old CA certificate</w:t>
            </w:r>
          </w:p>
        </w:tc>
        <w:tc>
          <w:tcPr/>
          <w:p>
            <w:pPr>
              <w:pStyle w:val="Compact"/>
            </w:pPr>
            <w:r>
              <w:t xml:space="preserve">Renew the RA certificates</w:t>
            </w:r>
            <w:r>
              <w:rPr>
                <w:rStyle w:val="FootnoteReference"/>
              </w:rPr>
              <w:footnoteReference w:id="792"/>
            </w:r>
          </w:p>
        </w:tc>
      </w:tr>
      <w:tr>
        <w:tc>
          <w:tcPr/>
          <w:p>
            <w:pPr>
              <w:pStyle w:val="Compact"/>
            </w:pPr>
            <w:r>
              <w:t xml:space="preserve">NDES returns access denied</w:t>
            </w:r>
          </w:p>
        </w:tc>
        <w:tc>
          <w:tcPr/>
          <w:p>
            <w:pPr>
              <w:pStyle w:val="Compact"/>
            </w:pPr>
            <w:r>
              <w:t xml:space="preserve">The NDES application pool account lacks Read and Enroll on the SCEP template</w:t>
            </w:r>
          </w:p>
        </w:tc>
        <w:tc>
          <w:tcPr/>
          <w:p>
            <w:pPr>
              <w:pStyle w:val="Compact"/>
            </w:pPr>
            <w:r>
              <w:t xml:space="preserve">Grant both permissions</w:t>
            </w:r>
            <w:r>
              <w:rPr>
                <w:rStyle w:val="FootnoteReference"/>
              </w:rPr>
              <w:footnoteReference w:id="794"/>
            </w:r>
          </w:p>
        </w:tc>
      </w:tr>
      <w:tr>
        <w:tc>
          <w:tcPr/>
          <w:p>
            <w:pPr>
              <w:pStyle w:val="Compact"/>
            </w:pPr>
            <w:r>
              <w:t xml:space="preserve">A revoked Cloud PKI certificate comes back</w:t>
            </w:r>
          </w:p>
        </w:tc>
        <w:tc>
          <w:tcPr/>
          <w:p>
            <w:pPr>
              <w:pStyle w:val="Compact"/>
            </w:pPr>
            <w:r>
              <w:t xml:space="preserve">An active SCEP assignment caused the device to reissue</w:t>
            </w:r>
          </w:p>
        </w:tc>
        <w:tc>
          <w:tcPr/>
          <w:p>
            <w:pPr>
              <w:pStyle w:val="Compact"/>
            </w:pPr>
            <w:r>
              <w:t xml:space="preserve">Remove the SCEP assignments, then revoke</w:t>
            </w:r>
            <w:r>
              <w:rPr>
                <w:rStyle w:val="FootnoteReference"/>
              </w:rPr>
              <w:footnoteReference w:id="795"/>
            </w:r>
          </w:p>
        </w:tc>
      </w:tr>
      <w:tr>
        <w:tc>
          <w:tcPr/>
          <w:p>
            <w:pPr>
              <w:pStyle w:val="Compact"/>
            </w:pPr>
            <w:r>
              <w:t xml:space="preserve">A revoked certificate is still accepted</w:t>
            </w:r>
          </w:p>
        </w:tc>
        <w:tc>
          <w:tcPr/>
          <w:p>
            <w:pPr>
              <w:pStyle w:val="Compact"/>
            </w:pPr>
            <w:r>
              <w:t xml:space="preserve">The relying party’s cache; the CRL hasn’t been published or delivered; Entra is still using its cached CRL</w:t>
            </w:r>
          </w:p>
        </w:tc>
        <w:tc>
          <w:tcPr/>
          <w:p>
            <w:pPr>
              <w:pStyle w:val="Compact"/>
            </w:pPr>
            <w:r>
              <w:t xml:space="preserve">Publish and verify delivery. For Entra, revoke the user’s sessions if immediate cutoff is needed (Book 03, Chapter 09).</w:t>
            </w:r>
            <w:r>
              <w:rPr>
                <w:rStyle w:val="FootnoteReference"/>
              </w:rPr>
              <w:footnoteReference w:id="796"/>
            </w:r>
          </w:p>
        </w:tc>
      </w:tr>
    </w:tbl>
    <w:bookmarkEnd w:id="797"/>
    <w:bookmarkStart w:id="815" w:name="decommissioning-ad-cs"/>
    <w:p>
      <w:pPr>
        <w:pStyle w:val="Heading2"/>
      </w:pPr>
      <w:bookmarkStart w:id="1010" w:name="_Toc00001010"/>
      <w:r>
        <w:t xml:space="preserve">Decommissioning AD CS</w:t>
      </w:r>
      <w:bookmarkEnd w:id="1010"/>
    </w:p>
    <w:p>
      <w:pPr>
        <w:pStyle w:val="FirstParagraph"/>
      </w:pPr>
      <w:r>
        <w:t xml:space="preserve">Decommissioning is the program’s last wave, Wave 6. It comes after cutover (Chapter 07), and it applies only to the CAs and role services that no longer serve a retained certificate class. Domain controller, LDAPS and RADIUS certificates usually keep at least one AD CS issuing CA alive for as long as domain controllers exist. The sponsor decides each CA’s retirement, and the PKI administrators run it (Chapter 05).</w:t>
      </w:r>
    </w:p>
    <w:bookmarkStart w:id="801" w:name="fig-ch08-adcs-decommission"/>
    <w:p>
      <w:pPr>
        <w:pStyle w:val="CaptionedFigure"/>
      </w:pPr>
      <w:r>
        <w:drawing>
          <wp:inline>
            <wp:extent cx="5334000" cy="6997574"/>
            <wp:effectExtent b="0" l="0" r="0" t="0"/>
            <wp:docPr descr="The AD CS decommissioning sequence, from the cutover gate to the final record, with the steps that must wait for the last certificate to expire." title="" id="799" name="Picture"/>
            <a:graphic>
              <a:graphicData uri="http://schemas.openxmlformats.org/drawingml/2006/picture">
                <pic:pic>
                  <pic:nvPicPr>
                    <pic:cNvPr descr="/home/runner/work/modernization-workbook/modernization-workbook/docs/images/diagrams/b07-pki/png/ch08-adcs-decommission.png" id="800" name="Picture"/>
                    <pic:cNvPicPr>
                      <a:picLocks noChangeArrowheads="1" noChangeAspect="1"/>
                    </pic:cNvPicPr>
                  </pic:nvPicPr>
                  <pic:blipFill>
                    <a:blip r:embed="rId798"/>
                    <a:stretch>
                      <a:fillRect/>
                    </a:stretch>
                  </pic:blipFill>
                  <pic:spPr bwMode="auto">
                    <a:xfrm>
                      <a:off x="0" y="0"/>
                      <a:ext cx="5334000" cy="6997574"/>
                    </a:xfrm>
                    <a:prstGeom prst="rect">
                      <a:avLst/>
                    </a:prstGeom>
                    <a:noFill/>
                    <a:ln w="9525">
                      <a:noFill/>
                      <a:headEnd/>
                      <a:tailEnd/>
                    </a:ln>
                  </pic:spPr>
                </pic:pic>
              </a:graphicData>
            </a:graphic>
          </wp:inline>
        </w:drawing>
      </w:r>
    </w:p>
    <w:p>
      <w:pPr>
        <w:pStyle w:val="ImageCaption"/>
      </w:pPr>
      <w:r>
        <w:t xml:space="preserve">The AD CS decommissioning sequence, from the cutover gate to the final record, with the steps that must wait for the last certificate to expire.</w:t>
      </w:r>
    </w:p>
    <w:bookmarkEnd w:id="801"/>
    <w:p>
      <w:pPr>
        <w:pStyle w:val="BodyText"/>
      </w:pPr>
      <w:r>
        <w:rPr>
          <w:b/>
          <w:bCs/>
        </w:rPr>
        <w:t xml:space="preserve">Gate.</w:t>
      </w:r>
      <w:r>
        <w:t xml:space="preserve"> </w:t>
      </w:r>
      <w:r>
        <w:t xml:space="preserve">Cutover is complete. The 30-day rollback window has passed with no incidents. Every retained certificate class is documented and running on the CAs that remain. Those are the program’s gate conditions. Rolling back after decommissioning means restoring the CA from backup and republishing templates, and the program plans eight to twelve hours for it (Chapter 07).</w:t>
      </w:r>
    </w:p>
    <w:p>
      <w:pPr>
        <w:pStyle w:val="Compact"/>
        <w:numPr>
          <w:ilvl w:val="0"/>
          <w:numId w:val="1052"/>
        </w:numPr>
      </w:pPr>
      <w:r>
        <w:rPr>
          <w:b/>
          <w:bCs/>
        </w:rPr>
        <w:t xml:space="preserve">Confirm nothing depends on the CA.</w:t>
      </w:r>
      <w:r>
        <w:t xml:space="preserve"> </w:t>
      </w:r>
      <w:r>
        <w:t xml:space="preserve">Use the CLM inventory and the CA database to confirm that no unexpired certificate in a migrated class is still in use. Confirm that domain controllers hold certificates from a retained CA, and that Entra and Intune reference only the new chains.</w:t>
      </w:r>
    </w:p>
    <w:p>
      <w:pPr>
        <w:pStyle w:val="Compact"/>
        <w:numPr>
          <w:ilvl w:val="0"/>
          <w:numId w:val="1052"/>
        </w:numPr>
      </w:pPr>
      <w:r>
        <w:rPr>
          <w:b/>
          <w:bCs/>
        </w:rPr>
        <w:t xml:space="preserve">Stop new issuance.</w:t>
      </w:r>
      <w:r>
        <w:t xml:space="preserve"> </w:t>
      </w:r>
      <w:r>
        <w:t xml:space="preserve">Remove the templates from the CA’s list of templates to issue, unlink the autoenrollment Group Policy for them, and deny any pending requests.</w:t>
      </w:r>
      <w:r>
        <w:rPr>
          <w:rStyle w:val="FootnoteReference"/>
        </w:rPr>
        <w:footnoteReference w:id="802"/>
      </w:r>
    </w:p>
    <w:p>
      <w:pPr>
        <w:pStyle w:val="Compact"/>
        <w:numPr>
          <w:ilvl w:val="0"/>
          <w:numId w:val="1052"/>
        </w:numPr>
      </w:pPr>
      <w:r>
        <w:rPr>
          <w:b/>
          <w:bCs/>
        </w:rPr>
        <w:t xml:space="preserve">Back up and archive.</w:t>
      </w:r>
      <w:r>
        <w:t xml:space="preserve"> </w:t>
      </w:r>
      <w:r>
        <w:t xml:space="preserve">Back up the CA database and key with</w:t>
      </w:r>
      <w:r>
        <w:t xml:space="preserve"> </w:t>
      </w:r>
      <w:r>
        <w:rPr>
          <w:rStyle w:val="VerbatimChar"/>
        </w:rPr>
        <w:t xml:space="preserve">Backup-CARoleService</w:t>
      </w:r>
      <w:r>
        <w:t xml:space="preserve"> </w:t>
      </w:r>
      <w:r>
        <w:t xml:space="preserve">from a CA-administrator account. Store the backup and its password through separate approved channels, as the retention policy requires.</w:t>
      </w:r>
      <w:r>
        <w:rPr>
          <w:rStyle w:val="FootnoteReference"/>
        </w:rPr>
        <w:footnoteReference w:id="804"/>
      </w:r>
    </w:p>
    <w:p>
      <w:pPr>
        <w:pStyle w:val="Compact"/>
        <w:numPr>
          <w:ilvl w:val="0"/>
          <w:numId w:val="1052"/>
        </w:numPr>
      </w:pPr>
      <w:r>
        <w:rPr>
          <w:b/>
          <w:bCs/>
        </w:rPr>
        <w:t xml:space="preserve">Revoke and publish the last CRL.</w:t>
      </w:r>
      <w:r>
        <w:t xml:space="preserve"> </w:t>
      </w:r>
      <w:r>
        <w:t xml:space="preserve">Revoke the outstanding certificates with the reason</w:t>
      </w:r>
      <w:r>
        <w:t xml:space="preserve"> </w:t>
      </w:r>
      <w:r>
        <w:rPr>
          <w:i/>
          <w:iCs/>
        </w:rPr>
        <w:t xml:space="preserve">cessation of operation</w:t>
      </w:r>
      <w:r>
        <w:t xml:space="preserve">. Set the CRL publication interval so that the CRL’s lifetime is longer than the remaining lifetime of the revoked certificates. Then publish a new CRL.</w:t>
      </w:r>
      <w:r>
        <w:rPr>
          <w:rStyle w:val="FootnoteReference"/>
        </w:rPr>
        <w:footnoteReference w:id="805"/>
      </w:r>
    </w:p>
    <w:p>
      <w:pPr>
        <w:pStyle w:val="Compact"/>
        <w:numPr>
          <w:ilvl w:val="0"/>
          <w:numId w:val="1052"/>
        </w:numPr>
      </w:pPr>
      <w:r>
        <w:rPr>
          <w:b/>
          <w:bCs/>
        </w:rPr>
        <w:t xml:space="preserve">Uninstall the role services.</w:t>
      </w:r>
      <w:r>
        <w:t xml:space="preserve"> </w:t>
      </w:r>
      <w:r>
        <w:t xml:space="preserve">Remove NDES, the certificate enrollment web services and web enrollment before the CA role. Uninstalling an enterprise CA requires Enterprise Admins membership or equivalent. If other role services such as the Online Responder used the CA, reconfigure them first.</w:t>
      </w:r>
      <w:r>
        <w:rPr>
          <w:rStyle w:val="FootnoteReference"/>
        </w:rPr>
        <w:footnoteReference w:id="806"/>
      </w:r>
      <w:r>
        <w:t xml:space="preserve"> </w:t>
      </w:r>
      <w:r>
        <w:t xml:space="preserve">An AD CS Online Responder (OCSP) retires with the last AD CS CA it serves. Entra CBA doesn’t use OCSP,</w:t>
      </w:r>
      <w:r>
        <w:rPr>
          <w:rStyle w:val="FootnoteReference"/>
        </w:rPr>
        <w:footnoteReference w:id="807"/>
      </w:r>
      <w:r>
        <w:t xml:space="preserve"> </w:t>
      </w:r>
      <w:r>
        <w:t xml:space="preserve">and Cloud PKI’s documented features include CRL and AIA endpoints but no OCSP responder,</w:t>
      </w:r>
      <w:r>
        <w:rPr>
          <w:rStyle w:val="FootnoteReference"/>
        </w:rPr>
        <w:footnoteReference w:id="808"/>
      </w:r>
      <w:r>
        <w:t xml:space="preserve"> </w:t>
      </w:r>
      <w:r>
        <w:t xml:space="preserve">so nothing in the target takes its place. Relying parties that still query it must be moved to CRL checking first. Retire any Intune Certificate Connector that served only this CA.</w:t>
      </w:r>
    </w:p>
    <w:p>
      <w:pPr>
        <w:pStyle w:val="Compact"/>
        <w:numPr>
          <w:ilvl w:val="0"/>
          <w:numId w:val="1052"/>
        </w:numPr>
      </w:pPr>
      <w:r>
        <w:rPr>
          <w:b/>
          <w:bCs/>
        </w:rPr>
        <w:t xml:space="preserve">Clean up trust.</w:t>
      </w:r>
      <w:r>
        <w:t xml:space="preserve"> </w:t>
      </w:r>
      <w:r>
        <w:t xml:space="preserve">Remove the CA from the Entra PKI-based trust store once the sign-in logs show it’s no longer used. Remove the Intune trusted certificate profiles and any Group Policy-published certificates for it. Delete its certificate from the NTAuthCertificates object, which requires Enterprise Admin permissions.</w:t>
      </w:r>
      <w:r>
        <w:rPr>
          <w:rStyle w:val="FootnoteReference"/>
        </w:rPr>
        <w:footnoteReference w:id="809"/>
      </w:r>
      <w:r>
        <w:t xml:space="preserve"> </w:t>
      </w:r>
      <w:r>
        <w:t xml:space="preserve">Retire the CA object in the CLM platform.</w:t>
      </w:r>
    </w:p>
    <w:p>
      <w:pPr>
        <w:pStyle w:val="Compact"/>
        <w:numPr>
          <w:ilvl w:val="0"/>
          <w:numId w:val="1052"/>
        </w:numPr>
      </w:pPr>
      <w:r>
        <w:rPr>
          <w:b/>
          <w:bCs/>
        </w:rPr>
        <w:t xml:space="preserve">Keep the endpoints until the last certificate expires.</w:t>
      </w:r>
      <w:r>
        <w:t xml:space="preserve"> </w:t>
      </w:r>
      <w:r>
        <w:t xml:space="preserve">Uninstalling the CA removes only its enrollment services object from Active Directory. The AIA, CDP and certification authority objects stay so that clients can still validate outstanding certificates.</w:t>
      </w:r>
      <w:r>
        <w:rPr>
          <w:rStyle w:val="FootnoteReference"/>
        </w:rPr>
        <w:footnoteReference w:id="810"/>
      </w:r>
      <w:r>
        <w:t xml:space="preserve"> </w:t>
      </w:r>
      <w:r>
        <w:t xml:space="preserve">Keep the HTTP CDP and AIA endpoints serving the final CRL for the same period.</w:t>
      </w:r>
      <w:r>
        <w:rPr>
          <w:rStyle w:val="FootnoteReference"/>
        </w:rPr>
        <w:footnoteReference w:id="811"/>
      </w:r>
      <w:r>
        <w:t xml:space="preserve"> </w:t>
      </w:r>
      <w:r>
        <w:t xml:space="preserve">After that, remove the remaining AD objects. Delete certificate templates only after every CA in the forest is gone. With a retained BRIDGE CA, that means not at all.</w:t>
      </w:r>
      <w:r>
        <w:rPr>
          <w:rStyle w:val="FootnoteReference"/>
        </w:rPr>
        <w:footnoteReference w:id="812"/>
      </w:r>
      <w:r>
        <w:t xml:space="preserve"> </w:t>
      </w:r>
      <w:r>
        <w:t xml:space="preserve">Delete the CA database only after the archive is verified.</w:t>
      </w:r>
    </w:p>
    <w:p>
      <w:pPr>
        <w:pStyle w:val="Compact"/>
        <w:numPr>
          <w:ilvl w:val="0"/>
          <w:numId w:val="1052"/>
        </w:numPr>
      </w:pPr>
      <w:r>
        <w:rPr>
          <w:b/>
          <w:bCs/>
        </w:rPr>
        <w:t xml:space="preserve">Clean up domain controllers carefully.</w:t>
      </w:r>
      <w:r>
        <w:t xml:space="preserve"> </w:t>
      </w:r>
      <w:r>
        <w:t xml:space="preserve">Microsoft’s procedure removes domain controller certificates that no longer validate. It doesn’t apply to version 1 domain controller templates, and it should run only after the domain controllers hold replacement certificates from a retained CA.</w:t>
      </w:r>
      <w:r>
        <w:rPr>
          <w:rStyle w:val="FootnoteReference"/>
        </w:rPr>
        <w:footnoteReference w:id="813"/>
      </w:r>
    </w:p>
    <w:p>
      <w:pPr>
        <w:pStyle w:val="Compact"/>
        <w:numPr>
          <w:ilvl w:val="0"/>
          <w:numId w:val="1052"/>
        </w:numPr>
      </w:pPr>
      <w:r>
        <w:rPr>
          <w:b/>
          <w:bCs/>
        </w:rPr>
        <w:t xml:space="preserve">Record it.</w:t>
      </w:r>
      <w:r>
        <w:t xml:space="preserve"> </w:t>
      </w:r>
      <w:r>
        <w:t xml:space="preserve">Commit a decommission record to the evidence repository. It covers what was retired, the final CRL’s next-update time, the archive location and custody, and the trust stores the CA was removed from.</w:t>
      </w:r>
    </w:p>
    <w:p>
      <w:pPr>
        <w:pStyle w:val="FirstParagraph"/>
      </w:pPr>
      <w:r>
        <w:t xml:space="preserve">Two variations depend on the target model (Chapter 04). Under the Cloud PKI root model, an AD CS hierarchy that’s being retired keeps its offline root only as long as policy and outstanding certificates require. Its root CRL publication continues on schedule until the last subordinate certificate expires. Under BYOCA, the Cloud PKI issuing CA chains to the agency’s private CA hierarchy.</w:t>
      </w:r>
      <w:r>
        <w:rPr>
          <w:rStyle w:val="FootnoteReference"/>
        </w:rPr>
        <w:footnoteReference w:id="814"/>
      </w:r>
      <w:r>
        <w:t xml:space="preserve"> </w:t>
      </w:r>
      <w:r>
        <w:t xml:space="preserve">The root, and any intermediate that signed the Cloud PKI issuing CA, stay in service. They keep publishing CRLs and keep their keys in custody. Only the AD CS issuing CAs that no longer issue are retired. The source guide said the chain</w:t>
      </w:r>
      <w:r>
        <w:t xml:space="preserve"> </w:t>
      </w:r>
      <w:r>
        <w:t xml:space="preserve">“is still in use”</w:t>
      </w:r>
      <w:r>
        <w:t xml:space="preserve"> </w:t>
      </w:r>
      <w:r>
        <w:t xml:space="preserve">under BYOCA without saying which CA. The CA that must stay is the one that signed Cloud PKI’s issuing CA, not necessarily the AD CS issuing CA being retired.</w:t>
      </w:r>
    </w:p>
    <w:bookmarkEnd w:id="815"/>
    <w:bookmarkStart w:id="822" w:name="the-evidence-an-assessor-reads"/>
    <w:p>
      <w:pPr>
        <w:pStyle w:val="Heading2"/>
      </w:pPr>
      <w:bookmarkStart w:id="1011" w:name="_Toc00001011"/>
      <w:r>
        <w:t xml:space="preserve">The evidence an assessor reads</w:t>
      </w:r>
      <w:bookmarkEnd w:id="1011"/>
    </w:p>
    <w:p>
      <w:pPr>
        <w:pStyle w:val="FirstParagraph"/>
      </w:pPr>
      <w:r>
        <w:t xml:space="preserve">The control text below is NIST SP 800-53 Rev. 5.</w:t>
      </w:r>
      <w:r>
        <w:rPr>
          <w:rStyle w:val="FootnoteReference"/>
        </w:rPr>
        <w:footnoteReference w:id="816"/>
      </w:r>
      <w:r>
        <w:t xml:space="preserve"> </w:t>
      </w:r>
      <w:r>
        <w:t xml:space="preserve">The evidence column is the program’s mapping. The Federal Compliance book argues why these controls can’t be closed without lifecycle automation.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Control</w:t>
            </w:r>
          </w:p>
        </w:tc>
        <w:tc>
          <w:tcPr/>
          <w:p>
            <w:pPr>
              <w:pStyle w:val="Compact"/>
            </w:pPr>
            <w:r>
              <w:t xml:space="preserve">What it requires</w:t>
            </w:r>
          </w:p>
        </w:tc>
        <w:tc>
          <w:tcPr/>
          <w:p>
            <w:pPr>
              <w:pStyle w:val="Compact"/>
            </w:pPr>
            <w:r>
              <w:t xml:space="preserve">What the assessor reads</w:t>
            </w:r>
          </w:p>
        </w:tc>
      </w:tr>
      <w:tr>
        <w:tc>
          <w:tcPr/>
          <w:p>
            <w:pPr>
              <w:pStyle w:val="Compact"/>
            </w:pPr>
            <w:r>
              <w:t xml:space="preserve">IA-5(2)(a)(1)</w:t>
            </w:r>
          </w:p>
        </w:tc>
        <w:tc>
          <w:tcPr/>
          <w:p>
            <w:pPr>
              <w:pStyle w:val="Compact"/>
            </w:pPr>
            <w:r>
              <w:t xml:space="preserve">Enforce authorized access to the private key</w:t>
            </w:r>
          </w:p>
        </w:tc>
        <w:tc>
          <w:tcPr/>
          <w:p>
            <w:pPr>
              <w:pStyle w:val="Compact"/>
            </w:pPr>
            <w:r>
              <w:t xml:space="preserve">Key storage settings on SCEP profiles (TPM where present). With Cloud PKI SCEP, the private key is created on the device and never leaves it.</w:t>
            </w:r>
            <w:r>
              <w:rPr>
                <w:rStyle w:val="FootnoteReference"/>
              </w:rPr>
              <w:footnoteReference w:id="817"/>
            </w:r>
            <w:r>
              <w:t xml:space="preserve"> </w:t>
            </w:r>
            <w:r>
              <w:t xml:space="preserve">PKCS keys are generated on the connector server and must be exportable from the template, so PKCS templates and connector hosts are in scope.</w:t>
            </w:r>
            <w:r>
              <w:rPr>
                <w:rStyle w:val="FootnoteReference"/>
              </w:rPr>
              <w:footnoteReference w:id="818"/>
            </w:r>
          </w:p>
        </w:tc>
      </w:tr>
      <w:tr>
        <w:tc>
          <w:tcPr/>
          <w:p>
            <w:pPr>
              <w:pStyle w:val="Compact"/>
            </w:pPr>
            <w:r>
              <w:t xml:space="preserve">IA-5(2)(a)(2)</w:t>
            </w:r>
          </w:p>
        </w:tc>
        <w:tc>
          <w:tcPr/>
          <w:p>
            <w:pPr>
              <w:pStyle w:val="Compact"/>
            </w:pPr>
            <w:r>
              <w:t xml:space="preserve">Map the authenticated identity to the account</w:t>
            </w:r>
          </w:p>
        </w:tc>
        <w:tc>
          <w:tcPr/>
          <w:p>
            <w:pPr>
              <w:pStyle w:val="Compact"/>
            </w:pPr>
            <w:r>
              <w:t xml:space="preserve">CBA username bindings and the tenant’s affinity setting;</w:t>
            </w:r>
            <w:r>
              <w:t xml:space="preserve"> </w:t>
            </w:r>
            <w:r>
              <w:rPr>
                <w:rStyle w:val="VerbatimChar"/>
              </w:rPr>
              <w:t xml:space="preserve">certificateUserIds</w:t>
            </w:r>
            <w:r>
              <w:t xml:space="preserve"> </w:t>
            </w:r>
            <w:r>
              <w:t xml:space="preserve">change history; the KDC’s strong-mapping enforcement state and event 39 and 41 counts</w:t>
            </w:r>
          </w:p>
        </w:tc>
      </w:tr>
      <w:tr>
        <w:tc>
          <w:tcPr/>
          <w:p>
            <w:pPr>
              <w:pStyle w:val="Compact"/>
            </w:pPr>
            <w:r>
              <w:t xml:space="preserve">IA-5(2)(b)(1)</w:t>
            </w:r>
          </w:p>
        </w:tc>
        <w:tc>
          <w:tcPr/>
          <w:p>
            <w:pPr>
              <w:pStyle w:val="Compact"/>
            </w:pPr>
            <w:r>
              <w:t xml:space="preserve">Validate certificates by building a certification path to an accepted trust anchor, including status checking</w:t>
            </w:r>
          </w:p>
        </w:tc>
        <w:tc>
          <w:tcPr/>
          <w:p>
            <w:pPr>
              <w:pStyle w:val="Compact"/>
            </w:pPr>
            <w:r>
              <w:t xml:space="preserve">The Entra trust store export showing a CRL URL for every CA;</w:t>
            </w:r>
            <w:r>
              <w:t xml:space="preserve"> </w:t>
            </w:r>
            <w:r>
              <w:rPr>
                <w:b/>
                <w:bCs/>
              </w:rPr>
              <w:t xml:space="preserve">Require CRL validation</w:t>
            </w:r>
            <w:r>
              <w:t xml:space="preserve">; CRL endpoint freshness checks; PKIView results</w:t>
            </w:r>
          </w:p>
        </w:tc>
      </w:tr>
      <w:tr>
        <w:tc>
          <w:tcPr/>
          <w:p>
            <w:pPr>
              <w:pStyle w:val="Compact"/>
            </w:pPr>
            <w:r>
              <w:t xml:space="preserve">IA-5(2)(b)(2)</w:t>
            </w:r>
          </w:p>
        </w:tc>
        <w:tc>
          <w:tcPr/>
          <w:p>
            <w:pPr>
              <w:pStyle w:val="Compact"/>
            </w:pPr>
            <w:r>
              <w:t xml:space="preserve">Keep a local cache of revocation data</w:t>
            </w:r>
          </w:p>
        </w:tc>
        <w:tc>
          <w:tcPr/>
          <w:p>
            <w:pPr>
              <w:pStyle w:val="Compact"/>
            </w:pPr>
            <w:r>
              <w:t xml:space="preserve">The relying parties’ CRL caching behavior, including Entra’s cached CRL (Book 03, Chapter 09); CRL validity and overlap settings</w:t>
            </w:r>
          </w:p>
        </w:tc>
      </w:tr>
      <w:tr>
        <w:tc>
          <w:tcPr/>
          <w:p>
            <w:pPr>
              <w:pStyle w:val="Compact"/>
            </w:pPr>
            <w:r>
              <w:t xml:space="preserve">SC-12</w:t>
            </w:r>
          </w:p>
        </w:tc>
        <w:tc>
          <w:tcPr/>
          <w:p>
            <w:pPr>
              <w:pStyle w:val="Compact"/>
            </w:pPr>
            <w:r>
              <w:t xml:space="preserve">Establish and manage cryptographic keys under the organization’s key management requirements</w:t>
            </w:r>
          </w:p>
        </w:tc>
        <w:tc>
          <w:tcPr/>
          <w:p>
            <w:pPr>
              <w:pStyle w:val="Compact"/>
            </w:pPr>
            <w:r>
              <w:t xml:space="preserve">CA key protection: licensed Cloud PKI CAs use Azure Managed HSM keys, while CAs created during a trial use software keys that can’t be converted</w:t>
            </w:r>
            <w:r>
              <w:rPr>
                <w:rStyle w:val="FootnoteReference"/>
              </w:rPr>
              <w:footnoteReference w:id="819"/>
            </w:r>
            <w:r>
              <w:t xml:space="preserve">; Managed HSM is FIPS 140-3 Level 3 validated</w:t>
            </w:r>
            <w:r>
              <w:rPr>
                <w:rStyle w:val="FootnoteReference"/>
              </w:rPr>
              <w:footnoteReference w:id="820"/>
            </w:r>
            <w:r>
              <w:t xml:space="preserve">. AD CS CA keys in an HSM, key ceremony and backup custody records, and key-archival role separation.</w:t>
            </w:r>
          </w:p>
        </w:tc>
      </w:tr>
      <w:tr>
        <w:tc>
          <w:tcPr/>
          <w:p>
            <w:pPr>
              <w:pStyle w:val="Compact"/>
            </w:pPr>
            <w:r>
              <w:t xml:space="preserve">SC-17(a)</w:t>
            </w:r>
          </w:p>
        </w:tc>
        <w:tc>
          <w:tcPr/>
          <w:p>
            <w:pPr>
              <w:pStyle w:val="Compact"/>
            </w:pPr>
            <w:r>
              <w:t xml:space="preserve">Issue certificates under an organization-defined certificate policy, or obtain them from an approved service provider</w:t>
            </w:r>
          </w:p>
        </w:tc>
        <w:tc>
          <w:tcPr/>
          <w:p>
            <w:pPr>
              <w:pStyle w:val="Compact"/>
            </w:pPr>
            <w:r>
              <w:t xml:space="preserve">The approved certificate policy; the published-template inventory against it; CA audit events 4886, 4887 and 4888; CLM issuance records; Federal PKI as the approved provider for PIV</w:t>
            </w:r>
          </w:p>
        </w:tc>
      </w:tr>
      <w:tr>
        <w:tc>
          <w:tcPr/>
          <w:p>
            <w:pPr>
              <w:pStyle w:val="Compact"/>
            </w:pPr>
            <w:r>
              <w:t xml:space="preserve">SC-17(b)</w:t>
            </w:r>
          </w:p>
        </w:tc>
        <w:tc>
          <w:tcPr/>
          <w:p>
            <w:pPr>
              <w:pStyle w:val="Compact"/>
            </w:pPr>
            <w:r>
              <w:t xml:space="preserve">Include only approved trust anchors in managed trust stores</w:t>
            </w:r>
          </w:p>
        </w:tc>
        <w:tc>
          <w:tcPr/>
          <w:p>
            <w:pPr>
              <w:pStyle w:val="Compact"/>
            </w:pPr>
            <w:r>
              <w:t xml:space="preserve">Entra trust store exports and audit logs; Intune trusted certificate profiles; Group Policy-published roots; NTAuthCertificates contents; trust store drift findings</w:t>
            </w:r>
          </w:p>
        </w:tc>
      </w:tr>
    </w:tbl>
    <w:bookmarkEnd w:id="822"/>
    <w:bookmarkStart w:id="823" w:name="where-to-go-next"/>
    <w:p>
      <w:pPr>
        <w:pStyle w:val="Heading2"/>
      </w:pPr>
      <w:bookmarkStart w:id="1012" w:name="_Toc00001012"/>
      <w:r>
        <w:t xml:space="preserve">Where to go next</w:t>
      </w:r>
      <w:bookmarkEnd w:id="1012"/>
    </w:p>
    <w:p>
      <w:pPr>
        <w:pStyle w:val="Compact"/>
        <w:numPr>
          <w:ilvl w:val="0"/>
          <w:numId w:val="1053"/>
        </w:numPr>
      </w:pPr>
      <w:r>
        <w:t xml:space="preserve">Appendix A — Cloud PKI and CBA Deployment Checklists turns this book into task lists with owners.</w:t>
      </w:r>
    </w:p>
    <w:p>
      <w:pPr>
        <w:pStyle w:val="Compact"/>
        <w:numPr>
          <w:ilvl w:val="0"/>
          <w:numId w:val="1053"/>
        </w:numPr>
      </w:pPr>
      <w:r>
        <w:t xml:space="preserve">Appendix B — Certificate Template Migration Matrix classifies each template, which drives the decommissioning gate.</w:t>
      </w:r>
    </w:p>
    <w:p>
      <w:pPr>
        <w:pStyle w:val="Compact"/>
        <w:numPr>
          <w:ilvl w:val="0"/>
          <w:numId w:val="1053"/>
        </w:numPr>
      </w:pPr>
      <w:r>
        <w:t xml:space="preserve">Chapter 03 — Hardening What Stays covers the AD CS settings that the posture findings check.</w:t>
      </w:r>
    </w:p>
    <w:p>
      <w:pPr>
        <w:pStyle w:val="Compact"/>
        <w:numPr>
          <w:ilvl w:val="0"/>
          <w:numId w:val="1053"/>
        </w:numPr>
      </w:pPr>
      <w:r>
        <w:t xml:space="preserve">Book 05, Chapter 10 covers the run-state loop for the devices that hold most of these certificates.</w:t>
      </w:r>
    </w:p>
    <w:p>
      <w:pPr>
        <w:pStyle w:val="Compact"/>
        <w:numPr>
          <w:ilvl w:val="0"/>
          <w:numId w:val="1053"/>
        </w:numPr>
      </w:pPr>
      <w:r>
        <w:t xml:space="preserve">The Federal Compliance book on certificates and tokens covers lifecycle automation and control closure in depth.</w:t>
      </w:r>
    </w:p>
    <w:bookmarkEnd w:id="823"/>
    <w:bookmarkStart w:id="824" w:name="continue-the-book-7"/>
    <w:p>
      <w:pPr>
        <w:pStyle w:val="Heading2"/>
      </w:pPr>
      <w:bookmarkStart w:id="1013" w:name="_Toc00001013"/>
      <w:r>
        <w:t xml:space="preserve">Continue the book</w:t>
      </w:r>
      <w:bookmarkEnd w:id="1013"/>
    </w:p>
    <w:p>
      <w:pPr>
        <w:pStyle w:val="FirstParagraph"/>
      </w:pPr>
      <w:r>
        <w:t xml:space="preserve">← Previous: Chapter 07 — Coexistence and Migration · Book index · Next: Appendix A — Cloud PKI and CBA Deployment Checklists →</w:t>
      </w:r>
    </w:p>
    <w:bookmarkEnd w:id="824"/>
    <w:bookmarkEnd w:id="825"/>
    <w:bookmarkStart w:id="882" w:name="X4428d5c1b79ef0dedae9d59941ce20effecc39c"/>
    <w:p>
      <w:pPr>
        <w:pStyle w:val="Heading1"/>
      </w:pPr>
      <w:bookmarkStart w:id="1014" w:name="_Toc00001014"/>
      <w:r>
        <w:t xml:space="preserve">Appendix A — Cloud PKI and CBA Deployment Checklists</w:t>
      </w:r>
      <w:bookmarkEnd w:id="1014"/>
    </w:p>
    <w:p>
      <w:pPr>
        <w:pStyle w:val="FirstParagraph"/>
      </w:pPr>
      <w:r>
        <w:rPr>
          <w:i/>
          <w:iCs/>
        </w:rPr>
        <w:t xml:space="preserve">A checklist is only as good as the test at the end of each line.</w:t>
      </w:r>
    </w:p>
    <w:bookmarkStart w:id="826" w:name="in-this-appendix"/>
    <w:p>
      <w:pPr>
        <w:pStyle w:val="Heading2"/>
      </w:pPr>
      <w:bookmarkStart w:id="1015" w:name="_Toc00001015"/>
      <w:r>
        <w:t xml:space="preserve">In this appendix</w:t>
      </w:r>
      <w:bookmarkEnd w:id="1015"/>
    </w:p>
    <w:p>
      <w:pPr>
        <w:pStyle w:val="FirstParagraph"/>
      </w:pPr>
      <w:r>
        <w:t xml:space="preserve">Checklist A.1 deploys Microsoft Cloud PKI and the Intune profiles that use it, wave by wave. Checklist A.2 configures Microsoft Entra certificate-based authentication (CBA) from licensing through domain cutover and monitoring. Each line names an owner role and how to verify it. The reasoning behind each step is in Chapter 06 and Chapter 07; owner roles follow Chapter 05.</w:t>
      </w:r>
    </w:p>
    <w:bookmarkEnd w:id="826"/>
    <w:p>
      <w:pPr>
        <w:pStyle w:val="BodyText"/>
      </w:pPr>
      <w:r>
        <w:t xml:space="preserve">The waves are those of Chapter 07: Assess, Foundation, Pilot, Scale, Cutover, Decommission. Thresholds such as</w:t>
      </w:r>
      <w:r>
        <w:t xml:space="preserve"> </w:t>
      </w:r>
      <w:r>
        <w:t xml:space="preserve">“99% of devices”</w:t>
      </w:r>
      <w:r>
        <w:t xml:space="preserve"> </w:t>
      </w:r>
      <w:r>
        <w:t xml:space="preserve">are the program’s gates, not Microsoft requirements.</w:t>
      </w:r>
    </w:p>
    <w:bookmarkStart w:id="827" w:name="Xc856d0569ba04183262d7a36c4d51b35445162f"/>
    <w:p>
      <w:pPr>
        <w:pStyle w:val="Heading2"/>
      </w:pPr>
      <w:bookmarkStart w:id="1016" w:name="_Toc00001016"/>
      <w:r>
        <w:t xml:space="preserve">Illustrative, not tested against a production tenant</w:t>
      </w:r>
      <w:bookmarkEnd w:id="1016"/>
    </w:p>
    <w:p>
      <w:pPr>
        <w:pStyle w:val="FirstParagraph"/>
      </w:pPr>
      <w:r>
        <w:t xml:space="preserve">The commands in this appendix are examples. They haven’t been run against a production forest or tenant. Read each one, run it first in a test scope, and review the output before you change anything.</w:t>
      </w:r>
    </w:p>
    <w:bookmarkEnd w:id="827"/>
    <w:bookmarkStart w:id="848" w:name="a.1-cloud-pki-deployment-checklist"/>
    <w:p>
      <w:pPr>
        <w:pStyle w:val="Heading2"/>
      </w:pPr>
      <w:bookmarkStart w:id="1017" w:name="_Toc00001017"/>
      <w:r>
        <w:t xml:space="preserve">A.1 Cloud PKI deployment checklist</w:t>
      </w:r>
      <w:bookmarkEnd w:id="1017"/>
    </w:p>
    <w:p>
      <w:pPr>
        <w:pStyle w:val="TableCaption"/>
      </w:pPr>
      <w:r>
        <w:t xml:space="preserve">Cloud PKI deployment checklist</w:t>
      </w:r>
    </w:p>
    <w:tbl>
      <w:tblPr>
        <w:tblStyle w:val="Table"/>
        <w:tblW w:type="pct" w:w="5000"/>
        <w:tblLayout w:type="fixed"/>
        <w:tblLook w:firstRow="1" w:lastRow="0" w:firstColumn="0" w:lastColumn="0" w:noHBand="0" w:noVBand="0" w:val="0020"/>
        <w:tblCaption w:val="Cloud PKI deployment checklist"/>
      </w:tblPr>
      <w:tblGrid>
        <w:gridCol w:w="1584"/>
        <w:gridCol w:w="1584"/>
        <w:gridCol w:w="1584"/>
        <w:gridCol w:w="1584"/>
        <w:gridCol w:w="1584"/>
      </w:tblGrid>
      <w:tr>
        <w:trPr>
          <w:tblHeader w:val="on"/>
        </w:trPr>
        <w:tc>
          <w:tcPr/>
          <w:p>
            <w:pPr>
              <w:pStyle w:val="Compact"/>
            </w:pPr>
            <w:r>
              <w:t xml:space="preserve">#</w:t>
            </w:r>
          </w:p>
        </w:tc>
        <w:tc>
          <w:tcPr/>
          <w:p>
            <w:pPr>
              <w:pStyle w:val="Compact"/>
            </w:pPr>
            <w:r>
              <w:t xml:space="preserve">Task</w:t>
            </w:r>
          </w:p>
        </w:tc>
        <w:tc>
          <w:tcPr/>
          <w:p>
            <w:pPr>
              <w:pStyle w:val="Compact"/>
            </w:pPr>
            <w:r>
              <w:t xml:space="preserve">Wave</w:t>
            </w:r>
          </w:p>
        </w:tc>
        <w:tc>
          <w:tcPr/>
          <w:p>
            <w:pPr>
              <w:pStyle w:val="Compact"/>
            </w:pPr>
            <w:r>
              <w:t xml:space="preserve">Owner</w:t>
            </w:r>
          </w:p>
        </w:tc>
        <w:tc>
          <w:tcPr/>
          <w:p>
            <w:pPr>
              <w:pStyle w:val="Compact"/>
            </w:pPr>
            <w:r>
              <w:t xml:space="preserve">Verification</w:t>
            </w:r>
          </w:p>
        </w:tc>
      </w:tr>
      <w:tr>
        <w:tc>
          <w:tcPr/>
          <w:p>
            <w:pPr>
              <w:pStyle w:val="Compact"/>
            </w:pPr>
            <w:r>
              <w:t xml:space="preserve">1</w:t>
            </w:r>
          </w:p>
        </w:tc>
        <w:tc>
          <w:tcPr/>
          <w:p>
            <w:pPr>
              <w:pStyle w:val="Compact"/>
            </w:pPr>
            <w:r>
              <w:t xml:space="preserve">Confirm the tenant’s Cloud PKI entitlement: an add-on subscription to Intune Plan 1 or Plan 2, or (commercial tenants, from July 2026) Microsoft 365 E5 or E7. For a GCC tenant, confirm with licensing; Government packaging follows the enterprise plans subject to compliance requirements.</w:t>
            </w:r>
            <w:r>
              <w:rPr>
                <w:rStyle w:val="FootnoteReference"/>
              </w:rPr>
              <w:footnoteReference w:id="828"/>
            </w:r>
            <w:r>
              <w:rPr>
                <w:rStyle w:val="FootnoteReference"/>
              </w:rPr>
              <w:footnoteReference w:id="829"/>
            </w:r>
          </w:p>
        </w:tc>
        <w:tc>
          <w:tcPr/>
          <w:p>
            <w:pPr>
              <w:pStyle w:val="Compact"/>
            </w:pPr>
            <w:r>
              <w:t xml:space="preserve">Foundation</w:t>
            </w:r>
          </w:p>
        </w:tc>
        <w:tc>
          <w:tcPr/>
          <w:p>
            <w:pPr>
              <w:pStyle w:val="Compact"/>
            </w:pPr>
            <w:r>
              <w:t xml:space="preserve">Licensing</w:t>
            </w:r>
          </w:p>
        </w:tc>
        <w:tc>
          <w:tcPr/>
          <w:p>
            <w:pPr>
              <w:pStyle w:val="Compact"/>
            </w:pPr>
            <w:r>
              <w:t xml:space="preserve">Cloud PKI shows as active under Tenant administration &gt; Intune add-ons, or in the license record</w:t>
            </w:r>
          </w:p>
        </w:tc>
      </w:tr>
      <w:tr>
        <w:tc>
          <w:tcPr/>
          <w:p>
            <w:pPr>
              <w:pStyle w:val="Compact"/>
            </w:pPr>
            <w:r>
              <w:t xml:space="preserve">2</w:t>
            </w:r>
          </w:p>
        </w:tc>
        <w:tc>
          <w:tcPr/>
          <w:p>
            <w:pPr>
              <w:pStyle w:val="Compact"/>
            </w:pPr>
            <w:r>
              <w:t xml:space="preserve">Choose the deployment model: Cloud PKI root and issuing CA, or a BYOCA issuing CA anchored to the existing private root (Chapter 04)</w:t>
            </w:r>
          </w:p>
        </w:tc>
        <w:tc>
          <w:tcPr/>
          <w:p>
            <w:pPr>
              <w:pStyle w:val="Compact"/>
            </w:pPr>
            <w:r>
              <w:t xml:space="preserve">Foundation</w:t>
            </w:r>
          </w:p>
        </w:tc>
        <w:tc>
          <w:tcPr/>
          <w:p>
            <w:pPr>
              <w:pStyle w:val="Compact"/>
            </w:pPr>
            <w:r>
              <w:t xml:space="preserve">PKI architect</w:t>
            </w:r>
          </w:p>
        </w:tc>
        <w:tc>
          <w:tcPr/>
          <w:p>
            <w:pPr>
              <w:pStyle w:val="Compact"/>
            </w:pPr>
            <w:r>
              <w:t xml:space="preserve">Decision record signed by the PKI owner</w:t>
            </w:r>
          </w:p>
        </w:tc>
      </w:tr>
      <w:tr>
        <w:tc>
          <w:tcPr/>
          <w:p>
            <w:pPr>
              <w:pStyle w:val="Compact"/>
            </w:pPr>
            <w:r>
              <w:t xml:space="preserve">3</w:t>
            </w:r>
          </w:p>
        </w:tc>
        <w:tc>
          <w:tcPr/>
          <w:p>
            <w:pPr>
              <w:pStyle w:val="Compact"/>
            </w:pPr>
            <w:r>
              <w:t xml:space="preserve">Plan CA count against the limit of three CAs per tenant (root, issuing and BYOCA issuing CAs all count)</w:t>
            </w:r>
            <w:r>
              <w:rPr>
                <w:rStyle w:val="FootnoteReference"/>
              </w:rPr>
              <w:footnoteReference w:id="830"/>
            </w:r>
          </w:p>
        </w:tc>
        <w:tc>
          <w:tcPr/>
          <w:p>
            <w:pPr>
              <w:pStyle w:val="Compact"/>
            </w:pPr>
            <w:r>
              <w:t xml:space="preserve">Foundation</w:t>
            </w:r>
          </w:p>
        </w:tc>
        <w:tc>
          <w:tcPr/>
          <w:p>
            <w:pPr>
              <w:pStyle w:val="Compact"/>
            </w:pPr>
            <w:r>
              <w:t xml:space="preserve">PKI architect</w:t>
            </w:r>
          </w:p>
        </w:tc>
        <w:tc>
          <w:tcPr/>
          <w:p>
            <w:pPr>
              <w:pStyle w:val="Compact"/>
            </w:pPr>
            <w:r>
              <w:t xml:space="preserve">CA plan lists no more than three CAs</w:t>
            </w:r>
          </w:p>
        </w:tc>
      </w:tr>
      <w:tr>
        <w:tc>
          <w:tcPr/>
          <w:p>
            <w:pPr>
              <w:pStyle w:val="Compact"/>
            </w:pPr>
            <w:r>
              <w:t xml:space="preserve">4</w:t>
            </w:r>
          </w:p>
        </w:tc>
        <w:tc>
          <w:tcPr/>
          <w:p>
            <w:pPr>
              <w:pStyle w:val="Compact"/>
            </w:pPr>
            <w:r>
              <w:t xml:space="preserve">Fix each CA’s properties before creating it: EKUs (no Any Purpose), subject, RSA key size; they can’t be edited later</w:t>
            </w:r>
            <w:r>
              <w:rPr>
                <w:rStyle w:val="FootnoteReference"/>
              </w:rPr>
              <w:footnoteReference w:id="831"/>
            </w:r>
          </w:p>
        </w:tc>
        <w:tc>
          <w:tcPr/>
          <w:p>
            <w:pPr>
              <w:pStyle w:val="Compact"/>
            </w:pPr>
            <w:r>
              <w:t xml:space="preserve">Foundation</w:t>
            </w:r>
          </w:p>
        </w:tc>
        <w:tc>
          <w:tcPr/>
          <w:p>
            <w:pPr>
              <w:pStyle w:val="Compact"/>
            </w:pPr>
            <w:r>
              <w:t xml:space="preserve">PKI architect</w:t>
            </w:r>
          </w:p>
        </w:tc>
        <w:tc>
          <w:tcPr/>
          <w:p>
            <w:pPr>
              <w:pStyle w:val="Compact"/>
            </w:pPr>
            <w:r>
              <w:t xml:space="preserve">Properties reviewed against the issuance policy</w:t>
            </w:r>
          </w:p>
        </w:tc>
      </w:tr>
      <w:tr>
        <w:tc>
          <w:tcPr/>
          <w:p>
            <w:pPr>
              <w:pStyle w:val="Compact"/>
            </w:pPr>
            <w:r>
              <w:t xml:space="preserve">5</w:t>
            </w:r>
          </w:p>
        </w:tc>
        <w:tc>
          <w:tcPr/>
          <w:p>
            <w:pPr>
              <w:pStyle w:val="Compact"/>
            </w:pPr>
            <w:r>
              <w:rPr>
                <w:i/>
                <w:iCs/>
              </w:rPr>
              <w:t xml:space="preserve">Cloud root model:</w:t>
            </w:r>
            <w:r>
              <w:t xml:space="preserve"> </w:t>
            </w:r>
            <w:r>
              <w:t xml:space="preserve">create the Cloud PKI root CA, then the issuing CA under it, with a licensed tenant (HSM-backed keys), not during a trial (trial CAs keep software keys)</w:t>
            </w:r>
            <w:r>
              <w:rPr>
                <w:rStyle w:val="FootnoteReference"/>
              </w:rPr>
              <w:footnoteReference w:id="832"/>
            </w:r>
          </w:p>
        </w:tc>
        <w:tc>
          <w:tcPr/>
          <w:p>
            <w:pPr>
              <w:pStyle w:val="Compact"/>
            </w:pPr>
            <w:r>
              <w:t xml:space="preserve">Foundation</w:t>
            </w:r>
          </w:p>
        </w:tc>
        <w:tc>
          <w:tcPr/>
          <w:p>
            <w:pPr>
              <w:pStyle w:val="Compact"/>
            </w:pPr>
            <w:r>
              <w:t xml:space="preserve">PKI admin</w:t>
            </w:r>
          </w:p>
        </w:tc>
        <w:tc>
          <w:tcPr/>
          <w:p>
            <w:pPr>
              <w:pStyle w:val="Compact"/>
            </w:pPr>
            <w:r>
              <w:t xml:space="preserve">Both CAs show Active in Tenant administration &gt; Cloud PKI</w:t>
            </w:r>
          </w:p>
        </w:tc>
      </w:tr>
      <w:tr>
        <w:tc>
          <w:tcPr/>
          <w:p>
            <w:pPr>
              <w:pStyle w:val="Compact"/>
            </w:pPr>
            <w:r>
              <w:t xml:space="preserve">6</w:t>
            </w:r>
          </w:p>
        </w:tc>
        <w:tc>
          <w:tcPr/>
          <w:p>
            <w:pPr>
              <w:pStyle w:val="Compact"/>
            </w:pPr>
            <w:r>
              <w:rPr>
                <w:i/>
                <w:iCs/>
              </w:rPr>
              <w:t xml:space="preserve">BYOCA model:</w:t>
            </w:r>
            <w:r>
              <w:t xml:space="preserve"> </w:t>
            </w:r>
            <w:r>
              <w:t xml:space="preserve">create the BYOCA issuing CA and download its certificate request</w:t>
            </w:r>
            <w:r>
              <w:rPr>
                <w:rStyle w:val="FootnoteReference"/>
              </w:rPr>
              <w:footnoteReference w:id="833"/>
            </w:r>
          </w:p>
        </w:tc>
        <w:tc>
          <w:tcPr/>
          <w:p>
            <w:pPr>
              <w:pStyle w:val="Compact"/>
            </w:pPr>
            <w:r>
              <w:t xml:space="preserve">Foundation</w:t>
            </w:r>
          </w:p>
        </w:tc>
        <w:tc>
          <w:tcPr/>
          <w:p>
            <w:pPr>
              <w:pStyle w:val="Compact"/>
            </w:pPr>
            <w:r>
              <w:t xml:space="preserve">PKI admin</w:t>
            </w:r>
          </w:p>
        </w:tc>
        <w:tc>
          <w:tcPr/>
          <w:p>
            <w:pPr>
              <w:pStyle w:val="Compact"/>
            </w:pPr>
            <w:r>
              <w:t xml:space="preserve">CA status reads Signing required;</w:t>
            </w:r>
            <w:r>
              <w:t xml:space="preserve"> </w:t>
            </w:r>
            <w:r>
              <w:rPr>
                <w:rStyle w:val="VerbatimChar"/>
              </w:rPr>
              <w:t xml:space="preserve">.req</w:t>
            </w:r>
            <w:r>
              <w:t xml:space="preserve"> </w:t>
            </w:r>
            <w:r>
              <w:t xml:space="preserve">file saved</w:t>
            </w:r>
          </w:p>
        </w:tc>
      </w:tr>
      <w:tr>
        <w:tc>
          <w:tcPr/>
          <w:p>
            <w:pPr>
              <w:pStyle w:val="Compact"/>
            </w:pPr>
            <w:r>
              <w:t xml:space="preserve">7</w:t>
            </w:r>
          </w:p>
        </w:tc>
        <w:tc>
          <w:tcPr/>
          <w:p>
            <w:pPr>
              <w:pStyle w:val="Compact"/>
            </w:pPr>
            <w:r>
              <w:rPr>
                <w:i/>
                <w:iCs/>
              </w:rPr>
              <w:t xml:space="preserve">BYOCA model:</w:t>
            </w:r>
            <w:r>
              <w:t xml:space="preserve"> </w:t>
            </w:r>
            <w:r>
              <w:t xml:space="preserve">sign the request on the private CA with the Subordinate Certification Authority template (the program signs with the offline root); export the signed certificate and the full chain as</w:t>
            </w:r>
            <w:r>
              <w:t xml:space="preserve"> </w:t>
            </w:r>
            <w:r>
              <w:rPr>
                <w:rStyle w:val="VerbatimChar"/>
              </w:rPr>
              <w:t xml:space="preserve">.p7b</w:t>
            </w:r>
            <w:r>
              <w:rPr>
                <w:rStyle w:val="FootnoteReference"/>
              </w:rPr>
              <w:footnoteReference w:id="834"/>
            </w:r>
          </w:p>
        </w:tc>
        <w:tc>
          <w:tcPr/>
          <w:p>
            <w:pPr>
              <w:pStyle w:val="Compact"/>
            </w:pPr>
            <w:r>
              <w:t xml:space="preserve">Foundation</w:t>
            </w:r>
          </w:p>
        </w:tc>
        <w:tc>
          <w:tcPr/>
          <w:p>
            <w:pPr>
              <w:pStyle w:val="Compact"/>
            </w:pPr>
            <w:r>
              <w:t xml:space="preserve">PKI admin</w:t>
            </w:r>
          </w:p>
        </w:tc>
        <w:tc>
          <w:tcPr/>
          <w:p>
            <w:pPr>
              <w:pStyle w:val="Compact"/>
            </w:pPr>
            <w:r>
              <w:t xml:space="preserve">Signed</w:t>
            </w:r>
            <w:r>
              <w:t xml:space="preserve"> </w:t>
            </w:r>
            <w:r>
              <w:rPr>
                <w:rStyle w:val="VerbatimChar"/>
              </w:rPr>
              <w:t xml:space="preserve">.cer</w:t>
            </w:r>
            <w:r>
              <w:t xml:space="preserve"> </w:t>
            </w:r>
            <w:r>
              <w:t xml:space="preserve">and chain file in the ceremony record</w:t>
            </w:r>
          </w:p>
        </w:tc>
      </w:tr>
      <w:tr>
        <w:tc>
          <w:tcPr/>
          <w:p>
            <w:pPr>
              <w:pStyle w:val="Compact"/>
            </w:pPr>
            <w:r>
              <w:t xml:space="preserve">8</w:t>
            </w:r>
          </w:p>
        </w:tc>
        <w:tc>
          <w:tcPr/>
          <w:p>
            <w:pPr>
              <w:pStyle w:val="Compact"/>
            </w:pPr>
            <w:r>
              <w:rPr>
                <w:i/>
                <w:iCs/>
              </w:rPr>
              <w:t xml:space="preserve">BYOCA model:</w:t>
            </w:r>
            <w:r>
              <w:t xml:space="preserve"> </w:t>
            </w:r>
            <w:r>
              <w:t xml:space="preserve">upload the signed certificate and chain to the BYOCA issuing CA</w:t>
            </w:r>
            <w:r>
              <w:rPr>
                <w:rStyle w:val="FootnoteReference"/>
              </w:rPr>
              <w:footnoteReference w:id="835"/>
            </w:r>
          </w:p>
        </w:tc>
        <w:tc>
          <w:tcPr/>
          <w:p>
            <w:pPr>
              <w:pStyle w:val="Compact"/>
            </w:pPr>
            <w:r>
              <w:t xml:space="preserve">Foundation</w:t>
            </w:r>
          </w:p>
        </w:tc>
        <w:tc>
          <w:tcPr/>
          <w:p>
            <w:pPr>
              <w:pStyle w:val="Compact"/>
            </w:pPr>
            <w:r>
              <w:t xml:space="preserve">PKI admin</w:t>
            </w:r>
          </w:p>
        </w:tc>
        <w:tc>
          <w:tcPr/>
          <w:p>
            <w:pPr>
              <w:pStyle w:val="Compact"/>
            </w:pPr>
            <w:r>
              <w:t xml:space="preserve">Status Active; root common name shows External root CA</w:t>
            </w:r>
          </w:p>
        </w:tc>
      </w:tr>
      <w:tr>
        <w:tc>
          <w:tcPr/>
          <w:p>
            <w:pPr>
              <w:pStyle w:val="Compact"/>
            </w:pPr>
            <w:r>
              <w:t xml:space="preserve">9</w:t>
            </w:r>
          </w:p>
        </w:tc>
        <w:tc>
          <w:tcPr/>
          <w:p>
            <w:pPr>
              <w:pStyle w:val="Compact"/>
            </w:pPr>
            <w:r>
              <w:t xml:space="preserve">Record each CA’s CRL distribution point and AIA URIs from its properties. Intune hosts them for Cloud PKI CAs; for BYOCA, the parent CRL and AIA come from the private CA, and AD CS defaults to an LDAP AIA location</w:t>
            </w:r>
            <w:r>
              <w:rPr>
                <w:rStyle w:val="FootnoteReference"/>
              </w:rPr>
              <w:footnoteReference w:id="836"/>
            </w:r>
          </w:p>
        </w:tc>
        <w:tc>
          <w:tcPr/>
          <w:p>
            <w:pPr>
              <w:pStyle w:val="Compact"/>
            </w:pPr>
            <w:r>
              <w:t xml:space="preserve">Foundation</w:t>
            </w:r>
          </w:p>
        </w:tc>
        <w:tc>
          <w:tcPr/>
          <w:p>
            <w:pPr>
              <w:pStyle w:val="Compact"/>
            </w:pPr>
            <w:r>
              <w:t xml:space="preserve">PKI admin</w:t>
            </w:r>
          </w:p>
        </w:tc>
        <w:tc>
          <w:tcPr/>
          <w:p>
            <w:pPr>
              <w:pStyle w:val="Compact"/>
            </w:pPr>
            <w:r>
              <w:t xml:space="preserve">URIs listed in the CA register</w:t>
            </w:r>
          </w:p>
        </w:tc>
      </w:tr>
      <w:tr>
        <w:tc>
          <w:tcPr/>
          <w:p>
            <w:pPr>
              <w:pStyle w:val="Compact"/>
            </w:pPr>
            <w:r>
              <w:t xml:space="preserve">10</w:t>
            </w:r>
          </w:p>
        </w:tc>
        <w:tc>
          <w:tcPr/>
          <w:p>
            <w:pPr>
              <w:pStyle w:val="Compact"/>
            </w:pPr>
            <w:r>
              <w:t xml:space="preserve">Confirm every CRL and AIA URL is reachable over HTTP from inside the network and from the internet</w:t>
            </w:r>
          </w:p>
        </w:tc>
        <w:tc>
          <w:tcPr/>
          <w:p>
            <w:pPr>
              <w:pStyle w:val="Compact"/>
            </w:pPr>
            <w:r>
              <w:t xml:space="preserve">Foundation</w:t>
            </w:r>
          </w:p>
        </w:tc>
        <w:tc>
          <w:tcPr/>
          <w:p>
            <w:pPr>
              <w:pStyle w:val="Compact"/>
            </w:pPr>
            <w:r>
              <w:t xml:space="preserve">Network</w:t>
            </w:r>
          </w:p>
        </w:tc>
        <w:tc>
          <w:tcPr/>
          <w:p>
            <w:pPr>
              <w:pStyle w:val="Compact"/>
            </w:pPr>
            <w:r>
              <w:t xml:space="preserve">HTTP 200 from both locations; private-CA LDAP-only locations replaced</w:t>
            </w:r>
          </w:p>
        </w:tc>
      </w:tr>
      <w:tr>
        <w:tc>
          <w:tcPr/>
          <w:p>
            <w:pPr>
              <w:pStyle w:val="Compact"/>
            </w:pPr>
            <w:r>
              <w:t xml:space="preserve">11</w:t>
            </w:r>
          </w:p>
        </w:tc>
        <w:tc>
          <w:tcPr/>
          <w:p>
            <w:pPr>
              <w:pStyle w:val="Compact"/>
            </w:pPr>
            <w:r>
              <w:t xml:space="preserve">Download each CA certificate in DER</w:t>
            </w:r>
            <w:r>
              <w:t xml:space="preserve"> </w:t>
            </w:r>
            <w:r>
              <w:rPr>
                <w:rStyle w:val="VerbatimChar"/>
              </w:rPr>
              <w:t xml:space="preserve">.cer</w:t>
            </w:r>
            <w:r>
              <w:t xml:space="preserve"> </w:t>
            </w:r>
            <w:r>
              <w:t xml:space="preserve">form (Cloud PKI: CA properties &gt; Download)</w:t>
            </w:r>
            <w:r>
              <w:rPr>
                <w:rStyle w:val="FootnoteReference"/>
              </w:rPr>
              <w:footnoteReference w:id="837"/>
            </w:r>
            <w:r>
              <w:rPr>
                <w:rStyle w:val="FootnoteReference"/>
              </w:rPr>
              <w:footnoteReference w:id="838"/>
            </w:r>
          </w:p>
        </w:tc>
        <w:tc>
          <w:tcPr/>
          <w:p>
            <w:pPr>
              <w:pStyle w:val="Compact"/>
            </w:pPr>
            <w:r>
              <w:t xml:space="preserve">Foundation</w:t>
            </w:r>
          </w:p>
        </w:tc>
        <w:tc>
          <w:tcPr/>
          <w:p>
            <w:pPr>
              <w:pStyle w:val="Compact"/>
            </w:pPr>
            <w:r>
              <w:t xml:space="preserve">PKI admin</w:t>
            </w:r>
          </w:p>
        </w:tc>
        <w:tc>
          <w:tcPr/>
          <w:p>
            <w:pPr>
              <w:pStyle w:val="Compact"/>
            </w:pPr>
            <w:r>
              <w:t xml:space="preserve">Files match the CA register thumbprints</w:t>
            </w:r>
          </w:p>
        </w:tc>
      </w:tr>
      <w:tr>
        <w:tc>
          <w:tcPr/>
          <w:p>
            <w:pPr>
              <w:pStyle w:val="Compact"/>
            </w:pPr>
            <w:r>
              <w:t xml:space="preserve">12</w:t>
            </w:r>
          </w:p>
        </w:tc>
        <w:tc>
          <w:tcPr/>
          <w:p>
            <w:pPr>
              <w:pStyle w:val="Compact"/>
            </w:pPr>
            <w:r>
              <w:t xml:space="preserve">For each CA that will issue user certificates for Entra CBA, add it to the Entra ID PKI-based trust store (checklist A.2, step 5)</w:t>
            </w:r>
          </w:p>
        </w:tc>
        <w:tc>
          <w:tcPr/>
          <w:p>
            <w:pPr>
              <w:pStyle w:val="Compact"/>
            </w:pPr>
            <w:r>
              <w:t xml:space="preserve">Foundation</w:t>
            </w:r>
          </w:p>
        </w:tc>
        <w:tc>
          <w:tcPr/>
          <w:p>
            <w:pPr>
              <w:pStyle w:val="Compact"/>
            </w:pPr>
            <w:r>
              <w:t xml:space="preserve">Identity admin</w:t>
            </w:r>
          </w:p>
        </w:tc>
        <w:tc>
          <w:tcPr/>
          <w:p>
            <w:pPr>
              <w:pStyle w:val="Compact"/>
            </w:pPr>
            <w:r>
              <w:t xml:space="preserve">CA listed in the trust store with its CRL URL</w:t>
            </w:r>
          </w:p>
        </w:tc>
      </w:tr>
      <w:tr>
        <w:tc>
          <w:tcPr/>
          <w:p>
            <w:pPr>
              <w:pStyle w:val="Compact"/>
            </w:pPr>
            <w:r>
              <w:t xml:space="preserve">13</w:t>
            </w:r>
          </w:p>
        </w:tc>
        <w:tc>
          <w:tcPr/>
          <w:p>
            <w:pPr>
              <w:pStyle w:val="Compact"/>
            </w:pPr>
            <w:r>
              <w:t xml:space="preserve">Create a trusted certificate profile per platform for the root, for each intermediate, and for the issuing CA; for BYOCA, one for every CA in the private chain plus the BYOCA issuing CA</w:t>
            </w:r>
            <w:r>
              <w:rPr>
                <w:rStyle w:val="FootnoteReference"/>
              </w:rPr>
              <w:footnoteReference w:id="839"/>
            </w:r>
            <w:r>
              <w:rPr>
                <w:rStyle w:val="FootnoteReference"/>
              </w:rPr>
              <w:footnoteReference w:id="840"/>
            </w:r>
          </w:p>
        </w:tc>
        <w:tc>
          <w:tcPr/>
          <w:p>
            <w:pPr>
              <w:pStyle w:val="Compact"/>
            </w:pPr>
            <w:r>
              <w:t xml:space="preserve">Foundation</w:t>
            </w:r>
          </w:p>
        </w:tc>
        <w:tc>
          <w:tcPr/>
          <w:p>
            <w:pPr>
              <w:pStyle w:val="Compact"/>
            </w:pPr>
            <w:r>
              <w:t xml:space="preserve">Intune admin</w:t>
            </w:r>
          </w:p>
        </w:tc>
        <w:tc>
          <w:tcPr/>
          <w:p>
            <w:pPr>
              <w:pStyle w:val="Compact"/>
            </w:pPr>
            <w:r>
              <w:t xml:space="preserve">Profiles exist for Windows, iOS/iPadOS, Android and macOS as needed</w:t>
            </w:r>
          </w:p>
        </w:tc>
      </w:tr>
      <w:tr>
        <w:tc>
          <w:tcPr/>
          <w:p>
            <w:pPr>
              <w:pStyle w:val="Compact"/>
            </w:pPr>
            <w:r>
              <w:t xml:space="preserve">14</w:t>
            </w:r>
          </w:p>
        </w:tc>
        <w:tc>
          <w:tcPr/>
          <w:p>
            <w:pPr>
              <w:pStyle w:val="Compact"/>
            </w:pPr>
            <w:r>
              <w:t xml:space="preserve">Assign the trusted certificate profiles to every group that will get a cloud SCEP profile or a Wi-Fi, VPN or email profile using one</w:t>
            </w:r>
            <w:r>
              <w:rPr>
                <w:rStyle w:val="FootnoteReference"/>
              </w:rPr>
              <w:footnoteReference w:id="841"/>
            </w:r>
          </w:p>
        </w:tc>
        <w:tc>
          <w:tcPr/>
          <w:p>
            <w:pPr>
              <w:pStyle w:val="Compact"/>
            </w:pPr>
            <w:r>
              <w:t xml:space="preserve">Foundation</w:t>
            </w:r>
          </w:p>
        </w:tc>
        <w:tc>
          <w:tcPr/>
          <w:p>
            <w:pPr>
              <w:pStyle w:val="Compact"/>
            </w:pPr>
            <w:r>
              <w:t xml:space="preserve">Intune admin</w:t>
            </w:r>
          </w:p>
        </w:tc>
        <w:tc>
          <w:tcPr/>
          <w:p>
            <w:pPr>
              <w:pStyle w:val="Compact"/>
            </w:pPr>
            <w:r>
              <w:t xml:space="preserve">Assignment report</w:t>
            </w:r>
          </w:p>
        </w:tc>
      </w:tr>
      <w:tr>
        <w:tc>
          <w:tcPr/>
          <w:p>
            <w:pPr>
              <w:pStyle w:val="Compact"/>
            </w:pPr>
            <w:r>
              <w:t xml:space="preserve">15</w:t>
            </w:r>
          </w:p>
        </w:tc>
        <w:tc>
          <w:tcPr/>
          <w:p>
            <w:pPr>
              <w:pStyle w:val="Compact"/>
            </w:pPr>
            <w:r>
              <w:t xml:space="preserve">Confirm trusted certificate profile success on at least 99% of targeted devices</w:t>
            </w:r>
          </w:p>
        </w:tc>
        <w:tc>
          <w:tcPr/>
          <w:p>
            <w:pPr>
              <w:pStyle w:val="Compact"/>
            </w:pPr>
            <w:r>
              <w:t xml:space="preserve">Foundation</w:t>
            </w:r>
          </w:p>
        </w:tc>
        <w:tc>
          <w:tcPr/>
          <w:p>
            <w:pPr>
              <w:pStyle w:val="Compact"/>
            </w:pPr>
            <w:r>
              <w:t xml:space="preserve">Intune admin</w:t>
            </w:r>
          </w:p>
        </w:tc>
        <w:tc>
          <w:tcPr/>
          <w:p>
            <w:pPr>
              <w:pStyle w:val="Compact"/>
            </w:pPr>
            <w:r>
              <w:t xml:space="preserve">Profile device status report</w:t>
            </w:r>
          </w:p>
        </w:tc>
      </w:tr>
      <w:tr>
        <w:tc>
          <w:tcPr/>
          <w:p>
            <w:pPr>
              <w:pStyle w:val="Compact"/>
            </w:pPr>
            <w:r>
              <w:t xml:space="preserve">16</w:t>
            </w:r>
          </w:p>
        </w:tc>
        <w:tc>
          <w:tcPr/>
          <w:p>
            <w:pPr>
              <w:pStyle w:val="Compact"/>
            </w:pPr>
            <w:r>
              <w:t xml:space="preserve">Deploy the cloud chain to domain-joined relying parties (RADIUS, VPN, mTLS servers) by Group Policy or</w:t>
            </w:r>
            <w:r>
              <w:t xml:space="preserve"> </w:t>
            </w:r>
            <w:r>
              <w:rPr>
                <w:rStyle w:val="VerbatimChar"/>
              </w:rPr>
              <w:t xml:space="preserve">certutil -dspublish &lt;file&gt; RootCA</w:t>
            </w:r>
            <w:r>
              <w:t xml:space="preserve"> </w:t>
            </w:r>
            <w:r>
              <w:t xml:space="preserve">(Chapter 07)</w:t>
            </w:r>
          </w:p>
        </w:tc>
        <w:tc>
          <w:tcPr/>
          <w:p>
            <w:pPr>
              <w:pStyle w:val="Compact"/>
            </w:pPr>
            <w:r>
              <w:t xml:space="preserve">Foundation</w:t>
            </w:r>
          </w:p>
        </w:tc>
        <w:tc>
          <w:tcPr/>
          <w:p>
            <w:pPr>
              <w:pStyle w:val="Compact"/>
            </w:pPr>
            <w:r>
              <w:t xml:space="preserve">AD admin</w:t>
            </w:r>
          </w:p>
        </w:tc>
        <w:tc>
          <w:tcPr/>
          <w:p>
            <w:pPr>
              <w:pStyle w:val="Compact"/>
            </w:pPr>
            <w:r>
              <w:rPr>
                <w:rStyle w:val="VerbatimChar"/>
              </w:rPr>
              <w:t xml:space="preserve">certutil -verify</w:t>
            </w:r>
            <w:r>
              <w:t xml:space="preserve"> </w:t>
            </w:r>
            <w:r>
              <w:t xml:space="preserve">on a relying party builds the chain without errors</w:t>
            </w:r>
          </w:p>
        </w:tc>
      </w:tr>
      <w:tr>
        <w:tc>
          <w:tcPr/>
          <w:p>
            <w:pPr>
              <w:pStyle w:val="Compact"/>
            </w:pPr>
            <w:r>
              <w:t xml:space="preserve">17</w:t>
            </w:r>
          </w:p>
        </w:tc>
        <w:tc>
          <w:tcPr/>
          <w:p>
            <w:pPr>
              <w:pStyle w:val="Compact"/>
            </w:pPr>
            <w:r>
              <w:t xml:space="preserve">Decide whether any cloud CA will issue logon certificates for the forest; publish to NTAuth (</w:t>
            </w:r>
            <w:r>
              <w:rPr>
                <w:rStyle w:val="VerbatimChar"/>
              </w:rPr>
              <w:t xml:space="preserve">certutil -dspublish &lt;file&gt; NTAuthCA</w:t>
            </w:r>
            <w:r>
              <w:t xml:space="preserve">) only if so</w:t>
            </w:r>
          </w:p>
        </w:tc>
        <w:tc>
          <w:tcPr/>
          <w:p>
            <w:pPr>
              <w:pStyle w:val="Compact"/>
            </w:pPr>
            <w:r>
              <w:t xml:space="preserve">Foundation</w:t>
            </w:r>
          </w:p>
        </w:tc>
        <w:tc>
          <w:tcPr/>
          <w:p>
            <w:pPr>
              <w:pStyle w:val="Compact"/>
            </w:pPr>
            <w:r>
              <w:t xml:space="preserve">PKI architect</w:t>
            </w:r>
          </w:p>
        </w:tc>
        <w:tc>
          <w:tcPr/>
          <w:p>
            <w:pPr>
              <w:pStyle w:val="Compact"/>
            </w:pPr>
            <w:r>
              <w:t xml:space="preserve">Decision record; NTAuth contents match it</w:t>
            </w:r>
          </w:p>
        </w:tc>
      </w:tr>
      <w:tr>
        <w:tc>
          <w:tcPr/>
          <w:p>
            <w:pPr>
              <w:pStyle w:val="Compact"/>
            </w:pPr>
            <w:r>
              <w:t xml:space="preserve">18</w:t>
            </w:r>
          </w:p>
        </w:tc>
        <w:tc>
          <w:tcPr/>
          <w:p>
            <w:pPr>
              <w:pStyle w:val="Compact"/>
            </w:pPr>
            <w:r>
              <w:rPr>
                <w:i/>
                <w:iCs/>
              </w:rPr>
              <w:t xml:space="preserve">Only if AD CS still serves SCEP or PKCS to Intune:</w:t>
            </w:r>
            <w:r>
              <w:t xml:space="preserve"> </w:t>
            </w:r>
            <w:r>
              <w:t xml:space="preserve">install the current Certificate Connector release on a domain-joined server that isn’t the issuing CA, isn’t a domain controller and doesn’t host the Intune Connector for Active Directory; enable automatic updates</w:t>
            </w:r>
            <w:r>
              <w:rPr>
                <w:rStyle w:val="FootnoteReference"/>
              </w:rPr>
              <w:footnoteReference w:id="842"/>
            </w:r>
            <w:r>
              <w:rPr>
                <w:rStyle w:val="FootnoteReference"/>
              </w:rPr>
              <w:footnoteReference w:id="843"/>
            </w:r>
          </w:p>
        </w:tc>
        <w:tc>
          <w:tcPr/>
          <w:p>
            <w:pPr>
              <w:pStyle w:val="Compact"/>
            </w:pPr>
            <w:r>
              <w:t xml:space="preserve">Foundation</w:t>
            </w:r>
          </w:p>
        </w:tc>
        <w:tc>
          <w:tcPr/>
          <w:p>
            <w:pPr>
              <w:pStyle w:val="Compact"/>
            </w:pPr>
            <w:r>
              <w:t xml:space="preserve">Server admin</w:t>
            </w:r>
          </w:p>
        </w:tc>
        <w:tc>
          <w:tcPr/>
          <w:p>
            <w:pPr>
              <w:pStyle w:val="Compact"/>
            </w:pPr>
            <w:r>
              <w:t xml:space="preserve">Connector listed under Tenant administration &gt; Connectors and tokens &gt; Certificate connectors</w:t>
            </w:r>
          </w:p>
        </w:tc>
      </w:tr>
      <w:tr>
        <w:tc>
          <w:tcPr/>
          <w:p>
            <w:pPr>
              <w:pStyle w:val="Compact"/>
            </w:pPr>
            <w:r>
              <w:t xml:space="preserve">19</w:t>
            </w:r>
          </w:p>
        </w:tc>
        <w:tc>
          <w:tcPr/>
          <w:p>
            <w:pPr>
              <w:pStyle w:val="Compact"/>
            </w:pPr>
            <w:r>
              <w:t xml:space="preserve">Confirm connector health and version; alert on Warning or Error status</w:t>
            </w:r>
            <w:r>
              <w:rPr>
                <w:rStyle w:val="FootnoteReference"/>
              </w:rPr>
              <w:footnoteReference w:id="844"/>
            </w:r>
          </w:p>
        </w:tc>
        <w:tc>
          <w:tcPr/>
          <w:p>
            <w:pPr>
              <w:pStyle w:val="Compact"/>
            </w:pPr>
            <w:r>
              <w:t xml:space="preserve">Foundation</w:t>
            </w:r>
          </w:p>
        </w:tc>
        <w:tc>
          <w:tcPr/>
          <w:p>
            <w:pPr>
              <w:pStyle w:val="Compact"/>
            </w:pPr>
            <w:r>
              <w:t xml:space="preserve">Intune admin</w:t>
            </w:r>
          </w:p>
        </w:tc>
        <w:tc>
          <w:tcPr/>
          <w:p>
            <w:pPr>
              <w:pStyle w:val="Compact"/>
            </w:pPr>
            <w:r>
              <w:t xml:space="preserve">Status healthy; version is a supported release</w:t>
            </w:r>
          </w:p>
        </w:tc>
      </w:tr>
      <w:tr>
        <w:tc>
          <w:tcPr/>
          <w:p>
            <w:pPr>
              <w:pStyle w:val="Compact"/>
            </w:pPr>
            <w:r>
              <w:t xml:space="preserve">20</w:t>
            </w:r>
          </w:p>
        </w:tc>
        <w:tc>
          <w:tcPr/>
          <w:p>
            <w:pPr>
              <w:pStyle w:val="Compact"/>
            </w:pPr>
            <w:r>
              <w:t xml:space="preserve">Issue a test certificate to a test device and validate it on each relying party type</w:t>
            </w:r>
          </w:p>
        </w:tc>
        <w:tc>
          <w:tcPr/>
          <w:p>
            <w:pPr>
              <w:pStyle w:val="Compact"/>
            </w:pPr>
            <w:r>
              <w:t xml:space="preserve">Foundation</w:t>
            </w:r>
          </w:p>
        </w:tc>
        <w:tc>
          <w:tcPr/>
          <w:p>
            <w:pPr>
              <w:pStyle w:val="Compact"/>
            </w:pPr>
            <w:r>
              <w:t xml:space="preserve">PKI admin</w:t>
            </w:r>
          </w:p>
        </w:tc>
        <w:tc>
          <w:tcPr/>
          <w:p>
            <w:pPr>
              <w:pStyle w:val="Compact"/>
            </w:pPr>
            <w:r>
              <w:t xml:space="preserve">Validation record per relying party type</w:t>
            </w:r>
          </w:p>
        </w:tc>
      </w:tr>
      <w:tr>
        <w:tc>
          <w:tcPr/>
          <w:p>
            <w:pPr>
              <w:pStyle w:val="Compact"/>
            </w:pPr>
            <w:r>
              <w:t xml:space="preserve">21</w:t>
            </w:r>
          </w:p>
        </w:tc>
        <w:tc>
          <w:tcPr/>
          <w:p>
            <w:pPr>
              <w:pStyle w:val="Compact"/>
            </w:pPr>
            <w:r>
              <w:t xml:space="preserve">Create the pilot Wi-Fi 802.1X SCEP profile per platform, linked to the root trusted certificate profile, with the issuing CA’s SCEP URI (leave</w:t>
            </w:r>
            <w:r>
              <w:t xml:space="preserve"> </w:t>
            </w:r>
            <w:r>
              <w:rPr>
                <w:rStyle w:val="VerbatimChar"/>
              </w:rPr>
              <w:t xml:space="preserve">{{CloudPKIFQDN}}</w:t>
            </w:r>
            <w:r>
              <w:t xml:space="preserve"> </w:t>
            </w:r>
            <w:r>
              <w:t xml:space="preserve">as is); EKUs present on the issuing CA; no NDES URLs mixed in</w:t>
            </w:r>
            <w:r>
              <w:rPr>
                <w:rStyle w:val="FootnoteReference"/>
              </w:rPr>
              <w:footnoteReference w:id="845"/>
            </w:r>
          </w:p>
        </w:tc>
        <w:tc>
          <w:tcPr/>
          <w:p>
            <w:pPr>
              <w:pStyle w:val="Compact"/>
            </w:pPr>
            <w:r>
              <w:t xml:space="preserve">Pilot</w:t>
            </w:r>
          </w:p>
        </w:tc>
        <w:tc>
          <w:tcPr/>
          <w:p>
            <w:pPr>
              <w:pStyle w:val="Compact"/>
            </w:pPr>
            <w:r>
              <w:t xml:space="preserve">Intune admin</w:t>
            </w:r>
          </w:p>
        </w:tc>
        <w:tc>
          <w:tcPr/>
          <w:p>
            <w:pPr>
              <w:pStyle w:val="Compact"/>
            </w:pPr>
            <w:r>
              <w:t xml:space="preserve">Profile created; no configuration errors</w:t>
            </w:r>
          </w:p>
        </w:tc>
      </w:tr>
      <w:tr>
        <w:tc>
          <w:tcPr/>
          <w:p>
            <w:pPr>
              <w:pStyle w:val="Compact"/>
            </w:pPr>
            <w:r>
              <w:t xml:space="preserve">22</w:t>
            </w:r>
          </w:p>
        </w:tc>
        <w:tc>
          <w:tcPr/>
          <w:p>
            <w:pPr>
              <w:pStyle w:val="Compact"/>
            </w:pPr>
            <w:r>
              <w:t xml:space="preserve">Where the certificate will be used against AD, add a SAN URI attribute with</w:t>
            </w:r>
            <w:r>
              <w:t xml:space="preserve"> </w:t>
            </w:r>
            <w:r>
              <w:rPr>
                <w:rStyle w:val="VerbatimChar"/>
              </w:rPr>
              <w:t xml:space="preserve">{{OnPremisesSecurityIdentifier}}</w:t>
            </w:r>
            <w:r>
              <w:t xml:space="preserve">, in a new profile, not by editing a production profile</w:t>
            </w:r>
            <w:r>
              <w:rPr>
                <w:rStyle w:val="FootnoteReference"/>
              </w:rPr>
              <w:footnoteReference w:id="846"/>
            </w:r>
            <w:r>
              <w:rPr>
                <w:rStyle w:val="FootnoteReference"/>
              </w:rPr>
              <w:footnoteReference w:id="847"/>
            </w:r>
          </w:p>
        </w:tc>
        <w:tc>
          <w:tcPr/>
          <w:p>
            <w:pPr>
              <w:pStyle w:val="Compact"/>
            </w:pPr>
            <w:r>
              <w:t xml:space="preserve">Pilot</w:t>
            </w:r>
          </w:p>
        </w:tc>
        <w:tc>
          <w:tcPr/>
          <w:p>
            <w:pPr>
              <w:pStyle w:val="Compact"/>
            </w:pPr>
            <w:r>
              <w:t xml:space="preserve">Intune admin</w:t>
            </w:r>
          </w:p>
        </w:tc>
        <w:tc>
          <w:tcPr/>
          <w:p>
            <w:pPr>
              <w:pStyle w:val="Compact"/>
            </w:pPr>
            <w:r>
              <w:t xml:space="preserve">Issued certificate’s SAN contains</w:t>
            </w:r>
            <w:r>
              <w:t xml:space="preserve"> </w:t>
            </w:r>
            <w:r>
              <w:rPr>
                <w:rStyle w:val="VerbatimChar"/>
              </w:rPr>
              <w:t xml:space="preserve">tag:microsoft.com,2022-09-14:sid:</w:t>
            </w:r>
          </w:p>
        </w:tc>
      </w:tr>
      <w:tr>
        <w:tc>
          <w:tcPr/>
          <w:p>
            <w:pPr>
              <w:pStyle w:val="Compact"/>
            </w:pPr>
            <w:r>
              <w:t xml:space="preserve">23</w:t>
            </w:r>
          </w:p>
        </w:tc>
        <w:tc>
          <w:tcPr/>
          <w:p>
            <w:pPr>
              <w:pStyle w:val="Compact"/>
            </w:pPr>
            <w:r>
              <w:t xml:space="preserve">Assign the SCEP profile to the pilot device group; keep AD CS auto-enrollment on for those devices</w:t>
            </w:r>
          </w:p>
        </w:tc>
        <w:tc>
          <w:tcPr/>
          <w:p>
            <w:pPr>
              <w:pStyle w:val="Compact"/>
            </w:pPr>
            <w:r>
              <w:t xml:space="preserve">Pilot</w:t>
            </w:r>
          </w:p>
        </w:tc>
        <w:tc>
          <w:tcPr/>
          <w:p>
            <w:pPr>
              <w:pStyle w:val="Compact"/>
            </w:pPr>
            <w:r>
              <w:t xml:space="preserve">Intune admin</w:t>
            </w:r>
          </w:p>
        </w:tc>
        <w:tc>
          <w:tcPr/>
          <w:p>
            <w:pPr>
              <w:pStyle w:val="Compact"/>
            </w:pPr>
            <w:r>
              <w:t xml:space="preserve">Certificates issued; AD CS certificates still present</w:t>
            </w:r>
          </w:p>
        </w:tc>
      </w:tr>
      <w:tr>
        <w:tc>
          <w:tcPr/>
          <w:p>
            <w:pPr>
              <w:pStyle w:val="Compact"/>
            </w:pPr>
            <w:r>
              <w:t xml:space="preserve">24</w:t>
            </w:r>
          </w:p>
        </w:tc>
        <w:tc>
          <w:tcPr/>
          <w:p>
            <w:pPr>
              <w:pStyle w:val="Compact"/>
            </w:pPr>
            <w:r>
              <w:t xml:space="preserve">Confirm the RADIUS servers trust the cloud chain and can reach its CRL</w:t>
            </w:r>
          </w:p>
        </w:tc>
        <w:tc>
          <w:tcPr/>
          <w:p>
            <w:pPr>
              <w:pStyle w:val="Compact"/>
            </w:pPr>
            <w:r>
              <w:t xml:space="preserve">Pilot</w:t>
            </w:r>
          </w:p>
        </w:tc>
        <w:tc>
          <w:tcPr/>
          <w:p>
            <w:pPr>
              <w:pStyle w:val="Compact"/>
            </w:pPr>
            <w:r>
              <w:t xml:space="preserve">Network</w:t>
            </w:r>
          </w:p>
        </w:tc>
        <w:tc>
          <w:tcPr/>
          <w:p>
            <w:pPr>
              <w:pStyle w:val="Compact"/>
            </w:pPr>
            <w:r>
              <w:t xml:space="preserve">NPS or RADIUS log shows successful validation</w:t>
            </w:r>
          </w:p>
        </w:tc>
      </w:tr>
      <w:tr>
        <w:tc>
          <w:tcPr/>
          <w:p>
            <w:pPr>
              <w:pStyle w:val="Compact"/>
            </w:pPr>
            <w:r>
              <w:t xml:space="preserve">25</w:t>
            </w:r>
          </w:p>
        </w:tc>
        <w:tc>
          <w:tcPr/>
          <w:p>
            <w:pPr>
              <w:pStyle w:val="Compact"/>
            </w:pPr>
            <w:r>
              <w:t xml:space="preserve">Verify end-to-end Wi-Fi authentication with the cloud certificate</w:t>
            </w:r>
          </w:p>
        </w:tc>
        <w:tc>
          <w:tcPr/>
          <w:p>
            <w:pPr>
              <w:pStyle w:val="Compact"/>
            </w:pPr>
            <w:r>
              <w:t xml:space="preserve">Pilot</w:t>
            </w:r>
          </w:p>
        </w:tc>
        <w:tc>
          <w:tcPr/>
          <w:p>
            <w:pPr>
              <w:pStyle w:val="Compact"/>
            </w:pPr>
            <w:r>
              <w:t xml:space="preserve">Network and PKI</w:t>
            </w:r>
          </w:p>
        </w:tc>
        <w:tc>
          <w:tcPr/>
          <w:p>
            <w:pPr>
              <w:pStyle w:val="Compact"/>
            </w:pPr>
            <w:r>
              <w:t xml:space="preserve">Successful 802.1X sessions for pilot devices</w:t>
            </w:r>
          </w:p>
        </w:tc>
      </w:tr>
      <w:tr>
        <w:tc>
          <w:tcPr/>
          <w:p>
            <w:pPr>
              <w:pStyle w:val="Compact"/>
            </w:pPr>
            <w:r>
              <w:t xml:space="preserve">26</w:t>
            </w:r>
          </w:p>
        </w:tc>
        <w:tc>
          <w:tcPr/>
          <w:p>
            <w:pPr>
              <w:pStyle w:val="Compact"/>
            </w:pPr>
            <w:r>
              <w:t xml:space="preserve">Create and assign the VPN SCEP profile; verify VPN authentication</w:t>
            </w:r>
          </w:p>
        </w:tc>
        <w:tc>
          <w:tcPr/>
          <w:p>
            <w:pPr>
              <w:pStyle w:val="Compact"/>
            </w:pPr>
            <w:r>
              <w:t xml:space="preserve">Pilot</w:t>
            </w:r>
          </w:p>
        </w:tc>
        <w:tc>
          <w:tcPr/>
          <w:p>
            <w:pPr>
              <w:pStyle w:val="Compact"/>
            </w:pPr>
            <w:r>
              <w:t xml:space="preserve">Intune admin, network</w:t>
            </w:r>
          </w:p>
        </w:tc>
        <w:tc>
          <w:tcPr/>
          <w:p>
            <w:pPr>
              <w:pStyle w:val="Compact"/>
            </w:pPr>
            <w:r>
              <w:t xml:space="preserve">Successful VPN sessions for pilot devices</w:t>
            </w:r>
          </w:p>
        </w:tc>
      </w:tr>
      <w:tr>
        <w:tc>
          <w:tcPr/>
          <w:p>
            <w:pPr>
              <w:pStyle w:val="Compact"/>
            </w:pPr>
            <w:r>
              <w:t xml:space="preserve">27</w:t>
            </w:r>
          </w:p>
        </w:tc>
        <w:tc>
          <w:tcPr/>
          <w:p>
            <w:pPr>
              <w:pStyle w:val="Compact"/>
            </w:pPr>
            <w:r>
              <w:t xml:space="preserve">Extend SCEP profiles to production rings through dynamic groups</w:t>
            </w:r>
          </w:p>
        </w:tc>
        <w:tc>
          <w:tcPr/>
          <w:p>
            <w:pPr>
              <w:pStyle w:val="Compact"/>
            </w:pPr>
            <w:r>
              <w:t xml:space="preserve">Scale</w:t>
            </w:r>
          </w:p>
        </w:tc>
        <w:tc>
          <w:tcPr/>
          <w:p>
            <w:pPr>
              <w:pStyle w:val="Compact"/>
            </w:pPr>
            <w:r>
              <w:t xml:space="preserve">Intune admin</w:t>
            </w:r>
          </w:p>
        </w:tc>
        <w:tc>
          <w:tcPr/>
          <w:p>
            <w:pPr>
              <w:pStyle w:val="Compact"/>
            </w:pPr>
            <w:r>
              <w:t xml:space="preserve">Issuance success per ring</w:t>
            </w:r>
          </w:p>
        </w:tc>
      </w:tr>
      <w:tr>
        <w:tc>
          <w:tcPr/>
          <w:p>
            <w:pPr>
              <w:pStyle w:val="Compact"/>
            </w:pPr>
            <w:r>
              <w:t xml:space="preserve">28</w:t>
            </w:r>
          </w:p>
        </w:tc>
        <w:tc>
          <w:tcPr/>
          <w:p>
            <w:pPr>
              <w:pStyle w:val="Compact"/>
            </w:pPr>
            <w:r>
              <w:t xml:space="preserve">For each migrated ring, remove AD CS auto-enrollment for its MIGRATE templates</w:t>
            </w:r>
          </w:p>
        </w:tc>
        <w:tc>
          <w:tcPr/>
          <w:p>
            <w:pPr>
              <w:pStyle w:val="Compact"/>
            </w:pPr>
            <w:r>
              <w:t xml:space="preserve">Scale and Cutover</w:t>
            </w:r>
          </w:p>
        </w:tc>
        <w:tc>
          <w:tcPr/>
          <w:p>
            <w:pPr>
              <w:pStyle w:val="Compact"/>
            </w:pPr>
            <w:r>
              <w:t xml:space="preserve">AD admin</w:t>
            </w:r>
          </w:p>
        </w:tc>
        <w:tc>
          <w:tcPr/>
          <w:p>
            <w:pPr>
              <w:pStyle w:val="Compact"/>
            </w:pPr>
            <w:r>
              <w:t xml:space="preserve">GPO links and template permissions updated; change record</w:t>
            </w:r>
          </w:p>
        </w:tc>
      </w:tr>
      <w:tr>
        <w:tc>
          <w:tcPr/>
          <w:p>
            <w:pPr>
              <w:pStyle w:val="Compact"/>
            </w:pPr>
            <w:r>
              <w:t xml:space="preserve">29</w:t>
            </w:r>
          </w:p>
        </w:tc>
        <w:tc>
          <w:tcPr/>
          <w:p>
            <w:pPr>
              <w:pStyle w:val="Compact"/>
            </w:pPr>
            <w:r>
              <w:t xml:space="preserve">Confirm no unexpired AD CS certificates remain on managed endpoints for MIGRATE use cases</w:t>
            </w:r>
          </w:p>
        </w:tc>
        <w:tc>
          <w:tcPr/>
          <w:p>
            <w:pPr>
              <w:pStyle w:val="Compact"/>
            </w:pPr>
            <w:r>
              <w:t xml:space="preserve">Cutover</w:t>
            </w:r>
          </w:p>
        </w:tc>
        <w:tc>
          <w:tcPr/>
          <w:p>
            <w:pPr>
              <w:pStyle w:val="Compact"/>
            </w:pPr>
            <w:r>
              <w:t xml:space="preserve">PKI admin</w:t>
            </w:r>
          </w:p>
        </w:tc>
        <w:tc>
          <w:tcPr/>
          <w:p>
            <w:pPr>
              <w:pStyle w:val="Compact"/>
            </w:pPr>
            <w:r>
              <w:t xml:space="preserve">Inventory report shows zero</w:t>
            </w:r>
          </w:p>
        </w:tc>
      </w:tr>
      <w:tr>
        <w:tc>
          <w:tcPr/>
          <w:p>
            <w:pPr>
              <w:pStyle w:val="Compact"/>
            </w:pPr>
            <w:r>
              <w:t xml:space="preserve">30</w:t>
            </w:r>
          </w:p>
        </w:tc>
        <w:tc>
          <w:tcPr/>
          <w:p>
            <w:pPr>
              <w:pStyle w:val="Compact"/>
            </w:pPr>
            <w:r>
              <w:t xml:space="preserve">Retire AD CS components that served only MIGRATE workloads (NDES and connector servers no longer needed, retired issuing CAs, their enrollment service objects and auto-enrollment GPOs), following Chapter 08; archive each CA’s database and keys first</w:t>
            </w:r>
          </w:p>
        </w:tc>
        <w:tc>
          <w:tcPr/>
          <w:p>
            <w:pPr>
              <w:pStyle w:val="Compact"/>
            </w:pPr>
            <w:r>
              <w:t xml:space="preserve">Decommission</w:t>
            </w:r>
          </w:p>
        </w:tc>
        <w:tc>
          <w:tcPr/>
          <w:p>
            <w:pPr>
              <w:pStyle w:val="Compact"/>
            </w:pPr>
            <w:r>
              <w:t xml:space="preserve">PKI admin, server admin, AD admin</w:t>
            </w:r>
          </w:p>
        </w:tc>
        <w:tc>
          <w:tcPr/>
          <w:p>
            <w:pPr>
              <w:pStyle w:val="Compact"/>
            </w:pPr>
            <w:r>
              <w:t xml:space="preserve">Decommission record committed to the evidence repository</w:t>
            </w:r>
          </w:p>
        </w:tc>
      </w:tr>
    </w:tbl>
    <w:p>
      <w:pPr>
        <w:pStyle w:val="BodyText"/>
      </w:pPr>
      <w:r>
        <w:t xml:space="preserve">Changes from the guide’s version: the CSR steps now apply only to the BYOCA model, because a Cloud PKI root signs its own issuing CA inside Intune; CA certificates are exported DER-encoded; the cloud chain goes to domain-joined relying parties in the Foundation wave, before the pilot needs it, not in Scale; the connector is optional and must be on a current, supported release rather than</w:t>
      </w:r>
      <w:r>
        <w:t xml:space="preserve"> </w:t>
      </w:r>
      <w:r>
        <w:t xml:space="preserve">“v6.2406+”</w:t>
      </w:r>
      <w:r>
        <w:t xml:space="preserve">; and the strong-mapping, NTAuth and three-CA-limit steps are new.</w:t>
      </w:r>
    </w:p>
    <w:bookmarkEnd w:id="848"/>
    <w:bookmarkStart w:id="880" w:name="a.2-entra-cba-configuration-checklist"/>
    <w:p>
      <w:pPr>
        <w:pStyle w:val="Heading2"/>
      </w:pPr>
      <w:bookmarkStart w:id="1018" w:name="_Toc00001018"/>
      <w:r>
        <w:t xml:space="preserve">A.2 Entra CBA configuration checklist</w:t>
      </w:r>
      <w:bookmarkEnd w:id="1018"/>
    </w:p>
    <w:p>
      <w:pPr>
        <w:pStyle w:val="FirstParagraph"/>
      </w:pPr>
      <w:r>
        <w:t xml:space="preserve">Work through the steps in order.</w:t>
      </w:r>
    </w:p>
    <w:p>
      <w:pPr>
        <w:pStyle w:val="TableCaption"/>
      </w:pPr>
      <w:r>
        <w:t xml:space="preserve">Entra CBA configuration checklist</w:t>
      </w:r>
    </w:p>
    <w:tbl>
      <w:tblPr>
        <w:tblStyle w:val="Table"/>
        <w:tblW w:type="pct" w:w="5000"/>
        <w:tblLayout w:type="fixed"/>
        <w:tblLook w:firstRow="1" w:lastRow="0" w:firstColumn="0" w:lastColumn="0" w:noHBand="0" w:noVBand="0" w:val="0020"/>
        <w:tblCaption w:val="Entra CBA configuration checklist"/>
      </w:tblPr>
      <w:tblGrid>
        <w:gridCol w:w="1980"/>
        <w:gridCol w:w="1980"/>
        <w:gridCol w:w="1980"/>
        <w:gridCol w:w="1980"/>
      </w:tblGrid>
      <w:tr>
        <w:trPr>
          <w:tblHeader w:val="on"/>
        </w:trPr>
        <w:tc>
          <w:tcPr/>
          <w:p>
            <w:pPr>
              <w:pStyle w:val="Compact"/>
            </w:pPr>
            <w:r>
              <w:t xml:space="preserve">#</w:t>
            </w:r>
          </w:p>
        </w:tc>
        <w:tc>
          <w:tcPr/>
          <w:p>
            <w:pPr>
              <w:pStyle w:val="Compact"/>
            </w:pPr>
            <w:r>
              <w:t xml:space="preserve">Step</w:t>
            </w:r>
          </w:p>
        </w:tc>
        <w:tc>
          <w:tcPr/>
          <w:p>
            <w:pPr>
              <w:pStyle w:val="Compact"/>
            </w:pPr>
            <w:r>
              <w:t xml:space="preserve">Detail</w:t>
            </w:r>
          </w:p>
        </w:tc>
        <w:tc>
          <w:tcPr/>
          <w:p>
            <w:pPr>
              <w:pStyle w:val="Compact"/>
            </w:pPr>
            <w:r>
              <w:t xml:space="preserve">Verification</w:t>
            </w:r>
          </w:p>
        </w:tc>
      </w:tr>
      <w:tr>
        <w:tc>
          <w:tcPr/>
          <w:p>
            <w:pPr>
              <w:pStyle w:val="Compact"/>
            </w:pPr>
            <w:r>
              <w:t xml:space="preserve">1</w:t>
            </w:r>
          </w:p>
        </w:tc>
        <w:tc>
          <w:tcPr/>
          <w:p>
            <w:pPr>
              <w:pStyle w:val="Compact"/>
            </w:pPr>
            <w:r>
              <w:t xml:space="preserve">Confirm licensing</w:t>
            </w:r>
          </w:p>
        </w:tc>
        <w:tc>
          <w:tcPr/>
          <w:p>
            <w:pPr>
              <w:pStyle w:val="Compact"/>
            </w:pPr>
            <w:r>
              <w:t xml:space="preserve">CBA itself doesn’t need a premium license, but Conditional Access needs Entra ID P1, and the PKI-based trust store’s bulk</w:t>
            </w:r>
            <w:r>
              <w:t xml:space="preserve"> </w:t>
            </w:r>
            <w:r>
              <w:rPr>
                <w:rStyle w:val="VerbatimChar"/>
              </w:rPr>
              <w:t xml:space="preserve">.p7b</w:t>
            </w:r>
            <w:r>
              <w:t xml:space="preserve"> </w:t>
            </w:r>
            <w:r>
              <w:t xml:space="preserve">upload needs P1 or P2.</w:t>
            </w:r>
            <w:r>
              <w:rPr>
                <w:rStyle w:val="FootnoteReference"/>
              </w:rPr>
              <w:footnoteReference w:id="849"/>
            </w:r>
            <w:r>
              <w:rPr>
                <w:rStyle w:val="FootnoteReference"/>
              </w:rPr>
              <w:footnoteReference w:id="850"/>
            </w:r>
            <w:r>
              <w:t xml:space="preserve"> </w:t>
            </w:r>
            <w:r>
              <w:t xml:space="preserve">The guide’s mention of P2 for PIM doesn’t apply to CBA.</w:t>
            </w:r>
          </w:p>
        </w:tc>
        <w:tc>
          <w:tcPr/>
          <w:p>
            <w:pPr>
              <w:pStyle w:val="Compact"/>
            </w:pPr>
            <w:r>
              <w:rPr>
                <w:rStyle w:val="VerbatimChar"/>
              </w:rPr>
              <w:t xml:space="preserve">Get-MgSubscribedSku \| Where-Object { $_.ServicePlans.ServicePlanName -contains 'AAD_PREMIUM' }</w:t>
            </w:r>
            <w:r>
              <w:t xml:space="preserve"> </w:t>
            </w:r>
            <w:r>
              <w:t xml:space="preserve">returns a SKU whose</w:t>
            </w:r>
            <w:r>
              <w:t xml:space="preserve"> </w:t>
            </w:r>
            <w:r>
              <w:rPr>
                <w:rStyle w:val="VerbatimChar"/>
              </w:rPr>
              <w:t xml:space="preserve">CapabilityStatus</w:t>
            </w:r>
            <w:r>
              <w:t xml:space="preserve"> </w:t>
            </w:r>
            <w:r>
              <w:t xml:space="preserve">is</w:t>
            </w:r>
            <w:r>
              <w:t xml:space="preserve"> </w:t>
            </w:r>
            <w:r>
              <w:rPr>
                <w:rStyle w:val="VerbatimChar"/>
              </w:rPr>
              <w:t xml:space="preserve">Enabled</w:t>
            </w:r>
            <w:r>
              <w:t xml:space="preserve"> </w:t>
            </w:r>
            <w:r>
              <w:t xml:space="preserve">(this also catches bundles such as Microsoft 365 E3 and E5)</w:t>
            </w:r>
          </w:p>
        </w:tc>
      </w:tr>
      <w:tr>
        <w:tc>
          <w:tcPr/>
          <w:p>
            <w:pPr>
              <w:pStyle w:val="Compact"/>
            </w:pPr>
            <w:r>
              <w:t xml:space="preserve">2</w:t>
            </w:r>
          </w:p>
        </w:tc>
        <w:tc>
          <w:tcPr/>
          <w:p>
            <w:pPr>
              <w:pStyle w:val="Compact"/>
            </w:pPr>
            <w:r>
              <w:t xml:space="preserve">Confirm the user-to-certificate write path</w:t>
            </w:r>
          </w:p>
        </w:tc>
        <w:tc>
          <w:tcPr/>
          <w:p>
            <w:pPr>
              <w:pStyle w:val="Compact"/>
            </w:pPr>
            <w:r>
              <w:t xml:space="preserve">Cloud-only users:</w:t>
            </w:r>
            <w:r>
              <w:t xml:space="preserve"> </w:t>
            </w:r>
            <w:r>
              <w:rPr>
                <w:rStyle w:val="VerbatimChar"/>
              </w:rPr>
              <w:t xml:space="preserve">certificateUserIds</w:t>
            </w:r>
            <w:r>
              <w:t xml:space="preserve"> </w:t>
            </w:r>
            <w:r>
              <w:t xml:space="preserve">written through the admin center or Microsoft Graph. Synced users: only Entra Connect writes it, from</w:t>
            </w:r>
            <w:r>
              <w:t xml:space="preserve"> </w:t>
            </w:r>
            <w:r>
              <w:rPr>
                <w:rStyle w:val="VerbatimChar"/>
              </w:rPr>
              <w:t xml:space="preserve">altSecurityIdentities</w:t>
            </w:r>
            <w:r>
              <w:t xml:space="preserve"> </w:t>
            </w:r>
            <w:r>
              <w:t xml:space="preserve">or sync rules (Book 03, Chapter 09).</w:t>
            </w:r>
            <w:r>
              <w:rPr>
                <w:rStyle w:val="FootnoteReference"/>
              </w:rPr>
              <w:footnoteReference w:id="851"/>
            </w:r>
          </w:p>
        </w:tc>
        <w:tc>
          <w:tcPr/>
          <w:p>
            <w:pPr>
              <w:pStyle w:val="Compact"/>
            </w:pPr>
            <w:r>
              <w:t xml:space="preserve">A test user’s</w:t>
            </w:r>
            <w:r>
              <w:t xml:space="preserve"> </w:t>
            </w:r>
            <w:r>
              <w:rPr>
                <w:rStyle w:val="VerbatimChar"/>
              </w:rPr>
              <w:t xml:space="preserve">certificateUserIds</w:t>
            </w:r>
            <w:r>
              <w:t xml:space="preserve"> </w:t>
            </w:r>
            <w:r>
              <w:t xml:space="preserve">holds the expected value</w:t>
            </w:r>
          </w:p>
        </w:tc>
      </w:tr>
      <w:tr>
        <w:tc>
          <w:tcPr/>
          <w:p>
            <w:pPr>
              <w:pStyle w:val="Compact"/>
            </w:pPr>
            <w:r>
              <w:t xml:space="preserve">3</w:t>
            </w:r>
          </w:p>
        </w:tc>
        <w:tc>
          <w:tcPr/>
          <w:p>
            <w:pPr>
              <w:pStyle w:val="Compact"/>
            </w:pPr>
            <w:r>
              <w:t xml:space="preserve">Export the CA certificates</w:t>
            </w:r>
          </w:p>
        </w:tc>
        <w:tc>
          <w:tcPr/>
          <w:p>
            <w:pPr>
              <w:pStyle w:val="Compact"/>
            </w:pPr>
            <w:r>
              <w:t xml:space="preserve">Root and every intermediate and issuing CA in the user-certificate chain.</w:t>
            </w:r>
          </w:p>
        </w:tc>
        <w:tc>
          <w:tcPr/>
          <w:p>
            <w:pPr>
              <w:pStyle w:val="Compact"/>
            </w:pPr>
            <w:r>
              <w:rPr>
                <w:rStyle w:val="VerbatimChar"/>
              </w:rPr>
              <w:t xml:space="preserve">certutil -dump &lt;file&gt;.cer</w:t>
            </w:r>
            <w:r>
              <w:t xml:space="preserve"> </w:t>
            </w:r>
            <w:r>
              <w:t xml:space="preserve">shows the expected subject, validity and key usage</w:t>
            </w:r>
          </w:p>
        </w:tc>
      </w:tr>
      <w:tr>
        <w:tc>
          <w:tcPr/>
          <w:p>
            <w:pPr>
              <w:pStyle w:val="Compact"/>
            </w:pPr>
            <w:r>
              <w:t xml:space="preserve">4</w:t>
            </w:r>
          </w:p>
        </w:tc>
        <w:tc>
          <w:tcPr/>
          <w:p>
            <w:pPr>
              <w:pStyle w:val="Compact"/>
            </w:pPr>
            <w:r>
              <w:t xml:space="preserve">Open the network path</w:t>
            </w:r>
          </w:p>
        </w:tc>
        <w:tc>
          <w:tcPr/>
          <w:p>
            <w:pPr>
              <w:pStyle w:val="Compact"/>
            </w:pPr>
            <w:r>
              <w:t xml:space="preserve">Allow</w:t>
            </w:r>
            <w:r>
              <w:t xml:space="preserve"> </w:t>
            </w:r>
            <w:r>
              <w:rPr>
                <w:rStyle w:val="VerbatimChar"/>
              </w:rPr>
              <w:t xml:space="preserve">*.certauth.login.microsoftonline.com</w:t>
            </w:r>
            <w:r>
              <w:t xml:space="preserve"> </w:t>
            </w:r>
            <w:r>
              <w:t xml:space="preserve">(Azure Government:</w:t>
            </w:r>
            <w:r>
              <w:t xml:space="preserve"> </w:t>
            </w:r>
            <w:r>
              <w:rPr>
                <w:rStyle w:val="VerbatimChar"/>
              </w:rPr>
              <w:t xml:space="preserve">*.certauth.login.microsoftonline.us</w:t>
            </w:r>
            <w:r>
              <w:t xml:space="preserve">) and turn off TLS inspection for it.</w:t>
            </w:r>
            <w:r>
              <w:rPr>
                <w:rStyle w:val="FootnoteReference"/>
              </w:rPr>
              <w:footnoteReference w:id="852"/>
            </w:r>
          </w:p>
        </w:tc>
        <w:tc>
          <w:tcPr/>
          <w:p>
            <w:pPr>
              <w:pStyle w:val="Compact"/>
            </w:pPr>
            <w:r>
              <w:t xml:space="preserve">A test client completes the certificate prompt through the production proxy</w:t>
            </w:r>
          </w:p>
        </w:tc>
      </w:tr>
      <w:tr>
        <w:tc>
          <w:tcPr/>
          <w:p>
            <w:pPr>
              <w:pStyle w:val="Compact"/>
            </w:pPr>
            <w:r>
              <w:t xml:space="preserve">5</w:t>
            </w:r>
          </w:p>
        </w:tc>
        <w:tc>
          <w:tcPr/>
          <w:p>
            <w:pPr>
              <w:pStyle w:val="Compact"/>
            </w:pPr>
            <w:r>
              <w:t xml:space="preserve">Create the PKI-based trust store and add CAs</w:t>
            </w:r>
          </w:p>
        </w:tc>
        <w:tc>
          <w:tcPr/>
          <w:p>
            <w:pPr>
              <w:pStyle w:val="Compact"/>
            </w:pPr>
            <w:r>
              <w:t xml:space="preserve">As at least Privileged Authentication Administrator: create a PKI container, add each CA (marking roots), with the base CRL URL and, if published, the delta CRL URL.</w:t>
            </w:r>
            <w:r>
              <w:rPr>
                <w:rStyle w:val="FootnoteReference"/>
              </w:rPr>
              <w:footnoteReference w:id="853"/>
            </w:r>
            <w:r>
              <w:t xml:space="preserve"> </w:t>
            </w:r>
            <w:r>
              <w:t xml:space="preserve">Prefer the PKI-based store over the classic store.</w:t>
            </w:r>
            <w:r>
              <w:rPr>
                <w:rStyle w:val="FootnoteReference"/>
              </w:rPr>
              <w:footnoteReference w:id="854"/>
            </w:r>
          </w:p>
        </w:tc>
        <w:tc>
          <w:tcPr/>
          <w:p>
            <w:pPr>
              <w:pStyle w:val="Compact"/>
            </w:pPr>
            <w:r>
              <w:t xml:space="preserve">The admin center lists each CA with its CRL URLs; for automation,</w:t>
            </w:r>
            <w:r>
              <w:t xml:space="preserve"> </w:t>
            </w:r>
            <w:r>
              <w:rPr>
                <w:rStyle w:val="VerbatimChar"/>
              </w:rPr>
              <w:t xml:space="preserve">GET https://graph.microsoft.com/beta/directory/publicKeyInfrastructure/certificateBasedAuthConfigurations</w:t>
            </w:r>
            <w:r>
              <w:t xml:space="preserve"> </w:t>
            </w:r>
            <w:r>
              <w:t xml:space="preserve">returns the PKI</w:t>
            </w:r>
            <w:r>
              <w:rPr>
                <w:rStyle w:val="FootnoteReference"/>
              </w:rPr>
              <w:footnoteReference w:id="855"/>
            </w:r>
          </w:p>
        </w:tc>
      </w:tr>
      <w:tr>
        <w:tc>
          <w:tcPr/>
          <w:p>
            <w:pPr>
              <w:pStyle w:val="Compact"/>
            </w:pPr>
            <w:r>
              <w:t xml:space="preserve">6</w:t>
            </w:r>
          </w:p>
        </w:tc>
        <w:tc>
          <w:tcPr/>
          <w:p>
            <w:pPr>
              <w:pStyle w:val="Compact"/>
            </w:pPr>
            <w:r>
              <w:t xml:space="preserve">Verify CRL reachability and size</w:t>
            </w:r>
          </w:p>
        </w:tc>
        <w:tc>
          <w:tcPr/>
          <w:p>
            <w:pPr>
              <w:pStyle w:val="Compact"/>
            </w:pPr>
            <w:r>
              <w:t xml:space="preserve">Each CRL URL must be an internet-reachable HTTP (recommended) or HTTPS URL, downloadable in 10 seconds, within 20 MB (commercial and GCC) or 45 MB (Azure Government) for interactive sign-in. Entra ID doesn’t support OCSP.</w:t>
            </w:r>
            <w:r>
              <w:rPr>
                <w:rStyle w:val="FootnoteReference"/>
              </w:rPr>
              <w:footnoteReference w:id="856"/>
            </w:r>
          </w:p>
        </w:tc>
        <w:tc>
          <w:tcPr/>
          <w:p>
            <w:pPr>
              <w:pStyle w:val="Compact"/>
            </w:pPr>
            <w:r>
              <w:t xml:space="preserve">From an external network,</w:t>
            </w:r>
            <w:r>
              <w:t xml:space="preserve"> </w:t>
            </w:r>
            <w:r>
              <w:rPr>
                <w:rStyle w:val="VerbatimChar"/>
              </w:rPr>
              <w:t xml:space="preserve">Invoke-WebRequest -Uri &lt;crl-url&gt; -Method Head</w:t>
            </w:r>
            <w:r>
              <w:t xml:space="preserve"> </w:t>
            </w:r>
            <w:r>
              <w:t xml:space="preserve">returns HTTP 200; file size within the limit</w:t>
            </w:r>
          </w:p>
        </w:tc>
      </w:tr>
      <w:tr>
        <w:tc>
          <w:tcPr/>
          <w:p>
            <w:pPr>
              <w:pStyle w:val="Compact"/>
            </w:pPr>
            <w:r>
              <w:t xml:space="preserve">7</w:t>
            </w:r>
          </w:p>
        </w:tc>
        <w:tc>
          <w:tcPr/>
          <w:p>
            <w:pPr>
              <w:pStyle w:val="Compact"/>
            </w:pPr>
            <w:r>
              <w:t xml:space="preserve">Require CRL validation</w:t>
            </w:r>
          </w:p>
        </w:tc>
        <w:tc>
          <w:tcPr/>
          <w:p>
            <w:pPr>
              <w:pStyle w:val="Compact"/>
            </w:pPr>
            <w:r>
              <w:t xml:space="preserve">Turn on Require CRL validation; exempt a CA only while its CRL is being fixed.</w:t>
            </w:r>
            <w:r>
              <w:rPr>
                <w:rStyle w:val="FootnoteReference"/>
              </w:rPr>
              <w:footnoteReference w:id="857"/>
            </w:r>
          </w:p>
        </w:tc>
        <w:tc>
          <w:tcPr/>
          <w:p>
            <w:pPr>
              <w:pStyle w:val="Compact"/>
            </w:pPr>
            <w:r>
              <w:t xml:space="preserve">Setting shows on; exemption list empty or dated</w:t>
            </w:r>
          </w:p>
        </w:tc>
      </w:tr>
      <w:tr>
        <w:tc>
          <w:tcPr/>
          <w:p>
            <w:pPr>
              <w:pStyle w:val="Compact"/>
            </w:pPr>
            <w:r>
              <w:t xml:space="preserve">8</w:t>
            </w:r>
          </w:p>
        </w:tc>
        <w:tc>
          <w:tcPr/>
          <w:p>
            <w:pPr>
              <w:pStyle w:val="Compact"/>
            </w:pPr>
            <w:r>
              <w:t xml:space="preserve">Scope CAs if several PKIs serve different users</w:t>
            </w:r>
          </w:p>
        </w:tc>
        <w:tc>
          <w:tcPr/>
          <w:p>
            <w:pPr>
              <w:pStyle w:val="Compact"/>
            </w:pPr>
            <w:r>
              <w:t xml:space="preserve">CA scoping ties a CA to one group; one group per CA, up to 30 rules.</w:t>
            </w:r>
            <w:r>
              <w:rPr>
                <w:rStyle w:val="FootnoteReference"/>
              </w:rPr>
              <w:footnoteReference w:id="858"/>
            </w:r>
          </w:p>
        </w:tc>
        <w:tc>
          <w:tcPr/>
          <w:p>
            <w:pPr>
              <w:pStyle w:val="Compact"/>
            </w:pPr>
            <w:r>
              <w:t xml:space="preserve">Scoping rules match the population plan</w:t>
            </w:r>
          </w:p>
        </w:tc>
      </w:tr>
      <w:tr>
        <w:tc>
          <w:tcPr/>
          <w:p>
            <w:pPr>
              <w:pStyle w:val="Compact"/>
            </w:pPr>
            <w:r>
              <w:t xml:space="preserve">9</w:t>
            </w:r>
          </w:p>
        </w:tc>
        <w:tc>
          <w:tcPr/>
          <w:p>
            <w:pPr>
              <w:pStyle w:val="Compact"/>
            </w:pPr>
            <w:r>
              <w:t xml:space="preserve">Create the pilot groups</w:t>
            </w:r>
          </w:p>
        </w:tc>
        <w:tc>
          <w:tcPr/>
          <w:p>
            <w:pPr>
              <w:pStyle w:val="Compact"/>
            </w:pPr>
            <w:r>
              <w:t xml:space="preserve">Cloud security groups, ten to twenty users covering each certificate type, platform and CA. Use separate groups for the CBA method and for staged rollout; staged rollout doesn’t support nested or dynamic groups.</w:t>
            </w:r>
            <w:r>
              <w:rPr>
                <w:rStyle w:val="FootnoteReference"/>
              </w:rPr>
              <w:footnoteReference w:id="859"/>
            </w:r>
            <w:r>
              <w:rPr>
                <w:rStyle w:val="FootnoteReference"/>
              </w:rPr>
              <w:footnoteReference w:id="860"/>
            </w:r>
          </w:p>
        </w:tc>
        <w:tc>
          <w:tcPr/>
          <w:p>
            <w:pPr>
              <w:pStyle w:val="Compact"/>
            </w:pPr>
            <w:r>
              <w:rPr>
                <w:rStyle w:val="VerbatimChar"/>
              </w:rPr>
              <w:t xml:space="preserve">Get-MgGroup -Filter "displayName eq 'CBA-Pilot-Users'"</w:t>
            </w:r>
            <w:r>
              <w:t xml:space="preserve"> </w:t>
            </w:r>
            <w:r>
              <w:t xml:space="preserve">returns the group with members</w:t>
            </w:r>
          </w:p>
        </w:tc>
      </w:tr>
      <w:tr>
        <w:tc>
          <w:tcPr/>
          <w:p>
            <w:pPr>
              <w:pStyle w:val="Compact"/>
            </w:pPr>
            <w:r>
              <w:t xml:space="preserve">10</w:t>
            </w:r>
          </w:p>
        </w:tc>
        <w:tc>
          <w:tcPr/>
          <w:p>
            <w:pPr>
              <w:pStyle w:val="Compact"/>
            </w:pPr>
            <w:r>
              <w:t xml:space="preserve">Enable the CBA method for the pilot group only</w:t>
            </w:r>
          </w:p>
        </w:tc>
        <w:tc>
          <w:tcPr/>
          <w:p>
            <w:pPr>
              <w:pStyle w:val="Compact"/>
            </w:pPr>
            <w:r>
              <w:t xml:space="preserve">As at least Authentication Policy Administrator, under Entra ID &gt; Authentication methods &gt; Certificate-based authentication. Never All users: a user in scope is treated as MFA-capable and can’t register other methods without satisfying MFA.</w:t>
            </w:r>
            <w:r>
              <w:rPr>
                <w:rStyle w:val="FootnoteReference"/>
              </w:rPr>
              <w:footnoteReference w:id="861"/>
            </w:r>
          </w:p>
        </w:tc>
        <w:tc>
          <w:tcPr/>
          <w:p>
            <w:pPr>
              <w:pStyle w:val="Compact"/>
            </w:pPr>
            <w:r>
              <w:rPr>
                <w:rStyle w:val="VerbatimChar"/>
              </w:rPr>
              <w:t xml:space="preserve">Get-MgPolicyAuthenticationMethodPolicyAuthenticationMethodConfiguration -AuthenticationMethodConfigurationId 'X509Certificate'</w:t>
            </w:r>
            <w:r>
              <w:t xml:space="preserve"> </w:t>
            </w:r>
            <w:r>
              <w:t xml:space="preserve">shows state enabled and the pilot group as target</w:t>
            </w:r>
          </w:p>
        </w:tc>
      </w:tr>
      <w:tr>
        <w:tc>
          <w:tcPr/>
          <w:p>
            <w:pPr>
              <w:pStyle w:val="Compact"/>
            </w:pPr>
            <w:r>
              <w:t xml:space="preserve">11</w:t>
            </w:r>
          </w:p>
        </w:tc>
        <w:tc>
          <w:tcPr/>
          <w:p>
            <w:pPr>
              <w:pStyle w:val="Compact"/>
            </w:pPr>
            <w:r>
              <w:t xml:space="preserve">Configure username bindings</w:t>
            </w:r>
          </w:p>
        </w:tc>
        <w:tc>
          <w:tcPr/>
          <w:p>
            <w:pPr>
              <w:pStyle w:val="Compact"/>
            </w:pPr>
            <w:r>
              <w:t xml:space="preserve">Order is priority. Put high-affinity bindings (</w:t>
            </w:r>
            <w:r>
              <w:rPr>
                <w:rStyle w:val="VerbatimChar"/>
              </w:rPr>
              <w:t xml:space="preserve">IssuerAndSerialNumber</w:t>
            </w:r>
            <w:r>
              <w:t xml:space="preserve"> </w:t>
            </w:r>
            <w:r>
              <w:t xml:space="preserve">or</w:t>
            </w:r>
            <w:r>
              <w:t xml:space="preserve"> </w:t>
            </w:r>
            <w:r>
              <w:rPr>
                <w:rStyle w:val="VerbatimChar"/>
              </w:rPr>
              <w:t xml:space="preserve">SKI</w:t>
            </w:r>
            <w:r>
              <w:t xml:space="preserve"> </w:t>
            </w:r>
            <w:r>
              <w:t xml:space="preserve">to</w:t>
            </w:r>
            <w:r>
              <w:t xml:space="preserve"> </w:t>
            </w:r>
            <w:r>
              <w:rPr>
                <w:rStyle w:val="VerbatimChar"/>
              </w:rPr>
              <w:t xml:space="preserve">certificateUserIds</w:t>
            </w:r>
            <w:r>
              <w:t xml:space="preserve">) first; keep at most one low-affinity binding. Priority isn’t shown in the admin center; Graph returns it.</w:t>
            </w:r>
            <w:r>
              <w:rPr>
                <w:rStyle w:val="FootnoteReference"/>
              </w:rPr>
              <w:footnoteReference w:id="862"/>
            </w:r>
            <w:r>
              <w:t xml:space="preserve"> </w:t>
            </w:r>
            <w:r>
              <w:t xml:space="preserve">The guide classed Issuer + Subject as high affinity; Microsoft classes it as low.</w:t>
            </w:r>
            <w:r>
              <w:rPr>
                <w:rStyle w:val="FootnoteReference"/>
              </w:rPr>
              <w:footnoteReference w:id="863"/>
            </w:r>
          </w:p>
        </w:tc>
        <w:tc>
          <w:tcPr/>
          <w:p>
            <w:pPr>
              <w:pStyle w:val="Compact"/>
            </w:pPr>
            <w:r>
              <w:t xml:space="preserve">The</w:t>
            </w:r>
            <w:r>
              <w:t xml:space="preserve"> </w:t>
            </w:r>
            <w:r>
              <w:rPr>
                <w:rStyle w:val="VerbatimChar"/>
              </w:rPr>
              <w:t xml:space="preserve">certificateUserBindings</w:t>
            </w:r>
            <w:r>
              <w:t xml:space="preserve"> </w:t>
            </w:r>
            <w:r>
              <w:t xml:space="preserve">in the method configuration returned by Graph list fields and priorities as intended</w:t>
            </w:r>
          </w:p>
        </w:tc>
      </w:tr>
      <w:tr>
        <w:tc>
          <w:tcPr/>
          <w:p>
            <w:pPr>
              <w:pStyle w:val="Compact"/>
            </w:pPr>
            <w:r>
              <w:t xml:space="preserve">12</w:t>
            </w:r>
          </w:p>
        </w:tc>
        <w:tc>
          <w:tcPr/>
          <w:p>
            <w:pPr>
              <w:pStyle w:val="Compact"/>
            </w:pPr>
            <w:r>
              <w:t xml:space="preserve">Configure authentication bindings</w:t>
            </w:r>
          </w:p>
        </w:tc>
        <w:tc>
          <w:tcPr/>
          <w:p>
            <w:pPr>
              <w:pStyle w:val="Compact"/>
            </w:pPr>
            <w:r>
              <w:t xml:space="preserve">Default single-factor; multifactor by rule for certificates protected by a PIN or biometric (for example PIV), by issuer, policy OID, or both. Issuer-and-OID rules beat OID rules, which beat issuer rules.</w:t>
            </w:r>
            <w:r>
              <w:rPr>
                <w:rStyle w:val="FootnoteReference"/>
              </w:rPr>
              <w:footnoteReference w:id="864"/>
            </w:r>
            <w:r>
              <w:rPr>
                <w:rStyle w:val="FootnoteReference"/>
              </w:rPr>
              <w:footnoteReference w:id="865"/>
            </w:r>
          </w:p>
        </w:tc>
        <w:tc>
          <w:tcPr/>
          <w:p>
            <w:pPr>
              <w:pStyle w:val="Compact"/>
            </w:pPr>
            <w:r>
              <w:t xml:space="preserve">A pilot sign-in’s log shows the expected User certificate authentication level</w:t>
            </w:r>
          </w:p>
        </w:tc>
      </w:tr>
      <w:tr>
        <w:tc>
          <w:tcPr/>
          <w:p>
            <w:pPr>
              <w:pStyle w:val="Compact"/>
            </w:pPr>
            <w:r>
              <w:t xml:space="preserve">13</w:t>
            </w:r>
          </w:p>
        </w:tc>
        <w:tc>
          <w:tcPr/>
          <w:p>
            <w:pPr>
              <w:pStyle w:val="Compact"/>
            </w:pPr>
            <w:r>
              <w:t xml:space="preserve">Turn on password hash sync if it isn’t on</w:t>
            </w:r>
          </w:p>
        </w:tc>
        <w:tc>
          <w:tcPr/>
          <w:p>
            <w:pPr>
              <w:pStyle w:val="Compact"/>
            </w:pPr>
            <w:r>
              <w:t xml:space="preserve">For a CBA staged rollout, password sign-in for those users works only with password hash sync.</w:t>
            </w:r>
            <w:r>
              <w:rPr>
                <w:rStyle w:val="FootnoteReference"/>
              </w:rPr>
              <w:footnoteReference w:id="866"/>
            </w:r>
          </w:p>
        </w:tc>
        <w:tc>
          <w:tcPr/>
          <w:p>
            <w:pPr>
              <w:pStyle w:val="Compact"/>
            </w:pPr>
            <w:r>
              <w:t xml:space="preserve">Entra Connect shows password hash sync enabled and current</w:t>
            </w:r>
          </w:p>
        </w:tc>
      </w:tr>
      <w:tr>
        <w:tc>
          <w:tcPr/>
          <w:p>
            <w:pPr>
              <w:pStyle w:val="Compact"/>
            </w:pPr>
            <w:r>
              <w:t xml:space="preserve">14</w:t>
            </w:r>
          </w:p>
        </w:tc>
        <w:tc>
          <w:tcPr/>
          <w:p>
            <w:pPr>
              <w:pStyle w:val="Compact"/>
            </w:pPr>
            <w:r>
              <w:t xml:space="preserve">Enable staged rollout for certificate-based authentication</w:t>
            </w:r>
          </w:p>
        </w:tc>
        <w:tc>
          <w:tcPr/>
          <w:p>
            <w:pPr>
              <w:pStyle w:val="Compact"/>
            </w:pPr>
            <w:r>
              <w:t xml:space="preserve">As at least Hybrid Identity Administrator, under Entra ID &gt; Entra Connect &gt; Connect sync &gt; Enable staged rollout for managed user sign-in. Up to 10 groups per feature; 200 users when a group is first added; later membership changes take up to 24 hours. Synced users only.</w:t>
            </w:r>
            <w:r>
              <w:rPr>
                <w:rStyle w:val="FootnoteReference"/>
              </w:rPr>
              <w:footnoteReference w:id="867"/>
            </w:r>
          </w:p>
        </w:tc>
        <w:tc>
          <w:tcPr/>
          <w:p>
            <w:pPr>
              <w:pStyle w:val="Compact"/>
            </w:pPr>
            <w:r>
              <w:t xml:space="preserve">The staged rollout page lists the pilot groups for certificate-based authentication; via Graph,</w:t>
            </w:r>
            <w:r>
              <w:t xml:space="preserve"> </w:t>
            </w:r>
            <w:r>
              <w:rPr>
                <w:rStyle w:val="VerbatimChar"/>
              </w:rPr>
              <w:t xml:space="preserve">Get-MgPolicyFeatureRolloutPolicy</w:t>
            </w:r>
            <w:r>
              <w:t xml:space="preserve"> </w:t>
            </w:r>
            <w:r>
              <w:t xml:space="preserve">shows a policy whose feature is</w:t>
            </w:r>
            <w:r>
              <w:t xml:space="preserve"> </w:t>
            </w:r>
            <w:r>
              <w:rPr>
                <w:rStyle w:val="VerbatimChar"/>
              </w:rPr>
              <w:t xml:space="preserve">certificateBasedAuthentication</w:t>
            </w:r>
            <w:r>
              <w:t xml:space="preserve"> </w:t>
            </w:r>
            <w:r>
              <w:t xml:space="preserve">(an evolvable enum value, returned only with the</w:t>
            </w:r>
            <w:r>
              <w:t xml:space="preserve"> </w:t>
            </w:r>
            <w:r>
              <w:rPr>
                <w:rStyle w:val="VerbatimChar"/>
              </w:rPr>
              <w:t xml:space="preserve">Prefer: include-unknown-enum-members</w:t>
            </w:r>
            <w:r>
              <w:t xml:space="preserve"> </w:t>
            </w:r>
            <w:r>
              <w:t xml:space="preserve">header)</w:t>
            </w:r>
            <w:r>
              <w:rPr>
                <w:rStyle w:val="FootnoteReference"/>
              </w:rPr>
              <w:footnoteReference w:id="868"/>
            </w:r>
          </w:p>
        </w:tc>
      </w:tr>
      <w:tr>
        <w:tc>
          <w:tcPr/>
          <w:p>
            <w:pPr>
              <w:pStyle w:val="Compact"/>
            </w:pPr>
            <w:r>
              <w:t xml:space="preserve">15</w:t>
            </w:r>
          </w:p>
        </w:tc>
        <w:tc>
          <w:tcPr/>
          <w:p>
            <w:pPr>
              <w:pStyle w:val="Compact"/>
            </w:pPr>
            <w:r>
              <w:t xml:space="preserve">Sign in each pilot user once</w:t>
            </w:r>
          </w:p>
        </w:tc>
        <w:tc>
          <w:tcPr/>
          <w:p>
            <w:pPr>
              <w:pStyle w:val="Compact"/>
            </w:pPr>
            <w:r>
              <w:t xml:space="preserve">Issue a Temporary Access Pass right after adding the user to staged rollout, so the first sign-in doesn’t fall back to the federation server.</w:t>
            </w:r>
            <w:r>
              <w:rPr>
                <w:rStyle w:val="FootnoteReference"/>
              </w:rPr>
              <w:footnoteReference w:id="870"/>
            </w:r>
          </w:p>
        </w:tc>
        <w:tc>
          <w:tcPr/>
          <w:p>
            <w:pPr>
              <w:pStyle w:val="Compact"/>
            </w:pPr>
            <w:r>
              <w:t xml:space="preserve">User reaches the Entra ID sign-in page, not AD FS</w:t>
            </w:r>
          </w:p>
        </w:tc>
      </w:tr>
      <w:tr>
        <w:tc>
          <w:tcPr/>
          <w:p>
            <w:pPr>
              <w:pStyle w:val="Compact"/>
            </w:pPr>
            <w:r>
              <w:t xml:space="preserve">16</w:t>
            </w:r>
          </w:p>
        </w:tc>
        <w:tc>
          <w:tcPr/>
          <w:p>
            <w:pPr>
              <w:pStyle w:val="Compact"/>
            </w:pPr>
            <w:r>
              <w:t xml:space="preserve">Test CBA sign-in</w:t>
            </w:r>
          </w:p>
        </w:tc>
        <w:tc>
          <w:tcPr/>
          <w:p>
            <w:pPr>
              <w:pStyle w:val="Compact"/>
            </w:pPr>
            <w:r>
              <w:t xml:space="preserve">Pilot user signs in at the My Apps portal and chooses</w:t>
            </w:r>
            <w:r>
              <w:t xml:space="preserve"> </w:t>
            </w:r>
            <w:r>
              <w:rPr>
                <w:b/>
                <w:bCs/>
              </w:rPr>
              <w:t xml:space="preserve">Use a certificate or smart card</w:t>
            </w:r>
            <w:r>
              <w:t xml:space="preserve">.</w:t>
            </w:r>
            <w:r>
              <w:rPr>
                <w:rStyle w:val="FootnoteReference"/>
              </w:rPr>
              <w:footnoteReference w:id="871"/>
            </w:r>
          </w:p>
        </w:tc>
        <w:tc>
          <w:tcPr/>
          <w:p>
            <w:pPr>
              <w:pStyle w:val="Compact"/>
            </w:pPr>
            <w:r>
              <w:t xml:space="preserve">Sign-in log: success; Additional Details show the certificate binding used and the authentication level.</w:t>
            </w:r>
            <w:r>
              <w:rPr>
                <w:rStyle w:val="FootnoteReference"/>
              </w:rPr>
              <w:footnoteReference w:id="872"/>
            </w:r>
            <w:r>
              <w:t xml:space="preserve"> </w:t>
            </w:r>
            <w:r>
              <w:t xml:space="preserve">(The guide’s token check for</w:t>
            </w:r>
            <w:r>
              <w:t xml:space="preserve"> </w:t>
            </w:r>
            <w:r>
              <w:rPr>
                <w:rStyle w:val="VerbatimChar"/>
              </w:rPr>
              <w:t xml:space="preserve">"amr": ["x509"]</w:t>
            </w:r>
            <w:r>
              <w:t xml:space="preserve"> </w:t>
            </w:r>
            <w:r>
              <w:t xml:space="preserve">isn’t a documented test; use the sign-in log.)</w:t>
            </w:r>
          </w:p>
        </w:tc>
      </w:tr>
      <w:tr>
        <w:tc>
          <w:tcPr/>
          <w:p>
            <w:pPr>
              <w:pStyle w:val="Compact"/>
            </w:pPr>
            <w:r>
              <w:t xml:space="preserve">17</w:t>
            </w:r>
          </w:p>
        </w:tc>
        <w:tc>
          <w:tcPr/>
          <w:p>
            <w:pPr>
              <w:pStyle w:val="Compact"/>
            </w:pPr>
            <w:r>
              <w:t xml:space="preserve">Expand in steps</w:t>
            </w:r>
          </w:p>
        </w:tc>
        <w:tc>
          <w:tcPr/>
          <w:p>
            <w:pPr>
              <w:pStyle w:val="Compact"/>
            </w:pPr>
            <w:r>
              <w:t xml:space="preserve">Add populations as the sign-in data supports, within staged rollout’s limits; the program’s gate is below 1% CBA failure before the next step. Staged rollout isn’t for permanent coexistence; plan the domain cutover.</w:t>
            </w:r>
            <w:r>
              <w:rPr>
                <w:rStyle w:val="FootnoteReference"/>
              </w:rPr>
              <w:footnoteReference w:id="873"/>
            </w:r>
          </w:p>
        </w:tc>
        <w:tc>
          <w:tcPr/>
          <w:p>
            <w:pPr>
              <w:pStyle w:val="Compact"/>
            </w:pPr>
            <w:r>
              <w:t xml:space="preserve">Sign-in log failure rate per step</w:t>
            </w:r>
          </w:p>
        </w:tc>
      </w:tr>
      <w:tr>
        <w:tc>
          <w:tcPr/>
          <w:p>
            <w:pPr>
              <w:pStyle w:val="Compact"/>
            </w:pPr>
            <w:r>
              <w:t xml:space="preserve">18</w:t>
            </w:r>
          </w:p>
        </w:tc>
        <w:tc>
          <w:tcPr/>
          <w:p>
            <w:pPr>
              <w:pStyle w:val="Compact"/>
            </w:pPr>
            <w:r>
              <w:t xml:space="preserve">Require high affinity tenant-wide</w:t>
            </w:r>
          </w:p>
        </w:tc>
        <w:tc>
          <w:tcPr/>
          <w:p>
            <w:pPr>
              <w:pStyle w:val="Compact"/>
            </w:pPr>
            <w:r>
              <w:t xml:space="preserve">Only after every in-scope user’s</w:t>
            </w:r>
            <w:r>
              <w:t xml:space="preserve"> </w:t>
            </w:r>
            <w:r>
              <w:rPr>
                <w:rStyle w:val="VerbatimChar"/>
              </w:rPr>
              <w:t xml:space="preserve">certificateUserIds</w:t>
            </w:r>
            <w:r>
              <w:t xml:space="preserve"> </w:t>
            </w:r>
            <w:r>
              <w:t xml:space="preserve">holds correct values; a premature change locks users out.</w:t>
            </w:r>
            <w:r>
              <w:rPr>
                <w:rStyle w:val="FootnoteReference"/>
              </w:rPr>
              <w:footnoteReference w:id="874"/>
            </w:r>
          </w:p>
        </w:tc>
        <w:tc>
          <w:tcPr/>
          <w:p>
            <w:pPr>
              <w:pStyle w:val="Compact"/>
            </w:pPr>
            <w:r>
              <w:t xml:space="preserve">Test users with and without high-affinity values behave as expected in a test tenant first</w:t>
            </w:r>
          </w:p>
        </w:tc>
      </w:tr>
      <w:tr>
        <w:tc>
          <w:tcPr/>
          <w:p>
            <w:pPr>
              <w:pStyle w:val="Compact"/>
            </w:pPr>
            <w:r>
              <w:t xml:space="preserve">19</w:t>
            </w:r>
          </w:p>
        </w:tc>
        <w:tc>
          <w:tcPr/>
          <w:p>
            <w:pPr>
              <w:pStyle w:val="Compact"/>
            </w:pPr>
            <w:r>
              <w:t xml:space="preserve">Record the federation configuration</w:t>
            </w:r>
          </w:p>
        </w:tc>
        <w:tc>
          <w:tcPr/>
          <w:p>
            <w:pPr>
              <w:pStyle w:val="Compact"/>
            </w:pPr>
            <w:r>
              <w:t xml:space="preserve">Before conversion, capture it and back up AD FS.</w:t>
            </w:r>
            <w:r>
              <w:rPr>
                <w:rStyle w:val="FootnoteReference"/>
              </w:rPr>
              <w:footnoteReference w:id="875"/>
            </w:r>
          </w:p>
        </w:tc>
        <w:tc>
          <w:tcPr/>
          <w:p>
            <w:pPr>
              <w:pStyle w:val="Compact"/>
            </w:pPr>
            <w:r>
              <w:rPr>
                <w:rStyle w:val="VerbatimChar"/>
              </w:rPr>
              <w:t xml:space="preserve">Get-MgDomainFederationConfiguration -DomainId &lt;domain&gt; \| ConvertTo-Json \| Out-File adfs-federation-backup.json</w:t>
            </w:r>
            <w:r>
              <w:t xml:space="preserve">; AD FS farm backup present</w:t>
            </w:r>
          </w:p>
        </w:tc>
      </w:tr>
      <w:tr>
        <w:tc>
          <w:tcPr/>
          <w:p>
            <w:pPr>
              <w:pStyle w:val="Compact"/>
            </w:pPr>
            <w:r>
              <w:t xml:space="preserve">20</w:t>
            </w:r>
          </w:p>
        </w:tc>
        <w:tc>
          <w:tcPr/>
          <w:p>
            <w:pPr>
              <w:pStyle w:val="Compact"/>
            </w:pPr>
            <w:r>
              <w:t xml:space="preserve">Convert the domain to managed</w:t>
            </w:r>
          </w:p>
        </w:tc>
        <w:tc>
          <w:tcPr/>
          <w:p>
            <w:pPr>
              <w:pStyle w:val="Compact"/>
            </w:pPr>
            <w:r>
              <w:t xml:space="preserve">Start with a test domain or the smallest; rollback is re-federation with</w:t>
            </w:r>
            <w:r>
              <w:t xml:space="preserve"> </w:t>
            </w:r>
            <w:r>
              <w:rPr>
                <w:rStyle w:val="VerbatimChar"/>
              </w:rPr>
              <w:t xml:space="preserve">New-MgDomainFederationConfiguration</w:t>
            </w:r>
            <w:r>
              <w:t xml:space="preserve">.</w:t>
            </w:r>
            <w:r>
              <w:rPr>
                <w:rStyle w:val="FootnoteReference"/>
              </w:rPr>
              <w:footnoteReference w:id="876"/>
            </w:r>
          </w:p>
        </w:tc>
        <w:tc>
          <w:tcPr/>
          <w:p>
            <w:pPr>
              <w:pStyle w:val="Compact"/>
            </w:pPr>
            <w:r>
              <w:rPr>
                <w:rStyle w:val="VerbatimChar"/>
              </w:rPr>
              <w:t xml:space="preserve">Update-MgDomain -DomainId &lt;domain&gt; -AuthenticationType "Managed"</w:t>
            </w:r>
            <w:r>
              <w:t xml:space="preserve">, then</w:t>
            </w:r>
            <w:r>
              <w:t xml:space="preserve"> </w:t>
            </w:r>
            <w:r>
              <w:rPr>
                <w:rStyle w:val="VerbatimChar"/>
              </w:rPr>
              <w:t xml:space="preserve">Get-MgDomain -DomainId &lt;domain&gt;</w:t>
            </w:r>
            <w:r>
              <w:t xml:space="preserve"> </w:t>
            </w:r>
            <w:r>
              <w:t xml:space="preserve">shows</w:t>
            </w:r>
            <w:r>
              <w:t xml:space="preserve"> </w:t>
            </w:r>
            <w:r>
              <w:rPr>
                <w:rStyle w:val="VerbatimChar"/>
              </w:rPr>
              <w:t xml:space="preserve">AuthenticationType</w:t>
            </w:r>
            <w:r>
              <w:t xml:space="preserve"> </w:t>
            </w:r>
            <w:r>
              <w:t xml:space="preserve">Managed</w:t>
            </w:r>
          </w:p>
        </w:tc>
      </w:tr>
      <w:tr>
        <w:tc>
          <w:tcPr/>
          <w:p>
            <w:pPr>
              <w:pStyle w:val="Compact"/>
            </w:pPr>
            <w:r>
              <w:t xml:space="preserve">21</w:t>
            </w:r>
          </w:p>
        </w:tc>
        <w:tc>
          <w:tcPr/>
          <w:p>
            <w:pPr>
              <w:pStyle w:val="Compact"/>
            </w:pPr>
            <w:r>
              <w:t xml:space="preserve">Turn off AD FS certificate authentication</w:t>
            </w:r>
          </w:p>
        </w:tc>
        <w:tc>
          <w:tcPr/>
          <w:p>
            <w:pPr>
              <w:pStyle w:val="Compact"/>
            </w:pPr>
            <w:r>
              <w:t xml:space="preserve">For relying parties that remain on AD FS.</w:t>
            </w:r>
          </w:p>
        </w:tc>
        <w:tc>
          <w:tcPr/>
          <w:p>
            <w:pPr>
              <w:pStyle w:val="Compact"/>
            </w:pPr>
            <w:r>
              <w:t xml:space="preserve">Users are no longer sent to AD FS for certificate sign-in</w:t>
            </w:r>
          </w:p>
        </w:tc>
      </w:tr>
      <w:tr>
        <w:tc>
          <w:tcPr/>
          <w:p>
            <w:pPr>
              <w:pStyle w:val="Compact"/>
            </w:pPr>
            <w:r>
              <w:t xml:space="preserve">22</w:t>
            </w:r>
          </w:p>
        </w:tc>
        <w:tc>
          <w:tcPr/>
          <w:p>
            <w:pPr>
              <w:pStyle w:val="Compact"/>
            </w:pPr>
            <w:r>
              <w:t xml:space="preserve">Remove staged rollout groups</w:t>
            </w:r>
          </w:p>
        </w:tc>
        <w:tc>
          <w:tcPr/>
          <w:p>
            <w:pPr>
              <w:pStyle w:val="Compact"/>
            </w:pPr>
            <w:r>
              <w:t xml:space="preserve">After conversion. Users who signed in to Windows with a certificate stay enabled for the CBA method long enough to refresh their primary refresh token.</w:t>
            </w:r>
            <w:r>
              <w:rPr>
                <w:rStyle w:val="FootnoteReference"/>
              </w:rPr>
              <w:footnoteReference w:id="877"/>
            </w:r>
          </w:p>
        </w:tc>
        <w:tc>
          <w:tcPr/>
          <w:p>
            <w:pPr>
              <w:pStyle w:val="Compact"/>
            </w:pPr>
            <w:r>
              <w:t xml:space="preserve">No groups assigned to the certificate-based authentication feature</w:t>
            </w:r>
          </w:p>
        </w:tc>
      </w:tr>
      <w:tr>
        <w:tc>
          <w:tcPr/>
          <w:p>
            <w:pPr>
              <w:pStyle w:val="Compact"/>
            </w:pPr>
            <w:r>
              <w:t xml:space="preserve">23</w:t>
            </w:r>
          </w:p>
        </w:tc>
        <w:tc>
          <w:tcPr/>
          <w:p>
            <w:pPr>
              <w:pStyle w:val="Compact"/>
            </w:pPr>
            <w:r>
              <w:t xml:space="preserve">Require phishing-resistant strength in Conditional Access</w:t>
            </w:r>
          </w:p>
        </w:tc>
        <w:tc>
          <w:tcPr/>
          <w:p>
            <w:pPr>
              <w:pStyle w:val="Compact"/>
            </w:pPr>
            <w:r>
              <w:t xml:space="preserve">Use the built-in Phishing-resistant MFA strength, or a custom strength that allows CBA (single-factor, multifactor or both, optionally by issuer or policy OID) for sensitive applications, with a device compliance requirement where needed.</w:t>
            </w:r>
            <w:r>
              <w:rPr>
                <w:rStyle w:val="FootnoteReference"/>
              </w:rPr>
              <w:footnoteReference w:id="878"/>
            </w:r>
          </w:p>
        </w:tc>
        <w:tc>
          <w:tcPr/>
          <w:p>
            <w:pPr>
              <w:pStyle w:val="Compact"/>
            </w:pPr>
            <w:r>
              <w:rPr>
                <w:rStyle w:val="VerbatimChar"/>
              </w:rPr>
              <w:t xml:space="preserve">Get-MgIdentityConditionalAccessPolicy</w:t>
            </w:r>
            <w:r>
              <w:t xml:space="preserve"> </w:t>
            </w:r>
            <w:r>
              <w:t xml:space="preserve">shows the policy enabled and targeting the intended apps and users</w:t>
            </w:r>
          </w:p>
        </w:tc>
      </w:tr>
      <w:tr>
        <w:tc>
          <w:tcPr/>
          <w:p>
            <w:pPr>
              <w:pStyle w:val="Compact"/>
            </w:pPr>
            <w:r>
              <w:t xml:space="preserve">24</w:t>
            </w:r>
          </w:p>
        </w:tc>
        <w:tc>
          <w:tcPr/>
          <w:p>
            <w:pPr>
              <w:pStyle w:val="Compact"/>
            </w:pPr>
            <w:r>
              <w:t xml:space="preserve">Monitor and alert</w:t>
            </w:r>
          </w:p>
        </w:tc>
        <w:tc>
          <w:tcPr/>
          <w:p>
            <w:pPr>
              <w:pStyle w:val="Compact"/>
            </w:pPr>
            <w:r>
              <w:t xml:space="preserve">Send sign-in logs to the log workspace; alert on CBA failures (the program’s starting threshold: more than five in 15 minutes) and on CRL errors such as AADSTS500173 and AADSTS2205012.</w:t>
            </w:r>
            <w:r>
              <w:rPr>
                <w:rStyle w:val="FootnoteReference"/>
              </w:rPr>
              <w:footnoteReference w:id="879"/>
            </w:r>
          </w:p>
        </w:tc>
        <w:tc>
          <w:tcPr/>
          <w:p>
            <w:pPr>
              <w:pStyle w:val="Compact"/>
            </w:pPr>
            <w:r>
              <w:t xml:space="preserve">A test sign-in with an expired certificate raises the alert in the configured window</w:t>
            </w:r>
          </w:p>
        </w:tc>
      </w:tr>
    </w:tbl>
    <w:bookmarkEnd w:id="880"/>
    <w:bookmarkStart w:id="881" w:name="continue-the-book-8"/>
    <w:p>
      <w:pPr>
        <w:pStyle w:val="Heading2"/>
      </w:pPr>
      <w:bookmarkStart w:id="1019" w:name="_Toc00001019"/>
      <w:r>
        <w:t xml:space="preserve">Continue the book</w:t>
      </w:r>
      <w:bookmarkEnd w:id="1019"/>
    </w:p>
    <w:p>
      <w:pPr>
        <w:pStyle w:val="FirstParagraph"/>
      </w:pPr>
      <w:r>
        <w:t xml:space="preserve">← Previous: Chapter 08 — Lifecycle, Monitoring and Decommissioning · Book index · Next: Appendix B — Certificate Template Migration Matrix →</w:t>
      </w:r>
    </w:p>
    <w:bookmarkEnd w:id="881"/>
    <w:bookmarkEnd w:id="882"/>
    <w:bookmarkStart w:id="926" w:name="X3e7584d4778a7ef4458e2e8636b1fcd9edbdfe8"/>
    <w:p>
      <w:pPr>
        <w:pStyle w:val="Heading1"/>
      </w:pPr>
      <w:bookmarkStart w:id="1020" w:name="_Toc00001020"/>
      <w:r>
        <w:t xml:space="preserve">Appendix B — Certificate Template Migration Matrix</w:t>
      </w:r>
      <w:bookmarkEnd w:id="1020"/>
    </w:p>
    <w:p>
      <w:pPr>
        <w:pStyle w:val="FirstParagraph"/>
      </w:pPr>
      <w:r>
        <w:rPr>
          <w:i/>
          <w:iCs/>
        </w:rPr>
        <w:t xml:space="preserve">A template’s name says what it was built for. Its issued certificates say what it’s actually used for. Classify by the second.</w:t>
      </w:r>
    </w:p>
    <w:bookmarkStart w:id="883" w:name="in-this-appendix-1"/>
    <w:p>
      <w:pPr>
        <w:pStyle w:val="Heading2"/>
      </w:pPr>
      <w:bookmarkStart w:id="1021" w:name="_Toc00001021"/>
      <w:r>
        <w:t xml:space="preserve">In this appendix</w:t>
      </w:r>
      <w:bookmarkEnd w:id="1021"/>
    </w:p>
    <w:p>
      <w:pPr>
        <w:pStyle w:val="FirstParagraph"/>
      </w:pPr>
      <w:r>
        <w:t xml:space="preserve">A starting matrix for the AD CS templates most estates have: what each one is for, its default classification, where its certificates come from in the target state, and what has to be true before it moves. Use it to seed wave 1 of the migration (Chapter 07), then correct each row against the inventory of certificates the template has actually issued.</w:t>
      </w:r>
    </w:p>
    <w:bookmarkEnd w:id="883"/>
    <w:bookmarkStart w:id="887" w:name="how-to-use-the-matrix"/>
    <w:p>
      <w:pPr>
        <w:pStyle w:val="Heading2"/>
      </w:pPr>
      <w:bookmarkStart w:id="1022" w:name="_Toc00001022"/>
      <w:r>
        <w:t xml:space="preserve">How to use the matrix</w:t>
      </w:r>
      <w:bookmarkEnd w:id="1022"/>
    </w:p>
    <w:p>
      <w:pPr>
        <w:pStyle w:val="FirstParagraph"/>
      </w:pPr>
      <w:r>
        <w:t xml:space="preserve">The classes are defined in Chapter 02:</w:t>
      </w:r>
    </w:p>
    <w:p>
      <w:pPr>
        <w:pStyle w:val="TableCaption"/>
      </w:pPr>
      <w:r>
        <w:t xml:space="preserve">Template classes</w:t>
      </w:r>
    </w:p>
    <w:tbl>
      <w:tblPr>
        <w:tblStyle w:val="Table"/>
        <w:tblW w:type="pct" w:w="5000"/>
        <w:tblLayout w:type="fixed"/>
        <w:tblLook w:firstRow="1" w:lastRow="0" w:firstColumn="0" w:lastColumn="0" w:noHBand="0" w:noVBand="0" w:val="0020"/>
        <w:tblCaption w:val="Template classes"/>
      </w:tblPr>
      <w:tblGrid>
        <w:gridCol w:w="3960"/>
        <w:gridCol w:w="3960"/>
      </w:tblGrid>
      <w:tr>
        <w:trPr>
          <w:tblHeader w:val="on"/>
        </w:trPr>
        <w:tc>
          <w:tcPr/>
          <w:p>
            <w:pPr>
              <w:pStyle w:val="Compact"/>
            </w:pPr>
            <w:r>
              <w:t xml:space="preserve">Class</w:t>
            </w:r>
          </w:p>
        </w:tc>
        <w:tc>
          <w:tcPr/>
          <w:p>
            <w:pPr>
              <w:pStyle w:val="Compact"/>
            </w:pPr>
            <w:r>
              <w:t xml:space="preserve">Meaning in this matrix</w:t>
            </w:r>
          </w:p>
        </w:tc>
      </w:tr>
      <w:tr>
        <w:tc>
          <w:tcPr/>
          <w:p>
            <w:pPr>
              <w:pStyle w:val="Compact"/>
            </w:pPr>
            <w:r>
              <w:t xml:space="preserve">MIGRATE</w:t>
            </w:r>
          </w:p>
        </w:tc>
        <w:tc>
          <w:tcPr/>
          <w:p>
            <w:pPr>
              <w:pStyle w:val="Compact"/>
            </w:pPr>
            <w:r>
              <w:t xml:space="preserve">Certificates move to a cloud issuer (Microsoft Cloud PKI through Intune SCEP) or to Intune delivery, and the AD CS template retires</w:t>
            </w:r>
          </w:p>
        </w:tc>
      </w:tr>
      <w:tr>
        <w:tc>
          <w:tcPr/>
          <w:p>
            <w:pPr>
              <w:pStyle w:val="Compact"/>
            </w:pPr>
            <w:r>
              <w:t xml:space="preserve">BRIDGE</w:t>
            </w:r>
          </w:p>
        </w:tc>
        <w:tc>
          <w:tcPr/>
          <w:p>
            <w:pPr>
              <w:pStyle w:val="Compact"/>
            </w:pPr>
            <w:r>
              <w:t xml:space="preserve">Stays on AD CS until the thing it serves (Active Directory, NDES, a server role) retires</w:t>
            </w:r>
          </w:p>
        </w:tc>
      </w:tr>
      <w:tr>
        <w:tc>
          <w:tcPr/>
          <w:p>
            <w:pPr>
              <w:pStyle w:val="Compact"/>
            </w:pPr>
            <w:r>
              <w:t xml:space="preserve">RETAIN</w:t>
            </w:r>
          </w:p>
        </w:tc>
        <w:tc>
          <w:tcPr/>
          <w:p>
            <w:pPr>
              <w:pStyle w:val="Compact"/>
            </w:pPr>
            <w:r>
              <w:t xml:space="preserve">Stays on a managed private or public CA outside Intune for the long term</w:t>
            </w:r>
          </w:p>
        </w:tc>
      </w:tr>
      <w:tr>
        <w:tc>
          <w:tcPr/>
          <w:p>
            <w:pPr>
              <w:pStyle w:val="Compact"/>
            </w:pPr>
            <w:r>
              <w:t xml:space="preserve">RETIRE</w:t>
            </w:r>
          </w:p>
        </w:tc>
        <w:tc>
          <w:tcPr/>
          <w:p>
            <w:pPr>
              <w:pStyle w:val="Compact"/>
            </w:pPr>
            <w:r>
              <w:t xml:space="preserve">No successor certificate; retire the template once nothing depends on it</w:t>
            </w:r>
          </w:p>
        </w:tc>
      </w:tr>
    </w:tbl>
    <w:p>
      <w:pPr>
        <w:pStyle w:val="BodyText"/>
      </w:pPr>
      <w:r>
        <w:t xml:space="preserve">Three facts drive most rows. Cloud PKI issues certificates only through SCEP, only to Intune-enrolled devices;</w:t>
      </w:r>
      <w:r>
        <w:rPr>
          <w:rStyle w:val="FootnoteReference"/>
        </w:rPr>
        <w:footnoteReference w:id="884"/>
      </w:r>
      <w:r>
        <w:t xml:space="preserve"> </w:t>
      </w:r>
      <w:r>
        <w:t xml:space="preserve">Intune doesn’t manage Windows Server,</w:t>
      </w:r>
      <w:r>
        <w:rPr>
          <w:rStyle w:val="FootnoteReference"/>
        </w:rPr>
        <w:footnoteReference w:id="885"/>
      </w:r>
      <w:r>
        <w:t xml:space="preserve"> </w:t>
      </w:r>
      <w:r>
        <w:t xml:space="preserve">so every server certificate is BRIDGE or RETAIN, not MIGRATE. And PKCS and imported PKCS profiles deliver certificates from AD CS or another CA through the Certificate Connector; they move</w:t>
      </w:r>
      <w:r>
        <w:t xml:space="preserve"> </w:t>
      </w:r>
      <w:r>
        <w:rPr>
          <w:i/>
          <w:iCs/>
        </w:rPr>
        <w:t xml:space="preserve">delivery</w:t>
      </w:r>
      <w:r>
        <w:t xml:space="preserve"> </w:t>
      </w:r>
      <w:r>
        <w:t xml:space="preserve">to Intune, not</w:t>
      </w:r>
      <w:r>
        <w:t xml:space="preserve"> </w:t>
      </w:r>
      <w:r>
        <w:rPr>
          <w:i/>
          <w:iCs/>
        </w:rPr>
        <w:t xml:space="preserve">issuance</w:t>
      </w:r>
      <w:r>
        <w:t xml:space="preserve"> </w:t>
      </w:r>
      <w:r>
        <w:t xml:space="preserve">off AD CS.</w:t>
      </w:r>
      <w:r>
        <w:rPr>
          <w:rStyle w:val="FootnoteReference"/>
        </w:rPr>
        <w:footnoteReference w:id="886"/>
      </w:r>
    </w:p>
    <w:p>
      <w:pPr>
        <w:pStyle w:val="BodyText"/>
      </w:pPr>
      <w:r>
        <w:t xml:space="preserve">The guide’s version of this matrix classed Web Server and the IPsec gateway template as MIGRATE to Cloud PKI, Enrollment Agent and OCSP Response Signing as simply RETIRE, and EFS Recovery Agent as RETIRE with no condition. Those rows are corrected below, and the NDES, key archival, subordinate CA and Windows Hello for Business rows are new. The guide’s Status column is per-estate tracking; copy the matrix into the program’s tracker and keep status there.</w:t>
      </w:r>
    </w:p>
    <w:bookmarkEnd w:id="887"/>
    <w:bookmarkStart w:id="923" w:name="the-matrix"/>
    <w:p>
      <w:pPr>
        <w:pStyle w:val="Heading2"/>
      </w:pPr>
      <w:bookmarkStart w:id="1023" w:name="_Toc00001023"/>
      <w:r>
        <w:t xml:space="preserve">The matrix</w:t>
      </w:r>
      <w:bookmarkEnd w:id="1023"/>
    </w:p>
    <w:p>
      <w:pPr>
        <w:pStyle w:val="TableCaption"/>
      </w:pPr>
      <w:r>
        <w:t xml:space="preserve">Certificate template migration matrix</w:t>
      </w:r>
    </w:p>
    <w:tbl>
      <w:tblPr>
        <w:tblStyle w:val="Table"/>
        <w:tblW w:type="pct" w:w="5000"/>
        <w:tblLayout w:type="fixed"/>
        <w:tblLook w:firstRow="1" w:lastRow="0" w:firstColumn="0" w:lastColumn="0" w:noHBand="0" w:noVBand="0" w:val="0020"/>
        <w:tblCaption w:val="Certificate template migration matrix"/>
      </w:tblPr>
      <w:tblGrid>
        <w:gridCol w:w="1320"/>
        <w:gridCol w:w="1320"/>
        <w:gridCol w:w="1320"/>
        <w:gridCol w:w="1320"/>
        <w:gridCol w:w="1320"/>
        <w:gridCol w:w="1320"/>
      </w:tblGrid>
      <w:tr>
        <w:trPr>
          <w:tblHeader w:val="on"/>
        </w:trPr>
        <w:tc>
          <w:tcPr/>
          <w:p>
            <w:pPr>
              <w:pStyle w:val="Compact"/>
            </w:pPr>
            <w:r>
              <w:t xml:space="preserve">AD CS template</w:t>
            </w:r>
          </w:p>
        </w:tc>
        <w:tc>
          <w:tcPr/>
          <w:p>
            <w:pPr>
              <w:pStyle w:val="Compact"/>
            </w:pPr>
            <w:r>
              <w:t xml:space="preserve">Purpose</w:t>
            </w:r>
          </w:p>
        </w:tc>
        <w:tc>
          <w:tcPr/>
          <w:p>
            <w:pPr>
              <w:pStyle w:val="Compact"/>
            </w:pPr>
            <w:r>
              <w:t xml:space="preserve">Class</w:t>
            </w:r>
          </w:p>
        </w:tc>
        <w:tc>
          <w:tcPr/>
          <w:p>
            <w:pPr>
              <w:pStyle w:val="Compact"/>
            </w:pPr>
            <w:r>
              <w:t xml:space="preserve">Target issuer and profile</w:t>
            </w:r>
          </w:p>
        </w:tc>
        <w:tc>
          <w:tcPr/>
          <w:p>
            <w:pPr>
              <w:pStyle w:val="Compact"/>
            </w:pPr>
            <w:r>
              <w:t xml:space="preserve">Priority</w:t>
            </w:r>
          </w:p>
        </w:tc>
        <w:tc>
          <w:tcPr/>
          <w:p>
            <w:pPr>
              <w:pStyle w:val="Compact"/>
            </w:pPr>
            <w:r>
              <w:t xml:space="preserve">Dependencies and notes</w:t>
            </w:r>
          </w:p>
        </w:tc>
      </w:tr>
      <w:tr>
        <w:tc>
          <w:tcPr/>
          <w:p>
            <w:pPr>
              <w:pStyle w:val="Compact"/>
            </w:pPr>
            <w:r>
              <w:t xml:space="preserve">User</w:t>
            </w:r>
          </w:p>
        </w:tc>
        <w:tc>
          <w:tcPr/>
          <w:p>
            <w:pPr>
              <w:pStyle w:val="Compact"/>
            </w:pPr>
            <w:r>
              <w:t xml:space="preserve">User authentication (EAP-TLS, VPN), often with email and EFS</w:t>
            </w:r>
          </w:p>
        </w:tc>
        <w:tc>
          <w:tcPr/>
          <w:p>
            <w:pPr>
              <w:pStyle w:val="Compact"/>
            </w:pPr>
            <w:r>
              <w:t xml:space="preserve">MIGRATE</w:t>
            </w:r>
          </w:p>
        </w:tc>
        <w:tc>
          <w:tcPr/>
          <w:p>
            <w:pPr>
              <w:pStyle w:val="Compact"/>
            </w:pPr>
            <w:r>
              <w:t xml:space="preserve">Cloud PKI, Intune SCEP user certificate with Client Authentication</w:t>
            </w:r>
          </w:p>
        </w:tc>
        <w:tc>
          <w:tcPr/>
          <w:p>
            <w:pPr>
              <w:pStyle w:val="Compact"/>
            </w:pPr>
            <w:r>
              <w:t xml:space="preserve">High</w:t>
            </w:r>
          </w:p>
        </w:tc>
        <w:tc>
          <w:tcPr/>
          <w:p>
            <w:pPr>
              <w:pStyle w:val="Compact"/>
            </w:pPr>
            <w:r>
              <w:t xml:space="preserve">RADIUS and VPN trust the cloud chain first. If the certificate is also used to sign in to AD, add the SID URI to the SCEP profile and decide on NTAuth (Chapter 06). Move the email and EFS uses separately (rows below).</w:t>
            </w:r>
          </w:p>
        </w:tc>
      </w:tr>
      <w:tr>
        <w:tc>
          <w:tcPr/>
          <w:p>
            <w:pPr>
              <w:pStyle w:val="Compact"/>
            </w:pPr>
            <w:r>
              <w:t xml:space="preserve">Computer; Workstation Authentication</w:t>
            </w:r>
          </w:p>
        </w:tc>
        <w:tc>
          <w:tcPr/>
          <w:p>
            <w:pPr>
              <w:pStyle w:val="Compact"/>
            </w:pPr>
            <w:r>
              <w:t xml:space="preserve">Device authentication (802.1X, IPsec)</w:t>
            </w:r>
          </w:p>
        </w:tc>
        <w:tc>
          <w:tcPr/>
          <w:p>
            <w:pPr>
              <w:pStyle w:val="Compact"/>
            </w:pPr>
            <w:r>
              <w:t xml:space="preserve">MIGRATE for Intune-managed workstations; BRIDGE for servers</w:t>
            </w:r>
          </w:p>
        </w:tc>
        <w:tc>
          <w:tcPr/>
          <w:p>
            <w:pPr>
              <w:pStyle w:val="Compact"/>
            </w:pPr>
            <w:r>
              <w:t xml:space="preserve">Cloud PKI, Intune SCEP device certificate</w:t>
            </w:r>
          </w:p>
        </w:tc>
        <w:tc>
          <w:tcPr/>
          <w:p>
            <w:pPr>
              <w:pStyle w:val="Compact"/>
            </w:pPr>
            <w:r>
              <w:t xml:space="preserve">High</w:t>
            </w:r>
          </w:p>
        </w:tc>
        <w:tc>
          <w:tcPr/>
          <w:p>
            <w:pPr>
              <w:pStyle w:val="Compact"/>
            </w:pPr>
            <w:r>
              <w:t xml:space="preserve">Entra hybrid joined devices that authenticate to AD need the SID URI. Entra-joined devices can’t map to an AD computer object for RADIUS.</w:t>
            </w:r>
            <w:r>
              <w:rPr>
                <w:rStyle w:val="FootnoteReference"/>
              </w:rPr>
              <w:footnoteReference w:id="888"/>
            </w:r>
            <w:r>
              <w:t xml:space="preserve"> </w:t>
            </w:r>
            <w:r>
              <w:t xml:space="preserve">Servers keep AD CS auto-enrollment.</w:t>
            </w:r>
          </w:p>
        </w:tc>
      </w:tr>
      <w:tr>
        <w:tc>
          <w:tcPr/>
          <w:p>
            <w:pPr>
              <w:pStyle w:val="Compact"/>
            </w:pPr>
            <w:r>
              <w:t xml:space="preserve">Web Server</w:t>
            </w:r>
          </w:p>
        </w:tc>
        <w:tc>
          <w:tcPr/>
          <w:p>
            <w:pPr>
              <w:pStyle w:val="Compact"/>
            </w:pPr>
            <w:r>
              <w:t xml:space="preserve">TLS on internal web servers, reverse proxies, NDES</w:t>
            </w:r>
          </w:p>
        </w:tc>
        <w:tc>
          <w:tcPr/>
          <w:p>
            <w:pPr>
              <w:pStyle w:val="Compact"/>
            </w:pPr>
            <w:r>
              <w:t xml:space="preserve">RETAIN</w:t>
            </w:r>
          </w:p>
        </w:tc>
        <w:tc>
          <w:tcPr/>
          <w:p>
            <w:pPr>
              <w:pStyle w:val="Compact"/>
            </w:pPr>
            <w:r>
              <w:t xml:space="preserve">AD CS (or a public CA for internet-facing names), with lifecycle automation through CyberArk Certificate Manager (Chapter 08)</w:t>
            </w:r>
          </w:p>
        </w:tc>
        <w:tc>
          <w:tcPr/>
          <w:p>
            <w:pPr>
              <w:pStyle w:val="Compact"/>
            </w:pPr>
            <w:r>
              <w:t xml:space="preserve">Medium</w:t>
            </w:r>
          </w:p>
        </w:tc>
        <w:tc>
          <w:tcPr/>
          <w:p>
            <w:pPr>
              <w:pStyle w:val="Compact"/>
            </w:pPr>
            <w:r>
              <w:t xml:space="preserve">Not a Cloud PKI workload: web servers aren’t Intune-managed devices.</w:t>
            </w:r>
            <w:r>
              <w:rPr>
                <w:rStyle w:val="FootnoteReference"/>
              </w:rPr>
              <w:footnoteReference w:id="889"/>
            </w:r>
            <w:r>
              <w:rPr>
                <w:rStyle w:val="FootnoteReference"/>
              </w:rPr>
              <w:footnoteReference w:id="890"/>
            </w:r>
            <w:r>
              <w:t xml:space="preserve"> </w:t>
            </w:r>
            <w:r>
              <w:t xml:space="preserve">Clients must trust whichever chain issues it.</w:t>
            </w:r>
          </w:p>
        </w:tc>
      </w:tr>
      <w:tr>
        <w:tc>
          <w:tcPr/>
          <w:p>
            <w:pPr>
              <w:pStyle w:val="Compact"/>
            </w:pPr>
            <w:r>
              <w:t xml:space="preserve">Smartcard Logon; Smartcard User</w:t>
            </w:r>
          </w:p>
        </w:tc>
        <w:tc>
          <w:tcPr/>
          <w:p>
            <w:pPr>
              <w:pStyle w:val="Compact"/>
            </w:pPr>
            <w:r>
              <w:t xml:space="preserve">Smart card sign-in (and, for Smartcard User, email protection)</w:t>
            </w:r>
            <w:r>
              <w:rPr>
                <w:rStyle w:val="FootnoteReference"/>
              </w:rPr>
              <w:footnoteReference w:id="891"/>
            </w:r>
          </w:p>
        </w:tc>
        <w:tc>
          <w:tcPr/>
          <w:p>
            <w:pPr>
              <w:pStyle w:val="Compact"/>
            </w:pPr>
            <w:r>
              <w:t xml:space="preserve">BRIDGE for AD sign-in; trust moves to Entra CBA</w:t>
            </w:r>
          </w:p>
        </w:tc>
        <w:tc>
          <w:tcPr/>
          <w:p>
            <w:pPr>
              <w:pStyle w:val="Compact"/>
            </w:pPr>
            <w:r>
              <w:t xml:space="preserve">No new issuer: the card’s issuer stays. Add the issuing chain to the Entra ID CBA trust store with internet-reachable CRLs.</w:t>
            </w:r>
          </w:p>
        </w:tc>
        <w:tc>
          <w:tcPr/>
          <w:p>
            <w:pPr>
              <w:pStyle w:val="Compact"/>
            </w:pPr>
            <w:r>
              <w:t xml:space="preserve">High</w:t>
            </w:r>
          </w:p>
        </w:tc>
        <w:tc>
          <w:tcPr/>
          <w:p>
            <w:pPr>
              <w:pStyle w:val="Compact"/>
            </w:pPr>
            <w:r>
              <w:t xml:space="preserve">PIV cards are issued through the agency’s card management system under the Federal PKI, not from these templates (Book 03, Chapter 09). Where AD CS issues smart card certificates, on-premises smart card logon still needs the issuing CA in NTAuth and valid domain controller certificates.</w:t>
            </w:r>
            <w:r>
              <w:rPr>
                <w:rStyle w:val="FootnoteReference"/>
              </w:rPr>
              <w:footnoteReference w:id="893"/>
            </w:r>
            <w:r>
              <w:t xml:space="preserve"> </w:t>
            </w:r>
            <w:r>
              <w:t xml:space="preserve">High-affinity binding in Entra CBA.</w:t>
            </w:r>
          </w:p>
        </w:tc>
      </w:tr>
      <w:tr>
        <w:tc>
          <w:tcPr/>
          <w:p>
            <w:pPr>
              <w:pStyle w:val="Compact"/>
            </w:pPr>
            <w:r>
              <w:t xml:space="preserve">Domain Controller; Domain Controller Authentication</w:t>
            </w:r>
          </w:p>
        </w:tc>
        <w:tc>
          <w:tcPr/>
          <w:p>
            <w:pPr>
              <w:pStyle w:val="Compact"/>
            </w:pPr>
            <w:r>
              <w:t xml:space="preserve">Older domain controller certificates</w:t>
            </w:r>
          </w:p>
        </w:tc>
        <w:tc>
          <w:tcPr/>
          <w:p>
            <w:pPr>
              <w:pStyle w:val="Compact"/>
            </w:pPr>
            <w:r>
              <w:t xml:space="preserve">BRIDGE, then superseded</w:t>
            </w:r>
          </w:p>
        </w:tc>
        <w:tc>
          <w:tcPr/>
          <w:p>
            <w:pPr>
              <w:pStyle w:val="Compact"/>
            </w:pPr>
            <w:r>
              <w:t xml:space="preserve">Replace with a template based on Kerberos Authentication</w:t>
            </w:r>
          </w:p>
        </w:tc>
        <w:tc>
          <w:tcPr/>
          <w:p>
            <w:pPr>
              <w:pStyle w:val="Compact"/>
            </w:pPr>
            <w:r>
              <w:t xml:space="preserve">High</w:t>
            </w:r>
          </w:p>
        </w:tc>
        <w:tc>
          <w:tcPr/>
          <w:p>
            <w:pPr>
              <w:pStyle w:val="Compact"/>
            </w:pPr>
            <w:r>
              <w:t xml:space="preserve">These templates lack the KDC Authentication OID; Microsoft’s guidance is to supersede them with a Kerberos Authentication-based template through auto-enrollment.</w:t>
            </w:r>
            <w:r>
              <w:rPr>
                <w:rStyle w:val="FootnoteReference"/>
              </w:rPr>
              <w:footnoteReference w:id="894"/>
            </w:r>
          </w:p>
        </w:tc>
      </w:tr>
      <w:tr>
        <w:tc>
          <w:tcPr/>
          <w:p>
            <w:pPr>
              <w:pStyle w:val="Compact"/>
            </w:pPr>
            <w:r>
              <w:t xml:space="preserve">Kerberos Authentication</w:t>
            </w:r>
          </w:p>
        </w:tc>
        <w:tc>
          <w:tcPr/>
          <w:p>
            <w:pPr>
              <w:pStyle w:val="Compact"/>
            </w:pPr>
            <w:r>
              <w:t xml:space="preserve">Domain controller authentication for Kerberos and certificate sign-in</w:t>
            </w:r>
          </w:p>
        </w:tc>
        <w:tc>
          <w:tcPr/>
          <w:p>
            <w:pPr>
              <w:pStyle w:val="Compact"/>
            </w:pPr>
            <w:r>
              <w:t xml:space="preserve">BRIDGE</w:t>
            </w:r>
          </w:p>
        </w:tc>
        <w:tc>
          <w:tcPr/>
          <w:p>
            <w:pPr>
              <w:pStyle w:val="Compact"/>
            </w:pPr>
            <w:r>
              <w:t xml:space="preserve">AD CS auto-enrollment until the last domain controller retires</w:t>
            </w:r>
          </w:p>
        </w:tc>
        <w:tc>
          <w:tcPr/>
          <w:p>
            <w:pPr>
              <w:pStyle w:val="Compact"/>
            </w:pPr>
            <w:r>
              <w:t xml:space="preserve">High</w:t>
            </w:r>
          </w:p>
        </w:tc>
        <w:tc>
          <w:tcPr/>
          <w:p>
            <w:pPr>
              <w:pStyle w:val="Compact"/>
            </w:pPr>
            <w:r>
              <w:t xml:space="preserve">EKUs Client Authentication, Server Authentication and KDC Authentication; DNS name in the SAN; an HTTP CRL location for Entra-joined devices.</w:t>
            </w:r>
            <w:r>
              <w:rPr>
                <w:rStyle w:val="FootnoteReference"/>
              </w:rPr>
              <w:footnoteReference w:id="895"/>
            </w:r>
            <w:r>
              <w:rPr>
                <w:rStyle w:val="FootnoteReference"/>
              </w:rPr>
              <w:footnoteReference w:id="896"/>
            </w:r>
          </w:p>
        </w:tc>
      </w:tr>
      <w:tr>
        <w:tc>
          <w:tcPr/>
          <w:p>
            <w:pPr>
              <w:pStyle w:val="Compact"/>
            </w:pPr>
            <w:r>
              <w:t xml:space="preserve">LDAPS server certificate (Domain Controller template or a dedicated template)</w:t>
            </w:r>
          </w:p>
        </w:tc>
        <w:tc>
          <w:tcPr/>
          <w:p>
            <w:pPr>
              <w:pStyle w:val="Compact"/>
            </w:pPr>
            <w:r>
              <w:t xml:space="preserve">LDAP over TLS on domain controllers</w:t>
            </w:r>
          </w:p>
        </w:tc>
        <w:tc>
          <w:tcPr/>
          <w:p>
            <w:pPr>
              <w:pStyle w:val="Compact"/>
            </w:pPr>
            <w:r>
              <w:t xml:space="preserve">BRIDGE</w:t>
            </w:r>
          </w:p>
        </w:tc>
        <w:tc>
          <w:tcPr/>
          <w:p>
            <w:pPr>
              <w:pStyle w:val="Compact"/>
            </w:pPr>
            <w:r>
              <w:t xml:space="preserve">AD CS, renewing in the NTDS store or the computer store</w:t>
            </w:r>
          </w:p>
        </w:tc>
        <w:tc>
          <w:tcPr/>
          <w:p>
            <w:pPr>
              <w:pStyle w:val="Compact"/>
            </w:pPr>
            <w:r>
              <w:t xml:space="preserve">Medium</w:t>
            </w:r>
          </w:p>
        </w:tc>
        <w:tc>
          <w:tcPr/>
          <w:p>
            <w:pPr>
              <w:pStyle w:val="Compact"/>
            </w:pPr>
            <w:r>
              <w:t xml:space="preserve">Server Authentication EKU and the domain controller’s FQDN; every LDAPS client trusts the chain.</w:t>
            </w:r>
            <w:r>
              <w:rPr>
                <w:rStyle w:val="FootnoteReference"/>
              </w:rPr>
              <w:footnoteReference w:id="897"/>
            </w:r>
            <w:r>
              <w:t xml:space="preserve"> </w:t>
            </w:r>
            <w:r>
              <w:t xml:space="preserve">Ends with the domain controllers.</w:t>
            </w:r>
          </w:p>
        </w:tc>
      </w:tr>
      <w:tr>
        <w:tc>
          <w:tcPr/>
          <w:p>
            <w:pPr>
              <w:pStyle w:val="Compact"/>
            </w:pPr>
            <w:r>
              <w:t xml:space="preserve">RAS and IAS Server</w:t>
            </w:r>
          </w:p>
        </w:tc>
        <w:tc>
          <w:tcPr/>
          <w:p>
            <w:pPr>
              <w:pStyle w:val="Compact"/>
            </w:pPr>
            <w:r>
              <w:t xml:space="preserve">NPS and remote access server certificates</w:t>
            </w:r>
          </w:p>
        </w:tc>
        <w:tc>
          <w:tcPr/>
          <w:p>
            <w:pPr>
              <w:pStyle w:val="Compact"/>
            </w:pPr>
            <w:r>
              <w:t xml:space="preserve">BRIDGE</w:t>
            </w:r>
          </w:p>
        </w:tc>
        <w:tc>
          <w:tcPr/>
          <w:p>
            <w:pPr>
              <w:pStyle w:val="Compact"/>
            </w:pPr>
            <w:r>
              <w:t xml:space="preserve">AD CS while NPS runs; a successor RADIUS service brings its own certificate plan</w:t>
            </w:r>
          </w:p>
        </w:tc>
        <w:tc>
          <w:tcPr/>
          <w:p>
            <w:pPr>
              <w:pStyle w:val="Compact"/>
            </w:pPr>
            <w:r>
              <w:t xml:space="preserve">Low</w:t>
            </w:r>
          </w:p>
        </w:tc>
        <w:tc>
          <w:tcPr/>
          <w:p>
            <w:pPr>
              <w:pStyle w:val="Compact"/>
            </w:pPr>
            <w:r>
              <w:t xml:space="preserve">Clients validate the server against the trusted root and, for wireless, expect the server’s FQDN in the SAN.</w:t>
            </w:r>
            <w:r>
              <w:rPr>
                <w:rStyle w:val="FootnoteReference"/>
              </w:rPr>
              <w:footnoteReference w:id="898"/>
            </w:r>
            <w:r>
              <w:t xml:space="preserve"> </w:t>
            </w:r>
            <w:r>
              <w:t xml:space="preserve">NPS must trust both client chains during coexistence.</w:t>
            </w:r>
          </w:p>
        </w:tc>
      </w:tr>
      <w:tr>
        <w:tc>
          <w:tcPr/>
          <w:p>
            <w:pPr>
              <w:pStyle w:val="Compact"/>
            </w:pPr>
            <w:r>
              <w:t xml:space="preserve">Exchange Signature Only</w:t>
            </w:r>
          </w:p>
        </w:tc>
        <w:tc>
          <w:tcPr/>
          <w:p>
            <w:pPr>
              <w:pStyle w:val="Compact"/>
            </w:pPr>
            <w:r>
              <w:t xml:space="preserve">S/MIME signing</w:t>
            </w:r>
            <w:r>
              <w:rPr>
                <w:rStyle w:val="FootnoteReference"/>
              </w:rPr>
              <w:footnoteReference w:id="899"/>
            </w:r>
          </w:p>
        </w:tc>
        <w:tc>
          <w:tcPr/>
          <w:p>
            <w:pPr>
              <w:pStyle w:val="Compact"/>
            </w:pPr>
            <w:r>
              <w:t xml:space="preserve">MIGRATE (delivery)</w:t>
            </w:r>
          </w:p>
        </w:tc>
        <w:tc>
          <w:tcPr/>
          <w:p>
            <w:pPr>
              <w:pStyle w:val="Compact"/>
            </w:pPr>
            <w:r>
              <w:t xml:space="preserve">Intune PKCS profile from AD CS</w:t>
            </w:r>
          </w:p>
        </w:tc>
        <w:tc>
          <w:tcPr/>
          <w:p>
            <w:pPr>
              <w:pStyle w:val="Compact"/>
            </w:pPr>
            <w:r>
              <w:t xml:space="preserve">Medium</w:t>
            </w:r>
          </w:p>
        </w:tc>
        <w:tc>
          <w:tcPr/>
          <w:p>
            <w:pPr>
              <w:pStyle w:val="Compact"/>
            </w:pPr>
            <w:r>
              <w:t xml:space="preserve">Microsoft notes many administrators use this template for signing with the Exchange User template for encryption.</w:t>
            </w:r>
            <w:r>
              <w:rPr>
                <w:rStyle w:val="FootnoteReference"/>
              </w:rPr>
              <w:footnoteReference w:id="900"/>
            </w:r>
          </w:p>
        </w:tc>
      </w:tr>
      <w:tr>
        <w:tc>
          <w:tcPr/>
          <w:p>
            <w:pPr>
              <w:pStyle w:val="Compact"/>
            </w:pPr>
            <w:r>
              <w:t xml:space="preserve">Exchange User</w:t>
            </w:r>
          </w:p>
        </w:tc>
        <w:tc>
          <w:tcPr/>
          <w:p>
            <w:pPr>
              <w:pStyle w:val="Compact"/>
            </w:pPr>
            <w:r>
              <w:t xml:space="preserve">S/MIME encryption</w:t>
            </w:r>
            <w:r>
              <w:rPr>
                <w:rStyle w:val="FootnoteReference"/>
              </w:rPr>
              <w:footnoteReference w:id="901"/>
            </w:r>
          </w:p>
        </w:tc>
        <w:tc>
          <w:tcPr/>
          <w:p>
            <w:pPr>
              <w:pStyle w:val="Compact"/>
            </w:pPr>
            <w:r>
              <w:t xml:space="preserve">MIGRATE (delivery); RETAIN (issuer)</w:t>
            </w:r>
          </w:p>
        </w:tc>
        <w:tc>
          <w:tcPr/>
          <w:p>
            <w:pPr>
              <w:pStyle w:val="Compact"/>
            </w:pPr>
            <w:r>
              <w:t xml:space="preserve">Intune imported PKCS profile; the existing CA keeps issuing</w:t>
            </w:r>
          </w:p>
        </w:tc>
        <w:tc>
          <w:tcPr/>
          <w:p>
            <w:pPr>
              <w:pStyle w:val="Compact"/>
            </w:pPr>
            <w:r>
              <w:t xml:space="preserve">Medium</w:t>
            </w:r>
          </w:p>
        </w:tc>
        <w:tc>
          <w:tcPr/>
          <w:p>
            <w:pPr>
              <w:pStyle w:val="Compact"/>
            </w:pPr>
            <w:r>
              <w:t xml:space="preserve">Encryption keys must be archived so old mail stays readable; keep key archival (Key Recovery Agent row).</w:t>
            </w:r>
          </w:p>
        </w:tc>
      </w:tr>
      <w:tr>
        <w:tc>
          <w:tcPr/>
          <w:p>
            <w:pPr>
              <w:pStyle w:val="Compact"/>
            </w:pPr>
            <w:r>
              <w:t xml:space="preserve">Code Signing</w:t>
            </w:r>
          </w:p>
        </w:tc>
        <w:tc>
          <w:tcPr/>
          <w:p>
            <w:pPr>
              <w:pStyle w:val="Compact"/>
            </w:pPr>
            <w:r>
              <w:t xml:space="preserve">Signing software and scripts</w:t>
            </w:r>
            <w:r>
              <w:rPr>
                <w:rStyle w:val="FootnoteReference"/>
              </w:rPr>
              <w:footnoteReference w:id="902"/>
            </w:r>
          </w:p>
        </w:tc>
        <w:tc>
          <w:tcPr/>
          <w:p>
            <w:pPr>
              <w:pStyle w:val="Compact"/>
            </w:pPr>
            <w:r>
              <w:t xml:space="preserve">RETAIN</w:t>
            </w:r>
          </w:p>
        </w:tc>
        <w:tc>
          <w:tcPr/>
          <w:p>
            <w:pPr>
              <w:pStyle w:val="Compact"/>
            </w:pPr>
            <w:r>
              <w:t xml:space="preserve">A CA with HSM-protected signing keys, outside Intune</w:t>
            </w:r>
          </w:p>
        </w:tc>
        <w:tc>
          <w:tcPr/>
          <w:p>
            <w:pPr>
              <w:pStyle w:val="Compact"/>
            </w:pPr>
            <w:r>
              <w:t xml:space="preserve">—</w:t>
            </w:r>
          </w:p>
        </w:tc>
        <w:tc>
          <w:tcPr/>
          <w:p>
            <w:pPr>
              <w:pStyle w:val="Compact"/>
            </w:pPr>
            <w:r>
              <w:t xml:space="preserve">Code-signing keys and policy are a separate control set; not an Intune profile use case.</w:t>
            </w:r>
          </w:p>
        </w:tc>
      </w:tr>
      <w:tr>
        <w:tc>
          <w:tcPr/>
          <w:p>
            <w:pPr>
              <w:pStyle w:val="Compact"/>
            </w:pPr>
            <w:r>
              <w:t xml:space="preserve">Basic EFS</w:t>
            </w:r>
          </w:p>
        </w:tc>
        <w:tc>
          <w:tcPr/>
          <w:p>
            <w:pPr>
              <w:pStyle w:val="Compact"/>
            </w:pPr>
            <w:r>
              <w:t xml:space="preserve">Encrypting File System</w:t>
            </w:r>
            <w:r>
              <w:rPr>
                <w:rStyle w:val="FootnoteReference"/>
              </w:rPr>
              <w:footnoteReference w:id="903"/>
            </w:r>
          </w:p>
        </w:tc>
        <w:tc>
          <w:tcPr/>
          <w:p>
            <w:pPr>
              <w:pStyle w:val="Compact"/>
            </w:pPr>
            <w:r>
              <w:t xml:space="preserve">RETIRE</w:t>
            </w:r>
          </w:p>
        </w:tc>
        <w:tc>
          <w:tcPr/>
          <w:p>
            <w:pPr>
              <w:pStyle w:val="Compact"/>
            </w:pPr>
            <w:r>
              <w:t xml:space="preserve">None</w:t>
            </w:r>
          </w:p>
        </w:tc>
        <w:tc>
          <w:tcPr/>
          <w:p>
            <w:pPr>
              <w:pStyle w:val="Compact"/>
            </w:pPr>
            <w:r>
              <w:t xml:space="preserve">—</w:t>
            </w:r>
          </w:p>
        </w:tc>
        <w:tc>
          <w:tcPr/>
          <w:p>
            <w:pPr>
              <w:pStyle w:val="Compact"/>
            </w:pPr>
            <w:r>
              <w:t xml:space="preserve">Program design: replace with BitLocker for devices and Microsoft Purview Information Protection for files.</w:t>
            </w:r>
            <w:r>
              <w:rPr>
                <w:rStyle w:val="FootnoteReference"/>
              </w:rPr>
              <w:footnoteReference w:id="904"/>
            </w:r>
            <w:r>
              <w:t xml:space="preserve"> </w:t>
            </w:r>
            <w:r>
              <w:t xml:space="preserve">Stop issuing only after users have stopped encrypting new files with EFS.</w:t>
            </w:r>
          </w:p>
        </w:tc>
      </w:tr>
      <w:tr>
        <w:tc>
          <w:tcPr/>
          <w:p>
            <w:pPr>
              <w:pStyle w:val="Compact"/>
            </w:pPr>
            <w:r>
              <w:t xml:space="preserve">EFS Recovery Agent</w:t>
            </w:r>
          </w:p>
        </w:tc>
        <w:tc>
          <w:tcPr/>
          <w:p>
            <w:pPr>
              <w:pStyle w:val="Compact"/>
            </w:pPr>
            <w:r>
              <w:t xml:space="preserve">Decrypting files previously encrypted with EFS</w:t>
            </w:r>
            <w:r>
              <w:rPr>
                <w:rStyle w:val="FootnoteReference"/>
              </w:rPr>
              <w:footnoteReference w:id="906"/>
            </w:r>
          </w:p>
        </w:tc>
        <w:tc>
          <w:tcPr/>
          <w:p>
            <w:pPr>
              <w:pStyle w:val="Compact"/>
            </w:pPr>
            <w:r>
              <w:t xml:space="preserve">RETIRE, last</w:t>
            </w:r>
          </w:p>
        </w:tc>
        <w:tc>
          <w:tcPr/>
          <w:p>
            <w:pPr>
              <w:pStyle w:val="Compact"/>
            </w:pPr>
            <w:r>
              <w:t xml:space="preserve">None</w:t>
            </w:r>
          </w:p>
        </w:tc>
        <w:tc>
          <w:tcPr/>
          <w:p>
            <w:pPr>
              <w:pStyle w:val="Compact"/>
            </w:pPr>
            <w:r>
              <w:t xml:space="preserve">—</w:t>
            </w:r>
          </w:p>
        </w:tc>
        <w:tc>
          <w:tcPr/>
          <w:p>
            <w:pPr>
              <w:pStyle w:val="Compact"/>
            </w:pPr>
            <w:r>
              <w:t xml:space="preserve">Retire the template, but keep the recovery agent certificates and private keys until no EFS-encrypted data remains. Losing them makes that data unrecoverable.</w:t>
            </w:r>
          </w:p>
        </w:tc>
      </w:tr>
      <w:tr>
        <w:tc>
          <w:tcPr/>
          <w:p>
            <w:pPr>
              <w:pStyle w:val="Compact"/>
            </w:pPr>
            <w:r>
              <w:t xml:space="preserve">OCSP Response Signing</w:t>
            </w:r>
          </w:p>
        </w:tc>
        <w:tc>
          <w:tcPr/>
          <w:p>
            <w:pPr>
              <w:pStyle w:val="Compact"/>
            </w:pPr>
            <w:r>
              <w:t xml:space="preserve">Signing an Online Responder’s status responses</w:t>
            </w:r>
            <w:r>
              <w:rPr>
                <w:rStyle w:val="FootnoteReference"/>
              </w:rPr>
              <w:footnoteReference w:id="907"/>
            </w:r>
          </w:p>
        </w:tc>
        <w:tc>
          <w:tcPr/>
          <w:p>
            <w:pPr>
              <w:pStyle w:val="Compact"/>
            </w:pPr>
            <w:r>
              <w:t xml:space="preserve">RETIRE with the AD CS Online Responder</w:t>
            </w:r>
          </w:p>
        </w:tc>
        <w:tc>
          <w:tcPr/>
          <w:p>
            <w:pPr>
              <w:pStyle w:val="Compact"/>
            </w:pPr>
            <w:r>
              <w:t xml:space="preserve">None</w:t>
            </w:r>
          </w:p>
        </w:tc>
        <w:tc>
          <w:tcPr/>
          <w:p>
            <w:pPr>
              <w:pStyle w:val="Compact"/>
            </w:pPr>
            <w:r>
              <w:t xml:space="preserve">—</w:t>
            </w:r>
          </w:p>
        </w:tc>
        <w:tc>
          <w:tcPr/>
          <w:p>
            <w:pPr>
              <w:pStyle w:val="Compact"/>
            </w:pPr>
            <w:r>
              <w:t xml:space="preserve">Entra ID doesn’t use OCSP;</w:t>
            </w:r>
            <w:r>
              <w:rPr>
                <w:rStyle w:val="FootnoteReference"/>
              </w:rPr>
              <w:footnoteReference w:id="908"/>
            </w:r>
            <w:r>
              <w:t xml:space="preserve"> </w:t>
            </w:r>
            <w:r>
              <w:t xml:space="preserve">Cloud PKI publishes CRLs and AIA.</w:t>
            </w:r>
            <w:r>
              <w:rPr>
                <w:rStyle w:val="FootnoteReference"/>
              </w:rPr>
              <w:footnoteReference w:id="909"/>
            </w:r>
            <w:r>
              <w:t xml:space="preserve"> </w:t>
            </w:r>
            <w:r>
              <w:t xml:space="preserve">Keep the responder and this template while any retained AD CS CA has OCSP consumers.</w:t>
            </w:r>
          </w:p>
        </w:tc>
      </w:tr>
      <w:tr>
        <w:tc>
          <w:tcPr/>
          <w:p>
            <w:pPr>
              <w:pStyle w:val="Compact"/>
            </w:pPr>
            <w:r>
              <w:t xml:space="preserve">Enrollment Agent; Enrollment Agent (Computer)</w:t>
            </w:r>
          </w:p>
        </w:tc>
        <w:tc>
          <w:tcPr/>
          <w:p>
            <w:pPr>
              <w:pStyle w:val="Compact"/>
            </w:pPr>
            <w:r>
              <w:t xml:space="preserve">Requesting certificates on behalf of another subject</w:t>
            </w:r>
            <w:r>
              <w:rPr>
                <w:rStyle w:val="FootnoteReference"/>
              </w:rPr>
              <w:footnoteReference w:id="910"/>
            </w:r>
          </w:p>
        </w:tc>
        <w:tc>
          <w:tcPr/>
          <w:p>
            <w:pPr>
              <w:pStyle w:val="Compact"/>
            </w:pPr>
            <w:r>
              <w:t xml:space="preserve">RETIRE when no enroll-on-behalf workflow remains</w:t>
            </w:r>
          </w:p>
        </w:tc>
        <w:tc>
          <w:tcPr/>
          <w:p>
            <w:pPr>
              <w:pStyle w:val="Compact"/>
            </w:pPr>
            <w:r>
              <w:t xml:space="preserve">None</w:t>
            </w:r>
          </w:p>
        </w:tc>
        <w:tc>
          <w:tcPr/>
          <w:p>
            <w:pPr>
              <w:pStyle w:val="Compact"/>
            </w:pPr>
            <w:r>
              <w:t xml:space="preserve">—</w:t>
            </w:r>
          </w:p>
        </w:tc>
        <w:tc>
          <w:tcPr/>
          <w:p>
            <w:pPr>
              <w:pStyle w:val="Compact"/>
            </w:pPr>
            <w:r>
              <w:t xml:space="preserve">Intune doesn’t replace enrollment agents used for smart card issuance stations. Until retired, restrict enrollment to named agent accounts and set enrollment agent restrictions (ESC3, Chapter 03).</w:t>
            </w:r>
          </w:p>
        </w:tc>
      </w:tr>
      <w:tr>
        <w:tc>
          <w:tcPr/>
          <w:p>
            <w:pPr>
              <w:pStyle w:val="Compact"/>
            </w:pPr>
            <w:r>
              <w:t xml:space="preserve">CEP Encryption; Exchange Enrollment Agent (Offline request)</w:t>
            </w:r>
          </w:p>
        </w:tc>
        <w:tc>
          <w:tcPr/>
          <w:p>
            <w:pPr>
              <w:pStyle w:val="Compact"/>
            </w:pPr>
            <w:r>
              <w:t xml:space="preserve">NDES registration-authority certificates</w:t>
            </w:r>
            <w:r>
              <w:rPr>
                <w:rStyle w:val="FootnoteReference"/>
              </w:rPr>
              <w:footnoteReference w:id="911"/>
            </w:r>
          </w:p>
        </w:tc>
        <w:tc>
          <w:tcPr/>
          <w:p>
            <w:pPr>
              <w:pStyle w:val="Compact"/>
            </w:pPr>
            <w:r>
              <w:t xml:space="preserve">BRIDGE</w:t>
            </w:r>
          </w:p>
        </w:tc>
        <w:tc>
          <w:tcPr/>
          <w:p>
            <w:pPr>
              <w:pStyle w:val="Compact"/>
            </w:pPr>
            <w:r>
              <w:t xml:space="preserve">AD CS while NDES serves Intune SCEP</w:t>
            </w:r>
          </w:p>
        </w:tc>
        <w:tc>
          <w:tcPr/>
          <w:p>
            <w:pPr>
              <w:pStyle w:val="Compact"/>
            </w:pPr>
            <w:r>
              <w:t xml:space="preserve">Medium</w:t>
            </w:r>
          </w:p>
        </w:tc>
        <w:tc>
          <w:tcPr/>
          <w:p>
            <w:pPr>
              <w:pStyle w:val="Compact"/>
            </w:pPr>
            <w:r>
              <w:t xml:space="preserve">They expire and must be renewed like any certificate; retire with the last NDES server.</w:t>
            </w:r>
          </w:p>
        </w:tc>
      </w:tr>
      <w:tr>
        <w:tc>
          <w:tcPr/>
          <w:p>
            <w:pPr>
              <w:pStyle w:val="Compact"/>
            </w:pPr>
            <w:r>
              <w:t xml:space="preserve">Custom NDES SCEP template(s)</w:t>
            </w:r>
          </w:p>
        </w:tc>
        <w:tc>
          <w:tcPr/>
          <w:p>
            <w:pPr>
              <w:pStyle w:val="Compact"/>
            </w:pPr>
            <w:r>
              <w:t xml:space="preserve">Certificates issued through NDES to Intune devices</w:t>
            </w:r>
          </w:p>
        </w:tc>
        <w:tc>
          <w:tcPr/>
          <w:p>
            <w:pPr>
              <w:pStyle w:val="Compact"/>
            </w:pPr>
            <w:r>
              <w:t xml:space="preserve">BRIDGE</w:t>
            </w:r>
          </w:p>
        </w:tc>
        <w:tc>
          <w:tcPr/>
          <w:p>
            <w:pPr>
              <w:pStyle w:val="Compact"/>
            </w:pPr>
            <w:r>
              <w:t xml:space="preserve">Replaced by Cloud PKI SCEP profiles</w:t>
            </w:r>
          </w:p>
        </w:tc>
        <w:tc>
          <w:tcPr/>
          <w:p>
            <w:pPr>
              <w:pStyle w:val="Compact"/>
            </w:pPr>
            <w:r>
              <w:t xml:space="preserve">Medium</w:t>
            </w:r>
          </w:p>
        </w:tc>
        <w:tc>
          <w:tcPr/>
          <w:p>
            <w:pPr>
              <w:pStyle w:val="Compact"/>
            </w:pPr>
            <w:r>
              <w:t xml:space="preserve">Subject supplied in the request; Enroll only for the NDES service account.</w:t>
            </w:r>
            <w:r>
              <w:rPr>
                <w:rStyle w:val="FootnoteReference"/>
              </w:rPr>
              <w:footnoteReference w:id="912"/>
            </w:r>
            <w:r>
              <w:t xml:space="preserve"> </w:t>
            </w:r>
            <w:r>
              <w:t xml:space="preserve">Up to three per NDES server (signature, encryption, both).</w:t>
            </w:r>
            <w:r>
              <w:rPr>
                <w:rStyle w:val="FootnoteReference"/>
              </w:rPr>
              <w:footnoteReference w:id="913"/>
            </w:r>
          </w:p>
        </w:tc>
      </w:tr>
      <w:tr>
        <w:tc>
          <w:tcPr/>
          <w:p>
            <w:pPr>
              <w:pStyle w:val="Compact"/>
            </w:pPr>
            <w:r>
              <w:t xml:space="preserve">Custom PKCS template(s)</w:t>
            </w:r>
          </w:p>
        </w:tc>
        <w:tc>
          <w:tcPr/>
          <w:p>
            <w:pPr>
              <w:pStyle w:val="Compact"/>
            </w:pPr>
            <w:r>
              <w:t xml:space="preserve">Certificates issued through the Certificate Connector</w:t>
            </w:r>
          </w:p>
        </w:tc>
        <w:tc>
          <w:tcPr/>
          <w:p>
            <w:pPr>
              <w:pStyle w:val="Compact"/>
            </w:pPr>
            <w:r>
              <w:t xml:space="preserve">BRIDGE or RETAIN</w:t>
            </w:r>
          </w:p>
        </w:tc>
        <w:tc>
          <w:tcPr/>
          <w:p>
            <w:pPr>
              <w:pStyle w:val="Compact"/>
            </w:pPr>
            <w:r>
              <w:t xml:space="preserve">Intune PKCS profile from AD CS</w:t>
            </w:r>
          </w:p>
        </w:tc>
        <w:tc>
          <w:tcPr/>
          <w:p>
            <w:pPr>
              <w:pStyle w:val="Compact"/>
            </w:pPr>
            <w:r>
              <w:t xml:space="preserve">Medium</w:t>
            </w:r>
          </w:p>
        </w:tc>
        <w:tc>
          <w:tcPr/>
          <w:p>
            <w:pPr>
              <w:pStyle w:val="Compact"/>
            </w:pPr>
            <w:r>
              <w:t xml:space="preserve">Allows key export by design; Domain Users removed from permissions.</w:t>
            </w:r>
            <w:r>
              <w:rPr>
                <w:rStyle w:val="FootnoteReference"/>
              </w:rPr>
              <w:footnoteReference w:id="914"/>
            </w:r>
          </w:p>
        </w:tc>
      </w:tr>
      <w:tr>
        <w:tc>
          <w:tcPr/>
          <w:p>
            <w:pPr>
              <w:pStyle w:val="Compact"/>
            </w:pPr>
            <w:r>
              <w:t xml:space="preserve">IPSEC; IPSEC (Offline request)</w:t>
            </w:r>
          </w:p>
        </w:tc>
        <w:tc>
          <w:tcPr/>
          <w:p>
            <w:pPr>
              <w:pStyle w:val="Compact"/>
            </w:pPr>
            <w:r>
              <w:t xml:space="preserve">IPsec for computers; offline variant supplies the subject in the request</w:t>
            </w:r>
            <w:r>
              <w:rPr>
                <w:rStyle w:val="FootnoteReference"/>
              </w:rPr>
              <w:footnoteReference w:id="915"/>
            </w:r>
          </w:p>
        </w:tc>
        <w:tc>
          <w:tcPr/>
          <w:p>
            <w:pPr>
              <w:pStyle w:val="Compact"/>
            </w:pPr>
            <w:r>
              <w:t xml:space="preserve">MIGRATE for Intune-managed client devices; RETAIN for gateways</w:t>
            </w:r>
          </w:p>
        </w:tc>
        <w:tc>
          <w:tcPr/>
          <w:p>
            <w:pPr>
              <w:pStyle w:val="Compact"/>
            </w:pPr>
            <w:r>
              <w:t xml:space="preserve">Clients: Cloud PKI SCEP with the IPsec EKU configured on the issuing CA. Gateways: AD CS or the appliance vendor’s CA, with lifecycle automation</w:t>
            </w:r>
          </w:p>
        </w:tc>
        <w:tc>
          <w:tcPr/>
          <w:p>
            <w:pPr>
              <w:pStyle w:val="Compact"/>
            </w:pPr>
            <w:r>
              <w:t xml:space="preserve">Medium</w:t>
            </w:r>
          </w:p>
        </w:tc>
        <w:tc>
          <w:tcPr/>
          <w:p>
            <w:pPr>
              <w:pStyle w:val="Compact"/>
            </w:pPr>
            <w:r>
              <w:t xml:space="preserve">The guide’s VPN gateway row was a server-side certificate; gateways aren’t Intune devices. A Cloud PKI CA’s EKUs are fixed at creation.</w:t>
            </w:r>
            <w:r>
              <w:rPr>
                <w:rStyle w:val="FootnoteReference"/>
              </w:rPr>
              <w:footnoteReference w:id="916"/>
            </w:r>
          </w:p>
        </w:tc>
      </w:tr>
      <w:tr>
        <w:tc>
          <w:tcPr/>
          <w:p>
            <w:pPr>
              <w:pStyle w:val="Compact"/>
            </w:pPr>
            <w:r>
              <w:t xml:space="preserve">Router (Offline request)</w:t>
            </w:r>
          </w:p>
        </w:tc>
        <w:tc>
          <w:tcPr/>
          <w:p>
            <w:pPr>
              <w:pStyle w:val="Compact"/>
            </w:pPr>
            <w:r>
              <w:t xml:space="preserve">Network devices enrolling through SCEP</w:t>
            </w:r>
            <w:r>
              <w:rPr>
                <w:rStyle w:val="FootnoteReference"/>
              </w:rPr>
              <w:footnoteReference w:id="917"/>
            </w:r>
          </w:p>
        </w:tc>
        <w:tc>
          <w:tcPr/>
          <w:p>
            <w:pPr>
              <w:pStyle w:val="Compact"/>
            </w:pPr>
            <w:r>
              <w:t xml:space="preserve">RETAIN</w:t>
            </w:r>
          </w:p>
        </w:tc>
        <w:tc>
          <w:tcPr/>
          <w:p>
            <w:pPr>
              <w:pStyle w:val="Compact"/>
            </w:pPr>
            <w:r>
              <w:t xml:space="preserve">AD CS through NDES, or the network vendor’s enrollment</w:t>
            </w:r>
          </w:p>
        </w:tc>
        <w:tc>
          <w:tcPr/>
          <w:p>
            <w:pPr>
              <w:pStyle w:val="Compact"/>
            </w:pPr>
            <w:r>
              <w:t xml:space="preserve">Low</w:t>
            </w:r>
          </w:p>
        </w:tc>
        <w:tc>
          <w:tcPr/>
          <w:p>
            <w:pPr>
              <w:pStyle w:val="Compact"/>
            </w:pPr>
            <w:r>
              <w:t xml:space="preserve">Not an Intune workload; plan with the network team.</w:t>
            </w:r>
          </w:p>
        </w:tc>
      </w:tr>
      <w:tr>
        <w:tc>
          <w:tcPr/>
          <w:p>
            <w:pPr>
              <w:pStyle w:val="Compact"/>
            </w:pPr>
            <w:r>
              <w:t xml:space="preserve">Subordinate Certification Authority</w:t>
            </w:r>
          </w:p>
        </w:tc>
        <w:tc>
          <w:tcPr/>
          <w:p>
            <w:pPr>
              <w:pStyle w:val="Compact"/>
            </w:pPr>
            <w:r>
              <w:t xml:space="preserve">Issuing CA certificates from a parent CA</w:t>
            </w:r>
            <w:r>
              <w:rPr>
                <w:rStyle w:val="FootnoteReference"/>
              </w:rPr>
              <w:footnoteReference w:id="918"/>
            </w:r>
          </w:p>
        </w:tc>
        <w:tc>
          <w:tcPr/>
          <w:p>
            <w:pPr>
              <w:pStyle w:val="Compact"/>
            </w:pPr>
            <w:r>
              <w:t xml:space="preserve">RETAIN on the root</w:t>
            </w:r>
          </w:p>
        </w:tc>
        <w:tc>
          <w:tcPr/>
          <w:p>
            <w:pPr>
              <w:pStyle w:val="Compact"/>
            </w:pPr>
            <w:r>
              <w:t xml:space="preserve">Offline root</w:t>
            </w:r>
          </w:p>
        </w:tc>
        <w:tc>
          <w:tcPr/>
          <w:p>
            <w:pPr>
              <w:pStyle w:val="Compact"/>
            </w:pPr>
            <w:r>
              <w:t xml:space="preserve">—</w:t>
            </w:r>
          </w:p>
        </w:tc>
        <w:tc>
          <w:tcPr/>
          <w:p>
            <w:pPr>
              <w:pStyle w:val="Compact"/>
            </w:pPr>
            <w:r>
              <w:t xml:space="preserve">Used to sign a BYOCA issuing CA’s request.</w:t>
            </w:r>
            <w:r>
              <w:rPr>
                <w:rStyle w:val="FootnoteReference"/>
              </w:rPr>
              <w:footnoteReference w:id="919"/>
            </w:r>
            <w:r>
              <w:t xml:space="preserve"> </w:t>
            </w:r>
            <w:r>
              <w:t xml:space="preserve">Publish only during a signing ceremony.</w:t>
            </w:r>
          </w:p>
        </w:tc>
      </w:tr>
      <w:tr>
        <w:tc>
          <w:tcPr/>
          <w:p>
            <w:pPr>
              <w:pStyle w:val="Compact"/>
            </w:pPr>
            <w:r>
              <w:t xml:space="preserve">Key Recovery Agent; CA Exchange</w:t>
            </w:r>
          </w:p>
        </w:tc>
        <w:tc>
          <w:tcPr/>
          <w:p>
            <w:pPr>
              <w:pStyle w:val="Compact"/>
            </w:pPr>
            <w:r>
              <w:t xml:space="preserve">Private key archival and recovery on the CA</w:t>
            </w:r>
            <w:r>
              <w:rPr>
                <w:rStyle w:val="FootnoteReference"/>
              </w:rPr>
              <w:footnoteReference w:id="920"/>
            </w:r>
          </w:p>
        </w:tc>
        <w:tc>
          <w:tcPr/>
          <w:p>
            <w:pPr>
              <w:pStyle w:val="Compact"/>
            </w:pPr>
            <w:r>
              <w:t xml:space="preserve">RETAIN while any archived keys are needed</w:t>
            </w:r>
          </w:p>
        </w:tc>
        <w:tc>
          <w:tcPr/>
          <w:p>
            <w:pPr>
              <w:pStyle w:val="Compact"/>
            </w:pPr>
            <w:r>
              <w:t xml:space="preserve">AD CS</w:t>
            </w:r>
          </w:p>
        </w:tc>
        <w:tc>
          <w:tcPr/>
          <w:p>
            <w:pPr>
              <w:pStyle w:val="Compact"/>
            </w:pPr>
            <w:r>
              <w:t xml:space="preserve">—</w:t>
            </w:r>
          </w:p>
        </w:tc>
        <w:tc>
          <w:tcPr/>
          <w:p>
            <w:pPr>
              <w:pStyle w:val="Compact"/>
            </w:pPr>
            <w:r>
              <w:t xml:space="preserve">Required for S/MIME encryption key recovery.</w:t>
            </w:r>
          </w:p>
        </w:tc>
      </w:tr>
      <w:tr>
        <w:tc>
          <w:tcPr/>
          <w:p>
            <w:pPr>
              <w:pStyle w:val="Compact"/>
            </w:pPr>
            <w:r>
              <w:t xml:space="preserve">Directory E-mail Replication</w:t>
            </w:r>
          </w:p>
        </w:tc>
        <w:tc>
          <w:tcPr/>
          <w:p>
            <w:pPr>
              <w:pStyle w:val="Compact"/>
            </w:pPr>
            <w:r>
              <w:t xml:space="preserve">Active Directory replication over SMTP</w:t>
            </w:r>
            <w:r>
              <w:rPr>
                <w:rStyle w:val="FootnoteReference"/>
              </w:rPr>
              <w:footnoteReference w:id="921"/>
            </w:r>
          </w:p>
        </w:tc>
        <w:tc>
          <w:tcPr/>
          <w:p>
            <w:pPr>
              <w:pStyle w:val="Compact"/>
            </w:pPr>
            <w:r>
              <w:t xml:space="preserve">BRIDGE, or RETIRE if unused</w:t>
            </w:r>
          </w:p>
        </w:tc>
        <w:tc>
          <w:tcPr/>
          <w:p>
            <w:pPr>
              <w:pStyle w:val="Compact"/>
            </w:pPr>
            <w:r>
              <w:t xml:space="preserve">AD CS</w:t>
            </w:r>
          </w:p>
        </w:tc>
        <w:tc>
          <w:tcPr/>
          <w:p>
            <w:pPr>
              <w:pStyle w:val="Compact"/>
            </w:pPr>
            <w:r>
              <w:t xml:space="preserve">Low</w:t>
            </w:r>
          </w:p>
        </w:tc>
        <w:tc>
          <w:tcPr/>
          <w:p>
            <w:pPr>
              <w:pStyle w:val="Compact"/>
            </w:pPr>
            <w:r>
              <w:t xml:space="preserve">Confirm whether any site link still uses SMTP replication before retiring.</w:t>
            </w:r>
          </w:p>
        </w:tc>
      </w:tr>
      <w:tr>
        <w:tc>
          <w:tcPr/>
          <w:p>
            <w:pPr>
              <w:pStyle w:val="Compact"/>
            </w:pPr>
            <w:r>
              <w:t xml:space="preserve">Windows Hello for Business authentication (custom, certificate trust)</w:t>
            </w:r>
          </w:p>
        </w:tc>
        <w:tc>
          <w:tcPr/>
          <w:p>
            <w:pPr>
              <w:pStyle w:val="Compact"/>
            </w:pPr>
            <w:r>
              <w:t xml:space="preserve">Hello for Business certificate trust deployments</w:t>
            </w:r>
          </w:p>
        </w:tc>
        <w:tc>
          <w:tcPr/>
          <w:p>
            <w:pPr>
              <w:pStyle w:val="Compact"/>
            </w:pPr>
            <w:r>
              <w:t xml:space="preserve">BRIDGE</w:t>
            </w:r>
          </w:p>
        </w:tc>
        <w:tc>
          <w:tcPr/>
          <w:p>
            <w:pPr>
              <w:pStyle w:val="Compact"/>
            </w:pPr>
            <w:r>
              <w:t xml:space="preserve">AD CS while certificate trust is deployed</w:t>
            </w:r>
          </w:p>
        </w:tc>
        <w:tc>
          <w:tcPr/>
          <w:p>
            <w:pPr>
              <w:pStyle w:val="Compact"/>
            </w:pPr>
            <w:r>
              <w:t xml:space="preserve">Medium</w:t>
            </w:r>
          </w:p>
        </w:tc>
        <w:tc>
          <w:tcPr/>
          <w:p>
            <w:pPr>
              <w:pStyle w:val="Compact"/>
            </w:pPr>
            <w:r>
              <w:t xml:space="preserve">Cloud Kerberos trust needs no certificates and is Microsoft’s recommended hybrid model (Book 02, Chapter 04). Staged rollout doesn’t support certificate trust with the federation server as registration authority.</w:t>
            </w:r>
            <w:r>
              <w:rPr>
                <w:rStyle w:val="FootnoteReference"/>
              </w:rPr>
              <w:footnoteReference w:id="922"/>
            </w:r>
          </w:p>
        </w:tc>
      </w:tr>
    </w:tbl>
    <w:bookmarkEnd w:id="923"/>
    <w:bookmarkStart w:id="924" w:name="what-to-check-before-a-row-moves"/>
    <w:p>
      <w:pPr>
        <w:pStyle w:val="Heading2"/>
      </w:pPr>
      <w:bookmarkStart w:id="1024" w:name="_Toc00001024"/>
      <w:r>
        <w:t xml:space="preserve">What to check before a row moves</w:t>
      </w:r>
      <w:bookmarkEnd w:id="1024"/>
    </w:p>
    <w:p>
      <w:pPr>
        <w:pStyle w:val="FirstParagraph"/>
      </w:pPr>
      <w:r>
        <w:t xml:space="preserve">For every row classed MIGRATE, the move is ready when four things are true, and they are the exit criteria wave 4 applies per ring (Chapter 07):</w:t>
      </w:r>
    </w:p>
    <w:p>
      <w:pPr>
        <w:pStyle w:val="Compact"/>
        <w:numPr>
          <w:ilvl w:val="0"/>
          <w:numId w:val="1054"/>
        </w:numPr>
      </w:pPr>
      <w:r>
        <w:t xml:space="preserve">Every relying party for the use case trusts the new chain and can reach its CRL.</w:t>
      </w:r>
    </w:p>
    <w:p>
      <w:pPr>
        <w:pStyle w:val="Compact"/>
        <w:numPr>
          <w:ilvl w:val="0"/>
          <w:numId w:val="1054"/>
        </w:numPr>
      </w:pPr>
      <w:r>
        <w:t xml:space="preserve">The Intune profile is assigned and issuing at the program’s success threshold.</w:t>
      </w:r>
    </w:p>
    <w:p>
      <w:pPr>
        <w:pStyle w:val="Compact"/>
        <w:numPr>
          <w:ilvl w:val="0"/>
          <w:numId w:val="1054"/>
        </w:numPr>
      </w:pPr>
      <w:r>
        <w:t xml:space="preserve">Certificates that will be used against Active Directory carry a strong mapping (Chapter 06).</w:t>
      </w:r>
    </w:p>
    <w:p>
      <w:pPr>
        <w:pStyle w:val="Compact"/>
        <w:numPr>
          <w:ilvl w:val="0"/>
          <w:numId w:val="1054"/>
        </w:numPr>
      </w:pPr>
      <w:r>
        <w:t xml:space="preserve">The AD CS template’s remaining issued certificates are on a dated path to expiry, with auto-enrollment removed only after step 2.</w:t>
      </w:r>
    </w:p>
    <w:p>
      <w:pPr>
        <w:pStyle w:val="FirstParagraph"/>
      </w:pPr>
      <w:r>
        <w:t xml:space="preserve">For BRIDGE rows, record the event that ends them (the last domain controller, the last NDES server, NPS replaced) so the template’s retirement is scheduled with that event rather than forgotten.</w:t>
      </w:r>
    </w:p>
    <w:bookmarkEnd w:id="924"/>
    <w:bookmarkStart w:id="925" w:name="continue-the-book-9"/>
    <w:p>
      <w:pPr>
        <w:pStyle w:val="Heading2"/>
      </w:pPr>
      <w:bookmarkStart w:id="1025" w:name="_Toc00001025"/>
      <w:r>
        <w:t xml:space="preserve">Continue the book</w:t>
      </w:r>
      <w:bookmarkEnd w:id="1025"/>
    </w:p>
    <w:p>
      <w:pPr>
        <w:pStyle w:val="FirstParagraph"/>
      </w:pPr>
      <w:r>
        <w:t xml:space="preserve">← Previous: Appendix A — Cloud PKI and CBA Deployment Checklists · Book index</w:t>
      </w:r>
    </w:p>
    <w:bookmarkEnd w:id="925"/>
    <w:bookmarkEnd w:id="9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“What is Active Directory Certificate Services?”</w:t>
      </w:r>
      <w:r>
        <w:t xml:space="preserve"> </w:t>
      </w:r>
      <w:r>
        <w:t xml:space="preserve">(Benefits),</w:t>
      </w:r>
      <w:r>
        <w:t xml:space="preserve"> </w:t>
      </w:r>
      <w:hyperlink r:id="rId18">
        <w:r>
          <w:rPr>
            <w:rStyle w:val="Hyperlink"/>
          </w:rPr>
          <w:t xml:space="preserve">https://learn.microsoft.com/windows-server/identity/ad-cs/active-directory-certificate-services-overview</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domain controller certificates),</w:t>
      </w:r>
      <w:r>
        <w:t xml:space="preserve"> </w:t>
      </w:r>
      <w:hyperlink r:id="rId25">
        <w:r>
          <w:rPr>
            <w:rStyle w:val="Hyperlink"/>
          </w:rPr>
          <w:t xml:space="preserve">https://learn.microsoft.com/windows/security/identity-protection/hello-for-business/deploy/hybrid-cert-trust-pki</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7">
        <w:r>
          <w:rPr>
            <w:rStyle w:val="Hyperlink"/>
          </w:rPr>
          <w:t xml:space="preserve">https://learn.microsoft.com/windows-server/identity/ad-ds/configure-ldap-signing-certificates</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“Manage Certificates Used with NPS,”</w:t>
      </w:r>
      <w:r>
        <w:t xml:space="preserve"> </w:t>
      </w:r>
      <w:hyperlink r:id="rId31">
        <w:r>
          <w:rPr>
            <w:rStyle w:val="Hyperlink"/>
          </w:rPr>
          <w:t xml:space="preserve">https://learn.microsoft.com/windows-server/networking/technologies/nps/nps-manage-certificates</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“Limitations with Microsoft Entra certificate-based authentication,”</w:t>
      </w:r>
      <w:r>
        <w:t xml:space="preserve"> </w:t>
      </w:r>
      <w:hyperlink r:id="rId37">
        <w:r>
          <w:rPr>
            <w:rStyle w:val="Hyperlink"/>
          </w:rPr>
          <w:t xml:space="preserve">https://learn.microsoft.com/entra/identity/authentication/concept-certificate-based-authentication-limitations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Security considerations for forest-wide PKI changes),</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w:t>
      </w:r>
      <w:r>
        <w:t xml:space="preserve"> </w:t>
      </w:r>
      <w:hyperlink r:id="rId42">
        <w:r>
          <w:rPr>
            <w:rStyle w:val="Hyperlink"/>
          </w:rPr>
          <w:t xml:space="preserve">https://learn.microsoft.com/intune/cloud-pki/</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“Limitations with Microsoft Entra certificate-based authentication,”</w:t>
      </w:r>
      <w:r>
        <w:t xml:space="preserve"> </w:t>
      </w:r>
      <w:hyperlink r:id="rId37">
        <w:r>
          <w:rPr>
            <w:rStyle w:val="Hyperlink"/>
          </w:rPr>
          <w:t xml:space="preserve">https://learn.microsoft.com/entra/identity/authentication/concept-certificate-based-authentication-limitations</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Security considerations for forest-wide PKI changes),</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52">
    <w:p>
      <w:pPr>
        <w:pStyle w:val="FootnoteText"/>
      </w:pPr>
      <w:r>
        <w:rPr>
          <w:rStyle w:val="FootnoteReference"/>
        </w:rPr>
        <w:footnoteRef/>
      </w:r>
      <w:r>
        <w:t xml:space="preserve"> </w:t>
      </w:r>
      <w:r>
        <w:t xml:space="preserve">CA/Browser Forum,</w:t>
      </w:r>
      <w:r>
        <w:t xml:space="preserve"> </w:t>
      </w:r>
      <w:r>
        <w:t xml:space="preserve">“Ballot SC-081v3: Introduce Schedule of Reducing Validity and Data Reuse Periods,”</w:t>
      </w:r>
      <w:r>
        <w:t xml:space="preserve"> </w:t>
      </w:r>
      <w:r>
        <w:t xml:space="preserve">voting April 4–11, 2025,</w:t>
      </w:r>
      <w:r>
        <w:t xml:space="preserve"> </w:t>
      </w:r>
      <w:hyperlink r:id="rId53">
        <w:r>
          <w:rPr>
            <w:rStyle w:val="Hyperlink"/>
          </w:rPr>
          <w:t xml:space="preserve">https://cabforum.org/2025/04/11/ballot-sc081v3-introduce-schedule-of-reducing-validity-and-data-reuse-periods/</w:t>
        </w:r>
      </w:hyperlink>
      <w:r>
        <w:t xml:space="preserve"> </w:t>
      </w:r>
      <w:r>
        <w:t xml:space="preserve">(accessed Oct 20, 2026).</w:t>
      </w:r>
    </w:p>
  </w:footnote>
  <w:footnote w:id="54">
    <w:p>
      <w:pPr>
        <w:pStyle w:val="FootnoteText"/>
      </w:pPr>
      <w:r>
        <w:rPr>
          <w:rStyle w:val="FootnoteReference"/>
        </w:rPr>
        <w:footnoteRef/>
      </w:r>
      <w:r>
        <w:t xml:space="preserve"> </w:t>
      </w:r>
      <w:r>
        <w:t xml:space="preserve">CA/Browser Forum,</w:t>
      </w:r>
      <w:r>
        <w:t xml:space="preserve"> </w:t>
      </w:r>
      <w:r>
        <w:rPr>
          <w:i/>
          <w:iCs/>
        </w:rPr>
        <w:t xml:space="preserve">Baseline Requirements for Publicly-Trusted TLS Server Certificates</w:t>
      </w:r>
      <w:r>
        <w:t xml:space="preserve">, version 2.3.1, October 4, 2026, §1.2.2</w:t>
      </w:r>
      <w:r>
        <w:t xml:space="preserve"> </w:t>
      </w:r>
      <w:r>
        <w:t xml:space="preserve">“Relevant Dates,”</w:t>
      </w:r>
      <w:r>
        <w:t xml:space="preserve"> </w:t>
      </w:r>
      <w:hyperlink r:id="rId55">
        <w:r>
          <w:rPr>
            <w:rStyle w:val="Hyperlink"/>
          </w:rPr>
          <w:t xml:space="preserve">https://raw.githubusercontent.com/cabforum/servercert/main/docs/BR.md</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61">
    <w:p>
      <w:pPr>
        <w:pStyle w:val="FootnoteText"/>
      </w:pPr>
      <w:r>
        <w:rPr>
          <w:rStyle w:val="FootnoteReference"/>
        </w:rPr>
        <w:footnoteRef/>
      </w:r>
      <w:r>
        <w:t xml:space="preserve"> </w:t>
      </w:r>
      <w:r>
        <w:t xml:space="preserve">NIST, IR 8547 (Initial Public Draft),</w:t>
      </w:r>
      <w:r>
        <w:t xml:space="preserve"> </w:t>
      </w:r>
      <w:r>
        <w:rPr>
          <w:i/>
          <w:iCs/>
        </w:rPr>
        <w:t xml:space="preserve">Transition to Post-Quantum Cryptography Standards</w:t>
      </w:r>
      <w:r>
        <w:t xml:space="preserve">, November 12, 2024, §1, §2.2 and §4.1.1 (Table 2),</w:t>
      </w:r>
      <w:r>
        <w:t xml:space="preserve"> </w:t>
      </w:r>
      <w:hyperlink r:id="rId62">
        <w:r>
          <w:rPr>
            <w:rStyle w:val="Hyperlink"/>
          </w:rPr>
          <w:t xml:space="preserve">https://csrc.nist.gov/pubs/ir/8547/ipd</w:t>
        </w:r>
      </w:hyperlink>
      <w:r>
        <w:t xml:space="preserve"> </w:t>
      </w:r>
      <w:r>
        <w:t xml:space="preserve">(accessed Oct 20, 2026).</w:t>
      </w:r>
    </w:p>
  </w:footnote>
  <w:footnote w:id="63">
    <w:p>
      <w:pPr>
        <w:pStyle w:val="FootnoteText"/>
      </w:pPr>
      <w:r>
        <w:rPr>
          <w:rStyle w:val="FootnoteReference"/>
        </w:rPr>
        <w:footnoteRef/>
      </w:r>
      <w:r>
        <w:t xml:space="preserve"> </w:t>
      </w:r>
      <w:r>
        <w:t xml:space="preserve">NIST, IR 8547 (Initial Public Draft),</w:t>
      </w:r>
      <w:r>
        <w:t xml:space="preserve"> </w:t>
      </w:r>
      <w:r>
        <w:rPr>
          <w:i/>
          <w:iCs/>
        </w:rPr>
        <w:t xml:space="preserve">Transition to Post-Quantum Cryptography Standards</w:t>
      </w:r>
      <w:r>
        <w:t xml:space="preserve">, November 12, 2024, §1, §2.2 and §4.1.1 (Table 2),</w:t>
      </w:r>
      <w:r>
        <w:t xml:space="preserve"> </w:t>
      </w:r>
      <w:hyperlink r:id="rId62">
        <w:r>
          <w:rPr>
            <w:rStyle w:val="Hyperlink"/>
          </w:rPr>
          <w:t xml:space="preserve">https://csrc.nist.gov/pubs/ir/8547/ipd</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hyperlink r:id="rId65">
        <w:r>
          <w:rPr>
            <w:rStyle w:val="Hyperlink"/>
          </w:rPr>
          <w:t xml:space="preserve">https://learn.microsoft.com/windows-server/identity/ad-cs/post-quantum-cryptography-overview</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hyperlink r:id="rId65">
        <w:r>
          <w:rPr>
            <w:rStyle w:val="Hyperlink"/>
          </w:rPr>
          <w:t xml:space="preserve">https://learn.microsoft.com/windows-server/identity/ad-cs/post-quantum-cryptography-overview</w:t>
        </w:r>
      </w:hyperlink>
      <w:r>
        <w:t xml:space="preserve"> </w:t>
      </w:r>
      <w:r>
        <w:t xml:space="preserve">(accessed Oct 20, 2026).</w:t>
      </w:r>
    </w:p>
  </w:footnote>
  <w:footnote w:id="69">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filed as Exhibit 99.1 to Form 8-K, February 11, 2026,</w:t>
      </w:r>
      <w:r>
        <w:t xml:space="preserve"> </w:t>
      </w:r>
      <w:hyperlink r:id="rId70">
        <w:r>
          <w:rPr>
            <w:rStyle w:val="Hyperlink"/>
          </w:rPr>
          <w:t xml:space="preserve">https://www.sec.gov/Archives/edgar/data/1327567/000119312526045600/d40626dex991.htm</w:t>
        </w:r>
      </w:hyperlink>
      <w:r>
        <w:t xml:space="preserve"> </w:t>
      </w:r>
      <w:r>
        <w:t xml:space="preserve">(accessed Oct 20, 2026).</w:t>
      </w:r>
    </w:p>
  </w:footnote>
  <w:footnote w:id="71">
    <w:p>
      <w:pPr>
        <w:pStyle w:val="FootnoteText"/>
      </w:pPr>
      <w:r>
        <w:rPr>
          <w:rStyle w:val="FootnoteReference"/>
        </w:rPr>
        <w:footnoteRef/>
      </w:r>
      <w:r>
        <w:t xml:space="preserve"> </w:t>
      </w:r>
      <w:r>
        <w:t xml:space="preserve">Palo Alto Networks,</w:t>
      </w:r>
      <w:r>
        <w:t xml:space="preserve"> </w:t>
      </w:r>
      <w:r>
        <w:t xml:space="preserve">“Certificate Manager”</w:t>
      </w:r>
      <w:r>
        <w:t xml:space="preserve"> </w:t>
      </w:r>
      <w:r>
        <w:t xml:space="preserve">(Next-Generation Trust Security),</w:t>
      </w:r>
      <w:r>
        <w:t xml:space="preserve"> </w:t>
      </w:r>
      <w:hyperlink r:id="rId72">
        <w:r>
          <w:rPr>
            <w:rStyle w:val="Hyperlink"/>
          </w:rPr>
          <w:t xml:space="preserve">https://www.paloaltonetworks.com/network-security/next-gen-trust-security/certificate-manager</w:t>
        </w:r>
      </w:hyperlink>
      <w:r>
        <w:t xml:space="preserve"> </w:t>
      </w:r>
      <w:r>
        <w:t xml:space="preserve">(accessed Oct 20, 2026).</w:t>
      </w:r>
    </w:p>
  </w:footnote>
  <w:footnote w:id="7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§A (Identity),</w:t>
      </w:r>
      <w:r>
        <w:t xml:space="preserve"> </w:t>
      </w:r>
      <w:hyperlink r:id="rId75">
        <w:r>
          <w:rPr>
            <w:rStyle w:val="Hyperlink"/>
          </w:rPr>
          <w:t xml:space="preserve">https://www.whitehouse.gov/wp-content/uploads/2022/01/M-22-09.pdf</w:t>
        </w:r>
      </w:hyperlink>
      <w:r>
        <w:t xml:space="preserve"> </w:t>
      </w:r>
      <w:r>
        <w:t xml:space="preserve">(accessed Oct 20, 2026).</w:t>
      </w:r>
    </w:p>
  </w:footnote>
  <w:footnote w:id="83">
    <w:p>
      <w:pPr>
        <w:pStyle w:val="FootnoteText"/>
      </w:pPr>
      <w:r>
        <w:rPr>
          <w:rStyle w:val="FootnoteReference"/>
        </w:rPr>
        <w:footnoteRef/>
      </w:r>
      <w:r>
        <w:t xml:space="preserve"> </w:t>
      </w:r>
      <w:r>
        <w:t xml:space="preserve">Microsoft Learn,</w:t>
      </w:r>
      <w:r>
        <w:t xml:space="preserve"> </w:t>
      </w:r>
      <w:r>
        <w:t xml:space="preserve">“What is the Certification Authority Role Service?”</w:t>
      </w:r>
      <w:r>
        <w:t xml:space="preserve"> </w:t>
      </w:r>
      <w:r>
        <w:t xml:space="preserve">(Root and subordinate certification authorities),</w:t>
      </w:r>
      <w:r>
        <w:t xml:space="preserve"> </w:t>
      </w:r>
      <w:hyperlink r:id="rId84">
        <w:r>
          <w:rPr>
            <w:rStyle w:val="Hyperlink"/>
          </w:rPr>
          <w:t xml:space="preserve">https://learn.microsoft.com/windows-server/identity/ad-cs/certification-authority-role</w:t>
        </w:r>
      </w:hyperlink>
      <w:r>
        <w:t xml:space="preserve"> </w:t>
      </w:r>
      <w:r>
        <w:t xml:space="preserve">(accessed Oct 20, 2026).</w:t>
      </w:r>
    </w:p>
  </w:footnote>
  <w:footnote w:id="85">
    <w:p>
      <w:pPr>
        <w:pStyle w:val="FootnoteText"/>
      </w:pPr>
      <w:r>
        <w:rPr>
          <w:rStyle w:val="FootnoteReference"/>
        </w:rPr>
        <w:footnoteRef/>
      </w:r>
      <w:r>
        <w:t xml:space="preserve"> </w:t>
      </w:r>
      <w:r>
        <w:t xml:space="preserve">Microsoft Learn,</w:t>
      </w:r>
      <w:r>
        <w:t xml:space="preserve"> </w:t>
      </w:r>
      <w:r>
        <w:t xml:space="preserve">“Configure a certification authority to use ML-DSA”</w:t>
      </w:r>
      <w:r>
        <w:t xml:space="preserve"> </w:t>
      </w:r>
      <w:r>
        <w:t xml:space="preserve">(Prerequisites, note on standalone root CAs),</w:t>
      </w:r>
      <w:r>
        <w:t xml:space="preserve"> </w:t>
      </w:r>
      <w:hyperlink r:id="rId86">
        <w:r>
          <w:rPr>
            <w:rStyle w:val="Hyperlink"/>
          </w:rPr>
          <w:t xml:space="preserve">https://learn.microsoft.com/windows-server/identity/ad-cs/configure-ml-dsa-certification-authority</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“What is Network Device Enrollment Service for Active Directory Certificate Services?”</w:t>
      </w:r>
      <w:r>
        <w:t xml:space="preserve"> </w:t>
      </w:r>
      <w:hyperlink r:id="rId94">
        <w:r>
          <w:rPr>
            <w:rStyle w:val="Hyperlink"/>
          </w:rPr>
          <w:t xml:space="preserve">https://learn.microsoft.com/windows-server/identity/ad-cs/network-device-enrollment-service-overview</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“Use certificates for authentication in Microsoft Intune”</w:t>
      </w:r>
      <w:r>
        <w:t xml:space="preserve"> </w:t>
      </w:r>
      <w:r>
        <w:t xml:space="preserve">(General considerations when you use a Microsoft Certification Authority),</w:t>
      </w:r>
      <w:r>
        <w:t xml:space="preserve"> </w:t>
      </w:r>
      <w:hyperlink r:id="rId96">
        <w:r>
          <w:rPr>
            <w:rStyle w:val="Hyperlink"/>
          </w:rPr>
          <w:t xml:space="preserve">https://learn.microsoft.com/intune/fundamentals/certificates/overview</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“Certificate Enrollment Web Service overview,”</w:t>
      </w:r>
      <w:r>
        <w:t xml:space="preserve"> </w:t>
      </w:r>
      <w:hyperlink r:id="rId98">
        <w:r>
          <w:rPr>
            <w:rStyle w:val="Hyperlink"/>
          </w:rPr>
          <w:t xml:space="preserve">https://learn.microsoft.com/windows-server/identity/ad-cs/certificate-enrollment-web-service</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“Certificate Enrollment Policy Web Service overview,”</w:t>
      </w:r>
      <w:r>
        <w:t xml:space="preserve"> </w:t>
      </w:r>
      <w:hyperlink r:id="rId100">
        <w:r>
          <w:rPr>
            <w:rStyle w:val="Hyperlink"/>
          </w:rPr>
          <w:t xml:space="preserve">https://learn.microsoft.com/windows-server/identity/ad-cs/certificate-enrollment-policy-web-service-overview</w:t>
        </w:r>
      </w:hyperlink>
      <w:r>
        <w:t xml:space="preserve"> </w:t>
      </w:r>
      <w:r>
        <w:t xml:space="preserve">(accessed Oct 20, 2026).</w:t>
      </w:r>
    </w:p>
  </w:footnote>
  <w:footnote w:id="101">
    <w:p>
      <w:pPr>
        <w:pStyle w:val="FootnoteText"/>
      </w:pPr>
      <w:r>
        <w:rPr>
          <w:rStyle w:val="FootnoteReference"/>
        </w:rPr>
        <w:footnoteRef/>
      </w:r>
      <w:r>
        <w:t xml:space="preserve"> </w:t>
      </w:r>
      <w:r>
        <w:t xml:space="preserve">Microsoft Learn,</w:t>
      </w:r>
      <w:r>
        <w:t xml:space="preserve"> </w:t>
      </w:r>
      <w:r>
        <w:t xml:space="preserve">“Certificate Enrollment Web Service overview,”</w:t>
      </w:r>
      <w:r>
        <w:t xml:space="preserve"> </w:t>
      </w:r>
      <w:hyperlink r:id="rId98">
        <w:r>
          <w:rPr>
            <w:rStyle w:val="Hyperlink"/>
          </w:rPr>
          <w:t xml:space="preserve">https://learn.microsoft.com/windows-server/identity/ad-cs/certificate-enrollment-web-service</w:t>
        </w:r>
      </w:hyperlink>
      <w:r>
        <w:t xml:space="preserve"> </w:t>
      </w:r>
      <w:r>
        <w:t xml:space="preserve">(accessed Oct 20, 2026).</w:t>
      </w:r>
    </w:p>
  </w:footnote>
  <w:footnote w:id="102">
    <w:p>
      <w:pPr>
        <w:pStyle w:val="FootnoteText"/>
      </w:pPr>
      <w:r>
        <w:rPr>
          <w:rStyle w:val="FootnoteReference"/>
        </w:rPr>
        <w:footnoteRef/>
      </w:r>
      <w:r>
        <w:t xml:space="preserve"> </w:t>
      </w:r>
      <w:r>
        <w:t xml:space="preserve">Microsoft Learn,</w:t>
      </w:r>
      <w:r>
        <w:t xml:space="preserve"> </w:t>
      </w:r>
      <w:r>
        <w:t xml:space="preserve">“Certification Authority Web Enrollment in Active Directory Certificate Services,”</w:t>
      </w:r>
      <w:r>
        <w:t xml:space="preserve"> </w:t>
      </w:r>
      <w:hyperlink r:id="rId103">
        <w:r>
          <w:rPr>
            <w:rStyle w:val="Hyperlink"/>
          </w:rPr>
          <w:t xml:space="preserve">https://learn.microsoft.com/windows-server/identity/ad-cs/certificate-authority-web-enrollment</w:t>
        </w:r>
      </w:hyperlink>
      <w:r>
        <w:t xml:space="preserve"> </w:t>
      </w:r>
      <w:r>
        <w:t xml:space="preserve">(accessed Oct 20, 2026).</w:t>
      </w:r>
    </w:p>
  </w:footnote>
  <w:footnote w:id="104">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105">
        <w:r>
          <w:rPr>
            <w:rStyle w:val="Hyperlink"/>
          </w:rPr>
          <w:t xml:space="preserve">https://learn.microsoft.com/entra/identity/authentication/how-to-configure-certificate-authorities</w:t>
        </w:r>
      </w:hyperlink>
      <w:r>
        <w:t xml:space="preserve"> </w:t>
      </w:r>
      <w:r>
        <w:t xml:space="preserve">(accessed Oct 20, 2026).</w:t>
      </w:r>
    </w:p>
  </w:footnote>
  <w:footnote w:id="106">
    <w:p>
      <w:pPr>
        <w:pStyle w:val="FootnoteText"/>
      </w:pPr>
      <w:r>
        <w:rPr>
          <w:rStyle w:val="FootnoteReference"/>
        </w:rPr>
        <w:footnoteRef/>
      </w:r>
      <w:r>
        <w:t xml:space="preserve"> </w:t>
      </w:r>
      <w:r>
        <w:t xml:space="preserve">Microsoft Learn,</w:t>
      </w:r>
      <w:r>
        <w:t xml:space="preserve"> </w:t>
      </w:r>
      <w:r>
        <w:t xml:space="preserve">“What is Active Directory Certificate Services?”</w:t>
      </w:r>
      <w:r>
        <w:t xml:space="preserve"> </w:t>
      </w:r>
      <w:r>
        <w:t xml:space="preserve">(Key features),</w:t>
      </w:r>
      <w:r>
        <w:t xml:space="preserve"> </w:t>
      </w:r>
      <w:hyperlink r:id="rId18">
        <w:r>
          <w:rPr>
            <w:rStyle w:val="Hyperlink"/>
          </w:rPr>
          <w:t xml:space="preserve">https://learn.microsoft.com/windows-server/identity/ad-cs/active-directory-certificate-services-overview</w:t>
        </w:r>
      </w:hyperlink>
      <w:r>
        <w:t xml:space="preserve"> </w:t>
      </w:r>
      <w:r>
        <w:t xml:space="preserve">(accessed Oct 20, 2026).</w:t>
      </w:r>
    </w:p>
  </w:footnote>
  <w:footnote w:id="107">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108">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110">
    <w:p>
      <w:pPr>
        <w:pStyle w:val="FootnoteText"/>
      </w:pPr>
      <w:r>
        <w:rPr>
          <w:rStyle w:val="FootnoteReference"/>
        </w:rPr>
        <w:footnoteRef/>
      </w:r>
      <w:r>
        <w:t xml:space="preserve"> </w:t>
      </w:r>
      <w:r>
        <w:t xml:space="preserve">Microsoft Learn,</w:t>
      </w:r>
      <w:r>
        <w:t xml:space="preserve"> </w:t>
      </w:r>
      <w:r>
        <w:t xml:space="preserve">“Post-Quantum Cryptography in AD CS overview”</w:t>
      </w:r>
      <w:r>
        <w:t xml:space="preserve"> </w:t>
      </w:r>
      <w:r>
        <w:t xml:space="preserve">(Platform requirements),</w:t>
      </w:r>
      <w:r>
        <w:t xml:space="preserve"> </w:t>
      </w:r>
      <w:hyperlink r:id="rId65">
        <w:r>
          <w:rPr>
            <w:rStyle w:val="Hyperlink"/>
          </w:rPr>
          <w:t xml:space="preserve">https://learn.microsoft.com/windows-server/identity/ad-cs/post-quantum-cryptography-overview</w:t>
        </w:r>
      </w:hyperlink>
      <w:r>
        <w:t xml:space="preserve"> </w:t>
      </w:r>
      <w:r>
        <w:t xml:space="preserve">(accessed Oct 20, 2026).</w:t>
      </w:r>
    </w:p>
  </w:footnote>
  <w:footnote w:id="113">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114">
        <w:r>
          <w:rPr>
            <w:rStyle w:val="Hyperlink"/>
          </w:rPr>
          <w:t xml:space="preserve">https://learn.microsoft.com/windows-server/identity/ad-cs/certificate-template-concepts</w:t>
        </w:r>
      </w:hyperlink>
      <w:r>
        <w:t xml:space="preserve"> </w:t>
      </w:r>
      <w:r>
        <w:t xml:space="preserve">(accessed Oct 20, 2026).</w:t>
      </w:r>
    </w:p>
  </w:footnote>
  <w:footnote w:id="115">
    <w:p>
      <w:pPr>
        <w:pStyle w:val="FootnoteText"/>
      </w:pPr>
      <w:r>
        <w:rPr>
          <w:rStyle w:val="FootnoteReference"/>
        </w:rPr>
        <w:footnoteRef/>
      </w:r>
      <w:r>
        <w:t xml:space="preserve"> </w:t>
      </w:r>
      <w:r>
        <w:t xml:space="preserve">Microsoft Learn,</w:t>
      </w:r>
      <w:r>
        <w:t xml:space="preserve"> </w:t>
      </w:r>
      <w:r>
        <w:t xml:space="preserve">“ObjectIdGroupId enumeration (certenroll.h)”</w:t>
      </w:r>
      <w:r>
        <w:t xml:space="preserve"> </w:t>
      </w:r>
      <w:r>
        <w:t xml:space="preserve">(XCN_CRYPT_ENHKEY_USAGE_OID_GROUP_ID),</w:t>
      </w:r>
      <w:r>
        <w:t xml:space="preserve"> </w:t>
      </w:r>
      <w:hyperlink r:id="rId116">
        <w:r>
          <w:rPr>
            <w:rStyle w:val="Hyperlink"/>
          </w:rPr>
          <w:t xml:space="preserve">https://learn.microsoft.com/windows/win32/api/certenroll/ne-certenroll-objectidgroupid</w:t>
        </w:r>
      </w:hyperlink>
      <w:r>
        <w:t xml:space="preserve"> </w:t>
      </w:r>
      <w:r>
        <w:t xml:space="preserve">(accessed Oct 20, 2026).</w:t>
      </w:r>
    </w:p>
  </w:footnote>
  <w:footnote w:id="117">
    <w:p>
      <w:pPr>
        <w:pStyle w:val="FootnoteText"/>
      </w:pPr>
      <w:r>
        <w:rPr>
          <w:rStyle w:val="FootnoteReference"/>
        </w:rPr>
        <w:footnoteRef/>
      </w:r>
      <w:r>
        <w:t xml:space="preserve"> </w:t>
      </w:r>
      <w:r>
        <w:t xml:space="preserve">Microsoft Learn,</w:t>
      </w:r>
      <w:r>
        <w:t xml:space="preserve"> </w:t>
      </w:r>
      <w:r>
        <w:t xml:space="preserve">“Configure the server certificate template for Remote Access and Network Policy Server,”</w:t>
      </w:r>
      <w:r>
        <w:t xml:space="preserve"> </w:t>
      </w:r>
      <w:hyperlink r:id="rId118">
        <w:r>
          <w:rPr>
            <w:rStyle w:val="Hyperlink"/>
          </w:rPr>
          <w:t xml:space="preserve">https://learn.microsoft.com/windows-server/networking/core-network-guide/cncg/server-certs/configure-server-certificate-template-remote-access-network-policy-server</w:t>
        </w:r>
      </w:hyperlink>
      <w:r>
        <w:t xml:space="preserve"> </w:t>
      </w:r>
      <w:r>
        <w:t xml:space="preserve">(accessed Oct 20, 2026).</w:t>
      </w:r>
    </w:p>
  </w:footnote>
  <w:footnote w:id="119">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domain controller certificates),</w:t>
      </w:r>
      <w:r>
        <w:t xml:space="preserve"> </w:t>
      </w:r>
      <w:hyperlink r:id="rId25">
        <w:r>
          <w:rPr>
            <w:rStyle w:val="Hyperlink"/>
          </w:rPr>
          <w:t xml:space="preserve">https://learn.microsoft.com/windows/security/identity-protection/hello-for-business/deploy/hybrid-cert-trust-pki</w:t>
        </w:r>
      </w:hyperlink>
      <w:r>
        <w:t xml:space="preserve"> </w:t>
      </w:r>
      <w:r>
        <w:t xml:space="preserve">(accessed Oct 20, 2026).</w:t>
      </w:r>
    </w:p>
  </w:footnote>
  <w:footnote w:id="121">
    <w:p>
      <w:pPr>
        <w:pStyle w:val="FootnoteText"/>
      </w:pPr>
      <w:r>
        <w:rPr>
          <w:rStyle w:val="FootnoteReference"/>
        </w:rPr>
        <w:footnoteRef/>
      </w:r>
      <w:r>
        <w:t xml:space="preserve"> </w:t>
      </w:r>
      <w:r>
        <w:t xml:space="preserve">Microsoft Learn,</w:t>
      </w:r>
      <w:r>
        <w:t xml:space="preserve"> </w:t>
      </w:r>
      <w:r>
        <w:t xml:space="preserve">“Configure auto-enrollment of certificates for Network Policy Server,”</w:t>
      </w:r>
      <w:r>
        <w:t xml:space="preserve"> </w:t>
      </w:r>
      <w:hyperlink r:id="rId122">
        <w:r>
          <w:rPr>
            <w:rStyle w:val="Hyperlink"/>
          </w:rPr>
          <w:t xml:space="preserve">https://learn.microsoft.com/windows-server/networking/core-network-guide/cncg/server-certs/configure-server-certificate-auto-enrollment</w:t>
        </w:r>
      </w:hyperlink>
      <w:r>
        <w:t xml:space="preserve"> </w:t>
      </w:r>
      <w:r>
        <w:t xml:space="preserve">(accessed Oct 20, 2026).</w:t>
      </w:r>
    </w:p>
  </w:footnote>
  <w:footnote w:id="123">
    <w:p>
      <w:pPr>
        <w:pStyle w:val="FootnoteText"/>
      </w:pPr>
      <w:r>
        <w:rPr>
          <w:rStyle w:val="FootnoteReference"/>
        </w:rPr>
        <w:footnoteRef/>
      </w:r>
      <w:r>
        <w:t xml:space="preserve"> </w:t>
      </w:r>
      <w:r>
        <w:t xml:space="preserve">Microsoft Learn,</w:t>
      </w:r>
      <w:r>
        <w:t xml:space="preserve"> </w:t>
      </w:r>
      <w:r>
        <w:t xml:space="preserve">“Step-by-step example deployment of the PKI certificates for Configuration Manager: Windows Server 2008 certification authority”</w:t>
      </w:r>
      <w:r>
        <w:t xml:space="preserve"> </w:t>
      </w:r>
      <w:r>
        <w:t xml:space="preserve">(Deploy the client certificate for Windows computers),</w:t>
      </w:r>
      <w:r>
        <w:t xml:space="preserve"> </w:t>
      </w:r>
      <w:hyperlink r:id="rId124">
        <w:r>
          <w:rPr>
            <w:rStyle w:val="Hyperlink"/>
          </w:rPr>
          <w:t xml:space="preserve">https://learn.microsoft.com/intune/configmgr/core/plan-design/network/example-deployment-of-pki-certificates</w:t>
        </w:r>
      </w:hyperlink>
      <w:r>
        <w:t xml:space="preserve"> </w:t>
      </w:r>
      <w:r>
        <w:t xml:space="preserve">(accessed Oct 20, 2026).</w:t>
      </w:r>
    </w:p>
  </w:footnote>
  <w:footnote w:id="125">
    <w:p>
      <w:pPr>
        <w:pStyle w:val="FootnoteText"/>
      </w:pPr>
      <w:r>
        <w:rPr>
          <w:rStyle w:val="FootnoteReference"/>
        </w:rPr>
        <w:footnoteRef/>
      </w:r>
      <w:r>
        <w:t xml:space="preserve"> </w:t>
      </w:r>
      <w:r>
        <w:t xml:space="preserve">Microsoft Learn,</w:t>
      </w:r>
      <w:r>
        <w:t xml:space="preserve"> </w:t>
      </w:r>
      <w:r>
        <w:t xml:space="preserve">“Approval required for certificate renewals when certificate autoenrollment configured,”</w:t>
      </w:r>
      <w:r>
        <w:t xml:space="preserve"> </w:t>
      </w:r>
      <w:hyperlink r:id="rId126">
        <w:r>
          <w:rPr>
            <w:rStyle w:val="Hyperlink"/>
          </w:rPr>
          <w:t xml:space="preserve">https://learn.microsoft.com/troubleshoot/windows-server/certificates-and-public-key-infrastructure-pki/approval-required-certificate-renewals-autoenrollment</w:t>
        </w:r>
      </w:hyperlink>
      <w:r>
        <w:t xml:space="preserve"> </w:t>
      </w:r>
      <w:r>
        <w:t xml:space="preserve">(accessed Oct 20, 2026).</w:t>
      </w:r>
    </w:p>
  </w:footnote>
  <w:footnote w:id="12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(Define the CA operating roles; Limit certificate manager and enrollment-agent scope),</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12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(Define the CA operating roles; Limit certificate manager and enrollment-agent scope),</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131">
    <w:p>
      <w:pPr>
        <w:pStyle w:val="FootnoteText"/>
      </w:pPr>
      <w:r>
        <w:rPr>
          <w:rStyle w:val="FootnoteReference"/>
        </w:rPr>
        <w:footnoteRef/>
      </w:r>
      <w:r>
        <w:t xml:space="preserve"> </w:t>
      </w:r>
      <w:r>
        <w:t xml:space="preserve">Microsoft Learn,</w:t>
      </w:r>
      <w:r>
        <w:t xml:space="preserve"> </w:t>
      </w:r>
      <w:r>
        <w:t xml:space="preserve">“about_Switch”</w:t>
      </w:r>
      <w:r>
        <w:t xml:space="preserve"> </w:t>
      </w:r>
      <w:r>
        <w:t xml:space="preserve">(Use break and continue to control the flow),</w:t>
      </w:r>
      <w:r>
        <w:t xml:space="preserve"> </w:t>
      </w:r>
      <w:hyperlink r:id="rId132">
        <w:r>
          <w:rPr>
            <w:rStyle w:val="Hyperlink"/>
          </w:rPr>
          <w:t xml:space="preserve">https://learn.microsoft.com/powershell/module/microsoft.powershell.core/about/about_switch</w:t>
        </w:r>
      </w:hyperlink>
      <w:r>
        <w:t xml:space="preserve"> </w:t>
      </w:r>
      <w:r>
        <w:t xml:space="preserve">(accessed Oct 20, 2026).</w:t>
      </w:r>
    </w:p>
  </w:footnote>
  <w:footnote w:id="133">
    <w:p>
      <w:pPr>
        <w:pStyle w:val="FootnoteText"/>
      </w:pPr>
      <w:r>
        <w:rPr>
          <w:rStyle w:val="FootnoteReference"/>
        </w:rPr>
        <w:footnoteRef/>
      </w:r>
      <w:r>
        <w:t xml:space="preserve"> </w:t>
      </w:r>
      <w:r>
        <w:t xml:space="preserve">Microsoft Learn,</w:t>
      </w:r>
      <w:r>
        <w:t xml:space="preserve"> </w:t>
      </w:r>
      <w:r>
        <w:t xml:space="preserve">“CMC Request”</w:t>
      </w:r>
      <w:r>
        <w:t xml:space="preserve"> </w:t>
      </w:r>
      <w:r>
        <w:t xml:space="preserve">(the User template’s EKU extension: EFS, secure email and client authentication),</w:t>
      </w:r>
      <w:r>
        <w:t xml:space="preserve"> </w:t>
      </w:r>
      <w:hyperlink r:id="rId134">
        <w:r>
          <w:rPr>
            <w:rStyle w:val="Hyperlink"/>
          </w:rPr>
          <w:t xml:space="preserve">https://learn.microsoft.com/windows/win32/seccertenroll/cmc-request</w:t>
        </w:r>
      </w:hyperlink>
      <w:r>
        <w:t xml:space="preserve"> </w:t>
      </w:r>
      <w:r>
        <w:t xml:space="preserve">(accessed Oct 20, 2026).</w:t>
      </w:r>
    </w:p>
  </w:footnote>
  <w:footnote w:id="135">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r>
        <w:t xml:space="preserve">(Understand Public Key Services data; Troubleshoot Enterprise PKI monitoring),</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137">
    <w:p>
      <w:pPr>
        <w:pStyle w:val="FootnoteText"/>
      </w:pPr>
      <w:r>
        <w:rPr>
          <w:rStyle w:val="FootnoteReference"/>
        </w:rPr>
        <w:footnoteRef/>
      </w:r>
      <w:r>
        <w:t xml:space="preserve"> </w:t>
      </w:r>
      <w:r>
        <w:t xml:space="preserve">Microsoft Learn,</w:t>
      </w:r>
      <w:r>
        <w:t xml:space="preserve"> </w:t>
      </w:r>
      <w:r>
        <w:t xml:space="preserve">“Approval required for certificate renewals when certificate autoenrollment configured,”</w:t>
      </w:r>
      <w:r>
        <w:t xml:space="preserve"> </w:t>
      </w:r>
      <w:hyperlink r:id="rId126">
        <w:r>
          <w:rPr>
            <w:rStyle w:val="Hyperlink"/>
          </w:rPr>
          <w:t xml:space="preserve">https://learn.microsoft.com/troubleshoot/windows-server/certificates-and-public-key-infrastructure-pki/approval-required-certificate-renewals-autoenrollment</w:t>
        </w:r>
      </w:hyperlink>
      <w:r>
        <w:t xml:space="preserve"> </w:t>
      </w:r>
      <w:r>
        <w:t xml:space="preserve">(accessed Oct 20, 2026).</w:t>
      </w:r>
    </w:p>
  </w:footnote>
  <w:footnote w:id="14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42">
        <w:r>
          <w:rPr>
            <w:rStyle w:val="Hyperlink"/>
          </w:rPr>
          <w:t xml:space="preserve">https://learn.microsoft.com/intune/cloud-pki/</w:t>
        </w:r>
      </w:hyperlink>
      <w:r>
        <w:t xml:space="preserve"> </w:t>
      </w:r>
      <w:r>
        <w:t xml:space="preserve">(accessed Oct 20, 2026).</w:t>
      </w:r>
    </w:p>
  </w:footnote>
  <w:footnote w:id="148">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149">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150">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7">
        <w:r>
          <w:rPr>
            <w:rStyle w:val="Hyperlink"/>
          </w:rPr>
          <w:t xml:space="preserve">https://learn.microsoft.com/windows-server/identity/ad-ds/configure-ldap-signing-certificates</w:t>
        </w:r>
      </w:hyperlink>
      <w:r>
        <w:t xml:space="preserve"> </w:t>
      </w:r>
      <w:r>
        <w:t xml:space="preserve">(accessed Oct 20, 2026).</w:t>
      </w:r>
    </w:p>
  </w:footnote>
  <w:footnote w:id="151">
    <w:p>
      <w:pPr>
        <w:pStyle w:val="FootnoteText"/>
      </w:pPr>
      <w:r>
        <w:rPr>
          <w:rStyle w:val="FootnoteReference"/>
        </w:rPr>
        <w:footnoteRef/>
      </w:r>
      <w:r>
        <w:t xml:space="preserve"> </w:t>
      </w:r>
      <w:r>
        <w:t xml:space="preserve">Microsoft Learn,</w:t>
      </w:r>
      <w:r>
        <w:t xml:space="preserve"> </w:t>
      </w:r>
      <w:r>
        <w:t xml:space="preserve">“How to set up certificate-based authentication across forests without trust for a web server”</w:t>
      </w:r>
      <w:r>
        <w:t xml:space="preserve"> </w:t>
      </w:r>
      <w:r>
        <w:t xml:space="preserve">(Configure Active Directory),</w:t>
      </w:r>
      <w:r>
        <w:t xml:space="preserve"> </w:t>
      </w:r>
      <w:hyperlink r:id="rId152">
        <w:r>
          <w:rPr>
            <w:rStyle w:val="Hyperlink"/>
          </w:rPr>
          <w:t xml:space="preserve">https://learn.microsoft.com/troubleshoot/windows-server/certificates-and-public-key-infrastructure-pki/set-up-certificate-based-authentication-across-forest-without-trust</w:t>
        </w:r>
      </w:hyperlink>
      <w:r>
        <w:t xml:space="preserve"> </w:t>
      </w:r>
      <w:r>
        <w:t xml:space="preserve">(accessed Oct 20, 2026).</w:t>
      </w:r>
    </w:p>
  </w:footnote>
  <w:footnote w:id="153">
    <w:p>
      <w:pPr>
        <w:pStyle w:val="FootnoteText"/>
      </w:pPr>
      <w:r>
        <w:rPr>
          <w:rStyle w:val="FootnoteReference"/>
        </w:rPr>
        <w:footnoteRef/>
      </w:r>
      <w:r>
        <w:t xml:space="preserve"> </w:t>
      </w:r>
      <w:r>
        <w:t xml:space="preserve">Microsoft Learn,</w:t>
      </w:r>
      <w:r>
        <w:t xml:space="preserve"> </w:t>
      </w:r>
      <w:r>
        <w:t xml:space="preserve">“Configure the server certificate template for Remote Access and Network Policy Server,”</w:t>
      </w:r>
      <w:r>
        <w:t xml:space="preserve"> </w:t>
      </w:r>
      <w:hyperlink r:id="rId118">
        <w:r>
          <w:rPr>
            <w:rStyle w:val="Hyperlink"/>
          </w:rPr>
          <w:t xml:space="preserve">https://learn.microsoft.com/windows-server/networking/core-network-guide/cncg/server-certs/configure-server-certificate-template-remote-access-network-policy-server</w:t>
        </w:r>
      </w:hyperlink>
      <w:r>
        <w:t xml:space="preserve"> </w:t>
      </w:r>
      <w:r>
        <w:t xml:space="preserve">(accessed Oct 20, 2026).</w:t>
      </w:r>
    </w:p>
  </w:footnote>
  <w:footnote w:id="15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42">
        <w:r>
          <w:rPr>
            <w:rStyle w:val="Hyperlink"/>
          </w:rPr>
          <w:t xml:space="preserve">https://learn.microsoft.com/intune/cloud-pki/</w:t>
        </w:r>
      </w:hyperlink>
      <w:r>
        <w:t xml:space="preserve"> </w:t>
      </w:r>
      <w:r>
        <w:t xml:space="preserve">(accessed Oct 20, 2026).</w:t>
      </w:r>
    </w:p>
  </w:footnote>
  <w:footnote w:id="155">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156">
    <w:p>
      <w:pPr>
        <w:pStyle w:val="FootnoteText"/>
      </w:pPr>
      <w:r>
        <w:rPr>
          <w:rStyle w:val="FootnoteReference"/>
        </w:rPr>
        <w:footnoteRef/>
      </w:r>
      <w:r>
        <w:t xml:space="preserve"> </w:t>
      </w:r>
      <w:r>
        <w:t xml:space="preserve">Microsoft Learn,</w:t>
      </w:r>
      <w:r>
        <w:t xml:space="preserve"> </w:t>
      </w:r>
      <w:r>
        <w:t xml:space="preserve">“What is Azure Information Protection?”</w:t>
      </w:r>
      <w:r>
        <w:t xml:space="preserve"> </w:t>
      </w:r>
      <w:r>
        <w:t xml:space="preserve">(note on Microsoft Purview Information Protection, formerly Microsoft Information Protection),</w:t>
      </w:r>
      <w:r>
        <w:t xml:space="preserve"> </w:t>
      </w:r>
      <w:hyperlink r:id="rId157">
        <w:r>
          <w:rPr>
            <w:rStyle w:val="Hyperlink"/>
          </w:rPr>
          <w:t xml:space="preserve">https://learn.microsoft.com/azure/information-protection/what-is-information-protection</w:t>
        </w:r>
      </w:hyperlink>
      <w:r>
        <w:t xml:space="preserve"> </w:t>
      </w:r>
      <w:r>
        <w:t xml:space="preserve">(accessed Oct 20, 2026).</w:t>
      </w:r>
    </w:p>
  </w:footnote>
  <w:footnote w:id="158">
    <w:p>
      <w:pPr>
        <w:pStyle w:val="FootnoteText"/>
      </w:pPr>
      <w:r>
        <w:rPr>
          <w:rStyle w:val="FootnoteReference"/>
        </w:rPr>
        <w:footnoteRef/>
      </w:r>
      <w:r>
        <w:t xml:space="preserve"> </w:t>
      </w:r>
      <w:r>
        <w:t xml:space="preserve">Microsoft Learn,</w:t>
      </w:r>
      <w:r>
        <w:t xml:space="preserve"> </w:t>
      </w:r>
      <w:r>
        <w:t xml:space="preserve">“S/MIME overview to sign and encrypt email in Intune”</w:t>
      </w:r>
      <w:r>
        <w:t xml:space="preserve"> </w:t>
      </w:r>
      <w:r>
        <w:t xml:space="preserve">(Encryption certificates),</w:t>
      </w:r>
      <w:r>
        <w:t xml:space="preserve"> </w:t>
      </w:r>
      <w:hyperlink r:id="rId159">
        <w:r>
          <w:rPr>
            <w:rStyle w:val="Hyperlink"/>
          </w:rPr>
          <w:t xml:space="preserve">https://learn.microsoft.com/intune/device-security/certificates/s-mime</w:t>
        </w:r>
      </w:hyperlink>
      <w:r>
        <w:t xml:space="preserve"> </w:t>
      </w:r>
      <w:r>
        <w:t xml:space="preserve">(accessed Oct 20, 2026).</w:t>
      </w:r>
    </w:p>
  </w:footnote>
  <w:footnote w:id="160">
    <w:p>
      <w:pPr>
        <w:pStyle w:val="FootnoteText"/>
      </w:pPr>
      <w:r>
        <w:rPr>
          <w:rStyle w:val="FootnoteReference"/>
        </w:rPr>
        <w:footnoteRef/>
      </w:r>
      <w:r>
        <w:t xml:space="preserve"> </w:t>
      </w:r>
      <w:r>
        <w:t xml:space="preserve">Microsoft Learn,</w:t>
      </w:r>
      <w:r>
        <w:t xml:space="preserve"> </w:t>
      </w:r>
      <w:r>
        <w:t xml:space="preserve">“Configure and use imported PKCS certificates with Intune,”</w:t>
      </w:r>
      <w:r>
        <w:t xml:space="preserve"> </w:t>
      </w:r>
      <w:hyperlink r:id="rId161">
        <w:r>
          <w:rPr>
            <w:rStyle w:val="Hyperlink"/>
          </w:rPr>
          <w:t xml:space="preserve">https://learn.microsoft.com/intune/device-configuration/certificates/imported-pfx-profiles</w:t>
        </w:r>
      </w:hyperlink>
      <w:r>
        <w:t xml:space="preserve"> </w:t>
      </w:r>
      <w:r>
        <w:t xml:space="preserve">(accessed Oct 20, 2026).</w:t>
      </w:r>
    </w:p>
  </w:footnote>
  <w:footnote w:id="16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w:t>
      </w:r>
      <w:r>
        <w:t xml:space="preserve"> </w:t>
      </w:r>
      <w:hyperlink r:id="rId42">
        <w:r>
          <w:rPr>
            <w:rStyle w:val="Hyperlink"/>
          </w:rPr>
          <w:t xml:space="preserve">https://learn.microsoft.com/intune/cloud-pki/</w:t>
        </w:r>
      </w:hyperlink>
      <w:r>
        <w:t xml:space="preserve"> </w:t>
      </w:r>
      <w:r>
        <w:t xml:space="preserve">(accessed Oct 20, 2026).</w:t>
      </w:r>
    </w:p>
  </w:footnote>
  <w:footnote w:id="163">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105">
        <w:r>
          <w:rPr>
            <w:rStyle w:val="Hyperlink"/>
          </w:rPr>
          <w:t xml:space="preserve">https://learn.microsoft.com/entra/identity/authentication/how-to-configure-certificate-authorities</w:t>
        </w:r>
      </w:hyperlink>
      <w:r>
        <w:t xml:space="preserve"> </w:t>
      </w:r>
      <w:r>
        <w:t xml:space="preserve">(accessed Oct 20, 2026).</w:t>
      </w:r>
    </w:p>
  </w:footnote>
  <w:footnote w:id="16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170">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177">
    <w:p>
      <w:pPr>
        <w:pStyle w:val="FootnoteText"/>
      </w:pPr>
      <w:r>
        <w:rPr>
          <w:rStyle w:val="FootnoteReference"/>
        </w:rPr>
        <w:footnoteRef/>
      </w:r>
      <w:r>
        <w:t xml:space="preserve"> </w:t>
      </w:r>
      <w:r>
        <w:t xml:space="preserve">Will Schroeder and Lee Christensen, SpecterOps,</w:t>
      </w:r>
      <w:r>
        <w:t xml:space="preserve"> </w:t>
      </w:r>
      <w:r>
        <w:rPr>
          <w:i/>
          <w:iCs/>
        </w:rPr>
        <w:t xml:space="preserve">Certified Pre-Owned: Abusing Active Directory Certificate Services</w:t>
      </w:r>
      <w:r>
        <w:t xml:space="preserve">, June 17, 2021 (updated June 22, 2021),</w:t>
      </w:r>
      <w:r>
        <w:t xml:space="preserve"> </w:t>
      </w:r>
      <w:hyperlink r:id="rId178">
        <w:r>
          <w:rPr>
            <w:rStyle w:val="Hyperlink"/>
          </w:rPr>
          <w:t xml:space="preserve">https://specterops.io/research/certified-pre-owned/</w:t>
        </w:r>
      </w:hyperlink>
      <w:r>
        <w:t xml:space="preserve"> </w:t>
      </w:r>
      <w:r>
        <w:t xml:space="preserve">(accessed Oct 20, 2026). Cited for the ESC class names only.</w:t>
      </w:r>
    </w:p>
  </w:footnote>
  <w:footnote w:id="17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181">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182">
        <w:r>
          <w:rPr>
            <w:rStyle w:val="Hyperlink"/>
          </w:rPr>
          <w:t xml:space="preserve">https://learn.microsoft.com/defender-for-identity/security-assessment</w:t>
        </w:r>
      </w:hyperlink>
      <w:r>
        <w:t xml:space="preserve"> </w:t>
      </w:r>
      <w:r>
        <w:t xml:space="preserve">(accessed Oct 20, 2026).</w:t>
      </w:r>
    </w:p>
  </w:footnote>
  <w:footnote w:id="183">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(Defender for Identity; configure auditing on an AD CS server),</w:t>
      </w:r>
      <w:r>
        <w:t xml:space="preserve"> </w:t>
      </w:r>
      <w:hyperlink r:id="rId184">
        <w:r>
          <w:rPr>
            <w:rStyle w:val="Hyperlink"/>
          </w:rPr>
          <w:t xml:space="preserve">https://learn.microsoft.com/defender-for-identity/deploy/configure-windows-event-collection</w:t>
        </w:r>
      </w:hyperlink>
      <w:r>
        <w:t xml:space="preserve"> </w:t>
      </w:r>
      <w:r>
        <w:t xml:space="preserve">(accessed Oct 20, 2026).</w:t>
      </w:r>
    </w:p>
  </w:footnote>
  <w:footnote w:id="185">
    <w:p>
      <w:pPr>
        <w:pStyle w:val="FootnoteText"/>
      </w:pPr>
      <w:r>
        <w:rPr>
          <w:rStyle w:val="FootnoteReference"/>
        </w:rPr>
        <w:footnoteRef/>
      </w:r>
      <w:r>
        <w:t xml:space="preserve"> </w:t>
      </w:r>
      <w:r>
        <w:t xml:space="preserve">Microsoft Learn,</w:t>
      </w:r>
      <w:r>
        <w:t xml:space="preserve"> </w:t>
      </w:r>
      <w:r>
        <w:t xml:space="preserve">“Microsoft Defender for Identity for US Government offerings,”</w:t>
      </w:r>
      <w:r>
        <w:t xml:space="preserve"> </w:t>
      </w:r>
      <w:hyperlink r:id="rId186">
        <w:r>
          <w:rPr>
            <w:rStyle w:val="Hyperlink"/>
          </w:rPr>
          <w:t xml:space="preserve">https://learn.microsoft.com/defender-for-identity/us-govt-gcc-high</w:t>
        </w:r>
      </w:hyperlink>
      <w:r>
        <w:t xml:space="preserve"> </w:t>
      </w:r>
      <w:r>
        <w:t xml:space="preserve">(accessed Oct 20, 2026).</w:t>
      </w:r>
    </w:p>
  </w:footnote>
  <w:footnote w:id="18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18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18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190">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191">
    <w:p>
      <w:pPr>
        <w:pStyle w:val="FootnoteText"/>
      </w:pPr>
      <w:r>
        <w:rPr>
          <w:rStyle w:val="FootnoteReference"/>
        </w:rPr>
        <w:footnoteRef/>
      </w:r>
      <w:r>
        <w:t xml:space="preserve"> </w:t>
      </w:r>
      <w:r>
        <w:t xml:space="preserve">Microsoft Learn,</w:t>
      </w:r>
      <w:r>
        <w:t xml:space="preserve"> </w:t>
      </w:r>
      <w:r>
        <w:t xml:space="preserve">“X509CertificateTemplateSubjectNameFlag enumeration (certenroll.h),”</w:t>
      </w:r>
      <w:r>
        <w:t xml:space="preserve"> </w:t>
      </w:r>
      <w:hyperlink r:id="rId192">
        <w:r>
          <w:rPr>
            <w:rStyle w:val="Hyperlink"/>
          </w:rPr>
          <w:t xml:space="preserve">https://learn.microsoft.com/windows/win32/api/certenroll/ne-certenroll-x509certificatetemplatesubjectnameflag</w:t>
        </w:r>
      </w:hyperlink>
      <w:r>
        <w:t xml:space="preserve">, and</w:t>
      </w:r>
      <w:r>
        <w:t xml:space="preserve"> </w:t>
      </w:r>
      <w:r>
        <w:t xml:space="preserve">“ms-PKI-Certificate-Name-Flag attribute,”</w:t>
      </w:r>
      <w:r>
        <w:t xml:space="preserve"> </w:t>
      </w:r>
      <w:hyperlink r:id="rId193">
        <w:r>
          <w:rPr>
            <w:rStyle w:val="Hyperlink"/>
          </w:rPr>
          <w:t xml:space="preserve">https://learn.microsoft.com/windows/win32/adschema/a-mspki-certificate-name-flag</w:t>
        </w:r>
      </w:hyperlink>
      <w:r>
        <w:t xml:space="preserve"> </w:t>
      </w:r>
      <w:r>
        <w:t xml:space="preserve">(both accessed Oct 20, 2026).</w:t>
      </w:r>
    </w:p>
  </w:footnote>
  <w:footnote w:id="19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195">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r>
        <w:t xml:space="preserve">(Any Purpose</w:t>
      </w:r>
      <w:r>
        <w:t xml:space="preserve"> </w:t>
      </w:r>
      <w:r>
        <w:rPr>
          <w:rStyle w:val="VerbatimChar"/>
        </w:rPr>
        <w:t xml:space="preserve">2.5.29.37.0</w:t>
      </w:r>
      <w:r>
        <w:t xml:space="preserve"> </w:t>
      </w:r>
      <w:r>
        <w:t xml:space="preserve">EKU),</w:t>
      </w:r>
      <w:r>
        <w:t xml:space="preserve"> </w:t>
      </w:r>
      <w:hyperlink r:id="rId196">
        <w:r>
          <w:rPr>
            <w:rStyle w:val="Hyperlink"/>
          </w:rPr>
          <w:t xml:space="preserve">https://learn.microsoft.com/intune/cloud-pki/configure-ca</w:t>
        </w:r>
      </w:hyperlink>
      <w:r>
        <w:t xml:space="preserve"> </w:t>
      </w:r>
      <w:r>
        <w:t xml:space="preserve">(accessed Oct 20, 2026).</w:t>
      </w:r>
    </w:p>
  </w:footnote>
  <w:footnote w:id="197">
    <w:p>
      <w:pPr>
        <w:pStyle w:val="FootnoteText"/>
      </w:pPr>
      <w:r>
        <w:rPr>
          <w:rStyle w:val="FootnoteReference"/>
        </w:rPr>
        <w:footnoteRef/>
      </w:r>
      <w:r>
        <w:t xml:space="preserve"> </w:t>
      </w:r>
      <w:r>
        <w:t xml:space="preserve">Microsoft Learn,</w:t>
      </w:r>
      <w:r>
        <w:t xml:space="preserve"> </w:t>
      </w:r>
      <w:r>
        <w:t xml:space="preserve">“Audit Certification Services,”</w:t>
      </w:r>
      <w:r>
        <w:t xml:space="preserve"> </w:t>
      </w:r>
      <w:hyperlink r:id="rId198">
        <w:r>
          <w:rPr>
            <w:rStyle w:val="Hyperlink"/>
          </w:rPr>
          <w:t xml:space="preserve">https://learn.microsoft.com/en-us/previous-versions/windows/it-pro/windows-10/security/threat-protection/auditing/audit-certification-services</w:t>
        </w:r>
      </w:hyperlink>
      <w:r>
        <w:t xml:space="preserve"> </w:t>
      </w:r>
      <w:r>
        <w:t xml:space="preserve">(accessed Oct 20, 2026).</w:t>
      </w:r>
    </w:p>
  </w:footnote>
  <w:footnote w:id="19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0">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20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6">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0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0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1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11">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1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1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15">
    <w:p>
      <w:pPr>
        <w:pStyle w:val="FootnoteText"/>
      </w:pPr>
      <w:r>
        <w:rPr>
          <w:rStyle w:val="FootnoteReference"/>
        </w:rPr>
        <w:footnoteRef/>
      </w:r>
      <w:r>
        <w:t xml:space="preserve"> </w:t>
      </w:r>
      <w:r>
        <w:t xml:space="preserve">Microsoft Learn,</w:t>
      </w:r>
      <w:r>
        <w:t xml:space="preserve"> </w:t>
      </w:r>
      <w:r>
        <w:t xml:space="preserve">“Windows security baseline”</w:t>
      </w:r>
      <w:r>
        <w:t xml:space="preserve"> </w:t>
      </w:r>
      <w:r>
        <w:t xml:space="preserve">(System Audit Policies, DS Access: Audit Directory Service Changes, events 5136–5139),</w:t>
      </w:r>
      <w:r>
        <w:t xml:space="preserve"> </w:t>
      </w:r>
      <w:hyperlink r:id="rId216">
        <w:r>
          <w:rPr>
            <w:rStyle w:val="Hyperlink"/>
          </w:rPr>
          <w:t xml:space="preserve">https://learn.microsoft.com/azure/governance/policy/samples/guest-configuration-baseline-windows</w:t>
        </w:r>
      </w:hyperlink>
      <w:r>
        <w:t xml:space="preserve"> </w:t>
      </w:r>
      <w:r>
        <w:t xml:space="preserve">(accessed Oct 20, 2026).</w:t>
      </w:r>
    </w:p>
  </w:footnote>
  <w:footnote w:id="21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18">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219">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221">
    <w:p>
      <w:pPr>
        <w:pStyle w:val="FootnoteText"/>
      </w:pPr>
      <w:r>
        <w:rPr>
          <w:rStyle w:val="FootnoteReference"/>
        </w:rPr>
        <w:footnoteRef/>
      </w:r>
      <w:r>
        <w:t xml:space="preserve"> </w:t>
      </w:r>
      <w:r>
        <w:t xml:space="preserve">Will Schroeder and Lee Christensen, SpecterOps,</w:t>
      </w:r>
      <w:r>
        <w:t xml:space="preserve"> </w:t>
      </w:r>
      <w:r>
        <w:rPr>
          <w:i/>
          <w:iCs/>
        </w:rPr>
        <w:t xml:space="preserve">Certified Pre-Owned: Abusing Active Directory Certificate Services</w:t>
      </w:r>
      <w:r>
        <w:t xml:space="preserve">, June 17, 2021 (updated June 22, 2021),</w:t>
      </w:r>
      <w:r>
        <w:t xml:space="preserve"> </w:t>
      </w:r>
      <w:hyperlink r:id="rId178">
        <w:r>
          <w:rPr>
            <w:rStyle w:val="Hyperlink"/>
          </w:rPr>
          <w:t xml:space="preserve">https://specterops.io/research/certified-pre-owned/</w:t>
        </w:r>
      </w:hyperlink>
      <w:r>
        <w:t xml:space="preserve"> </w:t>
      </w:r>
      <w:r>
        <w:t xml:space="preserve">(accessed Oct 20, 2026). Cited for the ESC class names only.</w:t>
      </w:r>
    </w:p>
  </w:footnote>
  <w:footnote w:id="222">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22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24">
    <w:p>
      <w:pPr>
        <w:pStyle w:val="FootnoteText"/>
      </w:pPr>
      <w:r>
        <w:rPr>
          <w:rStyle w:val="FootnoteReference"/>
        </w:rPr>
        <w:footnoteRef/>
      </w:r>
      <w:r>
        <w:t xml:space="preserve"> </w:t>
      </w:r>
      <w:r>
        <w:t xml:space="preserve">Microsoft Learn,</w:t>
      </w:r>
      <w:r>
        <w:t xml:space="preserve"> </w:t>
      </w:r>
      <w:r>
        <w:t xml:space="preserve">“certutil,”</w:t>
      </w:r>
      <w:r>
        <w:t xml:space="preserve"> </w:t>
      </w:r>
      <w:hyperlink r:id="rId225">
        <w:r>
          <w:rPr>
            <w:rStyle w:val="Hyperlink"/>
          </w:rPr>
          <w:t xml:space="preserve">https://learn.microsoft.com/windows-server/administration/windows-commands/certutil</w:t>
        </w:r>
      </w:hyperlink>
      <w:r>
        <w:t xml:space="preserve"> </w:t>
      </w:r>
      <w:r>
        <w:t xml:space="preserve">(accessed Oct 20, 2026).</w:t>
      </w:r>
    </w:p>
  </w:footnote>
  <w:footnote w:id="226">
    <w:p>
      <w:pPr>
        <w:pStyle w:val="FootnoteText"/>
      </w:pPr>
      <w:r>
        <w:rPr>
          <w:rStyle w:val="FootnoteReference"/>
        </w:rPr>
        <w:footnoteRef/>
      </w:r>
      <w:r>
        <w:t xml:space="preserve"> </w:t>
      </w:r>
      <w:r>
        <w:t xml:space="preserve">Microsoft Learn,</w:t>
      </w:r>
      <w:r>
        <w:t xml:space="preserve"> </w:t>
      </w:r>
      <w:r>
        <w:t xml:space="preserve">“Windows security baseline”</w:t>
      </w:r>
      <w:r>
        <w:t xml:space="preserve"> </w:t>
      </w:r>
      <w:r>
        <w:t xml:space="preserve">(System Audit Policies, DS Access: Audit Directory Service Changes, events 5136–5139),</w:t>
      </w:r>
      <w:r>
        <w:t xml:space="preserve"> </w:t>
      </w:r>
      <w:hyperlink r:id="rId216">
        <w:r>
          <w:rPr>
            <w:rStyle w:val="Hyperlink"/>
          </w:rPr>
          <w:t xml:space="preserve">https://learn.microsoft.com/azure/governance/policy/samples/guest-configuration-baseline-windows</w:t>
        </w:r>
      </w:hyperlink>
      <w:r>
        <w:t xml:space="preserve"> </w:t>
      </w:r>
      <w:r>
        <w:t xml:space="preserve">(accessed Oct 20, 2026).</w:t>
      </w:r>
    </w:p>
  </w:footnote>
  <w:footnote w:id="227">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22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30">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231">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3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33">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235">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36">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3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3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39">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4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41">
    <w:p>
      <w:pPr>
        <w:pStyle w:val="FootnoteText"/>
      </w:pPr>
      <w:r>
        <w:rPr>
          <w:rStyle w:val="FootnoteReference"/>
        </w:rPr>
        <w:footnoteRef/>
      </w:r>
      <w:r>
        <w:t xml:space="preserve"> </w:t>
      </w:r>
      <w:r>
        <w:t xml:space="preserve">Microsoft Learn,</w:t>
      </w:r>
      <w:r>
        <w:t xml:space="preserve"> </w:t>
      </w:r>
      <w:r>
        <w:t xml:space="preserve">“Review and dispose of pending certificate requests,”</w:t>
      </w:r>
      <w:r>
        <w:t xml:space="preserve"> </w:t>
      </w:r>
      <w:hyperlink r:id="rId242">
        <w:r>
          <w:rPr>
            <w:rStyle w:val="Hyperlink"/>
          </w:rPr>
          <w:t xml:space="preserve">https://learn.microsoft.com/windows-server/identity/ad-cs/review-dispose-pending-certificate-requests</w:t>
        </w:r>
      </w:hyperlink>
      <w:r>
        <w:t xml:space="preserve"> </w:t>
      </w:r>
      <w:r>
        <w:t xml:space="preserve">(accessed Oct 20, 2026).</w:t>
      </w:r>
    </w:p>
  </w:footnote>
  <w:footnote w:id="243">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r>
        <w:t xml:space="preserve">(grant permissions for certificate revocation),</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246">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4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48">
    <w:p>
      <w:pPr>
        <w:pStyle w:val="FootnoteText"/>
      </w:pPr>
      <w:r>
        <w:rPr>
          <w:rStyle w:val="FootnoteReference"/>
        </w:rPr>
        <w:footnoteRef/>
      </w:r>
      <w:r>
        <w:t xml:space="preserve"> </w:t>
      </w:r>
      <w:r>
        <w:t xml:space="preserve">Microsoft Learn,</w:t>
      </w:r>
      <w:r>
        <w:t xml:space="preserve"> </w:t>
      </w:r>
      <w:r>
        <w:t xml:space="preserve">“Microsoft Defender for Identity alerts in Microsoft Defender format”</w:t>
      </w:r>
      <w:r>
        <w:t xml:space="preserve"> </w:t>
      </w:r>
      <w:r>
        <w:t xml:space="preserve">(Credential Access alerts),</w:t>
      </w:r>
      <w:r>
        <w:t xml:space="preserve"> </w:t>
      </w:r>
      <w:hyperlink r:id="rId249">
        <w:r>
          <w:rPr>
            <w:rStyle w:val="Hyperlink"/>
          </w:rPr>
          <w:t xml:space="preserve">https://learn.microsoft.com/defender-for-identity/alerts-xdr</w:t>
        </w:r>
      </w:hyperlink>
      <w:r>
        <w:t xml:space="preserve"> </w:t>
      </w:r>
      <w:r>
        <w:t xml:space="preserve">(accessed Oct 20, 2026).</w:t>
      </w:r>
    </w:p>
  </w:footnote>
  <w:footnote w:id="250">
    <w:p>
      <w:pPr>
        <w:pStyle w:val="FootnoteText"/>
      </w:pPr>
      <w:r>
        <w:rPr>
          <w:rStyle w:val="FootnoteReference"/>
        </w:rPr>
        <w:footnoteRef/>
      </w:r>
      <w:r>
        <w:t xml:space="preserve"> </w:t>
      </w:r>
      <w:r>
        <w:t xml:space="preserve">Microsoft Support,</w:t>
      </w:r>
      <w:r>
        <w:t xml:space="preserve"> </w:t>
      </w:r>
      <w:r>
        <w:t xml:space="preserve">“KB5005413: Mitigating NTLM Relay Attacks on Active Directory Certificate Services (AD CS),”</w:t>
      </w:r>
      <w:r>
        <w:t xml:space="preserve"> </w:t>
      </w:r>
      <w:hyperlink r:id="rId251">
        <w:r>
          <w:rPr>
            <w:rStyle w:val="Hyperlink"/>
          </w:rPr>
          <w:t xml:space="preserve">https://support.microsoft.com/en-us/topic/kb5005413-mitigating-ntlm-relay-attacks-on-active-directory-certificate-services-ad-cs-3612b773-4043-4aa9-b23d-b87910cd3429</w:t>
        </w:r>
      </w:hyperlink>
      <w:r>
        <w:t xml:space="preserve"> </w:t>
      </w:r>
      <w:r>
        <w:t xml:space="preserve">(accessed Oct 20, 2026).</w:t>
      </w:r>
    </w:p>
  </w:footnote>
  <w:footnote w:id="25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254">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5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5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5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6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61">
    <w:p>
      <w:pPr>
        <w:pStyle w:val="FootnoteText"/>
      </w:pPr>
      <w:r>
        <w:rPr>
          <w:rStyle w:val="FootnoteReference"/>
        </w:rPr>
        <w:footnoteRef/>
      </w:r>
      <w:r>
        <w:t xml:space="preserve"> </w:t>
      </w:r>
      <w:r>
        <w:t xml:space="preserve">Microsoft Learn,</w:t>
      </w:r>
      <w:r>
        <w:t xml:space="preserve"> </w:t>
      </w:r>
      <w:r>
        <w:t xml:space="preserve">“Configure Windows event auditing”</w:t>
      </w:r>
      <w:r>
        <w:t xml:space="preserve"> </w:t>
      </w:r>
      <w:r>
        <w:t xml:space="preserve">(Defender for Identity; configure auditing on an AD CS server),</w:t>
      </w:r>
      <w:r>
        <w:t xml:space="preserve"> </w:t>
      </w:r>
      <w:hyperlink r:id="rId184">
        <w:r>
          <w:rPr>
            <w:rStyle w:val="Hyperlink"/>
          </w:rPr>
          <w:t xml:space="preserve">https://learn.microsoft.com/defender-for-identity/deploy/configure-windows-event-collection</w:t>
        </w:r>
      </w:hyperlink>
      <w:r>
        <w:t xml:space="preserve"> </w:t>
      </w:r>
      <w:r>
        <w:t xml:space="preserve">(accessed Oct 20, 2026).</w:t>
      </w:r>
    </w:p>
  </w:footnote>
  <w:footnote w:id="266">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6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68">
    <w:p>
      <w:pPr>
        <w:pStyle w:val="FootnoteText"/>
      </w:pPr>
      <w:r>
        <w:rPr>
          <w:rStyle w:val="FootnoteReference"/>
        </w:rPr>
        <w:footnoteRef/>
      </w:r>
      <w:r>
        <w:t xml:space="preserve"> </w:t>
      </w:r>
      <w:r>
        <w:t xml:space="preserve">Microsoft Learn,</w:t>
      </w:r>
      <w:r>
        <w:t xml:space="preserve"> </w:t>
      </w:r>
      <w:r>
        <w:t xml:space="preserve">“Audit Certification Services,”</w:t>
      </w:r>
      <w:r>
        <w:t xml:space="preserve"> </w:t>
      </w:r>
      <w:hyperlink r:id="rId198">
        <w:r>
          <w:rPr>
            <w:rStyle w:val="Hyperlink"/>
          </w:rPr>
          <w:t xml:space="preserve">https://learn.microsoft.com/en-us/previous-versions/windows/it-pro/windows-10/security/threat-protection/auditing/audit-certification-services</w:t>
        </w:r>
      </w:hyperlink>
      <w:r>
        <w:t xml:space="preserve"> </w:t>
      </w:r>
      <w:r>
        <w:t xml:space="preserve">(accessed Oct 20, 2026).</w:t>
      </w:r>
    </w:p>
  </w:footnote>
  <w:footnote w:id="26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7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72">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73">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74">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hyperlink r:id="rId182">
        <w:r>
          <w:rPr>
            <w:rStyle w:val="Hyperlink"/>
          </w:rPr>
          <w:t xml:space="preserve">https://learn.microsoft.com/defender-for-identity/security-assessment</w:t>
        </w:r>
      </w:hyperlink>
      <w:r>
        <w:t xml:space="preserve"> </w:t>
      </w:r>
      <w:r>
        <w:t xml:space="preserve">(accessed Oct 20, 2026).</w:t>
      </w:r>
    </w:p>
  </w:footnote>
  <w:footnote w:id="275">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w:t>
      </w:r>
      <w:r>
        <w:t xml:space="preserve">(accessed Oct 20, 2026).</w:t>
      </w:r>
    </w:p>
  </w:footnote>
  <w:footnote w:id="277">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27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79">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281">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282">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83">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28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286">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196">
        <w:r>
          <w:rPr>
            <w:rStyle w:val="Hyperlink"/>
          </w:rPr>
          <w:t xml:space="preserve">https://learn.microsoft.com/intune/cloud-pki/configure-ca</w:t>
        </w:r>
      </w:hyperlink>
      <w:r>
        <w:t xml:space="preserve"> </w:t>
      </w:r>
      <w:r>
        <w:t xml:space="preserve">(accessed Oct 20, 2026).</w:t>
      </w:r>
    </w:p>
  </w:footnote>
  <w:footnote w:id="287">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196">
        <w:r>
          <w:rPr>
            <w:rStyle w:val="Hyperlink"/>
          </w:rPr>
          <w:t xml:space="preserve">https://learn.microsoft.com/intune/cloud-pki/configure-ca</w:t>
        </w:r>
      </w:hyperlink>
      <w:r>
        <w:t xml:space="preserve"> </w:t>
      </w:r>
      <w:r>
        <w:t xml:space="preserve">(accessed Oct 20, 2026).</w:t>
      </w:r>
    </w:p>
  </w:footnote>
  <w:footnote w:id="288">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289">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29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291">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29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295">
    <w:p>
      <w:pPr>
        <w:pStyle w:val="FootnoteText"/>
      </w:pPr>
      <w:r>
        <w:rPr>
          <w:rStyle w:val="FootnoteReference"/>
        </w:rPr>
        <w:footnoteRef/>
      </w:r>
      <w:r>
        <w:t xml:space="preserve"> </w:t>
      </w:r>
      <w:r>
        <w:t xml:space="preserve">Microsoft Learn,</w:t>
      </w:r>
      <w:r>
        <w:t xml:space="preserve"> </w:t>
      </w:r>
      <w:r>
        <w:t xml:space="preserve">“Create and manage custom Conditional Access authentication strengths”</w:t>
      </w:r>
      <w:r>
        <w:t xml:space="preserve"> </w:t>
      </w:r>
      <w:r>
        <w:t xml:space="preserve">(advanced options for certificate-based authentication),</w:t>
      </w:r>
      <w:r>
        <w:t xml:space="preserve"> </w:t>
      </w:r>
      <w:hyperlink r:id="rId296">
        <w:r>
          <w:rPr>
            <w:rStyle w:val="Hyperlink"/>
          </w:rPr>
          <w:t xml:space="preserve">https://learn.microsoft.com/entra/identity/authentication/concept-authentication-strength-advanced-options</w:t>
        </w:r>
      </w:hyperlink>
      <w:r>
        <w:t xml:space="preserve"> </w:t>
      </w:r>
      <w:r>
        <w:t xml:space="preserve">(accessed Oct 20, 2026).</w:t>
      </w:r>
    </w:p>
  </w:footnote>
  <w:footnote w:id="297">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298">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300">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30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302">
    <w:p>
      <w:pPr>
        <w:pStyle w:val="FootnoteText"/>
      </w:pPr>
      <w:r>
        <w:rPr>
          <w:rStyle w:val="FootnoteReference"/>
        </w:rPr>
        <w:footnoteRef/>
      </w:r>
      <w:r>
        <w:t xml:space="preserve"> </w:t>
      </w:r>
      <w:r>
        <w:t xml:space="preserve">Microsoft Learn,</w:t>
      </w:r>
      <w:r>
        <w:t xml:space="preserve"> </w:t>
      </w:r>
      <w:r>
        <w:t xml:space="preserve">“Microsoft Entra releases and announcements”</w:t>
      </w:r>
      <w:r>
        <w:t xml:space="preserve"> </w:t>
      </w:r>
      <w:r>
        <w:t xml:space="preserve">(April 2026: Entra CBA Certificate Authority scoping),</w:t>
      </w:r>
      <w:r>
        <w:t xml:space="preserve"> </w:t>
      </w:r>
      <w:hyperlink r:id="rId303">
        <w:r>
          <w:rPr>
            <w:rStyle w:val="Hyperlink"/>
          </w:rPr>
          <w:t xml:space="preserve">https://learn.microsoft.com/entra/fundamentals/whats-new</w:t>
        </w:r>
      </w:hyperlink>
      <w:r>
        <w:t xml:space="preserve"> </w:t>
      </w:r>
      <w:r>
        <w:t xml:space="preserve">(accessed Oct 20, 2026).</w:t>
      </w:r>
    </w:p>
  </w:footnote>
  <w:footnote w:id="308">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1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1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1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17">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18">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319">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20">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21">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5">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32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28">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196">
        <w:r>
          <w:rPr>
            <w:rStyle w:val="Hyperlink"/>
          </w:rPr>
          <w:t xml:space="preserve">https://learn.microsoft.com/intune/cloud-pki/configure-ca</w:t>
        </w:r>
      </w:hyperlink>
      <w:r>
        <w:t xml:space="preserve"> </w:t>
      </w:r>
      <w:r>
        <w:t xml:space="preserve">(accessed Oct 20, 2026).</w:t>
      </w:r>
    </w:p>
  </w:footnote>
  <w:footnote w:id="33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3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33">
    <w:p>
      <w:pPr>
        <w:pStyle w:val="FootnoteText"/>
      </w:pPr>
      <w:r>
        <w:rPr>
          <w:rStyle w:val="FootnoteReference"/>
        </w:rPr>
        <w:footnoteRef/>
      </w:r>
      <w:r>
        <w:t xml:space="preserve"> </w:t>
      </w:r>
      <w:r>
        <w:t xml:space="preserve">Microsoft Learn,</w:t>
      </w:r>
      <w:r>
        <w:t xml:space="preserve"> </w:t>
      </w:r>
      <w:r>
        <w:t xml:space="preserve">“Use Microsoft Intune Suite add-on capabilities”</w:t>
      </w:r>
      <w:r>
        <w:t xml:space="preserve"> </w:t>
      </w:r>
      <w:r>
        <w:t xml:space="preserve">(available add-ons),</w:t>
      </w:r>
      <w:r>
        <w:t xml:space="preserve"> </w:t>
      </w:r>
      <w:hyperlink r:id="rId334">
        <w:r>
          <w:rPr>
            <w:rStyle w:val="Hyperlink"/>
          </w:rPr>
          <w:t xml:space="preserve">https://learn.microsoft.com/intune/fundamentals/add-ons</w:t>
        </w:r>
      </w:hyperlink>
      <w:r>
        <w:t xml:space="preserve"> </w:t>
      </w:r>
      <w:r>
        <w:t xml:space="preserve">(accessed Oct 20, 2026).</w:t>
      </w:r>
    </w:p>
  </w:footnote>
  <w:footnote w:id="335">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336">
        <w:r>
          <w:rPr>
            <w:rStyle w:val="Hyperlink"/>
          </w:rPr>
          <w:t xml:space="preserve">https://learn.microsoft.com/intune/whats-new/</w:t>
        </w:r>
      </w:hyperlink>
      <w:r>
        <w:t xml:space="preserve"> </w:t>
      </w:r>
      <w:r>
        <w:t xml:space="preserve">(accessed Oct 20, 2026).</w:t>
      </w:r>
    </w:p>
  </w:footnote>
  <w:footnote w:id="337">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336">
        <w:r>
          <w:rPr>
            <w:rStyle w:val="Hyperlink"/>
          </w:rPr>
          <w:t xml:space="preserve">https://learn.microsoft.com/intune/whats-new/</w:t>
        </w:r>
      </w:hyperlink>
      <w:r>
        <w:t xml:space="preserve"> </w:t>
      </w:r>
      <w:r>
        <w:t xml:space="preserve">(accessed Oct 20, 2026).</w:t>
      </w:r>
    </w:p>
  </w:footnote>
  <w:footnote w:id="338">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 determine costs and licensing),</w:t>
      </w:r>
      <w:r>
        <w:t xml:space="preserve"> </w:t>
      </w:r>
      <w:hyperlink r:id="rId339">
        <w:r>
          <w:rPr>
            <w:rStyle w:val="Hyperlink"/>
          </w:rPr>
          <w:t xml:space="preserve">https://learn.microsoft.com/intune/fundamentals/planning-guide</w:t>
        </w:r>
      </w:hyperlink>
      <w:r>
        <w:t xml:space="preserve"> </w:t>
      </w:r>
      <w:r>
        <w:t xml:space="preserve">(accessed Oct 20, 2026).</w:t>
      </w:r>
    </w:p>
  </w:footnote>
  <w:footnote w:id="341">
    <w:p>
      <w:pPr>
        <w:pStyle w:val="FootnoteText"/>
      </w:pPr>
      <w:r>
        <w:rPr>
          <w:rStyle w:val="FootnoteReference"/>
        </w:rPr>
        <w:footnoteRef/>
      </w:r>
      <w:r>
        <w:t xml:space="preserve"> </w:t>
      </w:r>
      <w:r>
        <w:t xml:space="preserve">Microsoft Learn,</w:t>
      </w:r>
      <w:r>
        <w:t xml:space="preserve"> </w:t>
      </w:r>
      <w:r>
        <w:t xml:space="preserve">“Microsoft Intune for US Government GCC High and DoD service description,”</w:t>
      </w:r>
      <w:r>
        <w:t xml:space="preserve"> </w:t>
      </w:r>
      <w:hyperlink r:id="rId342">
        <w:r>
          <w:rPr>
            <w:rStyle w:val="Hyperlink"/>
          </w:rPr>
          <w:t xml:space="preserve">https://learn.microsoft.com/intune/fundamentals/government-service</w:t>
        </w:r>
      </w:hyperlink>
      <w:r>
        <w:t xml:space="preserve"> </w:t>
      </w:r>
      <w:r>
        <w:t xml:space="preserve">(accessed Oct 20, 2026).</w:t>
      </w:r>
    </w:p>
  </w:footnote>
  <w:footnote w:id="343">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336">
        <w:r>
          <w:rPr>
            <w:rStyle w:val="Hyperlink"/>
          </w:rPr>
          <w:t xml:space="preserve">https://learn.microsoft.com/intune/whats-new/</w:t>
        </w:r>
      </w:hyperlink>
      <w:r>
        <w:t xml:space="preserve"> </w:t>
      </w:r>
      <w:r>
        <w:t xml:space="preserve">(accessed Oct 20, 2026).</w:t>
      </w:r>
    </w:p>
  </w:footnote>
  <w:footnote w:id="34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47">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48">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196">
        <w:r>
          <w:rPr>
            <w:rStyle w:val="Hyperlink"/>
          </w:rPr>
          <w:t xml:space="preserve">https://learn.microsoft.com/intune/cloud-pki/configure-ca</w:t>
        </w:r>
      </w:hyperlink>
      <w:r>
        <w:t xml:space="preserve"> </w:t>
      </w:r>
      <w:r>
        <w:t xml:space="preserve">(accessed Oct 20, 2026).</w:t>
      </w:r>
    </w:p>
  </w:footnote>
  <w:footnote w:id="349">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5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51">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52">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57">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59">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60">
    <w:p>
      <w:pPr>
        <w:pStyle w:val="FootnoteText"/>
      </w:pPr>
      <w:r>
        <w:rPr>
          <w:rStyle w:val="FootnoteReference"/>
        </w:rPr>
        <w:footnoteRef/>
      </w:r>
      <w:r>
        <w:t xml:space="preserve"> </w:t>
      </w:r>
      <w:r>
        <w:t xml:space="preserve">Microsoft Learn,</w:t>
      </w:r>
      <w:r>
        <w:t xml:space="preserve"> </w:t>
      </w:r>
      <w:r>
        <w:t xml:space="preserve">“Renew a certificate authority in Cloud PKI,”</w:t>
      </w:r>
      <w:r>
        <w:t xml:space="preserve"> </w:t>
      </w:r>
      <w:hyperlink r:id="rId361">
        <w:r>
          <w:rPr>
            <w:rStyle w:val="Hyperlink"/>
          </w:rPr>
          <w:t xml:space="preserve">https://learn.microsoft.com/intune/cloud-pki/renew-ca</w:t>
        </w:r>
      </w:hyperlink>
      <w:r>
        <w:t xml:space="preserve"> </w:t>
      </w:r>
      <w:r>
        <w:t xml:space="preserve">(accessed Oct 20, 2026).</w:t>
      </w:r>
    </w:p>
  </w:footnote>
  <w:footnote w:id="362">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63">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64">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65">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66">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367">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369">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70">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71">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7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73">
    <w:p>
      <w:pPr>
        <w:pStyle w:val="FootnoteText"/>
      </w:pPr>
      <w:r>
        <w:rPr>
          <w:rStyle w:val="FootnoteReference"/>
        </w:rPr>
        <w:footnoteRef/>
      </w:r>
      <w:r>
        <w:t xml:space="preserve"> </w:t>
      </w:r>
      <w:r>
        <w:t xml:space="preserve">Microsoft Learn,</w:t>
      </w:r>
      <w:r>
        <w:t xml:space="preserve"> </w:t>
      </w:r>
      <w:r>
        <w:t xml:space="preserve">“Configure root and issuing CA for Microsoft Cloud PKI,”</w:t>
      </w:r>
      <w:r>
        <w:t xml:space="preserve"> </w:t>
      </w:r>
      <w:hyperlink r:id="rId196">
        <w:r>
          <w:rPr>
            <w:rStyle w:val="Hyperlink"/>
          </w:rPr>
          <w:t xml:space="preserve">https://learn.microsoft.com/intune/cloud-pki/configure-ca</w:t>
        </w:r>
      </w:hyperlink>
      <w:r>
        <w:t xml:space="preserve"> </w:t>
      </w:r>
      <w:r>
        <w:t xml:space="preserve">(accessed Oct 20, 2026).</w:t>
      </w:r>
    </w:p>
  </w:footnote>
  <w:footnote w:id="374">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75">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376">
    <w:p>
      <w:pPr>
        <w:pStyle w:val="FootnoteText"/>
      </w:pPr>
      <w:r>
        <w:rPr>
          <w:rStyle w:val="FootnoteReference"/>
        </w:rPr>
        <w:footnoteRef/>
      </w:r>
      <w:r>
        <w:t xml:space="preserve"> </w:t>
      </w:r>
      <w:r>
        <w:t xml:space="preserve">Microsoft Learn,</w:t>
      </w:r>
      <w:r>
        <w:t xml:space="preserve"> </w:t>
      </w:r>
      <w:r>
        <w:t xml:space="preserve">“Renew a certificate authority in Cloud PKI,”</w:t>
      </w:r>
      <w:r>
        <w:t xml:space="preserve"> </w:t>
      </w:r>
      <w:hyperlink r:id="rId361">
        <w:r>
          <w:rPr>
            <w:rStyle w:val="Hyperlink"/>
          </w:rPr>
          <w:t xml:space="preserve">https://learn.microsoft.com/intune/cloud-pki/renew-ca</w:t>
        </w:r>
      </w:hyperlink>
      <w:r>
        <w:t xml:space="preserve"> </w:t>
      </w:r>
      <w:r>
        <w:t xml:space="preserve">(accessed Oct 20, 2026).</w:t>
      </w:r>
    </w:p>
  </w:footnote>
  <w:footnote w:id="377">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37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7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380">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and September 28, 2026 (service release 2609),</w:t>
      </w:r>
      <w:r>
        <w:t xml:space="preserve"> </w:t>
      </w:r>
      <w:hyperlink r:id="rId336">
        <w:r>
          <w:rPr>
            <w:rStyle w:val="Hyperlink"/>
          </w:rPr>
          <w:t xml:space="preserve">https://learn.microsoft.com/intune/whats-new/</w:t>
        </w:r>
      </w:hyperlink>
      <w:r>
        <w:t xml:space="preserve"> </w:t>
      </w:r>
      <w:r>
        <w:t xml:space="preserve">(accessed Oct 20, 2026).</w:t>
      </w:r>
    </w:p>
  </w:footnote>
  <w:footnote w:id="381">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85">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86">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387">
    <w:p>
      <w:pPr>
        <w:pStyle w:val="FootnoteText"/>
      </w:pPr>
      <w:r>
        <w:rPr>
          <w:rStyle w:val="FootnoteReference"/>
        </w:rPr>
        <w:footnoteRef/>
      </w:r>
      <w:r>
        <w:t xml:space="preserve"> </w:t>
      </w:r>
      <w:r>
        <w:t xml:space="preserve">Microsoft Learn,</w:t>
      </w:r>
      <w:r>
        <w:t xml:space="preserve"> </w:t>
      </w:r>
      <w:r>
        <w:t xml:space="preserve">“Microsoft Cloud PKI deployment for Microsoft Intune,”</w:t>
      </w:r>
      <w:r>
        <w:t xml:space="preserve"> </w:t>
      </w:r>
      <w:hyperlink r:id="rId171">
        <w:r>
          <w:rPr>
            <w:rStyle w:val="Hyperlink"/>
          </w:rPr>
          <w:t xml:space="preserve">https://learn.microsoft.com/intune/cloud-pki/deployment-models</w:t>
        </w:r>
      </w:hyperlink>
      <w:r>
        <w:t xml:space="preserve"> </w:t>
      </w:r>
      <w:r>
        <w:t xml:space="preserve">(accessed Oct 20, 2026).</w:t>
      </w:r>
    </w:p>
  </w:footnote>
  <w:footnote w:id="388">
    <w:p>
      <w:pPr>
        <w:pStyle w:val="FootnoteText"/>
      </w:pPr>
      <w:r>
        <w:rPr>
          <w:rStyle w:val="FootnoteReference"/>
        </w:rPr>
        <w:footnoteRef/>
      </w:r>
      <w:r>
        <w:t xml:space="preserve"> </w:t>
      </w:r>
      <w:r>
        <w:t xml:space="preserve">Microsoft Learn,</w:t>
      </w:r>
      <w:r>
        <w:t xml:space="preserve"> </w:t>
      </w:r>
      <w:r>
        <w:t xml:space="preserve">“Supported operating systems and browsers in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389">
    <w:p>
      <w:pPr>
        <w:pStyle w:val="FootnoteText"/>
      </w:pPr>
      <w:r>
        <w:rPr>
          <w:rStyle w:val="FootnoteReference"/>
        </w:rPr>
        <w:footnoteRef/>
      </w:r>
      <w:r>
        <w:t xml:space="preserve"> </w:t>
      </w:r>
      <w:r>
        <w:t xml:space="preserve">Microsoft Learn,</w:t>
      </w:r>
      <w:r>
        <w:t xml:space="preserve"> </w:t>
      </w:r>
      <w:r>
        <w:t xml:space="preserve">“Microsoft Cloud PKI fundamentals,”</w:t>
      </w:r>
      <w:r>
        <w:t xml:space="preserve"> </w:t>
      </w:r>
      <w:hyperlink r:id="rId309">
        <w:r>
          <w:rPr>
            <w:rStyle w:val="Hyperlink"/>
          </w:rPr>
          <w:t xml:space="preserve">https://learn.microsoft.com/intune/cloud-pki/fundamentals</w:t>
        </w:r>
      </w:hyperlink>
      <w:r>
        <w:t xml:space="preserve"> </w:t>
      </w:r>
      <w:r>
        <w:t xml:space="preserve">(accessed Oct 20, 2026).</w:t>
      </w:r>
    </w:p>
  </w:footnote>
  <w:footnote w:id="390">
    <w:p>
      <w:pPr>
        <w:pStyle w:val="FootnoteText"/>
      </w:pPr>
      <w:r>
        <w:rPr>
          <w:rStyle w:val="FootnoteReference"/>
        </w:rPr>
        <w:footnoteRef/>
      </w:r>
      <w:r>
        <w:t xml:space="preserve"> </w:t>
      </w:r>
      <w:r>
        <w:t xml:space="preserve">Microsoft Learn,</w:t>
      </w:r>
      <w:r>
        <w:t xml:space="preserve"> </w:t>
      </w:r>
      <w:r>
        <w:t xml:space="preserve">“Manage AD CS certificate templates on an enterprise CA,”</w:t>
      </w:r>
      <w:r>
        <w:t xml:space="preserve"> </w:t>
      </w:r>
      <w:hyperlink r:id="rId92">
        <w:r>
          <w:rPr>
            <w:rStyle w:val="Hyperlink"/>
          </w:rPr>
          <w:t xml:space="preserve">https://learn.microsoft.com/windows-server/identity/ad-cs/manage-certificate-templates</w:t>
        </w:r>
      </w:hyperlink>
      <w:r>
        <w:t xml:space="preserve"> </w:t>
      </w:r>
      <w:r>
        <w:t xml:space="preserve">(accessed Oct 20, 2026).</w:t>
      </w:r>
    </w:p>
  </w:footnote>
  <w:footnote w:id="391">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392">
        <w:r>
          <w:rPr>
            <w:rStyle w:val="Hyperlink"/>
          </w:rPr>
          <w:t xml:space="preserve">https://docs.venafi.com/Docs/current/TopNav/Content/Drivers/cco-MicrosoftCertServices-CATemplate-tpp.php</w:t>
        </w:r>
      </w:hyperlink>
      <w:r>
        <w:t xml:space="preserve"> </w:t>
      </w:r>
      <w:r>
        <w:t xml:space="preserve">(accessed Oct 20, 2026).</w:t>
      </w:r>
    </w:p>
  </w:footnote>
  <w:footnote w:id="395">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396">
        <w:r>
          <w:rPr>
            <w:rStyle w:val="Hyperlink"/>
          </w:rPr>
          <w:t xml:space="preserve">https://www.idmanagement.gov/university/fpki/</w:t>
        </w:r>
      </w:hyperlink>
      <w:r>
        <w:t xml:space="preserve"> </w:t>
      </w:r>
      <w:r>
        <w:t xml:space="preserve">(accessed Oct 20, 2026).</w:t>
      </w:r>
    </w:p>
  </w:footnote>
  <w:footnote w:id="397">
    <w:p>
      <w:pPr>
        <w:pStyle w:val="FootnoteText"/>
      </w:pPr>
      <w:r>
        <w:rPr>
          <w:rStyle w:val="FootnoteReference"/>
        </w:rPr>
        <w:footnoteRef/>
      </w:r>
      <w:r>
        <w:t xml:space="preserve"> </w:t>
      </w:r>
      <w:r>
        <w:t xml:space="preserve">NIST, FIPS 201-3,</w:t>
      </w:r>
      <w:r>
        <w:t xml:space="preserve"> </w:t>
      </w:r>
      <w:r>
        <w:rPr>
          <w:i/>
          <w:iCs/>
        </w:rPr>
        <w:t xml:space="preserve">Personal Identity Verification (PIV) of Federal Employees and Contractors</w:t>
      </w:r>
      <w:r>
        <w:t xml:space="preserve">, January 2022,</w:t>
      </w:r>
      <w:r>
        <w:t xml:space="preserve"> </w:t>
      </w:r>
      <w:hyperlink r:id="rId398">
        <w:r>
          <w:rPr>
            <w:rStyle w:val="Hyperlink"/>
          </w:rPr>
          <w:t xml:space="preserve">https://csrc.nist.gov/pubs/fips/201-3/final</w:t>
        </w:r>
      </w:hyperlink>
      <w:r>
        <w:t xml:space="preserve"> </w:t>
      </w:r>
      <w:r>
        <w:t xml:space="preserve">(accessed Oct 20, 2026).</w:t>
      </w:r>
    </w:p>
  </w:footnote>
  <w:footnote w:id="399">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396">
        <w:r>
          <w:rPr>
            <w:rStyle w:val="Hyperlink"/>
          </w:rPr>
          <w:t xml:space="preserve">https://www.idmanagement.gov/university/fpki/</w:t>
        </w:r>
      </w:hyperlink>
      <w:r>
        <w:t xml:space="preserve"> </w:t>
      </w:r>
      <w:r>
        <w:t xml:space="preserve">(accessed Oct 20, 2026).</w:t>
      </w:r>
    </w:p>
  </w:footnote>
  <w:footnote w:id="400">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401">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40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04">
    <w:p>
      <w:pPr>
        <w:pStyle w:val="FootnoteText"/>
      </w:pPr>
      <w:r>
        <w:rPr>
          <w:rStyle w:val="FootnoteReference"/>
        </w:rPr>
        <w:footnoteRef/>
      </w:r>
      <w:r>
        <w:t xml:space="preserve"> </w:t>
      </w:r>
      <w:r>
        <w:t xml:space="preserve">Thoma Bravo,</w:t>
      </w:r>
      <w:r>
        <w:t xml:space="preserve"> </w:t>
      </w:r>
      <w:r>
        <w:t xml:space="preserve">“CyberArk Completes Acquisition of Machine Identity Management Leader Venafi,”</w:t>
      </w:r>
      <w:r>
        <w:t xml:space="preserve"> </w:t>
      </w:r>
      <w:r>
        <w:t xml:space="preserve">October 1, 2024,</w:t>
      </w:r>
      <w:r>
        <w:t xml:space="preserve"> </w:t>
      </w:r>
      <w:hyperlink r:id="rId405">
        <w:r>
          <w:rPr>
            <w:rStyle w:val="Hyperlink"/>
          </w:rPr>
          <w:t xml:space="preserve">https://www.thomabravo.com/press-releases/cyberark-completes-acquisition-of-machine-identity-management-leader-venafi</w:t>
        </w:r>
      </w:hyperlink>
      <w:r>
        <w:t xml:space="preserve"> </w:t>
      </w:r>
      <w:r>
        <w:t xml:space="preserve">(accessed Oct 20, 2026).</w:t>
      </w:r>
    </w:p>
  </w:footnote>
  <w:footnote w:id="406">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February 11, 2026,</w:t>
      </w:r>
      <w:r>
        <w:t xml:space="preserve"> </w:t>
      </w:r>
      <w:hyperlink r:id="rId407">
        <w:r>
          <w:rPr>
            <w:rStyle w:val="Hyperlink"/>
          </w:rPr>
          <w:t xml:space="preserve">https://www.paloaltonetworks.com/company/press/2026/palo-alto-networks-completes-acquisition-of-cyberark-to-secure-the-ai-era</w:t>
        </w:r>
      </w:hyperlink>
      <w:r>
        <w:t xml:space="preserve"> </w:t>
      </w:r>
      <w:r>
        <w:t xml:space="preserve">(accessed Oct 20, 2026).</w:t>
      </w:r>
    </w:p>
  </w:footnote>
  <w:footnote w:id="408">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(cyberark.com/products/certificate-manager redirects here),</w:t>
      </w:r>
      <w:r>
        <w:t xml:space="preserve"> </w:t>
      </w:r>
      <w:hyperlink r:id="rId72">
        <w:r>
          <w:rPr>
            <w:rStyle w:val="Hyperlink"/>
          </w:rPr>
          <w:t xml:space="preserve">https://www.paloaltonetworks.com/network-security/next-gen-trust-security/certificate-manager</w:t>
        </w:r>
      </w:hyperlink>
      <w:r>
        <w:t xml:space="preserve"> </w:t>
      </w:r>
      <w:r>
        <w:t xml:space="preserve">(accessed Oct 20, 2026).</w:t>
      </w:r>
    </w:p>
  </w:footnote>
  <w:footnote w:id="409">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392">
        <w:r>
          <w:rPr>
            <w:rStyle w:val="Hyperlink"/>
          </w:rPr>
          <w:t xml:space="preserve">https://docs.venafi.com/Docs/current/TopNav/Content/Drivers/cco-MicrosoftCertServices-CATemplate-tpp.php</w:t>
        </w:r>
      </w:hyperlink>
      <w:r>
        <w:t xml:space="preserve"> </w:t>
      </w:r>
      <w:r>
        <w:t xml:space="preserve">(accessed Oct 20, 2026).</w:t>
      </w:r>
    </w:p>
  </w:footnote>
  <w:footnote w:id="410">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392">
        <w:r>
          <w:rPr>
            <w:rStyle w:val="Hyperlink"/>
          </w:rPr>
          <w:t xml:space="preserve">https://docs.venafi.com/Docs/current/TopNav/Content/Drivers/cco-MicrosoftCertServices-CATemplate-tpp.php</w:t>
        </w:r>
      </w:hyperlink>
      <w:r>
        <w:t xml:space="preserve"> </w:t>
      </w:r>
      <w:r>
        <w:t xml:space="preserve">(accessed Oct 20, 2026).</w:t>
      </w:r>
    </w:p>
  </w:footnote>
  <w:footnote w:id="411">
    <w:p>
      <w:pPr>
        <w:pStyle w:val="FootnoteText"/>
      </w:pPr>
      <w:r>
        <w:rPr>
          <w:rStyle w:val="FootnoteReference"/>
        </w:rPr>
        <w:footnoteRef/>
      </w:r>
      <w:r>
        <w:t xml:space="preserve"> </w:t>
      </w:r>
      <w:r>
        <w:t xml:space="preserve">General Services Administration, FedRAMP Marketplace product dataset (packages FR2001619337, FR2001619708, FR1913470600 and FR2317253567 for Palo Alto Networks; no package for Certificate Manager or Next-Generation Trust Security),</w:t>
      </w:r>
      <w:r>
        <w:t xml:space="preserve"> </w:t>
      </w:r>
      <w:hyperlink r:id="rId412">
        <w:r>
          <w:rPr>
            <w:rStyle w:val="Hyperlink"/>
          </w:rPr>
          <w:t xml:space="preserve">https://www.fedramp.gov/marketplace/products.json</w:t>
        </w:r>
      </w:hyperlink>
      <w:r>
        <w:t xml:space="preserve"> </w:t>
      </w:r>
      <w:r>
        <w:t xml:space="preserve">(dataset last changed Oct 20, 2026; accessed Oct 20, 2026).</w:t>
      </w:r>
    </w:p>
  </w:footnote>
  <w:footnote w:id="41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18">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419">
        <w:r>
          <w:rPr>
            <w:rStyle w:val="Hyperlink"/>
          </w:rPr>
          <w:t xml:space="preserve">https://csrc.nist.gov/pubs/sp/800/37/r2/final</w:t>
        </w:r>
      </w:hyperlink>
      <w:r>
        <w:t xml:space="preserve"> </w:t>
      </w:r>
      <w:r>
        <w:t xml:space="preserve">(accessed Oct 20, 2026).</w:t>
      </w:r>
    </w:p>
  </w:footnote>
  <w:footnote w:id="42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25">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42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2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30">
    <w:p>
      <w:pPr>
        <w:pStyle w:val="FootnoteText"/>
      </w:pPr>
      <w:r>
        <w:rPr>
          <w:rStyle w:val="FootnoteReference"/>
        </w:rPr>
        <w:footnoteRef/>
      </w:r>
      <w:r>
        <w:t xml:space="preserve"> </w:t>
      </w:r>
      <w:r>
        <w:t xml:space="preserve">Microsoft Learn,</w:t>
      </w:r>
      <w:r>
        <w:t xml:space="preserve"> </w:t>
      </w:r>
      <w:r>
        <w:t xml:space="preserve">“Configure AD CS key archival and recover private keys,”</w:t>
      </w:r>
      <w:r>
        <w:t xml:space="preserve"> </w:t>
      </w:r>
      <w:r>
        <w:t xml:space="preserve">section</w:t>
      </w:r>
      <w:r>
        <w:t xml:space="preserve"> </w:t>
      </w:r>
      <w:r>
        <w:t xml:space="preserve">“Separate the recovery duties,”</w:t>
      </w:r>
      <w:r>
        <w:t xml:space="preserve"> </w:t>
      </w:r>
      <w:hyperlink r:id="rId431">
        <w:r>
          <w:rPr>
            <w:rStyle w:val="Hyperlink"/>
          </w:rPr>
          <w:t xml:space="preserve">https://learn.microsoft.com/windows-server/identity/ad-cs/configure-key-archival-recover-private-keys</w:t>
        </w:r>
      </w:hyperlink>
      <w:r>
        <w:t xml:space="preserve"> </w:t>
      </w:r>
      <w:r>
        <w:t xml:space="preserve">(accessed Oct 20, 2026).</w:t>
      </w:r>
    </w:p>
  </w:footnote>
  <w:footnote w:id="432">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“Roles to update certificateUserIds,”</w:t>
      </w:r>
      <w:r>
        <w:t xml:space="preserve"> </w:t>
      </w:r>
      <w:hyperlink r:id="rId433">
        <w:r>
          <w:rPr>
            <w:rStyle w:val="Hyperlink"/>
          </w:rPr>
          <w:t xml:space="preserve">https://learn.microsoft.com/entra/identity/authentication/concept-certificate-based-authentication-certificateuserids</w:t>
        </w:r>
      </w:hyperlink>
      <w:r>
        <w:t xml:space="preserve"> </w:t>
      </w:r>
      <w:r>
        <w:t xml:space="preserve">(accessed Oct 20, 2026).</w:t>
      </w:r>
    </w:p>
  </w:footnote>
  <w:footnote w:id="43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42">
        <w:r>
          <w:rPr>
            <w:rStyle w:val="Hyperlink"/>
          </w:rPr>
          <w:t xml:space="preserve">https://learn.microsoft.com/intune/cloud-pki/</w:t>
        </w:r>
      </w:hyperlink>
      <w:r>
        <w:t xml:space="preserve"> </w:t>
      </w:r>
      <w:r>
        <w:t xml:space="preserve">(accessed Oct 20, 2026).</w:t>
      </w:r>
    </w:p>
  </w:footnote>
  <w:footnote w:id="435">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396">
        <w:r>
          <w:rPr>
            <w:rStyle w:val="Hyperlink"/>
          </w:rPr>
          <w:t xml:space="preserve">https://www.idmanagement.gov/university/fpki/</w:t>
        </w:r>
      </w:hyperlink>
      <w:r>
        <w:t xml:space="preserve"> </w:t>
      </w:r>
      <w:r>
        <w:t xml:space="preserve">(accessed Oct 20, 2026).</w:t>
      </w:r>
    </w:p>
  </w:footnote>
  <w:footnote w:id="436">
    <w:p>
      <w:pPr>
        <w:pStyle w:val="FootnoteText"/>
      </w:pPr>
      <w:r>
        <w:rPr>
          <w:rStyle w:val="FootnoteReference"/>
        </w:rPr>
        <w:footnoteRef/>
      </w:r>
      <w:r>
        <w:t xml:space="preserve"> </w:t>
      </w:r>
      <w:r>
        <w:t xml:space="preserve">GSA, idmanagement.gov,</w:t>
      </w:r>
      <w:r>
        <w:t xml:space="preserve"> </w:t>
      </w:r>
      <w:r>
        <w:t xml:space="preserve">“Federal Public Key Infrastructure 101,”</w:t>
      </w:r>
      <w:r>
        <w:t xml:space="preserve"> </w:t>
      </w:r>
      <w:hyperlink r:id="rId396">
        <w:r>
          <w:rPr>
            <w:rStyle w:val="Hyperlink"/>
          </w:rPr>
          <w:t xml:space="preserve">https://www.idmanagement.gov/university/fpki/</w:t>
        </w:r>
      </w:hyperlink>
      <w:r>
        <w:t xml:space="preserve"> </w:t>
      </w:r>
      <w:r>
        <w:t xml:space="preserve">(accessed Oct 20, 2026).</w:t>
      </w:r>
    </w:p>
  </w:footnote>
  <w:footnote w:id="437">
    <w:p>
      <w:pPr>
        <w:pStyle w:val="FootnoteText"/>
      </w:pPr>
      <w:r>
        <w:rPr>
          <w:rStyle w:val="FootnoteReference"/>
        </w:rPr>
        <w:footnoteRef/>
      </w:r>
      <w:r>
        <w:t xml:space="preserve"> </w:t>
      </w:r>
      <w:r>
        <w:t xml:space="preserve">Microsoft Learn,</w:t>
      </w:r>
      <w:r>
        <w:t xml:space="preserve"> </w:t>
      </w:r>
      <w:r>
        <w:t xml:space="preserve">“Microsoft Defender for Identity’s security posture assessments,”</w:t>
      </w:r>
      <w:r>
        <w:t xml:space="preserve"> </w:t>
      </w:r>
      <w:r>
        <w:t xml:space="preserve">section</w:t>
      </w:r>
      <w:r>
        <w:t xml:space="preserve"> </w:t>
      </w:r>
      <w:r>
        <w:t xml:space="preserve">“Prerequisites,”</w:t>
      </w:r>
      <w:r>
        <w:t xml:space="preserve"> </w:t>
      </w:r>
      <w:hyperlink r:id="rId182">
        <w:r>
          <w:rPr>
            <w:rStyle w:val="Hyperlink"/>
          </w:rPr>
          <w:t xml:space="preserve">https://learn.microsoft.com/defender-for-identity/security-assessment</w:t>
        </w:r>
      </w:hyperlink>
      <w:r>
        <w:t xml:space="preserve"> </w:t>
      </w:r>
      <w:r>
        <w:t xml:space="preserve">(accessed Oct 20, 2026).</w:t>
      </w:r>
    </w:p>
  </w:footnote>
  <w:footnote w:id="438">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 SC-17; control text checked against NIST’s OSCAL catalog,</w:t>
      </w:r>
      <w:r>
        <w:t xml:space="preserve"> </w:t>
      </w:r>
      <w:hyperlink r:id="rId439">
        <w:r>
          <w:rPr>
            <w:rStyle w:val="Hyperlink"/>
          </w:rPr>
          <w:t xml:space="preserve">https://csrc.nist.gov/pubs/sp/800/53/r5/upd1/final</w:t>
        </w:r>
      </w:hyperlink>
      <w:r>
        <w:t xml:space="preserve"> </w:t>
      </w:r>
      <w:r>
        <w:t xml:space="preserve">(accessed Oct 20, 2026).</w:t>
      </w:r>
    </w:p>
  </w:footnote>
  <w:footnote w:id="440">
    <w:p>
      <w:pPr>
        <w:pStyle w:val="FootnoteText"/>
      </w:pPr>
      <w:r>
        <w:rPr>
          <w:rStyle w:val="FootnoteReference"/>
        </w:rPr>
        <w:footnoteRef/>
      </w:r>
      <w:r>
        <w:t xml:space="preserve"> </w:t>
      </w:r>
      <w:r>
        <w:t xml:space="preserve">Palo Alto Networks,</w:t>
      </w:r>
      <w:r>
        <w:t xml:space="preserve"> </w:t>
      </w:r>
      <w:r>
        <w:t xml:space="preserve">“Palo Alto Networks Completes Acquisition of CyberArk to Secure the AI Era,”</w:t>
      </w:r>
      <w:r>
        <w:t xml:space="preserve"> </w:t>
      </w:r>
      <w:r>
        <w:t xml:space="preserve">press release, February 11, 2026, filed as Exhibit 99.1 to Form 8-K,</w:t>
      </w:r>
      <w:r>
        <w:t xml:space="preserve"> </w:t>
      </w:r>
      <w:hyperlink r:id="rId70">
        <w:r>
          <w:rPr>
            <w:rStyle w:val="Hyperlink"/>
          </w:rPr>
          <w:t xml:space="preserve">https://www.sec.gov/Archives/edgar/data/1327567/000119312526045600/d40626dex991.htm</w:t>
        </w:r>
      </w:hyperlink>
      <w:r>
        <w:t xml:space="preserve"> </w:t>
      </w:r>
      <w:r>
        <w:t xml:space="preserve">(accessed Oct 20, 2026).</w:t>
      </w:r>
    </w:p>
  </w:footnote>
  <w:footnote w:id="441">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(product page and FAQ; cyberark.com/products/certificate-manager redirects here),</w:t>
      </w:r>
      <w:r>
        <w:t xml:space="preserve"> </w:t>
      </w:r>
      <w:hyperlink r:id="rId72">
        <w:r>
          <w:rPr>
            <w:rStyle w:val="Hyperlink"/>
          </w:rPr>
          <w:t xml:space="preserve">https://www.paloaltonetworks.com/network-security/next-gen-trust-security/certificate-manager</w:t>
        </w:r>
      </w:hyperlink>
      <w:r>
        <w:t xml:space="preserve"> </w:t>
      </w:r>
      <w:r>
        <w:t xml:space="preserve">(accessed Oct 20, 2026).</w:t>
      </w:r>
    </w:p>
  </w:footnote>
  <w:footnote w:id="442">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444">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446">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r>
        <w:t xml:space="preserve">sections</w:t>
      </w:r>
      <w:r>
        <w:t xml:space="preserve"> </w:t>
      </w:r>
      <w:r>
        <w:t xml:space="preserve">“Prerequisites”</w:t>
      </w:r>
      <w:r>
        <w:t xml:space="preserve"> </w:t>
      </w:r>
      <w:r>
        <w:t xml:space="preserve">and</w:t>
      </w:r>
      <w:r>
        <w:t xml:space="preserve"> </w:t>
      </w:r>
      <w:r>
        <w:t xml:space="preserve">“Security considerations for revocation and CDP changes,”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44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42">
        <w:r>
          <w:rPr>
            <w:rStyle w:val="Hyperlink"/>
          </w:rPr>
          <w:t xml:space="preserve">https://learn.microsoft.com/intune/cloud-pki/</w:t>
        </w:r>
      </w:hyperlink>
      <w:r>
        <w:t xml:space="preserve"> </w:t>
      </w:r>
      <w:r>
        <w:t xml:space="preserve">(accessed Oct 20, 2026).</w:t>
      </w:r>
    </w:p>
  </w:footnote>
  <w:footnote w:id="45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42">
        <w:r>
          <w:rPr>
            <w:rStyle w:val="Hyperlink"/>
          </w:rPr>
          <w:t xml:space="preserve">https://learn.microsoft.com/intune/cloud-pki/</w:t>
        </w:r>
      </w:hyperlink>
      <w:r>
        <w:t xml:space="preserve"> </w:t>
      </w:r>
      <w:r>
        <w:t xml:space="preserve">(accessed Oct 20, 2026).</w:t>
      </w:r>
    </w:p>
  </w:footnote>
  <w:footnote w:id="456">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r>
        <w:t xml:space="preserve">sections</w:t>
      </w:r>
      <w:r>
        <w:t xml:space="preserve"> </w:t>
      </w:r>
      <w:r>
        <w:t xml:space="preserve">“Prerequisites”</w:t>
      </w:r>
      <w:r>
        <w:t xml:space="preserve"> </w:t>
      </w:r>
      <w:r>
        <w:t xml:space="preserve">and</w:t>
      </w:r>
      <w:r>
        <w:t xml:space="preserve"> </w:t>
      </w:r>
      <w:r>
        <w:t xml:space="preserve">“Security considerations for revocation and CDP changes,”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457">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58">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“Define the CA operating roles,”</w:t>
      </w:r>
      <w:r>
        <w:t xml:space="preserve"> </w:t>
      </w:r>
      <w:r>
        <w:t xml:space="preserve">“Assess CA role separation”</w:t>
      </w:r>
      <w:r>
        <w:t xml:space="preserve"> </w:t>
      </w:r>
      <w:r>
        <w:t xml:space="preserve">and</w:t>
      </w:r>
      <w:r>
        <w:t xml:space="preserve"> </w:t>
      </w:r>
      <w:r>
        <w:t xml:space="preserve">“Security considerations,”</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459">
    <w:p>
      <w:pPr>
        <w:pStyle w:val="FootnoteText"/>
      </w:pPr>
      <w:r>
        <w:rPr>
          <w:rStyle w:val="FootnoteReference"/>
        </w:rPr>
        <w:footnoteRef/>
      </w:r>
      <w:r>
        <w:t xml:space="preserve"> </w:t>
      </w:r>
      <w:r>
        <w:t xml:space="preserve">Microsoft Learn,</w:t>
      </w:r>
      <w:r>
        <w:t xml:space="preserve"> </w:t>
      </w:r>
      <w:r>
        <w:t xml:space="preserve">“Create a custom role in Intune,”</w:t>
      </w:r>
      <w:r>
        <w:t xml:space="preserve"> </w:t>
      </w:r>
      <w:r>
        <w:t xml:space="preserve">section</w:t>
      </w:r>
      <w:r>
        <w:t xml:space="preserve"> </w:t>
      </w:r>
      <w:r>
        <w:t xml:space="preserve">“Cloud PKI,”</w:t>
      </w:r>
      <w:r>
        <w:t xml:space="preserve"> </w:t>
      </w:r>
      <w:hyperlink r:id="rId460">
        <w:r>
          <w:rPr>
            <w:rStyle w:val="Hyperlink"/>
          </w:rPr>
          <w:t xml:space="preserve">https://learn.microsoft.com/intune/fundamentals/role-based-access-control/create-custom-role</w:t>
        </w:r>
      </w:hyperlink>
      <w:r>
        <w:t xml:space="preserve"> </w:t>
      </w:r>
      <w:r>
        <w:t xml:space="preserve">(accessed Oct 20, 2026).</w:t>
      </w:r>
    </w:p>
  </w:footnote>
  <w:footnote w:id="461">
    <w:p>
      <w:pPr>
        <w:pStyle w:val="FootnoteText"/>
      </w:pPr>
      <w:r>
        <w:rPr>
          <w:rStyle w:val="FootnoteReference"/>
        </w:rPr>
        <w:footnoteRef/>
      </w:r>
      <w:r>
        <w:t xml:space="preserve"> </w:t>
      </w:r>
      <w:r>
        <w:t xml:space="preserve">Microsoft Learn,</w:t>
      </w:r>
      <w:r>
        <w:t xml:space="preserve"> </w:t>
      </w:r>
      <w:r>
        <w:t xml:space="preserve">“Delete Microsoft Cloud PKI certification authority,”</w:t>
      </w:r>
      <w:r>
        <w:t xml:space="preserve"> </w:t>
      </w:r>
      <w:hyperlink r:id="rId462">
        <w:r>
          <w:rPr>
            <w:rStyle w:val="Hyperlink"/>
          </w:rPr>
          <w:t xml:space="preserve">https://learn.microsoft.com/intune/cloud-pki/delete-ca</w:t>
        </w:r>
      </w:hyperlink>
      <w:r>
        <w:t xml:space="preserve"> </w:t>
      </w:r>
      <w:r>
        <w:t xml:space="preserve">(accessed Oct 20, 2026).</w:t>
      </w:r>
    </w:p>
  </w:footnote>
  <w:footnote w:id="463">
    <w:p>
      <w:pPr>
        <w:pStyle w:val="FootnoteText"/>
      </w:pPr>
      <w:r>
        <w:rPr>
          <w:rStyle w:val="FootnoteReference"/>
        </w:rPr>
        <w:footnoteRef/>
      </w:r>
      <w:r>
        <w:t xml:space="preserve"> </w:t>
      </w:r>
      <w:r>
        <w:t xml:space="preserve">Microsoft Learn,</w:t>
      </w:r>
      <w:r>
        <w:t xml:space="preserve"> </w:t>
      </w:r>
      <w:r>
        <w:t xml:space="preserve">“Delete Microsoft Cloud PKI certification authority,”</w:t>
      </w:r>
      <w:r>
        <w:t xml:space="preserve"> </w:t>
      </w:r>
      <w:hyperlink r:id="rId462">
        <w:r>
          <w:rPr>
            <w:rStyle w:val="Hyperlink"/>
          </w:rPr>
          <w:t xml:space="preserve">https://learn.microsoft.com/intune/cloud-pki/delete-ca</w:t>
        </w:r>
      </w:hyperlink>
      <w:r>
        <w:t xml:space="preserve"> </w:t>
      </w:r>
      <w:r>
        <w:t xml:space="preserve">(accessed Oct 20, 2026).</w:t>
      </w:r>
    </w:p>
  </w:footnote>
  <w:footnote w:id="46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overview of features, architecture),</w:t>
      </w:r>
      <w:r>
        <w:t xml:space="preserve"> </w:t>
      </w:r>
      <w:hyperlink r:id="rId42">
        <w:r>
          <w:rPr>
            <w:rStyle w:val="Hyperlink"/>
          </w:rPr>
          <w:t xml:space="preserve">https://learn.microsoft.com/intune/cloud-pki/</w:t>
        </w:r>
      </w:hyperlink>
      <w:r>
        <w:t xml:space="preserve"> </w:t>
      </w:r>
      <w:r>
        <w:t xml:space="preserve">(accessed Oct 20, 2026).</w:t>
      </w:r>
    </w:p>
  </w:footnote>
  <w:footnote w:id="465">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466">
        <w:r>
          <w:rPr>
            <w:rStyle w:val="Hyperlink"/>
          </w:rPr>
          <w:t xml:space="preserve">https://learn.microsoft.com/intune/fundamentals/certificates/connector/prerequisites</w:t>
        </w:r>
      </w:hyperlink>
      <w:r>
        <w:t xml:space="preserve"> </w:t>
      </w:r>
      <w:r>
        <w:t xml:space="preserve">(accessed Oct 20, 2026).</w:t>
      </w:r>
    </w:p>
  </w:footnote>
  <w:footnote w:id="467">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and</w:t>
      </w:r>
      <w:r>
        <w:t xml:space="preserve"> </w:t>
      </w:r>
      <w:r>
        <w:t xml:space="preserve">“Step 3: Configure an authentication binding policy,”</w:t>
      </w:r>
      <w:r>
        <w:t xml:space="preserve"> </w:t>
      </w:r>
      <w:hyperlink r:id="rId468">
        <w:r>
          <w:rPr>
            <w:rStyle w:val="Hyperlink"/>
          </w:rPr>
          <w:t xml:space="preserve">https://learn.microsoft.com/entra/identity/authentication/how-to-certificate-based-authentication</w:t>
        </w:r>
      </w:hyperlink>
      <w:r>
        <w:t xml:space="preserve"> </w:t>
      </w:r>
      <w:r>
        <w:t xml:space="preserve">(accessed Oct 20, 2026).</w:t>
      </w:r>
    </w:p>
  </w:footnote>
  <w:footnote w:id="46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and</w:t>
      </w:r>
      <w:r>
        <w:t xml:space="preserve"> </w:t>
      </w:r>
      <w:r>
        <w:t xml:space="preserve">“Step 3: Configure an authentication binding policy,”</w:t>
      </w:r>
      <w:r>
        <w:t xml:space="preserve"> </w:t>
      </w:r>
      <w:hyperlink r:id="rId468">
        <w:r>
          <w:rPr>
            <w:rStyle w:val="Hyperlink"/>
          </w:rPr>
          <w:t xml:space="preserve">https://learn.microsoft.com/entra/identity/authentication/how-to-certificate-based-authentication</w:t>
        </w:r>
      </w:hyperlink>
      <w:r>
        <w:t xml:space="preserve"> </w:t>
      </w:r>
      <w:r>
        <w:t xml:space="preserve">(accessed Oct 20, 2026).</w:t>
      </w:r>
    </w:p>
  </w:footnote>
  <w:footnote w:id="470">
    <w:p>
      <w:pPr>
        <w:pStyle w:val="FootnoteText"/>
      </w:pPr>
      <w:r>
        <w:rPr>
          <w:rStyle w:val="FootnoteReference"/>
        </w:rPr>
        <w:footnoteRef/>
      </w:r>
      <w:r>
        <w:t xml:space="preserve"> </w:t>
      </w:r>
      <w:r>
        <w:t xml:space="preserve">Microsoft Learn,</w:t>
      </w:r>
      <w:r>
        <w:t xml:space="preserve"> </w:t>
      </w:r>
      <w:r>
        <w:t xml:space="preserve">“Mapping to the certificateUserIds attribute in Microsoft Entra ID,”</w:t>
      </w:r>
      <w:r>
        <w:t xml:space="preserve"> </w:t>
      </w:r>
      <w:r>
        <w:t xml:space="preserve">section</w:t>
      </w:r>
      <w:r>
        <w:t xml:space="preserve"> </w:t>
      </w:r>
      <w:r>
        <w:t xml:space="preserve">“Roles to update certificateUserIds,”</w:t>
      </w:r>
      <w:r>
        <w:t xml:space="preserve"> </w:t>
      </w:r>
      <w:hyperlink r:id="rId433">
        <w:r>
          <w:rPr>
            <w:rStyle w:val="Hyperlink"/>
          </w:rPr>
          <w:t xml:space="preserve">https://learn.microsoft.com/entra/identity/authentication/concept-certificate-based-authentication-certificateuserids</w:t>
        </w:r>
      </w:hyperlink>
      <w:r>
        <w:t xml:space="preserve"> </w:t>
      </w:r>
      <w:r>
        <w:t xml:space="preserve">(accessed Oct 20, 2026).</w:t>
      </w:r>
    </w:p>
  </w:footnote>
  <w:footnote w:id="471">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105">
        <w:r>
          <w:rPr>
            <w:rStyle w:val="Hyperlink"/>
          </w:rPr>
          <w:t xml:space="preserve">https://learn.microsoft.com/entra/identity/authentication/how-to-configure-certificate-authorities</w:t>
        </w:r>
      </w:hyperlink>
      <w:r>
        <w:t xml:space="preserve"> </w:t>
      </w:r>
      <w:r>
        <w:t xml:space="preserve">(accessed Oct 20, 2026).</w:t>
      </w:r>
    </w:p>
  </w:footnote>
  <w:footnote w:id="472">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392">
        <w:r>
          <w:rPr>
            <w:rStyle w:val="Hyperlink"/>
          </w:rPr>
          <w:t xml:space="preserve">https://docs.venafi.com/Docs/current/TopNav/Content/Drivers/cco-MicrosoftCertServices-CATemplate-tpp.php</w:t>
        </w:r>
      </w:hyperlink>
      <w:r>
        <w:t xml:space="preserve"> </w:t>
      </w:r>
      <w:r>
        <w:t xml:space="preserve">(accessed Oct 20, 2026).</w:t>
      </w:r>
    </w:p>
  </w:footnote>
  <w:footnote w:id="473">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466">
        <w:r>
          <w:rPr>
            <w:rStyle w:val="Hyperlink"/>
          </w:rPr>
          <w:t xml:space="preserve">https://learn.microsoft.com/intune/fundamentals/certificates/connector/prerequisites</w:t>
        </w:r>
      </w:hyperlink>
      <w:r>
        <w:t xml:space="preserve"> </w:t>
      </w:r>
      <w:r>
        <w:t xml:space="preserve">(accessed Oct 20, 2026).</w:t>
      </w:r>
    </w:p>
  </w:footnote>
  <w:footnote w:id="47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485">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487">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488">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489">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491">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49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94">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49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9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9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9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499">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50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01">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02">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503">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0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0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06">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 Determine costs and licensing,</w:t>
      </w:r>
      <w:r>
        <w:t xml:space="preserve"> </w:t>
      </w:r>
      <w:hyperlink r:id="rId507">
        <w:r>
          <w:rPr>
            <w:rStyle w:val="Hyperlink"/>
          </w:rPr>
          <w:t xml:space="preserve">https://learn.microsoft.com/intune/fundamentals/planning-guide#step-3---determine-costs-and-licensing</w:t>
        </w:r>
      </w:hyperlink>
      <w:r>
        <w:t xml:space="preserve"> </w:t>
      </w:r>
      <w:r>
        <w:t xml:space="preserve">(accessed Oct 20, 2026).</w:t>
      </w:r>
    </w:p>
  </w:footnote>
  <w:footnote w:id="508">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Intune capabilities added to Microsoft 365 E3 and E5) and September 28, 2026 (service release 2609: Cloud PKI support for GCC High),</w:t>
      </w:r>
      <w:r>
        <w:t xml:space="preserve"> </w:t>
      </w:r>
      <w:hyperlink r:id="rId336">
        <w:r>
          <w:rPr>
            <w:rStyle w:val="Hyperlink"/>
          </w:rPr>
          <w:t xml:space="preserve">https://learn.microsoft.com/intune/whats-new/</w:t>
        </w:r>
      </w:hyperlink>
      <w:r>
        <w:t xml:space="preserve"> </w:t>
      </w:r>
      <w:r>
        <w:t xml:space="preserve">(accessed Oct 20, 2026).</w:t>
      </w:r>
    </w:p>
  </w:footnote>
  <w:footnote w:id="509">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weeks of June 29, 2026 (service release 2606: Intune capabilities added to Microsoft 365 E3 and E5) and September 28, 2026 (service release 2609: Cloud PKI support for GCC High),</w:t>
      </w:r>
      <w:r>
        <w:t xml:space="preserve"> </w:t>
      </w:r>
      <w:hyperlink r:id="rId336">
        <w:r>
          <w:rPr>
            <w:rStyle w:val="Hyperlink"/>
          </w:rPr>
          <w:t xml:space="preserve">https://learn.microsoft.com/intune/whats-new/</w:t>
        </w:r>
      </w:hyperlink>
      <w:r>
        <w:t xml:space="preserve"> </w:t>
      </w:r>
      <w:r>
        <w:t xml:space="preserve">(accessed Oct 20, 2026).</w:t>
      </w:r>
    </w:p>
  </w:footnote>
  <w:footnote w:id="51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architecture,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512">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513">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514">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r>
        <w:t xml:space="preserve">Requirements and High Availability,</w:t>
      </w:r>
      <w:r>
        <w:t xml:space="preserve"> </w:t>
      </w:r>
      <w:hyperlink r:id="rId515">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516">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r>
        <w:t xml:space="preserve">Requirements and High Availability,</w:t>
      </w:r>
      <w:r>
        <w:t xml:space="preserve"> </w:t>
      </w:r>
      <w:hyperlink r:id="rId515">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517">
    <w:p>
      <w:pPr>
        <w:pStyle w:val="FootnoteText"/>
      </w:pPr>
      <w:r>
        <w:rPr>
          <w:rStyle w:val="FootnoteReference"/>
        </w:rPr>
        <w:footnoteRef/>
      </w:r>
      <w:r>
        <w:t xml:space="preserve"> </w:t>
      </w:r>
      <w:r>
        <w:t xml:space="preserve">Microsoft Learn,</w:t>
      </w:r>
      <w:r>
        <w:t xml:space="preserve"> </w:t>
      </w:r>
      <w:r>
        <w:t xml:space="preserve">“Renewal of</w:t>
      </w:r>
      <w:r>
        <w:t xml:space="preserve"> </w:t>
      </w:r>
      <w:r>
        <w:t xml:space="preserve">‘Enrollment Agent’</w:t>
      </w:r>
      <w:r>
        <w:t xml:space="preserve"> </w:t>
      </w:r>
      <w:r>
        <w:t xml:space="preserve">certificate used by NDES may fail,”</w:t>
      </w:r>
      <w:r>
        <w:t xml:space="preserve"> </w:t>
      </w:r>
      <w:hyperlink r:id="rId518">
        <w:r>
          <w:rPr>
            <w:rStyle w:val="Hyperlink"/>
          </w:rPr>
          <w:t xml:space="preserve">https://learn.microsoft.com/troubleshoot/windows-server/certificates-and-public-key-infrastructure-pki/renewal-of-enrollment-agent-certificate-fail</w:t>
        </w:r>
      </w:hyperlink>
      <w:r>
        <w:t xml:space="preserve"> </w:t>
      </w:r>
      <w:r>
        <w:t xml:space="preserve">(accessed Oct 20, 2026).</w:t>
      </w:r>
    </w:p>
  </w:footnote>
  <w:footnote w:id="520">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522">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523">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526">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527">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528">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(capabilities, lifecycle, what’s new),</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529">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531">
    <w:p>
      <w:pPr>
        <w:pStyle w:val="FootnoteText"/>
      </w:pPr>
      <w:r>
        <w:rPr>
          <w:rStyle w:val="FootnoteReference"/>
        </w:rPr>
        <w:footnoteRef/>
      </w:r>
      <w:r>
        <w:t xml:space="preserve"> </w:t>
      </w:r>
      <w:r>
        <w:t xml:space="preserve">Microsoft Learn,</w:t>
      </w:r>
      <w:r>
        <w:t xml:space="preserve"> </w:t>
      </w:r>
      <w:r>
        <w:t xml:space="preserve">“How to: Plan your Microsoft Entra join implementation,”</w:t>
      </w:r>
      <w:r>
        <w:t xml:space="preserve"> </w:t>
      </w:r>
      <w:r>
        <w:t xml:space="preserve">RADIUS and Wi-Fi authentication,</w:t>
      </w:r>
      <w:r>
        <w:t xml:space="preserve"> </w:t>
      </w:r>
      <w:hyperlink r:id="rId532">
        <w:r>
          <w:rPr>
            <w:rStyle w:val="Hyperlink"/>
          </w:rPr>
          <w:t xml:space="preserve">https://learn.microsoft.com/entra/identity/devices/device-join-plan#understand-considerations-for-applications-and-resources</w:t>
        </w:r>
      </w:hyperlink>
      <w:r>
        <w:t xml:space="preserve"> </w:t>
      </w:r>
      <w:r>
        <w:t xml:space="preserve">(accessed Oct 20, 2026).</w:t>
      </w:r>
    </w:p>
  </w:footnote>
  <w:footnote w:id="534">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35">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36">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537">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538">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539">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41">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4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43">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45">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538">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546">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547">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538">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548">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Update certificate connector: strong mapping requirements for KB5014754,</w:t>
      </w:r>
      <w:r>
        <w:t xml:space="preserve"> </w:t>
      </w:r>
      <w:hyperlink r:id="rId538">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549">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550">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551">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552">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Notices, Plan for change: implement strong mapping for SCEP and PKCS certificates,</w:t>
      </w:r>
      <w:r>
        <w:t xml:space="preserve"> </w:t>
      </w:r>
      <w:hyperlink r:id="rId553">
        <w:r>
          <w:rPr>
            <w:rStyle w:val="Hyperlink"/>
          </w:rPr>
          <w:t xml:space="preserve">https://learn.microsoft.com/intune/whats-new/#notices</w:t>
        </w:r>
      </w:hyperlink>
      <w:r>
        <w:t xml:space="preserve"> </w:t>
      </w:r>
      <w:r>
        <w:t xml:space="preserve">(accessed Oct 20, 2026).</w:t>
      </w:r>
    </w:p>
  </w:footnote>
  <w:footnote w:id="554">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55">
        <w:r>
          <w:rPr>
            <w:rStyle w:val="Hyperlink"/>
          </w:rPr>
          <w:t xml:space="preserve">https://learn.microsoft.com/intune/device-configuration/certificates/remove-profiles</w:t>
        </w:r>
      </w:hyperlink>
      <w:r>
        <w:t xml:space="preserve"> </w:t>
      </w:r>
      <w:r>
        <w:t xml:space="preserve">(accessed Oct 20, 2026).</w:t>
      </w:r>
    </w:p>
  </w:footnote>
  <w:footnote w:id="557">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58">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33">
        <w:r>
          <w:rPr>
            <w:rStyle w:val="Hyperlink"/>
          </w:rPr>
          <w:t xml:space="preserve">https://support.microsoft.com/en-us/topic/kb5014754-certificate-based-authentication-changes-on-windows-domain-controllers-ad2c23b0-15d8-4340-a468-4d4f3b188f16</w:t>
        </w:r>
      </w:hyperlink>
      <w:r>
        <w:t xml:space="preserve"> </w:t>
      </w:r>
      <w:r>
        <w:t xml:space="preserve">(accessed Oct 20, 2026).</w:t>
      </w:r>
    </w:p>
  </w:footnote>
  <w:footnote w:id="566">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6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6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7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72">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73">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7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75">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57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77">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7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80">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8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82">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8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8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86">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87">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8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89">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9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91">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9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594">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r>
        <w:t xml:space="preserve">Microsoft Entra Conditional Access,</w:t>
      </w:r>
      <w:r>
        <w:t xml:space="preserve"> </w:t>
      </w:r>
      <w:hyperlink r:id="rId595">
        <w:r>
          <w:rPr>
            <w:rStyle w:val="Hyperlink"/>
          </w:rPr>
          <w:t xml:space="preserve">https://learn.microsoft.com/entra/fundamentals/licensing</w:t>
        </w:r>
      </w:hyperlink>
      <w:r>
        <w:t xml:space="preserve"> </w:t>
      </w:r>
      <w:r>
        <w:t xml:space="preserve">(accessed Oct 20, 2026).</w:t>
      </w:r>
    </w:p>
  </w:footnote>
  <w:footnote w:id="59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597">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r>
        <w:t xml:space="preserve">Microsoft Entra Conditional Access,</w:t>
      </w:r>
      <w:r>
        <w:t xml:space="preserve"> </w:t>
      </w:r>
      <w:hyperlink r:id="rId595">
        <w:r>
          <w:rPr>
            <w:rStyle w:val="Hyperlink"/>
          </w:rPr>
          <w:t xml:space="preserve">https://learn.microsoft.com/entra/fundamentals/licensing</w:t>
        </w:r>
      </w:hyperlink>
      <w:r>
        <w:t xml:space="preserve"> </w:t>
      </w:r>
      <w:r>
        <w:t xml:space="preserve">(accessed Oct 20, 2026).</w:t>
      </w:r>
    </w:p>
  </w:footnote>
  <w:footnote w:id="599">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01">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03">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04">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05">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06">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07">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09">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10">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11">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12">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613">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(prerequisites; plan the project; implement your solution),</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615">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(prerequisites; plan the project; implement your solution),</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62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628">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629">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 and supersede existing domain controller certificates,</w:t>
      </w:r>
      <w:r>
        <w:t xml:space="preserve"> </w:t>
      </w:r>
      <w:hyperlink r:id="rId630">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631">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r>
        <w:t xml:space="preserve">CRL distribution point and domain controller certificates,</w:t>
      </w:r>
      <w:r>
        <w:t xml:space="preserve"> </w:t>
      </w:r>
      <w:hyperlink r:id="rId632">
        <w:r>
          <w:rPr>
            <w:rStyle w:val="Hyperlink"/>
          </w:rPr>
          <w:t xml:space="preserve">https://learn.microsoft.com/windows/security/identity-protection/hello-for-business/hello-hybrid-aadj-sso#prerequisites</w:t>
        </w:r>
      </w:hyperlink>
      <w:r>
        <w:t xml:space="preserve"> </w:t>
      </w:r>
      <w:r>
        <w:t xml:space="preserve">(accessed Oct 20, 2026).</w:t>
      </w:r>
    </w:p>
  </w:footnote>
  <w:footnote w:id="633">
    <w:p>
      <w:pPr>
        <w:pStyle w:val="FootnoteText"/>
      </w:pPr>
      <w:r>
        <w:rPr>
          <w:rStyle w:val="FootnoteReference"/>
        </w:rPr>
        <w:footnoteRef/>
      </w:r>
      <w:r>
        <w:t xml:space="preserve"> </w:t>
      </w:r>
      <w:r>
        <w:t xml:space="preserve">Microsoft Learn,</w:t>
      </w:r>
      <w:r>
        <w:t xml:space="preserve"> </w:t>
      </w:r>
      <w:r>
        <w:t xml:space="preserve">“Configure and validate the PKI in a hybrid certificate trust model,”</w:t>
      </w:r>
      <w:r>
        <w:t xml:space="preserve"> </w:t>
      </w:r>
      <w:r>
        <w:t xml:space="preserve">Configure the enterprise PKI,</w:t>
      </w:r>
      <w:r>
        <w:t xml:space="preserve"> </w:t>
      </w:r>
      <w:hyperlink r:id="rId634">
        <w:r>
          <w:rPr>
            <w:rStyle w:val="Hyperlink"/>
          </w:rPr>
          <w:t xml:space="preserve">https://learn.microsoft.com/windows/security/identity-protection/hello-for-business/deploy/hybrid-cert-trust-pki#configure-the-enterprise-pki</w:t>
        </w:r>
      </w:hyperlink>
      <w:r>
        <w:t xml:space="preserve"> </w:t>
      </w:r>
      <w:r>
        <w:t xml:space="preserve">(accessed Oct 20, 2026).</w:t>
      </w:r>
    </w:p>
  </w:footnote>
  <w:footnote w:id="63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637">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7">
        <w:r>
          <w:rPr>
            <w:rStyle w:val="Hyperlink"/>
          </w:rPr>
          <w:t xml:space="preserve">https://learn.microsoft.com/windows-server/identity/ad-ds/configure-ldap-signing-certificates</w:t>
        </w:r>
      </w:hyperlink>
      <w:r>
        <w:t xml:space="preserve"> </w:t>
      </w:r>
      <w:r>
        <w:t xml:space="preserve">(accessed Oct 20, 2026).</w:t>
      </w:r>
    </w:p>
  </w:footnote>
  <w:footnote w:id="638">
    <w:p>
      <w:pPr>
        <w:pStyle w:val="FootnoteText"/>
      </w:pPr>
      <w:r>
        <w:rPr>
          <w:rStyle w:val="FootnoteReference"/>
        </w:rPr>
        <w:footnoteRef/>
      </w:r>
      <w:r>
        <w:t xml:space="preserve"> </w:t>
      </w:r>
      <w:r>
        <w:t xml:space="preserve">Microsoft Learn,</w:t>
      </w:r>
      <w:r>
        <w:t xml:space="preserve"> </w:t>
      </w:r>
      <w:r>
        <w:t xml:space="preserve">“Enable LDAP over SSL with a third-party certification authority,”</w:t>
      </w:r>
      <w:r>
        <w:t xml:space="preserve"> </w:t>
      </w:r>
      <w:r>
        <w:t xml:space="preserve">Requirements for an LDAPS certificate and Improvements,</w:t>
      </w:r>
      <w:r>
        <w:t xml:space="preserve"> </w:t>
      </w:r>
      <w:hyperlink r:id="rId639">
        <w:r>
          <w:rPr>
            <w:rStyle w:val="Hyperlink"/>
          </w:rPr>
          <w:t xml:space="preserve">https://learn.microsoft.com/troubleshoot/windows-server/active-directory/enable-ldap-over-ssl-3rd-certification-authority</w:t>
        </w:r>
      </w:hyperlink>
      <w:r>
        <w:t xml:space="preserve"> </w:t>
      </w:r>
      <w:r>
        <w:t xml:space="preserve">(accessed Oct 20, 2026).</w:t>
      </w:r>
    </w:p>
  </w:footnote>
  <w:footnote w:id="640">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7">
        <w:r>
          <w:rPr>
            <w:rStyle w:val="Hyperlink"/>
          </w:rPr>
          <w:t xml:space="preserve">https://learn.microsoft.com/windows-server/identity/ad-ds/configure-ldap-signing-certificates</w:t>
        </w:r>
      </w:hyperlink>
      <w:r>
        <w:t xml:space="preserve"> </w:t>
      </w:r>
      <w:r>
        <w:t xml:space="preserve">(accessed Oct 20, 2026).</w:t>
      </w:r>
    </w:p>
  </w:footnote>
  <w:footnote w:id="642">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643">
    <w:p>
      <w:pPr>
        <w:pStyle w:val="FootnoteText"/>
      </w:pPr>
      <w:r>
        <w:rPr>
          <w:rStyle w:val="FootnoteReference"/>
        </w:rPr>
        <w:footnoteRef/>
      </w:r>
      <w:r>
        <w:t xml:space="preserve"> </w:t>
      </w:r>
      <w:r>
        <w:t xml:space="preserve">Palo Alto Networks, press release,</w:t>
      </w:r>
      <w:r>
        <w:t xml:space="preserve"> </w:t>
      </w:r>
      <w:r>
        <w:t xml:space="preserve">“Palo Alto Networks Completes Acquisition of CyberArk to Secure the AI Era,”</w:t>
      </w:r>
      <w:r>
        <w:t xml:space="preserve"> </w:t>
      </w:r>
      <w:r>
        <w:t xml:space="preserve">February 11, 2026, Form 8-K Exhibit 99.1,</w:t>
      </w:r>
      <w:r>
        <w:t xml:space="preserve"> </w:t>
      </w:r>
      <w:hyperlink r:id="rId70">
        <w:r>
          <w:rPr>
            <w:rStyle w:val="Hyperlink"/>
          </w:rPr>
          <w:t xml:space="preserve">https://www.sec.gov/Archives/edgar/data/1327567/000119312526045600/d40626dex991.htm</w:t>
        </w:r>
      </w:hyperlink>
      <w:r>
        <w:t xml:space="preserve"> </w:t>
      </w:r>
      <w:r>
        <w:t xml:space="preserve">(accessed Oct 20, 2026).</w:t>
      </w:r>
    </w:p>
  </w:footnote>
  <w:footnote w:id="644">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hyperlink r:id="rId72">
        <w:r>
          <w:rPr>
            <w:rStyle w:val="Hyperlink"/>
          </w:rPr>
          <w:t xml:space="preserve">https://www.paloaltonetworks.com/network-security/next-gen-trust-security/certificate-manager</w:t>
        </w:r>
      </w:hyperlink>
      <w:r>
        <w:t xml:space="preserve"> </w:t>
      </w:r>
      <w:r>
        <w:t xml:space="preserve">(accessed Oct 20, 2026).</w:t>
      </w:r>
    </w:p>
  </w:footnote>
  <w:footnote w:id="645">
    <w:p>
      <w:pPr>
        <w:pStyle w:val="FootnoteText"/>
      </w:pPr>
      <w:r>
        <w:rPr>
          <w:rStyle w:val="FootnoteReference"/>
        </w:rPr>
        <w:footnoteRef/>
      </w:r>
      <w:r>
        <w:t xml:space="preserve"> </w:t>
      </w:r>
      <w:r>
        <w:t xml:space="preserve">Microsoft Learn,</w:t>
      </w:r>
      <w:r>
        <w:t xml:space="preserve"> </w:t>
      </w:r>
      <w:r>
        <w:t xml:space="preserve">“Certificate requirements when you use EAP-TLS or PEAP with EAP-TLS,”</w:t>
      </w:r>
      <w:r>
        <w:t xml:space="preserve"> </w:t>
      </w:r>
      <w:hyperlink r:id="rId646">
        <w:r>
          <w:rPr>
            <w:rStyle w:val="Hyperlink"/>
          </w:rPr>
          <w:t xml:space="preserve">https://learn.microsoft.com/troubleshoot/windows-server/networking/certificate-requirements-eap-tls-peap</w:t>
        </w:r>
      </w:hyperlink>
      <w:r>
        <w:t xml:space="preserve"> </w:t>
      </w:r>
      <w:r>
        <w:t xml:space="preserve">(accessed Oct 20, 2026).</w:t>
      </w:r>
    </w:p>
  </w:footnote>
  <w:footnote w:id="64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Step 1, Configure the CAs with a PKI-based trust store,</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651">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652">
    <w:p>
      <w:pPr>
        <w:pStyle w:val="FootnoteText"/>
      </w:pPr>
      <w:r>
        <w:rPr>
          <w:rStyle w:val="FootnoteReference"/>
        </w:rPr>
        <w:footnoteRef/>
      </w:r>
      <w:r>
        <w:t xml:space="preserve"> </w:t>
      </w:r>
      <w:r>
        <w:t xml:space="preserve">Microsoft Learn,</w:t>
      </w:r>
      <w:r>
        <w:t xml:space="preserve"> </w:t>
      </w:r>
      <w:r>
        <w:t xml:space="preserve">“Distribute certificates to Windows devices by using Group Policy,”</w:t>
      </w:r>
      <w:r>
        <w:t xml:space="preserve"> </w:t>
      </w:r>
      <w:hyperlink r:id="rId653">
        <w:r>
          <w:rPr>
            <w:rStyle w:val="Hyperlink"/>
          </w:rPr>
          <w:t xml:space="preserve">https://learn.microsoft.com/windows-server/identity/ad-cs/distribute-certificates-group-policy</w:t>
        </w:r>
      </w:hyperlink>
      <w:r>
        <w:t xml:space="preserve"> </w:t>
      </w:r>
      <w:r>
        <w:t xml:space="preserve">(accessed Oct 20, 2026).</w:t>
      </w:r>
    </w:p>
  </w:footnote>
  <w:footnote w:id="654">
    <w:p>
      <w:pPr>
        <w:pStyle w:val="FootnoteText"/>
      </w:pPr>
      <w:r>
        <w:rPr>
          <w:rStyle w:val="FootnoteReference"/>
        </w:rPr>
        <w:footnoteRef/>
      </w:r>
      <w:r>
        <w:t xml:space="preserve"> </w:t>
      </w:r>
      <w:r>
        <w:t xml:space="preserve">Microsoft Learn,</w:t>
      </w:r>
      <w:r>
        <w:t xml:space="preserve"> </w:t>
      </w:r>
      <w:r>
        <w:t xml:space="preserve">“Valid root CA certificates distributed using GPO might intermittently appear as untrusted,”</w:t>
      </w:r>
      <w:r>
        <w:t xml:space="preserve"> </w:t>
      </w:r>
      <w:hyperlink r:id="rId655">
        <w:r>
          <w:rPr>
            <w:rStyle w:val="Hyperlink"/>
          </w:rPr>
          <w:t xml:space="preserve">https://learn.microsoft.com/troubleshoot/windows-server/certificates-and-public-key-infrastructure-pki/valid-root-ca-certificates-untrusted</w:t>
        </w:r>
      </w:hyperlink>
      <w:r>
        <w:t xml:space="preserve"> </w:t>
      </w:r>
      <w:r>
        <w:t xml:space="preserve">(accessed Oct 20, 2026).</w:t>
      </w:r>
    </w:p>
  </w:footnote>
  <w:footnote w:id="656">
    <w:p>
      <w:pPr>
        <w:pStyle w:val="FootnoteText"/>
      </w:pPr>
      <w:r>
        <w:rPr>
          <w:rStyle w:val="FootnoteReference"/>
        </w:rPr>
        <w:footnoteRef/>
      </w:r>
      <w:r>
        <w:t xml:space="preserve"> </w:t>
      </w:r>
      <w:r>
        <w:t xml:space="preserve">Microsoft Learn,</w:t>
      </w:r>
      <w:r>
        <w:t xml:space="preserve"> </w:t>
      </w:r>
      <w:r>
        <w:t xml:space="preserve">“certutil,”</w:t>
      </w:r>
      <w:r>
        <w:t xml:space="preserve"> </w:t>
      </w:r>
      <w:r>
        <w:t xml:space="preserve">-dsPublish,</w:t>
      </w:r>
      <w:r>
        <w:t xml:space="preserve"> </w:t>
      </w:r>
      <w:hyperlink r:id="rId657">
        <w:r>
          <w:rPr>
            <w:rStyle w:val="Hyperlink"/>
          </w:rPr>
          <w:t xml:space="preserve">https://learn.microsoft.com/windows-server/administration/windows-commands/certutil#parameters</w:t>
        </w:r>
      </w:hyperlink>
      <w:r>
        <w:t xml:space="preserve"> </w:t>
      </w:r>
      <w:r>
        <w:t xml:space="preserve">(accessed Oct 20, 2026).</w:t>
      </w:r>
    </w:p>
  </w:footnote>
  <w:footnote w:id="659">
    <w:p>
      <w:pPr>
        <w:pStyle w:val="FootnoteText"/>
      </w:pPr>
      <w:r>
        <w:rPr>
          <w:rStyle w:val="FootnoteReference"/>
        </w:rPr>
        <w:footnoteRef/>
      </w:r>
      <w:r>
        <w:t xml:space="preserve"> </w:t>
      </w:r>
      <w:r>
        <w:t xml:space="preserve">Microsoft Learn,</w:t>
      </w:r>
      <w:r>
        <w:t xml:space="preserve"> </w:t>
      </w:r>
      <w:r>
        <w:t xml:space="preserve">“How to import third-party certification authority (CA) certificates into the Enterprise NTAuth store,”</w:t>
      </w:r>
      <w:r>
        <w:t xml:space="preserve"> </w:t>
      </w:r>
      <w:hyperlink r:id="rId660">
        <w:r>
          <w:rPr>
            <w:rStyle w:val="Hyperlink"/>
          </w:rPr>
          <w:t xml:space="preserve">https://learn.microsoft.com/troubleshoot/windows-server/certificates-and-public-key-infrastructure-pki/import-third-party-ca-to-enterprise-ntauth-store</w:t>
        </w:r>
      </w:hyperlink>
      <w:r>
        <w:t xml:space="preserve"> </w:t>
      </w:r>
      <w:r>
        <w:t xml:space="preserve">(accessed Oct 20, 2026).</w:t>
      </w:r>
    </w:p>
  </w:footnote>
  <w:footnote w:id="661">
    <w:p>
      <w:pPr>
        <w:pStyle w:val="FootnoteText"/>
      </w:pPr>
      <w:r>
        <w:rPr>
          <w:rStyle w:val="FootnoteReference"/>
        </w:rPr>
        <w:footnoteRef/>
      </w:r>
      <w:r>
        <w:t xml:space="preserve"> </w:t>
      </w:r>
      <w:r>
        <w:t xml:space="preserve">Microsoft Learn,</w:t>
      </w:r>
      <w:r>
        <w:t xml:space="preserve"> </w:t>
      </w:r>
      <w:r>
        <w:t xml:space="preserve">“certutil,”</w:t>
      </w:r>
      <w:r>
        <w:t xml:space="preserve"> </w:t>
      </w:r>
      <w:r>
        <w:t xml:space="preserve">-dsPublish,</w:t>
      </w:r>
      <w:r>
        <w:t xml:space="preserve"> </w:t>
      </w:r>
      <w:hyperlink r:id="rId657">
        <w:r>
          <w:rPr>
            <w:rStyle w:val="Hyperlink"/>
          </w:rPr>
          <w:t xml:space="preserve">https://learn.microsoft.com/windows-server/administration/windows-commands/certutil#parameters</w:t>
        </w:r>
      </w:hyperlink>
      <w:r>
        <w:t xml:space="preserve"> </w:t>
      </w:r>
      <w:r>
        <w:t xml:space="preserve">(accessed Oct 20, 2026).</w:t>
      </w:r>
    </w:p>
  </w:footnote>
  <w:footnote w:id="66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r>
        <w:t xml:space="preserve">Certificate Authority (CA) Scoping,</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66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66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668">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669">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670">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671">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r>
        <w:t xml:space="preserve">CRL distribution point and domain controller certificates,</w:t>
      </w:r>
      <w:r>
        <w:t xml:space="preserve"> </w:t>
      </w:r>
      <w:hyperlink r:id="rId632">
        <w:r>
          <w:rPr>
            <w:rStyle w:val="Hyperlink"/>
          </w:rPr>
          <w:t xml:space="preserve">https://learn.microsoft.com/windows/security/identity-protection/hello-for-business/hello-hybrid-aadj-sso#prerequisites</w:t>
        </w:r>
      </w:hyperlink>
      <w:r>
        <w:t xml:space="preserve"> </w:t>
      </w:r>
      <w:r>
        <w:t xml:space="preserve">(accessed Oct 20, 2026).</w:t>
      </w:r>
    </w:p>
  </w:footnote>
  <w:footnote w:id="672">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Step 1, Configure the CAs with a PKI-based trust store,</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673">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674">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676">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r>
        <w:t xml:space="preserve">Modify the validity period of the certificate template,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677">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55">
        <w:r>
          <w:rPr>
            <w:rStyle w:val="Hyperlink"/>
          </w:rPr>
          <w:t xml:space="preserve">https://learn.microsoft.com/intune/device-configuration/certificates/remove-profiles</w:t>
        </w:r>
      </w:hyperlink>
      <w:r>
        <w:t xml:space="preserve"> </w:t>
      </w:r>
      <w:r>
        <w:t xml:space="preserve">(accessed Oct 20, 2026).</w:t>
      </w:r>
    </w:p>
  </w:footnote>
  <w:footnote w:id="678">
    <w:p>
      <w:pPr>
        <w:pStyle w:val="FootnoteText"/>
      </w:pPr>
      <w:r>
        <w:rPr>
          <w:rStyle w:val="FootnoteReference"/>
        </w:rPr>
        <w:footnoteRef/>
      </w:r>
      <w:r>
        <w:t xml:space="preserve"> </w:t>
      </w:r>
      <w:r>
        <w:t xml:space="preserve">Microsoft Learn,</w:t>
      </w:r>
      <w:r>
        <w:t xml:space="preserve"> </w:t>
      </w:r>
      <w:r>
        <w:t xml:space="preserve">“What’s new in Microsoft Intune,”</w:t>
      </w:r>
      <w:r>
        <w:t xml:space="preserve"> </w:t>
      </w:r>
      <w:r>
        <w:t xml:space="preserve">week of June 8, 2026 (service release 2605), In-place renewal of Cloud PKI issuing certification authorities,</w:t>
      </w:r>
      <w:r>
        <w:t xml:space="preserve"> </w:t>
      </w:r>
      <w:hyperlink r:id="rId336">
        <w:r>
          <w:rPr>
            <w:rStyle w:val="Hyperlink"/>
          </w:rPr>
          <w:t xml:space="preserve">https://learn.microsoft.com/intune/whats-new/</w:t>
        </w:r>
      </w:hyperlink>
      <w:r>
        <w:t xml:space="preserve"> </w:t>
      </w:r>
      <w:r>
        <w:t xml:space="preserve">(accessed Oct 20, 2026).</w:t>
      </w:r>
    </w:p>
  </w:footnote>
  <w:footnote w:id="685">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686">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688">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89">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55">
        <w:r>
          <w:rPr>
            <w:rStyle w:val="Hyperlink"/>
          </w:rPr>
          <w:t xml:space="preserve">https://learn.microsoft.com/intune/device-configuration/certificates/remove-profiles</w:t>
        </w:r>
      </w:hyperlink>
      <w:r>
        <w:t xml:space="preserve"> </w:t>
      </w:r>
      <w:r>
        <w:t xml:space="preserve">(accessed Oct 20, 2026).</w:t>
      </w:r>
    </w:p>
  </w:footnote>
  <w:footnote w:id="690">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92">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694">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695">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696">
    <w:p>
      <w:pPr>
        <w:pStyle w:val="FootnoteText"/>
      </w:pPr>
      <w:r>
        <w:rPr>
          <w:rStyle w:val="FootnoteReference"/>
        </w:rPr>
        <w:footnoteRef/>
      </w:r>
      <w:r>
        <w:t xml:space="preserve"> </w:t>
      </w:r>
      <w:r>
        <w:t xml:space="preserve">Microsoft Learn,</w:t>
      </w:r>
      <w:r>
        <w:t xml:space="preserve"> </w:t>
      </w:r>
      <w:r>
        <w:t xml:space="preserve">“Best practices to migrate applications and authentication to Microsoft Entra ID,”</w:t>
      </w:r>
      <w:r>
        <w:t xml:space="preserve"> </w:t>
      </w:r>
      <w:r>
        <w:t xml:space="preserve">Staged authentication migration testing and cutover,</w:t>
      </w:r>
      <w:r>
        <w:t xml:space="preserve"> </w:t>
      </w:r>
      <w:hyperlink r:id="rId697">
        <w:r>
          <w:rPr>
            <w:rStyle w:val="Hyperlink"/>
          </w:rPr>
          <w:t xml:space="preserve">https://learn.microsoft.com/entra/architecture/migration-best-practices#migrate-authentication</w:t>
        </w:r>
      </w:hyperlink>
      <w:r>
        <w:t xml:space="preserve"> </w:t>
      </w:r>
      <w:r>
        <w:t xml:space="preserve">(accessed Oct 20, 2026).</w:t>
      </w:r>
    </w:p>
  </w:footnote>
  <w:footnote w:id="698">
    <w:p>
      <w:pPr>
        <w:pStyle w:val="FootnoteText"/>
      </w:pPr>
      <w:r>
        <w:rPr>
          <w:rStyle w:val="FootnoteReference"/>
        </w:rPr>
        <w:footnoteRef/>
      </w:r>
      <w:r>
        <w:t xml:space="preserve"> </w:t>
      </w:r>
      <w:r>
        <w:t xml:space="preserve">Microsoft Learn,</w:t>
      </w:r>
      <w:r>
        <w:t xml:space="preserve"> </w:t>
      </w:r>
      <w:r>
        <w:t xml:space="preserve">“Active Directory Federation Services (AD FS) decommission guide,”</w:t>
      </w:r>
      <w:r>
        <w:t xml:space="preserve"> </w:t>
      </w:r>
      <w:r>
        <w:t xml:space="preserve">Pre-requisites for decommissioning AD FS servers,</w:t>
      </w:r>
      <w:r>
        <w:t xml:space="preserve"> </w:t>
      </w:r>
      <w:hyperlink r:id="rId699">
        <w:r>
          <w:rPr>
            <w:rStyle w:val="Hyperlink"/>
          </w:rPr>
          <w:t xml:space="preserve">https://learn.microsoft.com/windows-server/identity/ad-fs/decommission/adfs-decommission-guide#pre-requisites-for-decommissioning-ad-fs-servers</w:t>
        </w:r>
      </w:hyperlink>
      <w:r>
        <w:t xml:space="preserve"> </w:t>
      </w:r>
      <w:r>
        <w:t xml:space="preserve">(accessed Oct 20, 2026).</w:t>
      </w:r>
    </w:p>
  </w:footnote>
  <w:footnote w:id="700">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r>
        <w:t xml:space="preserve">(document and back up federation settings; plan the rollback; convert domains from federated to managed),</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704">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55">
        <w:r>
          <w:rPr>
            <w:rStyle w:val="Hyperlink"/>
          </w:rPr>
          <w:t xml:space="preserve">https://learn.microsoft.com/intune/device-configuration/certificates/remove-profiles</w:t>
        </w:r>
      </w:hyperlink>
      <w:r>
        <w:t xml:space="preserve"> </w:t>
      </w:r>
      <w:r>
        <w:t xml:space="preserve">(accessed Oct 20, 2026).</w:t>
      </w:r>
    </w:p>
  </w:footnote>
  <w:footnote w:id="705">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714">
    <w:p>
      <w:pPr>
        <w:pStyle w:val="FootnoteText"/>
      </w:pPr>
      <w:r>
        <w:rPr>
          <w:rStyle w:val="FootnoteReference"/>
        </w:rPr>
        <w:footnoteRef/>
      </w:r>
      <w:r>
        <w:t xml:space="preserve"> </w:t>
      </w:r>
      <w:r>
        <w:t xml:space="preserve">CA/Browser Forum,</w:t>
      </w:r>
      <w:r>
        <w:t xml:space="preserve"> </w:t>
      </w:r>
      <w:r>
        <w:t xml:space="preserve">“Ballot SC081v3: Introduce Schedule of Reducing Validity and Data Reuse Periods,”</w:t>
      </w:r>
      <w:r>
        <w:t xml:space="preserve"> </w:t>
      </w:r>
      <w:r>
        <w:t xml:space="preserve">voting April 4–11, 2025,</w:t>
      </w:r>
      <w:r>
        <w:t xml:space="preserve"> </w:t>
      </w:r>
      <w:hyperlink r:id="rId53">
        <w:r>
          <w:rPr>
            <w:rStyle w:val="Hyperlink"/>
          </w:rPr>
          <w:t xml:space="preserve">https://cabforum.org/2025/04/11/ballot-sc081v3-introduce-schedule-of-reducing-validity-and-data-reuse-periods/</w:t>
        </w:r>
      </w:hyperlink>
      <w:r>
        <w:t xml:space="preserve"> </w:t>
      </w:r>
      <w:r>
        <w:t xml:space="preserve">(accessed Oct 20, 2026).</w:t>
      </w:r>
    </w:p>
  </w:footnote>
  <w:footnote w:id="715">
    <w:p>
      <w:pPr>
        <w:pStyle w:val="FootnoteText"/>
      </w:pPr>
      <w:r>
        <w:rPr>
          <w:rStyle w:val="FootnoteReference"/>
        </w:rPr>
        <w:footnoteRef/>
      </w:r>
      <w:r>
        <w:t xml:space="preserve"> </w:t>
      </w:r>
      <w:r>
        <w:t xml:space="preserve">CA/Browser Forum,</w:t>
      </w:r>
      <w:r>
        <w:t xml:space="preserve"> </w:t>
      </w:r>
      <w:r>
        <w:rPr>
          <w:i/>
          <w:iCs/>
        </w:rPr>
        <w:t xml:space="preserve">Baseline Requirements for the Issuance and Management of Publicly-Trusted TLS Server Certificates</w:t>
      </w:r>
      <w:r>
        <w:t xml:space="preserve">, §1.2.2</w:t>
      </w:r>
      <w:r>
        <w:t xml:space="preserve"> </w:t>
      </w:r>
      <w:r>
        <w:t xml:space="preserve">“Relevant Dates,”</w:t>
      </w:r>
      <w:r>
        <w:t xml:space="preserve"> </w:t>
      </w:r>
      <w:hyperlink r:id="rId716">
        <w:r>
          <w:rPr>
            <w:rStyle w:val="Hyperlink"/>
          </w:rPr>
          <w:t xml:space="preserve">https://cabforum.org/working-groups/server/baseline-requirements/requirements/</w:t>
        </w:r>
      </w:hyperlink>
      <w:r>
        <w:t xml:space="preserve"> </w:t>
      </w:r>
      <w:r>
        <w:t xml:space="preserve">(accessed Oct 20, 2026).</w:t>
      </w:r>
    </w:p>
  </w:footnote>
  <w:footnote w:id="717">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718">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719">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720">
    <w:p>
      <w:pPr>
        <w:pStyle w:val="FootnoteText"/>
      </w:pPr>
      <w:r>
        <w:rPr>
          <w:rStyle w:val="FootnoteReference"/>
        </w:rPr>
        <w:footnoteRef/>
      </w:r>
      <w:r>
        <w:t xml:space="preserve"> </w:t>
      </w:r>
      <w:r>
        <w:t xml:space="preserve">R. Barnes et al., RFC 8555,</w:t>
      </w:r>
      <w:r>
        <w:t xml:space="preserve"> </w:t>
      </w:r>
      <w:r>
        <w:rPr>
          <w:i/>
          <w:iCs/>
        </w:rPr>
        <w:t xml:space="preserve">Automatic Certificate Management Environment (ACME)</w:t>
      </w:r>
      <w:r>
        <w:t xml:space="preserve">, March 2019, §8.3–8.4,</w:t>
      </w:r>
      <w:r>
        <w:t xml:space="preserve"> </w:t>
      </w:r>
      <w:hyperlink r:id="rId721">
        <w:r>
          <w:rPr>
            <w:rStyle w:val="Hyperlink"/>
          </w:rPr>
          <w:t xml:space="preserve">https://www.rfc-editor.org/rfc/rfc8555</w:t>
        </w:r>
      </w:hyperlink>
      <w:r>
        <w:t xml:space="preserve"> </w:t>
      </w:r>
      <w:r>
        <w:t xml:space="preserve">(accessed Oct 20, 2026).</w:t>
      </w:r>
    </w:p>
  </w:footnote>
  <w:footnote w:id="72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723">
    <w:p>
      <w:pPr>
        <w:pStyle w:val="FootnoteText"/>
      </w:pPr>
      <w:r>
        <w:rPr>
          <w:rStyle w:val="FootnoteReference"/>
        </w:rPr>
        <w:footnoteRef/>
      </w:r>
      <w:r>
        <w:t xml:space="preserve"> </w:t>
      </w:r>
      <w:r>
        <w:t xml:space="preserve">CyberArk,</w:t>
      </w:r>
      <w:r>
        <w:t xml:space="preserve"> </w:t>
      </w:r>
      <w:r>
        <w:t xml:space="preserve">“ACME integration with Certificate Manager - Self-Hosted,”</w:t>
      </w:r>
      <w:r>
        <w:t xml:space="preserve"> </w:t>
      </w:r>
      <w:r>
        <w:t xml:space="preserve">documentation version 26.1,</w:t>
      </w:r>
      <w:r>
        <w:t xml:space="preserve"> </w:t>
      </w:r>
      <w:hyperlink r:id="rId724">
        <w:r>
          <w:rPr>
            <w:rStyle w:val="Hyperlink"/>
          </w:rPr>
          <w:t xml:space="preserve">https://docs.venafi.com/Docs/26.1/TopNav/Content/ACME/cco-ACME-about.php</w:t>
        </w:r>
      </w:hyperlink>
      <w:r>
        <w:t xml:space="preserve"> </w:t>
      </w:r>
      <w:r>
        <w:t xml:space="preserve">(accessed Oct 20, 2026).</w:t>
      </w:r>
    </w:p>
  </w:footnote>
  <w:footnote w:id="725">
    <w:p>
      <w:pPr>
        <w:pStyle w:val="FootnoteText"/>
      </w:pPr>
      <w:r>
        <w:rPr>
          <w:rStyle w:val="FootnoteReference"/>
        </w:rPr>
        <w:footnoteRef/>
      </w:r>
      <w:r>
        <w:t xml:space="preserve"> </w:t>
      </w:r>
      <w:r>
        <w:t xml:space="preserve">CyberArk,</w:t>
      </w:r>
      <w:r>
        <w:t xml:space="preserve"> </w:t>
      </w:r>
      <w:r>
        <w:t xml:space="preserve">“ACME integration with Certificate Manager - Self-Hosted,”</w:t>
      </w:r>
      <w:r>
        <w:t xml:space="preserve"> </w:t>
      </w:r>
      <w:r>
        <w:t xml:space="preserve">documentation version 26.1,</w:t>
      </w:r>
      <w:r>
        <w:t xml:space="preserve"> </w:t>
      </w:r>
      <w:hyperlink r:id="rId724">
        <w:r>
          <w:rPr>
            <w:rStyle w:val="Hyperlink"/>
          </w:rPr>
          <w:t xml:space="preserve">https://docs.venafi.com/Docs/26.1/TopNav/Content/ACME/cco-ACME-about.php</w:t>
        </w:r>
      </w:hyperlink>
      <w:r>
        <w:t xml:space="preserve"> </w:t>
      </w:r>
      <w:r>
        <w:t xml:space="preserve">(accessed Oct 20, 2026).</w:t>
      </w:r>
    </w:p>
  </w:footnote>
  <w:footnote w:id="727">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728">
    <w:p>
      <w:pPr>
        <w:pStyle w:val="FootnoteText"/>
      </w:pPr>
      <w:r>
        <w:rPr>
          <w:rStyle w:val="FootnoteReference"/>
        </w:rPr>
        <w:footnoteRef/>
      </w:r>
      <w:r>
        <w:t xml:space="preserve"> </w:t>
      </w:r>
      <w:r>
        <w:t xml:space="preserve">CyberArk,</w:t>
      </w:r>
      <w:r>
        <w:t xml:space="preserve"> </w:t>
      </w:r>
      <w:r>
        <w:t xml:space="preserve">“Microsoft Active Directory Certificate Services (ADCS) - Enterprise and Standalone”</w:t>
      </w:r>
      <w:r>
        <w:t xml:space="preserve"> </w:t>
      </w:r>
      <w:r>
        <w:t xml:space="preserve">(Trust Protection Foundation CA template), documentation version 26.1,</w:t>
      </w:r>
      <w:r>
        <w:t xml:space="preserve"> </w:t>
      </w:r>
      <w:hyperlink r:id="rId392">
        <w:r>
          <w:rPr>
            <w:rStyle w:val="Hyperlink"/>
          </w:rPr>
          <w:t xml:space="preserve">https://docs.venafi.com/Docs/current/TopNav/Content/Drivers/cco-MicrosoftCertServices-CATemplate-tpp.php</w:t>
        </w:r>
      </w:hyperlink>
      <w:r>
        <w:t xml:space="preserve"> </w:t>
      </w:r>
      <w:r>
        <w:t xml:space="preserve">(accessed Oct 20, 2026).</w:t>
      </w:r>
    </w:p>
  </w:footnote>
  <w:footnote w:id="729">
    <w:p>
      <w:pPr>
        <w:pStyle w:val="FootnoteText"/>
      </w:pPr>
      <w:r>
        <w:rPr>
          <w:rStyle w:val="FootnoteReference"/>
        </w:rPr>
        <w:footnoteRef/>
      </w:r>
      <w:r>
        <w:t xml:space="preserve"> </w:t>
      </w:r>
      <w:r>
        <w:t xml:space="preserve">Palo Alto Networks,</w:t>
      </w:r>
      <w:r>
        <w:t xml:space="preserve"> </w:t>
      </w:r>
      <w:r>
        <w:t xml:space="preserve">“CyberArk Certificate Manager is now Next-Generation Trust Security”</w:t>
      </w:r>
      <w:r>
        <w:t xml:space="preserve"> </w:t>
      </w:r>
      <w:r>
        <w:t xml:space="preserve">(product page and FAQ),</w:t>
      </w:r>
      <w:r>
        <w:t xml:space="preserve"> </w:t>
      </w:r>
      <w:hyperlink r:id="rId72">
        <w:r>
          <w:rPr>
            <w:rStyle w:val="Hyperlink"/>
          </w:rPr>
          <w:t xml:space="preserve">https://www.paloaltonetworks.com/network-security/next-gen-trust-security/certificate-manager</w:t>
        </w:r>
      </w:hyperlink>
      <w:r>
        <w:t xml:space="preserve"> </w:t>
      </w:r>
      <w:r>
        <w:t xml:space="preserve">(accessed Oct 20, 2026).</w:t>
      </w:r>
    </w:p>
  </w:footnote>
  <w:footnote w:id="732">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3">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4">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5">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6">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7">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38">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740">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section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741">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742">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743">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744">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105">
        <w:r>
          <w:rPr>
            <w:rStyle w:val="Hyperlink"/>
          </w:rPr>
          <w:t xml:space="preserve">https://learn.microsoft.com/entra/identity/authentication/how-to-configure-certificate-authorities</w:t>
        </w:r>
      </w:hyperlink>
      <w:r>
        <w:t xml:space="preserve"> </w:t>
      </w:r>
      <w:r>
        <w:t xml:space="preserve">(accessed Oct 20, 2026).</w:t>
      </w:r>
    </w:p>
  </w:footnote>
  <w:footnote w:id="745">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746">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47">
        <w:r>
          <w:rPr>
            <w:rStyle w:val="Hyperlink"/>
          </w:rPr>
          <w:t xml:space="preserve">https://learn.microsoft.com/intune/cloud-pki/monitor-certificates</w:t>
        </w:r>
      </w:hyperlink>
      <w:r>
        <w:t xml:space="preserve"> </w:t>
      </w:r>
      <w:r>
        <w:t xml:space="preserve">(accessed Oct 20, 2026).</w:t>
      </w:r>
    </w:p>
  </w:footnote>
  <w:footnote w:id="750">
    <w:p>
      <w:pPr>
        <w:pStyle w:val="FootnoteText"/>
      </w:pPr>
      <w:r>
        <w:rPr>
          <w:rStyle w:val="FootnoteReference"/>
        </w:rPr>
        <w:footnoteRef/>
      </w:r>
      <w:r>
        <w:t xml:space="preserve"> </w:t>
      </w:r>
      <w:r>
        <w:t xml:space="preserve">Microsoft Learn,</w:t>
      </w:r>
      <w:r>
        <w:t xml:space="preserve"> </w:t>
      </w:r>
      <w:r>
        <w:t xml:space="preserve">“Intune Reports,”</w:t>
      </w:r>
      <w:r>
        <w:t xml:space="preserve"> </w:t>
      </w:r>
      <w:r>
        <w:t xml:space="preserve">section</w:t>
      </w:r>
      <w:r>
        <w:t xml:space="preserve"> </w:t>
      </w:r>
      <w:r>
        <w:t xml:space="preserve">“Certificates report (Operational),”</w:t>
      </w:r>
      <w:r>
        <w:t xml:space="preserve"> </w:t>
      </w:r>
      <w:hyperlink r:id="rId751">
        <w:r>
          <w:rPr>
            <w:rStyle w:val="Hyperlink"/>
          </w:rPr>
          <w:t xml:space="preserve">https://learn.microsoft.com/intune/device-management/reports/overview</w:t>
        </w:r>
      </w:hyperlink>
      <w:r>
        <w:t xml:space="preserve"> </w:t>
      </w:r>
      <w:r>
        <w:t xml:space="preserve">(accessed Oct 20, 2026).</w:t>
      </w:r>
    </w:p>
  </w:footnote>
  <w:footnote w:id="752">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47">
        <w:r>
          <w:rPr>
            <w:rStyle w:val="Hyperlink"/>
          </w:rPr>
          <w:t xml:space="preserve">https://learn.microsoft.com/intune/cloud-pki/monitor-certificates</w:t>
        </w:r>
      </w:hyperlink>
      <w:r>
        <w:t xml:space="preserve"> </w:t>
      </w:r>
      <w:r>
        <w:t xml:space="preserve">(accessed Oct 20, 2026).</w:t>
      </w:r>
    </w:p>
  </w:footnote>
  <w:footnote w:id="753">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75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755">
    <w:p>
      <w:pPr>
        <w:pStyle w:val="FootnoteText"/>
      </w:pPr>
      <w:r>
        <w:rPr>
          <w:rStyle w:val="FootnoteReference"/>
        </w:rPr>
        <w:footnoteRef/>
      </w:r>
      <w:r>
        <w:t xml:space="preserve"> </w:t>
      </w:r>
      <w:r>
        <w:t xml:space="preserve">Microsoft Learn,</w:t>
      </w:r>
      <w:r>
        <w:t xml:space="preserve"> </w:t>
      </w:r>
      <w:r>
        <w:t xml:space="preserve">“Monitor AD CS publication health with Enterprise PKI,”</w:t>
      </w:r>
      <w:r>
        <w:t xml:space="preserve"> </w:t>
      </w:r>
      <w:hyperlink r:id="rId40">
        <w:r>
          <w:rPr>
            <w:rStyle w:val="Hyperlink"/>
          </w:rPr>
          <w:t xml:space="preserve">https://learn.microsoft.com/windows-server/identity/ad-cs/monitor-ad-cs-health-enterprise-pki</w:t>
        </w:r>
      </w:hyperlink>
      <w:r>
        <w:t xml:space="preserve"> </w:t>
      </w:r>
      <w:r>
        <w:t xml:space="preserve">(accessed Oct 20, 2026).</w:t>
      </w:r>
    </w:p>
  </w:footnote>
  <w:footnote w:id="756">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468">
        <w:r>
          <w:rPr>
            <w:rStyle w:val="Hyperlink"/>
          </w:rPr>
          <w:t xml:space="preserve">https://learn.microsoft.com/entra/identity/authentication/how-to-certificate-based-authentication</w:t>
        </w:r>
      </w:hyperlink>
      <w:r>
        <w:t xml:space="preserve"> </w:t>
      </w:r>
      <w:r>
        <w:t xml:space="preserve">(accessed Oct 20, 2026).</w:t>
      </w:r>
    </w:p>
  </w:footnote>
  <w:footnote w:id="757">
    <w:p>
      <w:pPr>
        <w:pStyle w:val="FootnoteText"/>
      </w:pPr>
      <w:r>
        <w:rPr>
          <w:rStyle w:val="FootnoteReference"/>
        </w:rPr>
        <w:footnoteRef/>
      </w:r>
      <w:r>
        <w:t xml:space="preserve"> </w:t>
      </w:r>
      <w:r>
        <w:t xml:space="preserve">Microsoft Learn,</w:t>
      </w:r>
      <w:r>
        <w:t xml:space="preserve"> </w:t>
      </w:r>
      <w:r>
        <w:t xml:space="preserve">“Security assessment: Certificates”</w:t>
      </w:r>
      <w:r>
        <w:t xml:space="preserve"> </w:t>
      </w:r>
      <w:r>
        <w:t xml:space="preserve">(Microsoft Defender for Identity),</w:t>
      </w:r>
      <w:r>
        <w:t xml:space="preserve"> </w:t>
      </w:r>
      <w:hyperlink r:id="rId180">
        <w:r>
          <w:rPr>
            <w:rStyle w:val="Hyperlink"/>
          </w:rPr>
          <w:t xml:space="preserve">https://learn.microsoft.com/defender-for-identity/security-posture-assessments/certificates</w:t>
        </w:r>
      </w:hyperlink>
      <w:r>
        <w:t xml:space="preserve">, and</w:t>
      </w:r>
      <w:r>
        <w:t xml:space="preserve"> </w:t>
      </w:r>
      <w:r>
        <w:t xml:space="preserve">“Microsoft Defender for Identity’s security posture assessments,”</w:t>
      </w:r>
      <w:r>
        <w:t xml:space="preserve"> </w:t>
      </w:r>
      <w:r>
        <w:t xml:space="preserve">section</w:t>
      </w:r>
      <w:r>
        <w:t xml:space="preserve"> </w:t>
      </w:r>
      <w:r>
        <w:t xml:space="preserve">“Prerequisites,”</w:t>
      </w:r>
      <w:r>
        <w:t xml:space="preserve"> </w:t>
      </w:r>
      <w:hyperlink r:id="rId182">
        <w:r>
          <w:rPr>
            <w:rStyle w:val="Hyperlink"/>
          </w:rPr>
          <w:t xml:space="preserve">https://learn.microsoft.com/defender-for-identity/security-assessment</w:t>
        </w:r>
      </w:hyperlink>
      <w:r>
        <w:t xml:space="preserve"> </w:t>
      </w:r>
      <w:r>
        <w:t xml:space="preserve">(accessed Oct 20, 2026).</w:t>
      </w:r>
    </w:p>
  </w:footnote>
  <w:footnote w:id="758">
    <w:p>
      <w:pPr>
        <w:pStyle w:val="FootnoteText"/>
      </w:pPr>
      <w:r>
        <w:rPr>
          <w:rStyle w:val="FootnoteReference"/>
        </w:rPr>
        <w:footnoteRef/>
      </w:r>
      <w:r>
        <w:t xml:space="preserve"> </w:t>
      </w:r>
      <w:r>
        <w:t xml:space="preserve">CyberArk,</w:t>
      </w:r>
      <w:r>
        <w:t xml:space="preserve"> </w:t>
      </w:r>
      <w:r>
        <w:t xml:space="preserve">“CyberArk Certificate Manager - Self-Hosted Introduction,”</w:t>
      </w:r>
      <w:r>
        <w:t xml:space="preserve"> </w:t>
      </w:r>
      <w:r>
        <w:t xml:space="preserve">documentation version 26.1,</w:t>
      </w:r>
      <w:r>
        <w:t xml:space="preserve"> </w:t>
      </w:r>
      <w:hyperlink r:id="rId443">
        <w:r>
          <w:rPr>
            <w:rStyle w:val="Hyperlink"/>
          </w:rPr>
          <w:t xml:space="preserve">https://docs.venafi.com/Docs/current/TopNav/Content/Products/c-tls-protect-landing.php</w:t>
        </w:r>
      </w:hyperlink>
      <w:r>
        <w:t xml:space="preserve"> </w:t>
      </w:r>
      <w:r>
        <w:t xml:space="preserve">(accessed Oct 20, 2026).</w:t>
      </w:r>
    </w:p>
  </w:footnote>
  <w:footnote w:id="759">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760">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762">
    <w:p>
      <w:pPr>
        <w:pStyle w:val="FootnoteText"/>
      </w:pPr>
      <w:r>
        <w:rPr>
          <w:rStyle w:val="FootnoteReference"/>
        </w:rPr>
        <w:footnoteRef/>
      </w:r>
      <w:r>
        <w:t xml:space="preserve"> </w:t>
      </w:r>
      <w:r>
        <w:t xml:space="preserve">Microsoft Learn,</w:t>
      </w:r>
      <w:r>
        <w:t xml:space="preserve"> </w:t>
      </w:r>
      <w:r>
        <w:t xml:space="preserve">“Custom compliance settings in Microsoft Intune,”</w:t>
      </w:r>
      <w:r>
        <w:t xml:space="preserve"> </w:t>
      </w:r>
      <w:hyperlink r:id="rId763">
        <w:r>
          <w:rPr>
            <w:rStyle w:val="Hyperlink"/>
          </w:rPr>
          <w:t xml:space="preserve">https://learn.microsoft.com/intune/device-security/compliance/custom-settings</w:t>
        </w:r>
      </w:hyperlink>
      <w:r>
        <w:t xml:space="preserve"> </w:t>
      </w:r>
      <w:r>
        <w:t xml:space="preserve">(accessed Oct 20, 2026).</w:t>
      </w:r>
    </w:p>
  </w:footnote>
  <w:footnote w:id="765">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766">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767">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768">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r>
        <w:t xml:space="preserve">sections</w:t>
      </w:r>
      <w:r>
        <w:t xml:space="preserve"> </w:t>
      </w:r>
      <w:r>
        <w:t xml:space="preserve">“Configure certificate templates on the CA”</w:t>
      </w:r>
      <w:r>
        <w:t xml:space="preserve"> </w:t>
      </w:r>
      <w:r>
        <w:t xml:space="preserve">and</w:t>
      </w:r>
      <w:r>
        <w:t xml:space="preserve"> </w:t>
      </w:r>
      <w:r>
        <w:t xml:space="preserve">“Update certificate connector: Strong mapping requirements for KB5014754,”</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769">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468">
        <w:r>
          <w:rPr>
            <w:rStyle w:val="Hyperlink"/>
          </w:rPr>
          <w:t xml:space="preserve">https://learn.microsoft.com/entra/identity/authentication/how-to-certificate-based-authentication</w:t>
        </w:r>
      </w:hyperlink>
      <w:r>
        <w:t xml:space="preserve"> </w:t>
      </w:r>
      <w:r>
        <w:t xml:space="preserve">(accessed Oct 20, 2026).</w:t>
      </w:r>
    </w:p>
  </w:footnote>
  <w:footnote w:id="770">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771">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766">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772">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766">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776">
    <w:p>
      <w:pPr>
        <w:pStyle w:val="FootnoteText"/>
      </w:pPr>
      <w:r>
        <w:rPr>
          <w:rStyle w:val="FootnoteReference"/>
        </w:rPr>
        <w:footnoteRef/>
      </w:r>
      <w:r>
        <w:t xml:space="preserve"> </w:t>
      </w:r>
      <w:r>
        <w:t xml:space="preserve">Microsoft Learn,</w:t>
      </w:r>
      <w:r>
        <w:t xml:space="preserve"> </w:t>
      </w:r>
      <w:r>
        <w:t xml:space="preserve">“Troubleshooting PKCS certificate deployment in Intune,”</w:t>
      </w:r>
      <w:r>
        <w:t xml:space="preserve"> </w:t>
      </w:r>
      <w:hyperlink r:id="rId777">
        <w:r>
          <w:rPr>
            <w:rStyle w:val="Hyperlink"/>
          </w:rPr>
          <w:t xml:space="preserve">https://learn.microsoft.com/troubleshoot/mem/intune/certificates/troubleshoot-pkcs-certificate-profiles</w:t>
        </w:r>
      </w:hyperlink>
      <w:r>
        <w:t xml:space="preserve"> </w:t>
      </w:r>
      <w:r>
        <w:t xml:space="preserve">(accessed Oct 20, 2026).</w:t>
      </w:r>
    </w:p>
  </w:footnote>
  <w:footnote w:id="778">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779">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780">
    <w:p>
      <w:pPr>
        <w:pStyle w:val="FootnoteText"/>
      </w:pPr>
      <w:r>
        <w:rPr>
          <w:rStyle w:val="FootnoteReference"/>
        </w:rPr>
        <w:footnoteRef/>
      </w:r>
      <w:r>
        <w:t xml:space="preserve"> </w:t>
      </w:r>
      <w:r>
        <w:t xml:space="preserve">Microsoft Support,</w:t>
      </w:r>
      <w:r>
        <w:t xml:space="preserve"> </w:t>
      </w:r>
      <w:r>
        <w:t xml:space="preserve">“KB5014754: Certificate-based authentication changes on Windows domain controllers,”</w:t>
      </w:r>
      <w:r>
        <w:t xml:space="preserve"> </w:t>
      </w:r>
      <w:hyperlink r:id="rId766">
        <w:r>
          <w:rPr>
            <w:rStyle w:val="Hyperlink"/>
          </w:rPr>
          <w:t xml:space="preserve">https://support.microsoft.com/topic/kb5014754-certificate-based-authentication-changes-on-windows-domain-controllers-ad2c23b0-15d8-4340-a468-4d4f3b188f16</w:t>
        </w:r>
      </w:hyperlink>
      <w:r>
        <w:t xml:space="preserve"> </w:t>
      </w:r>
      <w:r>
        <w:t xml:space="preserve">(accessed Oct 20, 2026).</w:t>
      </w:r>
    </w:p>
  </w:footnote>
  <w:footnote w:id="781">
    <w:p>
      <w:pPr>
        <w:pStyle w:val="FootnoteText"/>
      </w:pPr>
      <w:r>
        <w:rPr>
          <w:rStyle w:val="FootnoteReference"/>
        </w:rPr>
        <w:footnoteRef/>
      </w:r>
      <w:r>
        <w:t xml:space="preserve"> </w:t>
      </w:r>
      <w:r>
        <w:t xml:space="preserve">Microsoft Learn,</w:t>
      </w:r>
      <w:r>
        <w:t xml:space="preserve"> </w:t>
      </w:r>
      <w:r>
        <w:t xml:space="preserve">“How to configure certificate authorities for Microsoft Entra certificate-based authentication,”</w:t>
      </w:r>
      <w:r>
        <w:t xml:space="preserve"> </w:t>
      </w:r>
      <w:hyperlink r:id="rId105">
        <w:r>
          <w:rPr>
            <w:rStyle w:val="Hyperlink"/>
          </w:rPr>
          <w:t xml:space="preserve">https://learn.microsoft.com/entra/identity/authentication/how-to-configure-certificate-authorities</w:t>
        </w:r>
      </w:hyperlink>
      <w:r>
        <w:t xml:space="preserve"> </w:t>
      </w:r>
      <w:r>
        <w:t xml:space="preserve">(accessed Oct 20, 2026).</w:t>
      </w:r>
    </w:p>
  </w:footnote>
  <w:footnote w:id="782">
    <w:p>
      <w:pPr>
        <w:pStyle w:val="FootnoteText"/>
      </w:pPr>
      <w:r>
        <w:rPr>
          <w:rStyle w:val="FootnoteReference"/>
        </w:rPr>
        <w:footnoteRef/>
      </w:r>
      <w:r>
        <w:t xml:space="preserve"> </w:t>
      </w:r>
      <w:r>
        <w:t xml:space="preserve">Microsoft Learn,</w:t>
      </w:r>
      <w:r>
        <w:t xml:space="preserve"> </w:t>
      </w:r>
      <w:r>
        <w:t xml:space="preserve">“Error AADSTS50017 - Validation of given certificate for certificate-based authentication failed,”</w:t>
      </w:r>
      <w:r>
        <w:t xml:space="preserve"> </w:t>
      </w:r>
      <w:hyperlink r:id="rId783">
        <w:r>
          <w:rPr>
            <w:rStyle w:val="Hyperlink"/>
          </w:rPr>
          <w:t xml:space="preserve">https://learn.microsoft.com/troubleshoot/entra/entra-id/app-integration/error-code-aadsts50017-certificate-based-authentication-failed</w:t>
        </w:r>
      </w:hyperlink>
      <w:r>
        <w:t xml:space="preserve"> </w:t>
      </w:r>
      <w:r>
        <w:t xml:space="preserve">(accessed Oct 20, 2026).</w:t>
      </w:r>
    </w:p>
  </w:footnote>
  <w:footnote w:id="784">
    <w:p>
      <w:pPr>
        <w:pStyle w:val="FootnoteText"/>
      </w:pPr>
      <w:r>
        <w:rPr>
          <w:rStyle w:val="FootnoteReference"/>
        </w:rPr>
        <w:footnoteRef/>
      </w:r>
      <w:r>
        <w:t xml:space="preserve"> </w:t>
      </w:r>
      <w:r>
        <w:t xml:space="preserve">Microsoft Learn,</w:t>
      </w:r>
      <w:r>
        <w:t xml:space="preserve"> </w:t>
      </w:r>
      <w:r>
        <w:t xml:space="preserve">“Error AADSTS220501 - Unable to download Certificate Revocation List,”</w:t>
      </w:r>
      <w:r>
        <w:t xml:space="preserve"> </w:t>
      </w:r>
      <w:hyperlink r:id="rId785">
        <w:r>
          <w:rPr>
            <w:rStyle w:val="Hyperlink"/>
          </w:rPr>
          <w:t xml:space="preserve">https://learn.microsoft.com/troubleshoot/entra/entra-id/app-integration/error-code-aadsts220501-unable-to-download-certificate-revocation-list</w:t>
        </w:r>
      </w:hyperlink>
      <w:r>
        <w:t xml:space="preserve"> </w:t>
      </w:r>
      <w:r>
        <w:t xml:space="preserve">(accessed Oct 20, 2026).</w:t>
      </w:r>
    </w:p>
  </w:footnote>
  <w:footnote w:id="786">
    <w:p>
      <w:pPr>
        <w:pStyle w:val="FootnoteText"/>
      </w:pPr>
      <w:r>
        <w:rPr>
          <w:rStyle w:val="FootnoteReference"/>
        </w:rPr>
        <w:footnoteRef/>
      </w:r>
      <w:r>
        <w:t xml:space="preserve"> </w:t>
      </w:r>
      <w:r>
        <w:t xml:space="preserve">Microsoft Learn,</w:t>
      </w:r>
      <w:r>
        <w:t xml:space="preserve"> </w:t>
      </w:r>
      <w:r>
        <w:t xml:space="preserve">“Microsoft Entra certificate-based authentication Certificate Revocation List (CRL),”</w:t>
      </w:r>
      <w:r>
        <w:t xml:space="preserve"> </w:t>
      </w:r>
      <w:hyperlink r:id="rId426">
        <w:r>
          <w:rPr>
            <w:rStyle w:val="Hyperlink"/>
          </w:rPr>
          <w:t xml:space="preserve">https://learn.microsoft.com/entra/identity/authentication/concept-certificate-based-authentication-certificate-revocation-list</w:t>
        </w:r>
      </w:hyperlink>
      <w:r>
        <w:t xml:space="preserve"> </w:t>
      </w:r>
      <w:r>
        <w:t xml:space="preserve">(accessed Oct 20, 2026).</w:t>
      </w:r>
    </w:p>
  </w:footnote>
  <w:footnote w:id="787">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r>
        <w:t xml:space="preserve">sections</w:t>
      </w:r>
      <w:r>
        <w:t xml:space="preserve"> </w:t>
      </w:r>
      <w:r>
        <w:t xml:space="preserve">“Step 1: Configure the CAs with a PKI-based trust store”</w:t>
      </w:r>
      <w:r>
        <w:t xml:space="preserve"> </w:t>
      </w:r>
      <w:r>
        <w:t xml:space="preserve">(sign-in log, audit log) and</w:t>
      </w:r>
      <w:r>
        <w:t xml:space="preserve"> </w:t>
      </w:r>
      <w:r>
        <w:t xml:space="preserve">“Step 3: Configure an authentication binding policy,”</w:t>
      </w:r>
      <w:r>
        <w:t xml:space="preserve"> </w:t>
      </w:r>
      <w:hyperlink r:id="rId468">
        <w:r>
          <w:rPr>
            <w:rStyle w:val="Hyperlink"/>
          </w:rPr>
          <w:t xml:space="preserve">https://learn.microsoft.com/entra/identity/authentication/how-to-certificate-based-authentication</w:t>
        </w:r>
      </w:hyperlink>
      <w:r>
        <w:t xml:space="preserve"> </w:t>
      </w:r>
      <w:r>
        <w:t xml:space="preserve">(accessed Oct 20, 2026).</w:t>
      </w:r>
    </w:p>
  </w:footnote>
  <w:footnote w:id="78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789">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sections</w:t>
      </w:r>
      <w:r>
        <w:t xml:space="preserve"> </w:t>
      </w:r>
      <w:r>
        <w:t xml:space="preserve">“Create a SCEP certificate profile”</w:t>
      </w:r>
      <w:r>
        <w:t xml:space="preserve"> </w:t>
      </w:r>
      <w:r>
        <w:t xml:space="preserve">(renewal threshold) and</w:t>
      </w:r>
      <w:r>
        <w:t xml:space="preserve"> </w:t>
      </w:r>
      <w:r>
        <w:t xml:space="preserve">“Update certificate connector: Strong mapping requirements for KB5014754,”</w:t>
      </w:r>
      <w:r>
        <w:t xml:space="preserve"> </w:t>
      </w:r>
      <w:hyperlink r:id="rId35">
        <w:r>
          <w:rPr>
            <w:rStyle w:val="Hyperlink"/>
          </w:rPr>
          <w:t xml:space="preserve">https://learn.microsoft.com/intune/device-configuration/certificates/scep-profiles</w:t>
        </w:r>
      </w:hyperlink>
      <w:r>
        <w:t xml:space="preserve"> </w:t>
      </w:r>
      <w:r>
        <w:t xml:space="preserve">(accessed Oct 20, 2026).</w:t>
      </w:r>
    </w:p>
  </w:footnote>
  <w:footnote w:id="790">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791">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r>
        <w:t xml:space="preserve">sections</w:t>
      </w:r>
      <w:r>
        <w:t xml:space="preserve"> </w:t>
      </w:r>
      <w:r>
        <w:t xml:space="preserve">“Lifecycle,”</w:t>
      </w:r>
      <w:r>
        <w:t xml:space="preserve"> </w:t>
      </w:r>
      <w:r>
        <w:t xml:space="preserve">“Connector status,”</w:t>
      </w:r>
      <w:r>
        <w:t xml:space="preserve"> </w:t>
      </w:r>
      <w:r>
        <w:t xml:space="preserve">“Logging”</w:t>
      </w:r>
      <w:r>
        <w:t xml:space="preserve"> </w:t>
      </w:r>
      <w:r>
        <w:t xml:space="preserve">and</w:t>
      </w:r>
      <w:r>
        <w:t xml:space="preserve"> </w:t>
      </w:r>
      <w:r>
        <w:t xml:space="preserve">“What’s new for the Certificate Connector,”</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792">
    <w:p>
      <w:pPr>
        <w:pStyle w:val="FootnoteText"/>
      </w:pPr>
      <w:r>
        <w:rPr>
          <w:rStyle w:val="FootnoteReference"/>
        </w:rPr>
        <w:footnoteRef/>
      </w:r>
      <w:r>
        <w:t xml:space="preserve"> </w:t>
      </w:r>
      <w:r>
        <w:t xml:space="preserve">Microsoft Learn,</w:t>
      </w:r>
      <w:r>
        <w:t xml:space="preserve"> </w:t>
      </w:r>
      <w:r>
        <w:t xml:space="preserve">“SCEP deployment to Windows 10 devices fails after you renew the CA certificate,”</w:t>
      </w:r>
      <w:r>
        <w:t xml:space="preserve"> </w:t>
      </w:r>
      <w:hyperlink r:id="rId793">
        <w:r>
          <w:rPr>
            <w:rStyle w:val="Hyperlink"/>
          </w:rPr>
          <w:t xml:space="preserve">https://learn.microsoft.com/troubleshoot/mem/intune/certificates/scep-deployment-to-win10-devices-fails</w:t>
        </w:r>
      </w:hyperlink>
      <w:r>
        <w:t xml:space="preserve"> </w:t>
      </w:r>
      <w:r>
        <w:t xml:space="preserve">(accessed Oct 20, 2026).</w:t>
      </w:r>
    </w:p>
  </w:footnote>
  <w:footnote w:id="794">
    <w:p>
      <w:pPr>
        <w:pStyle w:val="FootnoteText"/>
      </w:pPr>
      <w:r>
        <w:rPr>
          <w:rStyle w:val="FootnoteReference"/>
        </w:rPr>
        <w:footnoteRef/>
      </w:r>
      <w:r>
        <w:t xml:space="preserve"> </w:t>
      </w:r>
      <w:r>
        <w:t xml:space="preserve">Microsoft Learn,</w:t>
      </w:r>
      <w:r>
        <w:t xml:space="preserve"> </w:t>
      </w:r>
      <w:r>
        <w:t xml:space="preserve">“Prerequisites for the Certificate Connector for Microsoft Intune,”</w:t>
      </w:r>
      <w:r>
        <w:t xml:space="preserve"> </w:t>
      </w:r>
      <w:r>
        <w:t xml:space="preserve">section</w:t>
      </w:r>
      <w:r>
        <w:t xml:space="preserve"> </w:t>
      </w:r>
      <w:r>
        <w:t xml:space="preserve">“Accounts,”</w:t>
      </w:r>
      <w:r>
        <w:t xml:space="preserve"> </w:t>
      </w:r>
      <w:hyperlink r:id="rId466">
        <w:r>
          <w:rPr>
            <w:rStyle w:val="Hyperlink"/>
          </w:rPr>
          <w:t xml:space="preserve">https://learn.microsoft.com/intune/fundamentals/certificates/connector/prerequisites</w:t>
        </w:r>
      </w:hyperlink>
      <w:r>
        <w:t xml:space="preserve"> </w:t>
      </w:r>
      <w:r>
        <w:t xml:space="preserve">(accessed Oct 20, 2026).</w:t>
      </w:r>
    </w:p>
  </w:footnote>
  <w:footnote w:id="795">
    <w:p>
      <w:pPr>
        <w:pStyle w:val="FootnoteText"/>
      </w:pPr>
      <w:r>
        <w:rPr>
          <w:rStyle w:val="FootnoteReference"/>
        </w:rPr>
        <w:footnoteRef/>
      </w:r>
      <w:r>
        <w:t xml:space="preserve"> </w:t>
      </w:r>
      <w:r>
        <w:t xml:space="preserve">Microsoft Learn,</w:t>
      </w:r>
      <w:r>
        <w:t xml:space="preserve"> </w:t>
      </w:r>
      <w:r>
        <w:t xml:space="preserve">“Monitoring for Microsoft Cloud PKI,”</w:t>
      </w:r>
      <w:r>
        <w:t xml:space="preserve"> </w:t>
      </w:r>
      <w:hyperlink r:id="rId747">
        <w:r>
          <w:rPr>
            <w:rStyle w:val="Hyperlink"/>
          </w:rPr>
          <w:t xml:space="preserve">https://learn.microsoft.com/intune/cloud-pki/monitor-certificates</w:t>
        </w:r>
      </w:hyperlink>
      <w:r>
        <w:t xml:space="preserve"> </w:t>
      </w:r>
      <w:r>
        <w:t xml:space="preserve">(accessed Oct 20, 2026).</w:t>
      </w:r>
    </w:p>
  </w:footnote>
  <w:footnote w:id="796">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802">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04">
    <w:p>
      <w:pPr>
        <w:pStyle w:val="FootnoteText"/>
      </w:pPr>
      <w:r>
        <w:rPr>
          <w:rStyle w:val="FootnoteReference"/>
        </w:rPr>
        <w:footnoteRef/>
      </w:r>
      <w:r>
        <w:t xml:space="preserve"> </w:t>
      </w:r>
      <w:r>
        <w:t xml:space="preserve">Microsoft Learn,</w:t>
      </w:r>
      <w:r>
        <w:t xml:space="preserve"> </w:t>
      </w:r>
      <w:r>
        <w:t xml:space="preserve">“Secure, delegate, and audit certification authority administration,”</w:t>
      </w:r>
      <w:r>
        <w:t xml:space="preserve"> </w:t>
      </w:r>
      <w:r>
        <w:t xml:space="preserve">sections</w:t>
      </w:r>
      <w:r>
        <w:t xml:space="preserve"> </w:t>
      </w:r>
      <w:r>
        <w:t xml:space="preserve">“Protect the CA before delegating work”</w:t>
      </w:r>
      <w:r>
        <w:t xml:space="preserve"> </w:t>
      </w:r>
      <w:r>
        <w:t xml:space="preserve">and</w:t>
      </w:r>
      <w:r>
        <w:t xml:space="preserve"> </w:t>
      </w:r>
      <w:r>
        <w:t xml:space="preserve">“Configure CA auditing,”</w:t>
      </w:r>
      <w:r>
        <w:t xml:space="preserve"> </w:t>
      </w:r>
      <w:hyperlink r:id="rId128">
        <w:r>
          <w:rPr>
            <w:rStyle w:val="Hyperlink"/>
          </w:rPr>
          <w:t xml:space="preserve">https://learn.microsoft.com/windows-server/identity/ad-cs/secure-delegate-audit-certification-authority</w:t>
        </w:r>
      </w:hyperlink>
      <w:r>
        <w:t xml:space="preserve"> </w:t>
      </w:r>
      <w:r>
        <w:t xml:space="preserve">(accessed Oct 20, 2026).</w:t>
      </w:r>
    </w:p>
  </w:footnote>
  <w:footnote w:id="805">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06">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07">
    <w:p>
      <w:pPr>
        <w:pStyle w:val="FootnoteText"/>
      </w:pPr>
      <w:r>
        <w:rPr>
          <w:rStyle w:val="FootnoteReference"/>
        </w:rPr>
        <w:footnoteRef/>
      </w:r>
      <w:r>
        <w:t xml:space="preserve"> </w:t>
      </w:r>
      <w:r>
        <w:t xml:space="preserve">Microsoft Learn,</w:t>
      </w:r>
      <w:r>
        <w:t xml:space="preserve"> </w:t>
      </w:r>
      <w:r>
        <w:t xml:space="preserve">“What is Microsoft Entra certificate-based authentication?,”</w:t>
      </w:r>
      <w:r>
        <w:t xml:space="preserve"> </w:t>
      </w:r>
      <w:r>
        <w:t xml:space="preserve">section</w:t>
      </w:r>
      <w:r>
        <w:t xml:space="preserve"> </w:t>
      </w:r>
      <w:r>
        <w:t xml:space="preserve">“Unsupported scenarios,”</w:t>
      </w:r>
      <w:r>
        <w:t xml:space="preserve"> </w:t>
      </w:r>
      <w:hyperlink r:id="rId299">
        <w:r>
          <w:rPr>
            <w:rStyle w:val="Hyperlink"/>
          </w:rPr>
          <w:t xml:space="preserve">https://learn.microsoft.com/entra/identity/authentication/concept-certificate-based-authentication</w:t>
        </w:r>
      </w:hyperlink>
      <w:r>
        <w:t xml:space="preserve"> </w:t>
      </w:r>
      <w:r>
        <w:t xml:space="preserve">(accessed Oct 20, 2026).</w:t>
      </w:r>
    </w:p>
  </w:footnote>
  <w:footnote w:id="80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809">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10">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11">
    <w:p>
      <w:pPr>
        <w:pStyle w:val="FootnoteText"/>
      </w:pPr>
      <w:r>
        <w:rPr>
          <w:rStyle w:val="FootnoteReference"/>
        </w:rPr>
        <w:footnoteRef/>
      </w:r>
      <w:r>
        <w:t xml:space="preserve"> </w:t>
      </w:r>
      <w:r>
        <w:t xml:space="preserve">Microsoft Learn,</w:t>
      </w:r>
      <w:r>
        <w:t xml:space="preserve"> </w:t>
      </w:r>
      <w:r>
        <w:t xml:space="preserve">“Operate certificate revocation, CRL publication, and CDP changes in AD CS,”</w:t>
      </w:r>
      <w:r>
        <w:t xml:space="preserve"> </w:t>
      </w:r>
      <w:hyperlink r:id="rId447">
        <w:r>
          <w:rPr>
            <w:rStyle w:val="Hyperlink"/>
          </w:rPr>
          <w:t xml:space="preserve">https://learn.microsoft.com/windows-server/identity/ad-cs/operate-certificate-revocation-crl-cdp</w:t>
        </w:r>
      </w:hyperlink>
      <w:r>
        <w:t xml:space="preserve"> </w:t>
      </w:r>
      <w:r>
        <w:t xml:space="preserve">(accessed Oct 20, 2026).</w:t>
      </w:r>
    </w:p>
  </w:footnote>
  <w:footnote w:id="812">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13">
    <w:p>
      <w:pPr>
        <w:pStyle w:val="FootnoteText"/>
      </w:pPr>
      <w:r>
        <w:rPr>
          <w:rStyle w:val="FootnoteReference"/>
        </w:rPr>
        <w:footnoteRef/>
      </w:r>
      <w:r>
        <w:t xml:space="preserve"> </w:t>
      </w:r>
      <w:r>
        <w:t xml:space="preserve">Microsoft Learn,</w:t>
      </w:r>
      <w:r>
        <w:t xml:space="preserve"> </w:t>
      </w:r>
      <w:r>
        <w:t xml:space="preserve">“How to decommission a Windows enterprise certification authority and remove all related objects”</w:t>
      </w:r>
      <w:r>
        <w:t xml:space="preserve"> </w:t>
      </w:r>
      <w:r>
        <w:t xml:space="preserve">(original KB 889250),</w:t>
      </w:r>
      <w:r>
        <w:t xml:space="preserve"> </w:t>
      </w:r>
      <w:hyperlink r:id="rId803">
        <w:r>
          <w:rPr>
            <w:rStyle w:val="Hyperlink"/>
          </w:rPr>
          <w:t xml:space="preserve">https://learn.microsoft.com/troubleshoot/windows-server/certificates-and-public-key-infrastructure-pki/decommission-enterprise-certification-authority-and-remove-objects</w:t>
        </w:r>
      </w:hyperlink>
      <w:r>
        <w:t xml:space="preserve"> </w:t>
      </w:r>
      <w:r>
        <w:t xml:space="preserve">(accessed Oct 20, 2026).</w:t>
      </w:r>
    </w:p>
  </w:footnote>
  <w:footnote w:id="81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816">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September 2020 (updated December 10, 2020), controls IA-5(2), SC-12 and SC-17; control text checked against NIST’s OSCAL catalog,</w:t>
      </w:r>
      <w:r>
        <w:t xml:space="preserve"> </w:t>
      </w:r>
      <w:hyperlink r:id="rId439">
        <w:r>
          <w:rPr>
            <w:rStyle w:val="Hyperlink"/>
          </w:rPr>
          <w:t xml:space="preserve">https://csrc.nist.gov/pubs/sp/800/53/r5/upd1/final</w:t>
        </w:r>
      </w:hyperlink>
      <w:r>
        <w:t xml:space="preserve"> </w:t>
      </w:r>
      <w:r>
        <w:t xml:space="preserve">(accessed Oct 20, 2026).</w:t>
      </w:r>
    </w:p>
  </w:footnote>
  <w:footnote w:id="817">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818">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r>
        <w:t xml:space="preserve">sections</w:t>
      </w:r>
      <w:r>
        <w:t xml:space="preserve"> </w:t>
      </w:r>
      <w:r>
        <w:t xml:space="preserve">“Configure certificate templates on the CA”</w:t>
      </w:r>
      <w:r>
        <w:t xml:space="preserve"> </w:t>
      </w:r>
      <w:r>
        <w:t xml:space="preserve">and</w:t>
      </w:r>
      <w:r>
        <w:t xml:space="preserve"> </w:t>
      </w:r>
      <w:r>
        <w:t xml:space="preserve">“Update certificate connector: Strong mapping requirements for KB5014754,”</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81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(overview of features, architecture, trial),</w:t>
      </w:r>
      <w:r>
        <w:t xml:space="preserve"> </w:t>
      </w:r>
      <w:hyperlink r:id="rId42">
        <w:r>
          <w:rPr>
            <w:rStyle w:val="Hyperlink"/>
          </w:rPr>
          <w:t xml:space="preserve">https://learn.microsoft.com/intune/cloud-pki/</w:t>
        </w:r>
      </w:hyperlink>
      <w:r>
        <w:t xml:space="preserve"> </w:t>
      </w:r>
      <w:r>
        <w:t xml:space="preserve">(accessed Oct 20, 2026).</w:t>
      </w:r>
    </w:p>
  </w:footnote>
  <w:footnote w:id="820">
    <w:p>
      <w:pPr>
        <w:pStyle w:val="FootnoteText"/>
      </w:pPr>
      <w:r>
        <w:rPr>
          <w:rStyle w:val="FootnoteReference"/>
        </w:rPr>
        <w:footnoteRef/>
      </w:r>
      <w:r>
        <w:t xml:space="preserve"> </w:t>
      </w:r>
      <w:r>
        <w:t xml:space="preserve">Microsoft Learn,</w:t>
      </w:r>
      <w:r>
        <w:t xml:space="preserve"> </w:t>
      </w:r>
      <w:r>
        <w:t xml:space="preserve">“What is Azure Key Vault Managed HSM?,”</w:t>
      </w:r>
      <w:r>
        <w:t xml:space="preserve"> </w:t>
      </w:r>
      <w:hyperlink r:id="rId821">
        <w:r>
          <w:rPr>
            <w:rStyle w:val="Hyperlink"/>
          </w:rPr>
          <w:t xml:space="preserve">https://learn.microsoft.com/azure/key-vault/managed-hsm/overview</w:t>
        </w:r>
      </w:hyperlink>
      <w:r>
        <w:t xml:space="preserve"> </w:t>
      </w:r>
      <w:r>
        <w:t xml:space="preserve">(accessed Oct 20, 2026).</w:t>
      </w:r>
    </w:p>
  </w:footnote>
  <w:footnote w:id="828">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829">
    <w:p>
      <w:pPr>
        <w:pStyle w:val="FootnoteText"/>
      </w:pPr>
      <w:r>
        <w:rPr>
          <w:rStyle w:val="FootnoteReference"/>
        </w:rPr>
        <w:footnoteRef/>
      </w:r>
      <w:r>
        <w:t xml:space="preserve"> </w:t>
      </w:r>
      <w:r>
        <w:t xml:space="preserve">Microsoft Learn,</w:t>
      </w:r>
      <w:r>
        <w:t xml:space="preserve"> </w:t>
      </w:r>
      <w:r>
        <w:t xml:space="preserve">“Microsoft Intune planning guide,”</w:t>
      </w:r>
      <w:r>
        <w:t xml:space="preserve"> </w:t>
      </w:r>
      <w:r>
        <w:t xml:space="preserve">Step 3, Determine costs and licensing,</w:t>
      </w:r>
      <w:r>
        <w:t xml:space="preserve"> </w:t>
      </w:r>
      <w:hyperlink r:id="rId507">
        <w:r>
          <w:rPr>
            <w:rStyle w:val="Hyperlink"/>
          </w:rPr>
          <w:t xml:space="preserve">https://learn.microsoft.com/intune/fundamentals/planning-guide#step-3---determine-costs-and-licensing</w:t>
        </w:r>
      </w:hyperlink>
      <w:r>
        <w:t xml:space="preserve">; and</w:t>
      </w:r>
      <w:r>
        <w:t xml:space="preserve"> </w:t>
      </w:r>
      <w:r>
        <w:t xml:space="preserve">“What’s new in Microsoft Intune,”</w:t>
      </w:r>
      <w:r>
        <w:t xml:space="preserve"> </w:t>
      </w:r>
      <w:r>
        <w:t xml:space="preserve">week of June 29, 2026,</w:t>
      </w:r>
      <w:r>
        <w:t xml:space="preserve"> </w:t>
      </w:r>
      <w:hyperlink r:id="rId336">
        <w:r>
          <w:rPr>
            <w:rStyle w:val="Hyperlink"/>
          </w:rPr>
          <w:t xml:space="preserve">https://learn.microsoft.com/intune/whats-new/</w:t>
        </w:r>
      </w:hyperlink>
      <w:r>
        <w:t xml:space="preserve"> </w:t>
      </w:r>
      <w:r>
        <w:t xml:space="preserve">(both accessed Oct 20, 2026).</w:t>
      </w:r>
    </w:p>
  </w:footnote>
  <w:footnote w:id="830">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831">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r>
        <w:t xml:space="preserve">(prerequisites, features, trial, known issues and limitations),</w:t>
      </w:r>
      <w:r>
        <w:t xml:space="preserve"> </w:t>
      </w:r>
      <w:hyperlink r:id="rId42">
        <w:r>
          <w:rPr>
            <w:rStyle w:val="Hyperlink"/>
          </w:rPr>
          <w:t xml:space="preserve">https://learn.microsoft.com/intune/cloud-pki/</w:t>
        </w:r>
      </w:hyperlink>
      <w:r>
        <w:t xml:space="preserve"> </w:t>
      </w:r>
      <w:r>
        <w:t xml:space="preserve">(accessed Oct 20, 2026).</w:t>
      </w:r>
    </w:p>
  </w:footnote>
  <w:footnote w:id="833">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4">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5">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6">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7">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38">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839">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40">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841">
    <w:p>
      <w:pPr>
        <w:pStyle w:val="FootnoteText"/>
      </w:pPr>
      <w:r>
        <w:rPr>
          <w:rStyle w:val="FootnoteReference"/>
        </w:rPr>
        <w:footnoteRef/>
      </w:r>
      <w:r>
        <w:t xml:space="preserve"> </w:t>
      </w:r>
      <w:r>
        <w:t xml:space="preserve">Microsoft Learn,</w:t>
      </w:r>
      <w:r>
        <w:t xml:space="preserve"> </w:t>
      </w:r>
      <w:r>
        <w:t xml:space="preserve">“Trusted root certificate profiles for Microsoft Intune,”</w:t>
      </w:r>
      <w:r>
        <w:t xml:space="preserve"> </w:t>
      </w:r>
      <w:hyperlink r:id="rId486">
        <w:r>
          <w:rPr>
            <w:rStyle w:val="Hyperlink"/>
          </w:rPr>
          <w:t xml:space="preserve">https://learn.microsoft.com/intune/device-configuration/certificates/trusted-root-profiles</w:t>
        </w:r>
      </w:hyperlink>
      <w:r>
        <w:t xml:space="preserve"> </w:t>
      </w:r>
      <w:r>
        <w:t xml:space="preserve">(accessed Oct 20, 2026).</w:t>
      </w:r>
    </w:p>
  </w:footnote>
  <w:footnote w:id="842">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843">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844">
    <w:p>
      <w:pPr>
        <w:pStyle w:val="FootnoteText"/>
      </w:pPr>
      <w:r>
        <w:rPr>
          <w:rStyle w:val="FootnoteReference"/>
        </w:rPr>
        <w:footnoteRef/>
      </w:r>
      <w:r>
        <w:t xml:space="preserve"> </w:t>
      </w:r>
      <w:r>
        <w:t xml:space="preserve">Microsoft Learn,</w:t>
      </w:r>
      <w:r>
        <w:t xml:space="preserve"> </w:t>
      </w:r>
      <w:r>
        <w:t xml:space="preserve">“Certificate Connector for Microsoft Intune,”</w:t>
      </w:r>
      <w:r>
        <w:t xml:space="preserve"> </w:t>
      </w:r>
      <w:hyperlink r:id="rId521">
        <w:r>
          <w:rPr>
            <w:rStyle w:val="Hyperlink"/>
          </w:rPr>
          <w:t xml:space="preserve">https://learn.microsoft.com/intune/fundamentals/certificates/connector/overview</w:t>
        </w:r>
      </w:hyperlink>
      <w:r>
        <w:t xml:space="preserve"> </w:t>
      </w:r>
      <w:r>
        <w:t xml:space="preserve">(accessed Oct 20, 2026).</w:t>
      </w:r>
    </w:p>
  </w:footnote>
  <w:footnote w:id="845">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846">
    <w:p>
      <w:pPr>
        <w:pStyle w:val="FootnoteText"/>
      </w:pPr>
      <w:r>
        <w:rPr>
          <w:rStyle w:val="FootnoteReference"/>
        </w:rPr>
        <w:footnoteRef/>
      </w:r>
      <w:r>
        <w:t xml:space="preserve"> </w:t>
      </w:r>
      <w:r>
        <w:t xml:space="preserve">Microsoft Learn,</w:t>
      </w:r>
      <w:r>
        <w:t xml:space="preserve"> </w:t>
      </w:r>
      <w:r>
        <w:t xml:space="preserve">“Create and assign SCEP certificate profiles in Intune,”</w:t>
      </w:r>
      <w:r>
        <w:t xml:space="preserve"> </w:t>
      </w:r>
      <w:r>
        <w:t xml:space="preserve">strong mapping requirements for KB5014754,</w:t>
      </w:r>
      <w:r>
        <w:t xml:space="preserve"> </w:t>
      </w:r>
      <w:hyperlink r:id="rId538">
        <w:r>
          <w:rPr>
            <w:rStyle w:val="Hyperlink"/>
          </w:rPr>
          <w:t xml:space="preserve">https://learn.microsoft.com/intune/device-configuration/certificates/scep-profiles#update-certificate-connector-strong-mapping-requirements-for-kb5014754</w:t>
        </w:r>
      </w:hyperlink>
      <w:r>
        <w:t xml:space="preserve"> </w:t>
      </w:r>
      <w:r>
        <w:t xml:space="preserve">(accessed Oct 20, 2026).</w:t>
      </w:r>
    </w:p>
  </w:footnote>
  <w:footnote w:id="847">
    <w:p>
      <w:pPr>
        <w:pStyle w:val="FootnoteText"/>
      </w:pPr>
      <w:r>
        <w:rPr>
          <w:rStyle w:val="FootnoteReference"/>
        </w:rPr>
        <w:footnoteRef/>
      </w:r>
      <w:r>
        <w:t xml:space="preserve"> </w:t>
      </w:r>
      <w:r>
        <w:t xml:space="preserve">Microsoft Learn,</w:t>
      </w:r>
      <w:r>
        <w:t xml:space="preserve"> </w:t>
      </w:r>
      <w:r>
        <w:t xml:space="preserve">“Remove SCEP or PKCS certificates in Microsoft Intune,”</w:t>
      </w:r>
      <w:r>
        <w:t xml:space="preserve"> </w:t>
      </w:r>
      <w:hyperlink r:id="rId555">
        <w:r>
          <w:rPr>
            <w:rStyle w:val="Hyperlink"/>
          </w:rPr>
          <w:t xml:space="preserve">https://learn.microsoft.com/intune/device-configuration/certificates/remove-profiles</w:t>
        </w:r>
      </w:hyperlink>
      <w:r>
        <w:t xml:space="preserve"> </w:t>
      </w:r>
      <w:r>
        <w:t xml:space="preserve">(accessed Oct 20, 2026).</w:t>
      </w:r>
    </w:p>
  </w:footnote>
  <w:footnote w:id="849">
    <w:p>
      <w:pPr>
        <w:pStyle w:val="FootnoteText"/>
      </w:pPr>
      <w:r>
        <w:rPr>
          <w:rStyle w:val="FootnoteReference"/>
        </w:rPr>
        <w:footnoteRef/>
      </w:r>
      <w:r>
        <w:t xml:space="preserve"> </w:t>
      </w:r>
      <w:r>
        <w:t xml:space="preserve">Microsoft Learn,</w:t>
      </w:r>
      <w:r>
        <w:t xml:space="preserve"> </w:t>
      </w:r>
      <w:r>
        <w:t xml:space="preserve">“Microsoft Entra licensing,”</w:t>
      </w:r>
      <w:r>
        <w:t xml:space="preserve"> </w:t>
      </w:r>
      <w:r>
        <w:t xml:space="preserve">Microsoft Entra Conditional Access,</w:t>
      </w:r>
      <w:r>
        <w:t xml:space="preserve"> </w:t>
      </w:r>
      <w:hyperlink r:id="rId595">
        <w:r>
          <w:rPr>
            <w:rStyle w:val="Hyperlink"/>
          </w:rPr>
          <w:t xml:space="preserve">https://learn.microsoft.com/entra/fundamentals/licensing</w:t>
        </w:r>
      </w:hyperlink>
      <w:r>
        <w:t xml:space="preserve"> </w:t>
      </w:r>
      <w:r>
        <w:t xml:space="preserve">(accessed Oct 20, 2026).</w:t>
      </w:r>
    </w:p>
  </w:footnote>
  <w:footnote w:id="850">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5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5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53">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5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55">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56">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57">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5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59">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860">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86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6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63">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6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65">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66">
    <w:p>
      <w:pPr>
        <w:pStyle w:val="FootnoteText"/>
      </w:pPr>
      <w:r>
        <w:rPr>
          <w:rStyle w:val="FootnoteReference"/>
        </w:rPr>
        <w:footnoteRef/>
      </w:r>
      <w:r>
        <w:t xml:space="preserve"> </w:t>
      </w:r>
      <w:r>
        <w:t xml:space="preserve">Microsoft Learn,</w:t>
      </w:r>
      <w:r>
        <w:t xml:space="preserve"> </w:t>
      </w:r>
      <w:r>
        <w:t xml:space="preserve">“Migrate from federation to Microsoft Entra certificate-based authentication (CBA),”</w:t>
      </w:r>
      <w:r>
        <w:t xml:space="preserve"> </w:t>
      </w:r>
      <w:hyperlink r:id="rId600">
        <w:r>
          <w:rPr>
            <w:rStyle w:val="Hyperlink"/>
          </w:rPr>
          <w:t xml:space="preserve">https://learn.microsoft.com/entra/identity/authentication/concept-certificate-based-authentication-migration</w:t>
        </w:r>
      </w:hyperlink>
      <w:r>
        <w:t xml:space="preserve"> </w:t>
      </w:r>
      <w:r>
        <w:t xml:space="preserve">(accessed Oct 20, 2026).</w:t>
      </w:r>
    </w:p>
  </w:footnote>
  <w:footnote w:id="867">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868">
    <w:p>
      <w:pPr>
        <w:pStyle w:val="FootnoteText"/>
      </w:pPr>
      <w:r>
        <w:rPr>
          <w:rStyle w:val="FootnoteReference"/>
        </w:rPr>
        <w:footnoteRef/>
      </w:r>
      <w:r>
        <w:t xml:space="preserve"> </w:t>
      </w:r>
      <w:r>
        <w:t xml:space="preserve">Microsoft Learn,</w:t>
      </w:r>
      <w:r>
        <w:t xml:space="preserve"> </w:t>
      </w:r>
      <w:r>
        <w:t xml:space="preserve">“featureRolloutPolicy resource type,”</w:t>
      </w:r>
      <w:r>
        <w:t xml:space="preserve"> </w:t>
      </w:r>
      <w:r>
        <w:t xml:space="preserve">properties,</w:t>
      </w:r>
      <w:r>
        <w:t xml:space="preserve"> </w:t>
      </w:r>
      <w:hyperlink r:id="rId869">
        <w:r>
          <w:rPr>
            <w:rStyle w:val="Hyperlink"/>
          </w:rPr>
          <w:t xml:space="preserve">https://learn.microsoft.com/graph/api/resources/featurerolloutpolicy?view=graph-rest-1.0#properties</w:t>
        </w:r>
      </w:hyperlink>
      <w:r>
        <w:t xml:space="preserve"> </w:t>
      </w:r>
      <w:r>
        <w:t xml:space="preserve">(accessed Oct 20, 2026).</w:t>
      </w:r>
    </w:p>
  </w:footnote>
  <w:footnote w:id="870">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871">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72">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73">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874">
    <w:p>
      <w:pPr>
        <w:pStyle w:val="FootnoteText"/>
      </w:pPr>
      <w:r>
        <w:rPr>
          <w:rStyle w:val="FootnoteReference"/>
        </w:rPr>
        <w:footnoteRef/>
      </w:r>
      <w:r>
        <w:t xml:space="preserve"> </w:t>
      </w:r>
      <w:r>
        <w:t xml:space="preserve">Microsoft Learn,</w:t>
      </w:r>
      <w:r>
        <w:t xml:space="preserve"> </w:t>
      </w:r>
      <w:r>
        <w:t xml:space="preserve">“Set up Microsoft Entra certificate-based authentication,”</w:t>
      </w:r>
      <w:r>
        <w:t xml:space="preserve"> </w:t>
      </w:r>
      <w:hyperlink r:id="rId571">
        <w:r>
          <w:rPr>
            <w:rStyle w:val="Hyperlink"/>
          </w:rPr>
          <w:t xml:space="preserve">https://learn.microsoft.com/en-us/entra/identity/authentication/how-to-certificate-based-authentication</w:t>
        </w:r>
      </w:hyperlink>
      <w:r>
        <w:t xml:space="preserve"> </w:t>
      </w:r>
      <w:r>
        <w:t xml:space="preserve">(accessed Oct 20, 2026).</w:t>
      </w:r>
    </w:p>
  </w:footnote>
  <w:footnote w:id="875">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876">
    <w:p>
      <w:pPr>
        <w:pStyle w:val="FootnoteText"/>
      </w:pPr>
      <w:r>
        <w:rPr>
          <w:rStyle w:val="FootnoteReference"/>
        </w:rPr>
        <w:footnoteRef/>
      </w:r>
      <w:r>
        <w:t xml:space="preserve"> </w:t>
      </w:r>
      <w:r>
        <w:t xml:space="preserve">Microsoft Learn,</w:t>
      </w:r>
      <w:r>
        <w:t xml:space="preserve"> </w:t>
      </w:r>
      <w:r>
        <w:t xml:space="preserve">“Migrate from federation to cloud authentication,”</w:t>
      </w:r>
      <w:r>
        <w:t xml:space="preserve"> </w:t>
      </w:r>
      <w:hyperlink r:id="rId614">
        <w:r>
          <w:rPr>
            <w:rStyle w:val="Hyperlink"/>
          </w:rPr>
          <w:t xml:space="preserve">https://learn.microsoft.com/entra/identity/hybrid/connect/migrate-from-federation-to-cloud-authentication</w:t>
        </w:r>
      </w:hyperlink>
      <w:r>
        <w:t xml:space="preserve"> </w:t>
      </w:r>
      <w:r>
        <w:t xml:space="preserve">(accessed Oct 20, 2026).</w:t>
      </w:r>
    </w:p>
  </w:footnote>
  <w:footnote w:id="877">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 w:id="878">
    <w:p>
      <w:pPr>
        <w:pStyle w:val="FootnoteText"/>
      </w:pPr>
      <w:r>
        <w:rPr>
          <w:rStyle w:val="FootnoteReference"/>
        </w:rPr>
        <w:footnoteRef/>
      </w:r>
      <w:r>
        <w:t xml:space="preserve"> </w:t>
      </w:r>
      <w:r>
        <w:t xml:space="preserve">Microsoft Learn,</w:t>
      </w:r>
      <w:r>
        <w:t xml:space="preserve"> </w:t>
      </w:r>
      <w:r>
        <w:t xml:space="preserve">“Microsoft Entra certificate-based authentication technical concepts,”</w:t>
      </w:r>
      <w:r>
        <w:t xml:space="preserve"> </w:t>
      </w:r>
      <w:hyperlink r:id="rId294">
        <w:r>
          <w:rPr>
            <w:rStyle w:val="Hyperlink"/>
          </w:rPr>
          <w:t xml:space="preserve">https://learn.microsoft.com/en-us/entra/identity/authentication/concept-certificate-based-authentication-technical-deep-dive</w:t>
        </w:r>
      </w:hyperlink>
      <w:r>
        <w:t xml:space="preserve"> </w:t>
      </w:r>
      <w:r>
        <w:t xml:space="preserve">(accessed Oct 20, 2026).</w:t>
      </w:r>
    </w:p>
  </w:footnote>
  <w:footnote w:id="879">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884">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885">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886">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888">
    <w:p>
      <w:pPr>
        <w:pStyle w:val="FootnoteText"/>
      </w:pPr>
      <w:r>
        <w:rPr>
          <w:rStyle w:val="FootnoteReference"/>
        </w:rPr>
        <w:footnoteRef/>
      </w:r>
      <w:r>
        <w:t xml:space="preserve"> </w:t>
      </w:r>
      <w:r>
        <w:t xml:space="preserve">Microsoft Learn,</w:t>
      </w:r>
      <w:r>
        <w:t xml:space="preserve"> </w:t>
      </w:r>
      <w:r>
        <w:t xml:space="preserve">“How to: Plan your Microsoft Entra join implementation,”</w:t>
      </w:r>
      <w:r>
        <w:t xml:space="preserve"> </w:t>
      </w:r>
      <w:r>
        <w:t xml:space="preserve">RADIUS and Wi-Fi authentication,</w:t>
      </w:r>
      <w:r>
        <w:t xml:space="preserve"> </w:t>
      </w:r>
      <w:hyperlink r:id="rId532">
        <w:r>
          <w:rPr>
            <w:rStyle w:val="Hyperlink"/>
          </w:rPr>
          <w:t xml:space="preserve">https://learn.microsoft.com/entra/identity/devices/device-join-plan#understand-considerations-for-applications-and-resources</w:t>
        </w:r>
      </w:hyperlink>
      <w:r>
        <w:t xml:space="preserve"> </w:t>
      </w:r>
      <w:r>
        <w:t xml:space="preserve">(accessed Oct 20, 2026).</w:t>
      </w:r>
    </w:p>
  </w:footnote>
  <w:footnote w:id="88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890">
    <w:p>
      <w:pPr>
        <w:pStyle w:val="FootnoteText"/>
      </w:pPr>
      <w:r>
        <w:rPr>
          <w:rStyle w:val="FootnoteReference"/>
        </w:rPr>
        <w:footnoteRef/>
      </w:r>
      <w:r>
        <w:t xml:space="preserve"> </w:t>
      </w:r>
      <w:r>
        <w:t xml:space="preserve">Microsoft Learn,</w:t>
      </w:r>
      <w:r>
        <w:t xml:space="preserve"> </w:t>
      </w:r>
      <w:r>
        <w:t xml:space="preserve">“Operating systems and browsers supported by Microsoft Intune,”</w:t>
      </w:r>
      <w:r>
        <w:t xml:space="preserve"> </w:t>
      </w:r>
      <w:hyperlink r:id="rId44">
        <w:r>
          <w:rPr>
            <w:rStyle w:val="Hyperlink"/>
          </w:rPr>
          <w:t xml:space="preserve">https://learn.microsoft.com/intune/fundamentals/ref-supported-platforms</w:t>
        </w:r>
      </w:hyperlink>
      <w:r>
        <w:t xml:space="preserve"> </w:t>
      </w:r>
      <w:r>
        <w:t xml:space="preserve">(accessed Oct 20, 2026).</w:t>
      </w:r>
    </w:p>
  </w:footnote>
  <w:footnote w:id="891">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893">
    <w:p>
      <w:pPr>
        <w:pStyle w:val="FootnoteText"/>
      </w:pPr>
      <w:r>
        <w:rPr>
          <w:rStyle w:val="FootnoteReference"/>
        </w:rPr>
        <w:footnoteRef/>
      </w:r>
      <w:r>
        <w:t xml:space="preserve"> </w:t>
      </w:r>
      <w:r>
        <w:t xml:space="preserve">Microsoft Learn,</w:t>
      </w:r>
      <w:r>
        <w:t xml:space="preserve"> </w:t>
      </w:r>
      <w:r>
        <w:t xml:space="preserve">“Guidelines for enabling smart card logon with third-party certification authorities,”</w:t>
      </w:r>
      <w:r>
        <w:t xml:space="preserve"> </w:t>
      </w:r>
      <w:hyperlink r:id="rId29">
        <w:r>
          <w:rPr>
            <w:rStyle w:val="Hyperlink"/>
          </w:rPr>
          <w:t xml:space="preserve">https://learn.microsoft.com/troubleshoot/windows-server/certificates-and-public-key-infrastructure-pki/enabling-smart-card-logon-third-party-certification-authorities</w:t>
        </w:r>
      </w:hyperlink>
      <w:r>
        <w:t xml:space="preserve"> </w:t>
      </w:r>
      <w:r>
        <w:t xml:space="preserve">(accessed Oct 20, 2026).</w:t>
      </w:r>
    </w:p>
  </w:footnote>
  <w:footnote w:id="894">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w:t>
      </w:r>
      <w:r>
        <w:t xml:space="preserve"> </w:t>
      </w:r>
      <w:hyperlink r:id="rId630">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895">
    <w:p>
      <w:pPr>
        <w:pStyle w:val="FootnoteText"/>
      </w:pPr>
      <w:r>
        <w:rPr>
          <w:rStyle w:val="FootnoteReference"/>
        </w:rPr>
        <w:footnoteRef/>
      </w:r>
      <w:r>
        <w:t xml:space="preserve"> </w:t>
      </w:r>
      <w:r>
        <w:t xml:space="preserve">Microsoft Learn,</w:t>
      </w:r>
      <w:r>
        <w:t xml:space="preserve"> </w:t>
      </w:r>
      <w:r>
        <w:t xml:space="preserve">“On-premises certificate trust deployment guide,”</w:t>
      </w:r>
      <w:r>
        <w:t xml:space="preserve"> </w:t>
      </w:r>
      <w:r>
        <w:t xml:space="preserve">Configure domain controller certificates,</w:t>
      </w:r>
      <w:r>
        <w:t xml:space="preserve"> </w:t>
      </w:r>
      <w:hyperlink r:id="rId630">
        <w:r>
          <w:rPr>
            <w:rStyle w:val="Hyperlink"/>
          </w:rPr>
          <w:t xml:space="preserve">https://learn.microsoft.com/windows/security/identity-protection/hello-for-business/deploy/on-premises-cert-trust#configure-the-enterprise-pki</w:t>
        </w:r>
      </w:hyperlink>
      <w:r>
        <w:t xml:space="preserve"> </w:t>
      </w:r>
      <w:r>
        <w:t xml:space="preserve">(accessed Oct 20, 2026).</w:t>
      </w:r>
    </w:p>
  </w:footnote>
  <w:footnote w:id="896">
    <w:p>
      <w:pPr>
        <w:pStyle w:val="FootnoteText"/>
      </w:pPr>
      <w:r>
        <w:rPr>
          <w:rStyle w:val="FootnoteReference"/>
        </w:rPr>
        <w:footnoteRef/>
      </w:r>
      <w:r>
        <w:t xml:space="preserve"> </w:t>
      </w:r>
      <w:r>
        <w:t xml:space="preserve">Microsoft Learn,</w:t>
      </w:r>
      <w:r>
        <w:t xml:space="preserve"> </w:t>
      </w:r>
      <w:r>
        <w:t xml:space="preserve">“Configure single sign-on for Microsoft Entra joined devices,”</w:t>
      </w:r>
      <w:r>
        <w:t xml:space="preserve"> </w:t>
      </w:r>
      <w:hyperlink r:id="rId632">
        <w:r>
          <w:rPr>
            <w:rStyle w:val="Hyperlink"/>
          </w:rPr>
          <w:t xml:space="preserve">https://learn.microsoft.com/windows/security/identity-protection/hello-for-business/hello-hybrid-aadj-sso#prerequisites</w:t>
        </w:r>
      </w:hyperlink>
      <w:r>
        <w:t xml:space="preserve"> </w:t>
      </w:r>
      <w:r>
        <w:t xml:space="preserve">(accessed Oct 20, 2026).</w:t>
      </w:r>
    </w:p>
  </w:footnote>
  <w:footnote w:id="897">
    <w:p>
      <w:pPr>
        <w:pStyle w:val="FootnoteText"/>
      </w:pPr>
      <w:r>
        <w:rPr>
          <w:rStyle w:val="FootnoteReference"/>
        </w:rPr>
        <w:footnoteRef/>
      </w:r>
      <w:r>
        <w:t xml:space="preserve"> </w:t>
      </w:r>
      <w:r>
        <w:t xml:space="preserve">Microsoft Learn,</w:t>
      </w:r>
      <w:r>
        <w:t xml:space="preserve"> </w:t>
      </w:r>
      <w:r>
        <w:t xml:space="preserve">“Configure certificates for LDAP over SSL in Active Directory Domain Services,”</w:t>
      </w:r>
      <w:r>
        <w:t xml:space="preserve"> </w:t>
      </w:r>
      <w:hyperlink r:id="rId27">
        <w:r>
          <w:rPr>
            <w:rStyle w:val="Hyperlink"/>
          </w:rPr>
          <w:t xml:space="preserve">https://learn.microsoft.com/windows-server/identity/ad-ds/configure-ldap-signing-certificates</w:t>
        </w:r>
      </w:hyperlink>
      <w:r>
        <w:t xml:space="preserve"> </w:t>
      </w:r>
      <w:r>
        <w:t xml:space="preserve">(accessed Oct 20, 2026).</w:t>
      </w:r>
    </w:p>
  </w:footnote>
  <w:footnote w:id="898">
    <w:p>
      <w:pPr>
        <w:pStyle w:val="FootnoteText"/>
      </w:pPr>
      <w:r>
        <w:rPr>
          <w:rStyle w:val="FootnoteReference"/>
        </w:rPr>
        <w:footnoteRef/>
      </w:r>
      <w:r>
        <w:t xml:space="preserve"> </w:t>
      </w:r>
      <w:r>
        <w:t xml:space="preserve">Microsoft Learn,</w:t>
      </w:r>
      <w:r>
        <w:t xml:space="preserve"> </w:t>
      </w:r>
      <w:r>
        <w:t xml:space="preserve">“Certificate requirements when you use EAP-TLS or PEAP with EAP-TLS,”</w:t>
      </w:r>
      <w:r>
        <w:t xml:space="preserve"> </w:t>
      </w:r>
      <w:hyperlink r:id="rId646">
        <w:r>
          <w:rPr>
            <w:rStyle w:val="Hyperlink"/>
          </w:rPr>
          <w:t xml:space="preserve">https://learn.microsoft.com/troubleshoot/windows-server/networking/certificate-requirements-eap-tls-peap</w:t>
        </w:r>
      </w:hyperlink>
      <w:r>
        <w:t xml:space="preserve"> </w:t>
      </w:r>
      <w:r>
        <w:t xml:space="preserve">(accessed Oct 20, 2026).</w:t>
      </w:r>
    </w:p>
  </w:footnote>
  <w:footnote w:id="899">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0">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901">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2">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3">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4">
    <w:p>
      <w:pPr>
        <w:pStyle w:val="FootnoteText"/>
      </w:pPr>
      <w:r>
        <w:rPr>
          <w:rStyle w:val="FootnoteReference"/>
        </w:rPr>
        <w:footnoteRef/>
      </w:r>
      <w:r>
        <w:t xml:space="preserve"> </w:t>
      </w:r>
      <w:r>
        <w:t xml:space="preserve">Microsoft Learn,</w:t>
      </w:r>
      <w:r>
        <w:t xml:space="preserve"> </w:t>
      </w:r>
      <w:r>
        <w:t xml:space="preserve">“Microsoft Purview data security solutions”</w:t>
      </w:r>
      <w:r>
        <w:t xml:space="preserve"> </w:t>
      </w:r>
      <w:r>
        <w:t xml:space="preserve">(Microsoft Purview Information Protection, formerly Microsoft Information Protection),</w:t>
      </w:r>
      <w:r>
        <w:t xml:space="preserve"> </w:t>
      </w:r>
      <w:hyperlink r:id="rId905">
        <w:r>
          <w:rPr>
            <w:rStyle w:val="Hyperlink"/>
          </w:rPr>
          <w:t xml:space="preserve">https://learn.microsoft.com/purview/purview-security</w:t>
        </w:r>
      </w:hyperlink>
      <w:r>
        <w:t xml:space="preserve"> </w:t>
      </w:r>
      <w:r>
        <w:t xml:space="preserve">(accessed Oct 20, 2026).</w:t>
      </w:r>
    </w:p>
  </w:footnote>
  <w:footnote w:id="906">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7">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08">
    <w:p>
      <w:pPr>
        <w:pStyle w:val="FootnoteText"/>
      </w:pPr>
      <w:r>
        <w:rPr>
          <w:rStyle w:val="FootnoteReference"/>
        </w:rPr>
        <w:footnoteRef/>
      </w:r>
      <w:r>
        <w:t xml:space="preserve"> </w:t>
      </w:r>
      <w:r>
        <w:t xml:space="preserve">Microsoft Learn,</w:t>
      </w:r>
      <w:r>
        <w:t xml:space="preserve"> </w:t>
      </w:r>
      <w:r>
        <w:t xml:space="preserve">“Understand Microsoft Entra certificate-based authentication Certificate revocation list,”</w:t>
      </w:r>
      <w:r>
        <w:t xml:space="preserve"> </w:t>
      </w:r>
      <w:hyperlink r:id="rId280">
        <w:r>
          <w:rPr>
            <w:rStyle w:val="Hyperlink"/>
          </w:rPr>
          <w:t xml:space="preserve">https://learn.microsoft.com/en-us/entra/identity/authentication/concept-certificate-based-authentication-certificate-revocation-list</w:t>
        </w:r>
      </w:hyperlink>
      <w:r>
        <w:t xml:space="preserve"> </w:t>
      </w:r>
      <w:r>
        <w:t xml:space="preserve">(accessed Oct 20, 2026).</w:t>
      </w:r>
    </w:p>
  </w:footnote>
  <w:footnote w:id="909">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42">
        <w:r>
          <w:rPr>
            <w:rStyle w:val="Hyperlink"/>
          </w:rPr>
          <w:t xml:space="preserve">https://learn.microsoft.com/intune/cloud-pki/</w:t>
        </w:r>
      </w:hyperlink>
      <w:r>
        <w:t xml:space="preserve"> </w:t>
      </w:r>
      <w:r>
        <w:t xml:space="preserve">(accessed Oct 20, 2026).</w:t>
      </w:r>
    </w:p>
  </w:footnote>
  <w:footnote w:id="910">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11">
    <w:p>
      <w:pPr>
        <w:pStyle w:val="FootnoteText"/>
      </w:pPr>
      <w:r>
        <w:rPr>
          <w:rStyle w:val="FootnoteReference"/>
        </w:rPr>
        <w:footnoteRef/>
      </w:r>
      <w:r>
        <w:t xml:space="preserve"> </w:t>
      </w:r>
      <w:r>
        <w:t xml:space="preserve">Microsoft Learn,</w:t>
      </w:r>
      <w:r>
        <w:t xml:space="preserve"> </w:t>
      </w:r>
      <w:r>
        <w:t xml:space="preserve">“Renewal of</w:t>
      </w:r>
      <w:r>
        <w:t xml:space="preserve"> </w:t>
      </w:r>
      <w:r>
        <w:t xml:space="preserve">‘Enrollment Agent’</w:t>
      </w:r>
      <w:r>
        <w:t xml:space="preserve"> </w:t>
      </w:r>
      <w:r>
        <w:t xml:space="preserve">certificate used by NDES may fail,”</w:t>
      </w:r>
      <w:r>
        <w:t xml:space="preserve"> </w:t>
      </w:r>
      <w:hyperlink r:id="rId518">
        <w:r>
          <w:rPr>
            <w:rStyle w:val="Hyperlink"/>
          </w:rPr>
          <w:t xml:space="preserve">https://learn.microsoft.com/troubleshoot/windows-server/certificates-and-public-key-infrastructure-pki/renewal-of-enrollment-agent-certificate-fail</w:t>
        </w:r>
      </w:hyperlink>
      <w:r>
        <w:t xml:space="preserve"> </w:t>
      </w:r>
      <w:r>
        <w:t xml:space="preserve">(accessed Oct 20, 2026).</w:t>
      </w:r>
    </w:p>
  </w:footnote>
  <w:footnote w:id="912">
    <w:p>
      <w:pPr>
        <w:pStyle w:val="FootnoteText"/>
      </w:pPr>
      <w:r>
        <w:rPr>
          <w:rStyle w:val="FootnoteReference"/>
        </w:rPr>
        <w:footnoteRef/>
      </w:r>
      <w:r>
        <w:t xml:space="preserve"> </w:t>
      </w:r>
      <w:r>
        <w:t xml:space="preserve">Microsoft Learn,</w:t>
      </w:r>
      <w:r>
        <w:t xml:space="preserve"> </w:t>
      </w:r>
      <w:r>
        <w:t xml:space="preserve">“Configure infrastructure to support SCEP with Intune,”</w:t>
      </w:r>
      <w:r>
        <w:t xml:space="preserve"> </w:t>
      </w:r>
      <w:hyperlink r:id="rId244">
        <w:r>
          <w:rPr>
            <w:rStyle w:val="Hyperlink"/>
          </w:rPr>
          <w:t xml:space="preserve">https://learn.microsoft.com/intune/fundamentals/certificates/scep-infrastructure</w:t>
        </w:r>
      </w:hyperlink>
      <w:r>
        <w:t xml:space="preserve"> </w:t>
      </w:r>
      <w:r>
        <w:t xml:space="preserve">(accessed Oct 20, 2026).</w:t>
      </w:r>
    </w:p>
  </w:footnote>
  <w:footnote w:id="913">
    <w:p>
      <w:pPr>
        <w:pStyle w:val="FootnoteText"/>
      </w:pPr>
      <w:r>
        <w:rPr>
          <w:rStyle w:val="FootnoteReference"/>
        </w:rPr>
        <w:footnoteRef/>
      </w:r>
      <w:r>
        <w:t xml:space="preserve"> </w:t>
      </w:r>
      <w:r>
        <w:t xml:space="preserve">Microsoft Learn,</w:t>
      </w:r>
      <w:r>
        <w:t xml:space="preserve"> </w:t>
      </w:r>
      <w:r>
        <w:t xml:space="preserve">“Using Certificates for Microsoft Entra joined on-premises single-sign on,”</w:t>
      </w:r>
      <w:r>
        <w:t xml:space="preserve"> </w:t>
      </w:r>
      <w:hyperlink r:id="rId515">
        <w:r>
          <w:rPr>
            <w:rStyle w:val="Hyperlink"/>
          </w:rPr>
          <w:t xml:space="preserve">https://learn.microsoft.com/windows/security/identity-protection/hello-for-business/hello-hybrid-aadj-sso-cert#requirements</w:t>
        </w:r>
      </w:hyperlink>
      <w:r>
        <w:t xml:space="preserve"> </w:t>
      </w:r>
      <w:r>
        <w:t xml:space="preserve">(accessed Oct 20, 2026).</w:t>
      </w:r>
    </w:p>
  </w:footnote>
  <w:footnote w:id="914">
    <w:p>
      <w:pPr>
        <w:pStyle w:val="FootnoteText"/>
      </w:pPr>
      <w:r>
        <w:rPr>
          <w:rStyle w:val="FootnoteReference"/>
        </w:rPr>
        <w:footnoteRef/>
      </w:r>
      <w:r>
        <w:t xml:space="preserve"> </w:t>
      </w:r>
      <w:r>
        <w:t xml:space="preserve">Microsoft Learn,</w:t>
      </w:r>
      <w:r>
        <w:t xml:space="preserve"> </w:t>
      </w:r>
      <w:r>
        <w:t xml:space="preserve">“Configure and use PKCS certificates with Intune,”</w:t>
      </w:r>
      <w:r>
        <w:t xml:space="preserve"> </w:t>
      </w:r>
      <w:hyperlink r:id="rId490">
        <w:r>
          <w:rPr>
            <w:rStyle w:val="Hyperlink"/>
          </w:rPr>
          <w:t xml:space="preserve">https://learn.microsoft.com/intune/device-configuration/certificates/pkcs-profiles</w:t>
        </w:r>
      </w:hyperlink>
      <w:r>
        <w:t xml:space="preserve"> </w:t>
      </w:r>
      <w:r>
        <w:t xml:space="preserve">(accessed Oct 20, 2026).</w:t>
      </w:r>
    </w:p>
  </w:footnote>
  <w:footnote w:id="915">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16">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917">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18">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19">
    <w:p>
      <w:pPr>
        <w:pStyle w:val="FootnoteText"/>
      </w:pPr>
      <w:r>
        <w:rPr>
          <w:rStyle w:val="FootnoteReference"/>
        </w:rPr>
        <w:footnoteRef/>
      </w:r>
      <w:r>
        <w:t xml:space="preserve"> </w:t>
      </w:r>
      <w:r>
        <w:t xml:space="preserve">Microsoft Learn,</w:t>
      </w:r>
      <w:r>
        <w:t xml:space="preserve"> </w:t>
      </w:r>
      <w:r>
        <w:t xml:space="preserve">“Configure Microsoft Cloud PKI - Bring your own CA,”</w:t>
      </w:r>
      <w:r>
        <w:t xml:space="preserve"> </w:t>
      </w:r>
      <w:hyperlink r:id="rId358">
        <w:r>
          <w:rPr>
            <w:rStyle w:val="Hyperlink"/>
          </w:rPr>
          <w:t xml:space="preserve">https://learn.microsoft.com/intune/cloud-pki/configure-byoca</w:t>
        </w:r>
      </w:hyperlink>
      <w:r>
        <w:t xml:space="preserve"> </w:t>
      </w:r>
      <w:r>
        <w:t xml:space="preserve">(accessed Oct 20, 2026).</w:t>
      </w:r>
    </w:p>
  </w:footnote>
  <w:footnote w:id="920">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21">
    <w:p>
      <w:pPr>
        <w:pStyle w:val="FootnoteText"/>
      </w:pPr>
      <w:r>
        <w:rPr>
          <w:rStyle w:val="FootnoteReference"/>
        </w:rPr>
        <w:footnoteRef/>
      </w:r>
      <w:r>
        <w:t xml:space="preserve"> </w:t>
      </w:r>
      <w:r>
        <w:t xml:space="preserve">Microsoft Learn,</w:t>
      </w:r>
      <w:r>
        <w:t xml:space="preserve"> </w:t>
      </w:r>
      <w:r>
        <w:t xml:space="preserve">“Certificate templates concepts,”</w:t>
      </w:r>
      <w:r>
        <w:t xml:space="preserve"> </w:t>
      </w:r>
      <w:r>
        <w:t xml:space="preserve">Default certificate templates,</w:t>
      </w:r>
      <w:r>
        <w:t xml:space="preserve"> </w:t>
      </w:r>
      <w:hyperlink r:id="rId892">
        <w:r>
          <w:rPr>
            <w:rStyle w:val="Hyperlink"/>
          </w:rPr>
          <w:t xml:space="preserve">https://learn.microsoft.com/windows-server/identity/ad-cs/certificate-template-concepts#default-certificate-templates</w:t>
        </w:r>
      </w:hyperlink>
      <w:r>
        <w:t xml:space="preserve"> </w:t>
      </w:r>
      <w:r>
        <w:t xml:space="preserve">(accessed Oct 20, 2026).</w:t>
      </w:r>
    </w:p>
  </w:footnote>
  <w:footnote w:id="922">
    <w:p>
      <w:pPr>
        <w:pStyle w:val="FootnoteText"/>
      </w:pPr>
      <w:r>
        <w:rPr>
          <w:rStyle w:val="FootnoteReference"/>
        </w:rPr>
        <w:footnoteRef/>
      </w:r>
      <w:r>
        <w:t xml:space="preserve"> </w:t>
      </w:r>
      <w:r>
        <w:t xml:space="preserve">Microsoft Learn,</w:t>
      </w:r>
      <w:r>
        <w:t xml:space="preserve"> </w:t>
      </w:r>
      <w:r>
        <w:t xml:space="preserve">“Microsoft Entra Connect: Cloud authentication via Staged Rollout,”</w:t>
      </w:r>
      <w:r>
        <w:t xml:space="preserve"> </w:t>
      </w:r>
      <w:r>
        <w:t xml:space="preserve">unsupported scenarios,</w:t>
      </w:r>
      <w:r>
        <w:t xml:space="preserve"> </w:t>
      </w:r>
      <w:hyperlink r:id="rId602">
        <w:r>
          <w:rPr>
            <w:rStyle w:val="Hyperlink"/>
          </w:rPr>
          <w:t xml:space="preserve">https://learn.microsoft.com/en-us/entra/identity/hybrid/connect/how-to-connect-staged-rollout</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image" Id="rId47" Target="media/rId47.png" /><Relationship Type="http://schemas.openxmlformats.org/officeDocument/2006/relationships/image" Id="rId87" Target="media/rId87.png" /><Relationship Type="http://schemas.openxmlformats.org/officeDocument/2006/relationships/image" Id="rId142" Target="media/rId142.png" /><Relationship Type="http://schemas.openxmlformats.org/officeDocument/2006/relationships/image" Id="rId262" Target="media/rId262.png" /><Relationship Type="http://schemas.openxmlformats.org/officeDocument/2006/relationships/image" Id="rId172" Target="media/rId172.png" /><Relationship Type="http://schemas.openxmlformats.org/officeDocument/2006/relationships/image" Id="rId353" Target="media/rId353.png" /><Relationship Type="http://schemas.openxmlformats.org/officeDocument/2006/relationships/image" Id="rId310" Target="media/rId310.png" /><Relationship Type="http://schemas.openxmlformats.org/officeDocument/2006/relationships/image" Id="rId420" Target="media/rId420.png" /><Relationship Type="http://schemas.openxmlformats.org/officeDocument/2006/relationships/image" Id="rId452" Target="media/rId452.png" /><Relationship Type="http://schemas.openxmlformats.org/officeDocument/2006/relationships/image" Id="rId562" Target="media/rId562.png" /><Relationship Type="http://schemas.openxmlformats.org/officeDocument/2006/relationships/image" Id="rId480" Target="media/rId480.png" /><Relationship Type="http://schemas.openxmlformats.org/officeDocument/2006/relationships/image" Id="rId680" Target="media/rId680.png" /><Relationship Type="http://schemas.openxmlformats.org/officeDocument/2006/relationships/image" Id="rId622" Target="media/rId622.png" /><Relationship Type="http://schemas.openxmlformats.org/officeDocument/2006/relationships/image" Id="rId798" Target="media/rId798.png" /><Relationship Type="http://schemas.openxmlformats.org/officeDocument/2006/relationships/image" Id="rId710" Target="media/rId710.png" /><Relationship Type="http://schemas.openxmlformats.org/officeDocument/2006/relationships/hyperlink" Id="rId53" Target="https://cabforum.org/2025/04/11/ballot-sc081v3-introduce-schedule-of-reducing-validity-and-data-reuse-periods/" TargetMode="External" /><Relationship Type="http://schemas.openxmlformats.org/officeDocument/2006/relationships/hyperlink" Id="rId716" Target="https://cabforum.org/working-groups/server/baseline-requirements/requirements/" TargetMode="External" /><Relationship Type="http://schemas.openxmlformats.org/officeDocument/2006/relationships/hyperlink" Id="rId398" Target="https://csrc.nist.gov/pubs/fips/201-3/final" TargetMode="External" /><Relationship Type="http://schemas.openxmlformats.org/officeDocument/2006/relationships/hyperlink" Id="rId62" Target="https://csrc.nist.gov/pubs/ir/8547/ipd" TargetMode="External" /><Relationship Type="http://schemas.openxmlformats.org/officeDocument/2006/relationships/hyperlink" Id="rId419" Target="https://csrc.nist.gov/pubs/sp/800/37/r2/final" TargetMode="External" /><Relationship Type="http://schemas.openxmlformats.org/officeDocument/2006/relationships/hyperlink" Id="rId439" Target="https://csrc.nist.gov/pubs/sp/800/53/r5/upd1/final" TargetMode="External" /><Relationship Type="http://schemas.openxmlformats.org/officeDocument/2006/relationships/hyperlink" Id="rId724" Target="https://docs.venafi.com/Docs/26.1/TopNav/Content/ACME/cco-ACME-about.php" TargetMode="External" /><Relationship Type="http://schemas.openxmlformats.org/officeDocument/2006/relationships/hyperlink" Id="rId392" Target="https://docs.venafi.com/Docs/current/TopNav/Content/Drivers/cco-MicrosoftCertServices-CATemplate-tpp.php" TargetMode="External" /><Relationship Type="http://schemas.openxmlformats.org/officeDocument/2006/relationships/hyperlink" Id="rId443" Target="https://docs.venafi.com/Docs/current/TopNav/Content/Products/c-tls-protect-landing.php" TargetMode="External" /><Relationship Type="http://schemas.openxmlformats.org/officeDocument/2006/relationships/hyperlink" Id="rId9" Target="https://github.com/WhalerMike/modernization-workbook/tree/main/archive/b07-pki" TargetMode="External" /><Relationship Type="http://schemas.openxmlformats.org/officeDocument/2006/relationships/hyperlink" Id="rId11" Target="https://github.com/WhalerMike/modernization-workbook/tree/main/presentations/b07-pki" TargetMode="External" /><Relationship Type="http://schemas.openxmlformats.org/officeDocument/2006/relationships/hyperlink" Id="rId216" Target="https://learn.microsoft.com/azure/governance/policy/samples/guest-configuration-baseline-windows" TargetMode="External" /><Relationship Type="http://schemas.openxmlformats.org/officeDocument/2006/relationships/hyperlink" Id="rId157" Target="https://learn.microsoft.com/azure/information-protection/what-is-information-protection" TargetMode="External" /><Relationship Type="http://schemas.openxmlformats.org/officeDocument/2006/relationships/hyperlink" Id="rId821" Target="https://learn.microsoft.com/azure/key-vault/managed-hsm/overview" TargetMode="External" /><Relationship Type="http://schemas.openxmlformats.org/officeDocument/2006/relationships/hyperlink" Id="rId249" Target="https://learn.microsoft.com/defender-for-identity/alerts-xdr" TargetMode="External" /><Relationship Type="http://schemas.openxmlformats.org/officeDocument/2006/relationships/hyperlink" Id="rId184" Target="https://learn.microsoft.com/defender-for-identity/deploy/configure-windows-event-collection" TargetMode="External" /><Relationship Type="http://schemas.openxmlformats.org/officeDocument/2006/relationships/hyperlink" Id="rId182" Target="https://learn.microsoft.com/defender-for-identity/security-assessment" TargetMode="External" /><Relationship Type="http://schemas.openxmlformats.org/officeDocument/2006/relationships/hyperlink" Id="rId180" Target="https://learn.microsoft.com/defender-for-identity/security-posture-assessments/certificates" TargetMode="External" /><Relationship Type="http://schemas.openxmlformats.org/officeDocument/2006/relationships/hyperlink" Id="rId186" Target="https://learn.microsoft.com/defender-for-identity/us-govt-gcc-high" TargetMode="External" /><Relationship Type="http://schemas.openxmlformats.org/officeDocument/2006/relationships/hyperlink" Id="rId280" Target="https://learn.microsoft.com/en-us/entra/identity/authentication/concept-certificate-based-authentication-certificate-revocation-list" TargetMode="External" /><Relationship Type="http://schemas.openxmlformats.org/officeDocument/2006/relationships/hyperlink" Id="rId294" Target="https://learn.microsoft.com/en-us/entra/identity/authentication/concept-certificate-based-authentication-technical-deep-dive" TargetMode="External" /><Relationship Type="http://schemas.openxmlformats.org/officeDocument/2006/relationships/hyperlink" Id="rId571" Target="https://learn.microsoft.com/en-us/entra/identity/authentication/how-to-certificate-based-authentication" TargetMode="External" /><Relationship Type="http://schemas.openxmlformats.org/officeDocument/2006/relationships/hyperlink" Id="rId602" Target="https://learn.microsoft.com/en-us/entra/identity/hybrid/connect/how-to-connect-staged-rollout" TargetMode="External" /><Relationship Type="http://schemas.openxmlformats.org/officeDocument/2006/relationships/hyperlink" Id="rId198" Target="https://learn.microsoft.com/en-us/previous-versions/windows/it-pro/windows-10/security/threat-protection/auditing/audit-certification-services" TargetMode="External" /><Relationship Type="http://schemas.openxmlformats.org/officeDocument/2006/relationships/hyperlink" Id="rId697" Target="https://learn.microsoft.com/entra/architecture/migration-best-practices#migrate-authentication" TargetMode="External" /><Relationship Type="http://schemas.openxmlformats.org/officeDocument/2006/relationships/hyperlink" Id="rId595" Target="https://learn.microsoft.com/entra/fundamentals/licensing" TargetMode="External" /><Relationship Type="http://schemas.openxmlformats.org/officeDocument/2006/relationships/hyperlink" Id="rId303" Target="https://learn.microsoft.com/entra/fundamentals/whats-new" TargetMode="External" /><Relationship Type="http://schemas.openxmlformats.org/officeDocument/2006/relationships/hyperlink" Id="rId296" Target="https://learn.microsoft.com/entra/identity/authentication/concept-authentication-strength-advanced-options" TargetMode="External" /><Relationship Type="http://schemas.openxmlformats.org/officeDocument/2006/relationships/hyperlink" Id="rId299" Target="https://learn.microsoft.com/entra/identity/authentication/concept-certificate-based-authentication" TargetMode="External" /><Relationship Type="http://schemas.openxmlformats.org/officeDocument/2006/relationships/hyperlink" Id="rId426" Target="https://learn.microsoft.com/entra/identity/authentication/concept-certificate-based-authentication-certificate-revocation-list" TargetMode="External" /><Relationship Type="http://schemas.openxmlformats.org/officeDocument/2006/relationships/hyperlink" Id="rId433" Target="https://learn.microsoft.com/entra/identity/authentication/concept-certificate-based-authentication-certificateuserids" TargetMode="External" /><Relationship Type="http://schemas.openxmlformats.org/officeDocument/2006/relationships/hyperlink" Id="rId37" Target="https://learn.microsoft.com/entra/identity/authentication/concept-certificate-based-authentication-limitations" TargetMode="External" /><Relationship Type="http://schemas.openxmlformats.org/officeDocument/2006/relationships/hyperlink" Id="rId600" Target="https://learn.microsoft.com/entra/identity/authentication/concept-certificate-based-authentication-migration" TargetMode="External" /><Relationship Type="http://schemas.openxmlformats.org/officeDocument/2006/relationships/hyperlink" Id="rId468" Target="https://learn.microsoft.com/entra/identity/authentication/how-to-certificate-based-authentication" TargetMode="External" /><Relationship Type="http://schemas.openxmlformats.org/officeDocument/2006/relationships/hyperlink" Id="rId105" Target="https://learn.microsoft.com/entra/identity/authentication/how-to-configure-certificate-authorities" TargetMode="External" /><Relationship Type="http://schemas.openxmlformats.org/officeDocument/2006/relationships/hyperlink" Id="rId532" Target="https://learn.microsoft.com/entra/identity/devices/device-join-plan#understand-considerations-for-applications-and-resources" TargetMode="External" /><Relationship Type="http://schemas.openxmlformats.org/officeDocument/2006/relationships/hyperlink" Id="rId614" Target="https://learn.microsoft.com/entra/identity/hybrid/connect/migrate-from-federation-to-cloud-authentication" TargetMode="External" /><Relationship Type="http://schemas.openxmlformats.org/officeDocument/2006/relationships/hyperlink" Id="rId869" Target="https://learn.microsoft.com/graph/api/resources/featurerolloutpolicy?view=graph-rest-1.0#properties" TargetMode="External" /><Relationship Type="http://schemas.openxmlformats.org/officeDocument/2006/relationships/hyperlink" Id="rId42" Target="https://learn.microsoft.com/intune/cloud-pki/" TargetMode="External" /><Relationship Type="http://schemas.openxmlformats.org/officeDocument/2006/relationships/hyperlink" Id="rId358" Target="https://learn.microsoft.com/intune/cloud-pki/configure-byoca" TargetMode="External" /><Relationship Type="http://schemas.openxmlformats.org/officeDocument/2006/relationships/hyperlink" Id="rId196" Target="https://learn.microsoft.com/intune/cloud-pki/configure-ca" TargetMode="External" /><Relationship Type="http://schemas.openxmlformats.org/officeDocument/2006/relationships/hyperlink" Id="rId462" Target="https://learn.microsoft.com/intune/cloud-pki/delete-ca" TargetMode="External" /><Relationship Type="http://schemas.openxmlformats.org/officeDocument/2006/relationships/hyperlink" Id="rId171" Target="https://learn.microsoft.com/intune/cloud-pki/deployment-models" TargetMode="External" /><Relationship Type="http://schemas.openxmlformats.org/officeDocument/2006/relationships/hyperlink" Id="rId309" Target="https://learn.microsoft.com/intune/cloud-pki/fundamentals" TargetMode="External" /><Relationship Type="http://schemas.openxmlformats.org/officeDocument/2006/relationships/hyperlink" Id="rId747" Target="https://learn.microsoft.com/intune/cloud-pki/monitor-certificates" TargetMode="External" /><Relationship Type="http://schemas.openxmlformats.org/officeDocument/2006/relationships/hyperlink" Id="rId361" Target="https://learn.microsoft.com/intune/cloud-pki/renew-ca" TargetMode="External" /><Relationship Type="http://schemas.openxmlformats.org/officeDocument/2006/relationships/hyperlink" Id="rId124" Target="https://learn.microsoft.com/intune/configmgr/core/plan-design/network/example-deployment-of-pki-certificates" TargetMode="External" /><Relationship Type="http://schemas.openxmlformats.org/officeDocument/2006/relationships/hyperlink" Id="rId161" Target="https://learn.microsoft.com/intune/device-configuration/certificates/imported-pfx-profiles" TargetMode="External" /><Relationship Type="http://schemas.openxmlformats.org/officeDocument/2006/relationships/hyperlink" Id="rId490" Target="https://learn.microsoft.com/intune/device-configuration/certificates/pkcs-profiles" TargetMode="External" /><Relationship Type="http://schemas.openxmlformats.org/officeDocument/2006/relationships/hyperlink" Id="rId555" Target="https://learn.microsoft.com/intune/device-configuration/certificates/remove-profiles" TargetMode="External" /><Relationship Type="http://schemas.openxmlformats.org/officeDocument/2006/relationships/hyperlink" Id="rId35" Target="https://learn.microsoft.com/intune/device-configuration/certificates/scep-profiles" TargetMode="External" /><Relationship Type="http://schemas.openxmlformats.org/officeDocument/2006/relationships/hyperlink" Id="rId538" Target="https://learn.microsoft.com/intune/device-configuration/certificates/scep-profiles#update-certificate-connector-strong-mapping-requirements-for-kb5014754" TargetMode="External" /><Relationship Type="http://schemas.openxmlformats.org/officeDocument/2006/relationships/hyperlink" Id="rId486" Target="https://learn.microsoft.com/intune/device-configuration/certificates/trusted-root-profiles" TargetMode="External" /><Relationship Type="http://schemas.openxmlformats.org/officeDocument/2006/relationships/hyperlink" Id="rId751" Target="https://learn.microsoft.com/intune/device-management/reports/overview" TargetMode="External" /><Relationship Type="http://schemas.openxmlformats.org/officeDocument/2006/relationships/hyperlink" Id="rId159" Target="https://learn.microsoft.com/intune/device-security/certificates/s-mime" TargetMode="External" /><Relationship Type="http://schemas.openxmlformats.org/officeDocument/2006/relationships/hyperlink" Id="rId763" Target="https://learn.microsoft.com/intune/device-security/compliance/custom-settings" TargetMode="External" /><Relationship Type="http://schemas.openxmlformats.org/officeDocument/2006/relationships/hyperlink" Id="rId334" Target="https://learn.microsoft.com/intune/fundamentals/add-ons" TargetMode="External" /><Relationship Type="http://schemas.openxmlformats.org/officeDocument/2006/relationships/hyperlink" Id="rId521" Target="https://learn.microsoft.com/intune/fundamentals/certificates/connector/overview" TargetMode="External" /><Relationship Type="http://schemas.openxmlformats.org/officeDocument/2006/relationships/hyperlink" Id="rId466" Target="https://learn.microsoft.com/intune/fundamentals/certificates/connector/prerequisites" TargetMode="External" /><Relationship Type="http://schemas.openxmlformats.org/officeDocument/2006/relationships/hyperlink" Id="rId96" Target="https://learn.microsoft.com/intune/fundamentals/certificates/overview" TargetMode="External" /><Relationship Type="http://schemas.openxmlformats.org/officeDocument/2006/relationships/hyperlink" Id="rId244" Target="https://learn.microsoft.com/intune/fundamentals/certificates/scep-infrastructure" TargetMode="External" /><Relationship Type="http://schemas.openxmlformats.org/officeDocument/2006/relationships/hyperlink" Id="rId342" Target="https://learn.microsoft.com/intune/fundamentals/government-service" TargetMode="External" /><Relationship Type="http://schemas.openxmlformats.org/officeDocument/2006/relationships/hyperlink" Id="rId339" Target="https://learn.microsoft.com/intune/fundamentals/planning-guide" TargetMode="External" /><Relationship Type="http://schemas.openxmlformats.org/officeDocument/2006/relationships/hyperlink" Id="rId507" Target="https://learn.microsoft.com/intune/fundamentals/planning-guide#step-3---determine-costs-and-licensing" TargetMode="External" /><Relationship Type="http://schemas.openxmlformats.org/officeDocument/2006/relationships/hyperlink" Id="rId44" Target="https://learn.microsoft.com/intune/fundamentals/ref-supported-platforms" TargetMode="External" /><Relationship Type="http://schemas.openxmlformats.org/officeDocument/2006/relationships/hyperlink" Id="rId460" Target="https://learn.microsoft.com/intune/fundamentals/role-based-access-control/create-custom-role" TargetMode="External" /><Relationship Type="http://schemas.openxmlformats.org/officeDocument/2006/relationships/hyperlink" Id="rId336" Target="https://learn.microsoft.com/intune/whats-new/" TargetMode="External" /><Relationship Type="http://schemas.openxmlformats.org/officeDocument/2006/relationships/hyperlink" Id="rId553" Target="https://learn.microsoft.com/intune/whats-new/#notices" TargetMode="External" /><Relationship Type="http://schemas.openxmlformats.org/officeDocument/2006/relationships/hyperlink" Id="rId132" Target="https://learn.microsoft.com/powershell/module/microsoft.powershell.core/about/about_switch" TargetMode="External" /><Relationship Type="http://schemas.openxmlformats.org/officeDocument/2006/relationships/hyperlink" Id="rId905" Target="https://learn.microsoft.com/purview/purview-security" TargetMode="External" /><Relationship Type="http://schemas.openxmlformats.org/officeDocument/2006/relationships/hyperlink" Id="rId785" Target="https://learn.microsoft.com/troubleshoot/entra/entra-id/app-integration/error-code-aadsts220501-unable-to-download-certificate-revocation-list" TargetMode="External" /><Relationship Type="http://schemas.openxmlformats.org/officeDocument/2006/relationships/hyperlink" Id="rId783" Target="https://learn.microsoft.com/troubleshoot/entra/entra-id/app-integration/error-code-aadsts50017-certificate-based-authentication-failed" TargetMode="External" /><Relationship Type="http://schemas.openxmlformats.org/officeDocument/2006/relationships/hyperlink" Id="rId793" Target="https://learn.microsoft.com/troubleshoot/mem/intune/certificates/scep-deployment-to-win10-devices-fails" TargetMode="External" /><Relationship Type="http://schemas.openxmlformats.org/officeDocument/2006/relationships/hyperlink" Id="rId777" Target="https://learn.microsoft.com/troubleshoot/mem/intune/certificates/troubleshoot-pkcs-certificate-profiles" TargetMode="External" /><Relationship Type="http://schemas.openxmlformats.org/officeDocument/2006/relationships/hyperlink" Id="rId639" Target="https://learn.microsoft.com/troubleshoot/windows-server/active-directory/enable-ldap-over-ssl-3rd-certification-authority" TargetMode="External" /><Relationship Type="http://schemas.openxmlformats.org/officeDocument/2006/relationships/hyperlink" Id="rId126" Target="https://learn.microsoft.com/troubleshoot/windows-server/certificates-and-public-key-infrastructure-pki/approval-required-certificate-renewals-autoenrollment" TargetMode="External" /><Relationship Type="http://schemas.openxmlformats.org/officeDocument/2006/relationships/hyperlink" Id="rId803" Target="https://learn.microsoft.com/troubleshoot/windows-server/certificates-and-public-key-infrastructure-pki/decommission-enterprise-certification-authority-and-remove-objects" TargetMode="External" /><Relationship Type="http://schemas.openxmlformats.org/officeDocument/2006/relationships/hyperlink" Id="rId29" Target="https://learn.microsoft.com/troubleshoot/windows-server/certificates-and-public-key-infrastructure-pki/enabling-smart-card-logon-third-party-certification-authorities" TargetMode="External" /><Relationship Type="http://schemas.openxmlformats.org/officeDocument/2006/relationships/hyperlink" Id="rId660" Target="https://learn.microsoft.com/troubleshoot/windows-server/certificates-and-public-key-infrastructure-pki/import-third-party-ca-to-enterprise-ntauth-store" TargetMode="External" /><Relationship Type="http://schemas.openxmlformats.org/officeDocument/2006/relationships/hyperlink" Id="rId518" Target="https://learn.microsoft.com/troubleshoot/windows-server/certificates-and-public-key-infrastructure-pki/renewal-of-enrollment-agent-certificate-fail" TargetMode="External" /><Relationship Type="http://schemas.openxmlformats.org/officeDocument/2006/relationships/hyperlink" Id="rId152" Target="https://learn.microsoft.com/troubleshoot/windows-server/certificates-and-public-key-infrastructure-pki/set-up-certificate-based-authentication-across-forest-without-trust" TargetMode="External" /><Relationship Type="http://schemas.openxmlformats.org/officeDocument/2006/relationships/hyperlink" Id="rId655" Target="https://learn.microsoft.com/troubleshoot/windows-server/certificates-and-public-key-infrastructure-pki/valid-root-ca-certificates-untrusted" TargetMode="External" /><Relationship Type="http://schemas.openxmlformats.org/officeDocument/2006/relationships/hyperlink" Id="rId646" Target="https://learn.microsoft.com/troubleshoot/windows-server/networking/certificate-requirements-eap-tls-peap" TargetMode="External" /><Relationship Type="http://schemas.openxmlformats.org/officeDocument/2006/relationships/hyperlink" Id="rId225" Target="https://learn.microsoft.com/windows-server/administration/windows-commands/certutil" TargetMode="External" /><Relationship Type="http://schemas.openxmlformats.org/officeDocument/2006/relationships/hyperlink" Id="rId657" Target="https://learn.microsoft.com/windows-server/administration/windows-commands/certutil#parameters" TargetMode="External" /><Relationship Type="http://schemas.openxmlformats.org/officeDocument/2006/relationships/hyperlink" Id="rId18" Target="https://learn.microsoft.com/windows-server/identity/ad-cs/active-directory-certificate-services-overview" TargetMode="External" /><Relationship Type="http://schemas.openxmlformats.org/officeDocument/2006/relationships/hyperlink" Id="rId103" Target="https://learn.microsoft.com/windows-server/identity/ad-cs/certificate-authority-web-enrollment" TargetMode="External" /><Relationship Type="http://schemas.openxmlformats.org/officeDocument/2006/relationships/hyperlink" Id="rId100" Target="https://learn.microsoft.com/windows-server/identity/ad-cs/certificate-enrollment-policy-web-service-overview" TargetMode="External" /><Relationship Type="http://schemas.openxmlformats.org/officeDocument/2006/relationships/hyperlink" Id="rId98" Target="https://learn.microsoft.com/windows-server/identity/ad-cs/certificate-enrollment-web-service" TargetMode="External" /><Relationship Type="http://schemas.openxmlformats.org/officeDocument/2006/relationships/hyperlink" Id="rId114" Target="https://learn.microsoft.com/windows-server/identity/ad-cs/certificate-template-concepts" TargetMode="External" /><Relationship Type="http://schemas.openxmlformats.org/officeDocument/2006/relationships/hyperlink" Id="rId892" Target="https://learn.microsoft.com/windows-server/identity/ad-cs/certificate-template-concepts#default-certificate-templates" TargetMode="External" /><Relationship Type="http://schemas.openxmlformats.org/officeDocument/2006/relationships/hyperlink" Id="rId84" Target="https://learn.microsoft.com/windows-server/identity/ad-cs/certification-authority-role" TargetMode="External" /><Relationship Type="http://schemas.openxmlformats.org/officeDocument/2006/relationships/hyperlink" Id="rId431" Target="https://learn.microsoft.com/windows-server/identity/ad-cs/configure-key-archival-recover-private-keys" TargetMode="External" /><Relationship Type="http://schemas.openxmlformats.org/officeDocument/2006/relationships/hyperlink" Id="rId86" Target="https://learn.microsoft.com/windows-server/identity/ad-cs/configure-ml-dsa-certification-authority" TargetMode="External" /><Relationship Type="http://schemas.openxmlformats.org/officeDocument/2006/relationships/hyperlink" Id="rId653" Target="https://learn.microsoft.com/windows-server/identity/ad-cs/distribute-certificates-group-policy" TargetMode="External" /><Relationship Type="http://schemas.openxmlformats.org/officeDocument/2006/relationships/hyperlink" Id="rId92" Target="https://learn.microsoft.com/windows-server/identity/ad-cs/manage-certificate-templates" TargetMode="External" /><Relationship Type="http://schemas.openxmlformats.org/officeDocument/2006/relationships/hyperlink" Id="rId40" Target="https://learn.microsoft.com/windows-server/identity/ad-cs/monitor-ad-cs-health-enterprise-pki" TargetMode="External" /><Relationship Type="http://schemas.openxmlformats.org/officeDocument/2006/relationships/hyperlink" Id="rId94" Target="https://learn.microsoft.com/windows-server/identity/ad-cs/network-device-enrollment-service-overview" TargetMode="External" /><Relationship Type="http://schemas.openxmlformats.org/officeDocument/2006/relationships/hyperlink" Id="rId447" Target="https://learn.microsoft.com/windows-server/identity/ad-cs/operate-certificate-revocation-crl-cdp" TargetMode="External" /><Relationship Type="http://schemas.openxmlformats.org/officeDocument/2006/relationships/hyperlink" Id="rId65" Target="https://learn.microsoft.com/windows-server/identity/ad-cs/post-quantum-cryptography-overview" TargetMode="External" /><Relationship Type="http://schemas.openxmlformats.org/officeDocument/2006/relationships/hyperlink" Id="rId242" Target="https://learn.microsoft.com/windows-server/identity/ad-cs/review-dispose-pending-certificate-requests" TargetMode="External" /><Relationship Type="http://schemas.openxmlformats.org/officeDocument/2006/relationships/hyperlink" Id="rId128" Target="https://learn.microsoft.com/windows-server/identity/ad-cs/secure-delegate-audit-certification-authority" TargetMode="External" /><Relationship Type="http://schemas.openxmlformats.org/officeDocument/2006/relationships/hyperlink" Id="rId27" Target="https://learn.microsoft.com/windows-server/identity/ad-ds/configure-ldap-signing-certificates" TargetMode="External" /><Relationship Type="http://schemas.openxmlformats.org/officeDocument/2006/relationships/hyperlink" Id="rId699" Target="https://learn.microsoft.com/windows-server/identity/ad-fs/decommission/adfs-decommission-guide#pre-requisites-for-decommissioning-ad-fs-servers" TargetMode="External" /><Relationship Type="http://schemas.openxmlformats.org/officeDocument/2006/relationships/hyperlink" Id="rId122" Target="https://learn.microsoft.com/windows-server/networking/core-network-guide/cncg/server-certs/configure-server-certificate-auto-enrollment" TargetMode="External" /><Relationship Type="http://schemas.openxmlformats.org/officeDocument/2006/relationships/hyperlink" Id="rId118" Target="https://learn.microsoft.com/windows-server/networking/core-network-guide/cncg/server-certs/configure-server-certificate-template-remote-access-network-policy-server" TargetMode="External" /><Relationship Type="http://schemas.openxmlformats.org/officeDocument/2006/relationships/hyperlink" Id="rId31" Target="https://learn.microsoft.com/windows-server/networking/technologies/nps/nps-manage-certificates" TargetMode="External" /><Relationship Type="http://schemas.openxmlformats.org/officeDocument/2006/relationships/hyperlink" Id="rId25" Target="https://learn.microsoft.com/windows/security/identity-protection/hello-for-business/deploy/hybrid-cert-trust-pki" TargetMode="External" /><Relationship Type="http://schemas.openxmlformats.org/officeDocument/2006/relationships/hyperlink" Id="rId634" Target="https://learn.microsoft.com/windows/security/identity-protection/hello-for-business/deploy/hybrid-cert-trust-pki#configure-the-enterprise-pki" TargetMode="External" /><Relationship Type="http://schemas.openxmlformats.org/officeDocument/2006/relationships/hyperlink" Id="rId630" Target="https://learn.microsoft.com/windows/security/identity-protection/hello-for-business/deploy/on-premises-cert-trust#configure-the-enterprise-pki" TargetMode="External" /><Relationship Type="http://schemas.openxmlformats.org/officeDocument/2006/relationships/hyperlink" Id="rId632" Target="https://learn.microsoft.com/windows/security/identity-protection/hello-for-business/hello-hybrid-aadj-sso#prerequisites" TargetMode="External" /><Relationship Type="http://schemas.openxmlformats.org/officeDocument/2006/relationships/hyperlink" Id="rId515" Target="https://learn.microsoft.com/windows/security/identity-protection/hello-for-business/hello-hybrid-aadj-sso-cert#requirements" TargetMode="External" /><Relationship Type="http://schemas.openxmlformats.org/officeDocument/2006/relationships/hyperlink" Id="rId193" Target="https://learn.microsoft.com/windows/win32/adschema/a-mspki-certificate-name-flag" TargetMode="External" /><Relationship Type="http://schemas.openxmlformats.org/officeDocument/2006/relationships/hyperlink" Id="rId116" Target="https://learn.microsoft.com/windows/win32/api/certenroll/ne-certenroll-objectidgroupid" TargetMode="External" /><Relationship Type="http://schemas.openxmlformats.org/officeDocument/2006/relationships/hyperlink" Id="rId192" Target="https://learn.microsoft.com/windows/win32/api/certenroll/ne-certenroll-x509certificatetemplatesubjectnameflag" TargetMode="External" /><Relationship Type="http://schemas.openxmlformats.org/officeDocument/2006/relationships/hyperlink" Id="rId134" Target="https://learn.microsoft.com/windows/win32/seccertenroll/cmc-request" TargetMode="External" /><Relationship Type="http://schemas.openxmlformats.org/officeDocument/2006/relationships/hyperlink" Id="rId55" Target="https://raw.githubusercontent.com/cabforum/servercert/main/docs/BR.md" TargetMode="External" /><Relationship Type="http://schemas.openxmlformats.org/officeDocument/2006/relationships/hyperlink" Id="rId178" Target="https://specterops.io/research/certified-pre-owned/" TargetMode="External" /><Relationship Type="http://schemas.openxmlformats.org/officeDocument/2006/relationships/hyperlink" Id="rId251" Target="https://support.microsoft.com/en-us/topic/kb5005413-mitigating-ntlm-relay-attacks-on-active-directory-certificate-services-ad-cs-3612b773-4043-4aa9-b23d-b87910cd3429" TargetMode="External" /><Relationship Type="http://schemas.openxmlformats.org/officeDocument/2006/relationships/hyperlink" Id="rId33" Target="https://support.microsoft.com/en-us/topic/kb5014754-certificate-based-authentication-changes-on-windows-domain-controllers-ad2c23b0-15d8-4340-a468-4d4f3b188f16" TargetMode="External" /><Relationship Type="http://schemas.openxmlformats.org/officeDocument/2006/relationships/hyperlink" Id="rId766" Target="https://support.microsoft.com/topic/kb5014754-certificate-based-authentication-changes-on-windows-domain-controllers-ad2c23b0-15d8-4340-a468-4d4f3b188f16" TargetMode="External" /><Relationship Type="http://schemas.openxmlformats.org/officeDocument/2006/relationships/hyperlink" Id="rId412" Target="https://www.fedramp.gov/marketplace/products.json" TargetMode="External" /><Relationship Type="http://schemas.openxmlformats.org/officeDocument/2006/relationships/hyperlink" Id="rId396" Target="https://www.idmanagement.gov/university/fpki/" TargetMode="External" /><Relationship Type="http://schemas.openxmlformats.org/officeDocument/2006/relationships/hyperlink" Id="rId407" Target="https://www.paloaltonetworks.com/company/press/2026/palo-alto-networks-completes-acquisition-of-cyberark-to-secure-the-ai-era" TargetMode="External" /><Relationship Type="http://schemas.openxmlformats.org/officeDocument/2006/relationships/hyperlink" Id="rId72" Target="https://www.paloaltonetworks.com/network-security/next-gen-trust-security/certificate-manager" TargetMode="External" /><Relationship Type="http://schemas.openxmlformats.org/officeDocument/2006/relationships/hyperlink" Id="rId721" Target="https://www.rfc-editor.org/rfc/rfc8555" TargetMode="External" /><Relationship Type="http://schemas.openxmlformats.org/officeDocument/2006/relationships/hyperlink" Id="rId70" Target="https://www.sec.gov/Archives/edgar/data/1327567/000119312526045600/d40626dex991.htm" TargetMode="External" /><Relationship Type="http://schemas.openxmlformats.org/officeDocument/2006/relationships/hyperlink" Id="rId405" Target="https://www.thomabravo.com/press-releases/cyberark-completes-acquisition-of-machine-identity-management-leader-venafi" TargetMode="External" /><Relationship Type="http://schemas.openxmlformats.org/officeDocument/2006/relationships/hyperlink" Id="rId75"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53" Target="https://cabforum.org/2025/04/11/ballot-sc081v3-introduce-schedule-of-reducing-validity-and-data-reuse-periods/" TargetMode="External" /><Relationship Type="http://schemas.openxmlformats.org/officeDocument/2006/relationships/hyperlink" Id="rId716" Target="https://cabforum.org/working-groups/server/baseline-requirements/requirements/" TargetMode="External" /><Relationship Type="http://schemas.openxmlformats.org/officeDocument/2006/relationships/hyperlink" Id="rId398" Target="https://csrc.nist.gov/pubs/fips/201-3/final" TargetMode="External" /><Relationship Type="http://schemas.openxmlformats.org/officeDocument/2006/relationships/hyperlink" Id="rId62" Target="https://csrc.nist.gov/pubs/ir/8547/ipd" TargetMode="External" /><Relationship Type="http://schemas.openxmlformats.org/officeDocument/2006/relationships/hyperlink" Id="rId419" Target="https://csrc.nist.gov/pubs/sp/800/37/r2/final" TargetMode="External" /><Relationship Type="http://schemas.openxmlformats.org/officeDocument/2006/relationships/hyperlink" Id="rId439" Target="https://csrc.nist.gov/pubs/sp/800/53/r5/upd1/final" TargetMode="External" /><Relationship Type="http://schemas.openxmlformats.org/officeDocument/2006/relationships/hyperlink" Id="rId724" Target="https://docs.venafi.com/Docs/26.1/TopNav/Content/ACME/cco-ACME-about.php" TargetMode="External" /><Relationship Type="http://schemas.openxmlformats.org/officeDocument/2006/relationships/hyperlink" Id="rId392" Target="https://docs.venafi.com/Docs/current/TopNav/Content/Drivers/cco-MicrosoftCertServices-CATemplate-tpp.php" TargetMode="External" /><Relationship Type="http://schemas.openxmlformats.org/officeDocument/2006/relationships/hyperlink" Id="rId443" Target="https://docs.venafi.com/Docs/current/TopNav/Content/Products/c-tls-protect-landing.php" TargetMode="External" /><Relationship Type="http://schemas.openxmlformats.org/officeDocument/2006/relationships/hyperlink" Id="rId9" Target="https://github.com/WhalerMike/modernization-workbook/tree/main/archive/b07-pki" TargetMode="External" /><Relationship Type="http://schemas.openxmlformats.org/officeDocument/2006/relationships/hyperlink" Id="rId11" Target="https://github.com/WhalerMike/modernization-workbook/tree/main/presentations/b07-pki" TargetMode="External" /><Relationship Type="http://schemas.openxmlformats.org/officeDocument/2006/relationships/hyperlink" Id="rId216" Target="https://learn.microsoft.com/azure/governance/policy/samples/guest-configuration-baseline-windows" TargetMode="External" /><Relationship Type="http://schemas.openxmlformats.org/officeDocument/2006/relationships/hyperlink" Id="rId157" Target="https://learn.microsoft.com/azure/information-protection/what-is-information-protection" TargetMode="External" /><Relationship Type="http://schemas.openxmlformats.org/officeDocument/2006/relationships/hyperlink" Id="rId821" Target="https://learn.microsoft.com/azure/key-vault/managed-hsm/overview" TargetMode="External" /><Relationship Type="http://schemas.openxmlformats.org/officeDocument/2006/relationships/hyperlink" Id="rId249" Target="https://learn.microsoft.com/defender-for-identity/alerts-xdr" TargetMode="External" /><Relationship Type="http://schemas.openxmlformats.org/officeDocument/2006/relationships/hyperlink" Id="rId184" Target="https://learn.microsoft.com/defender-for-identity/deploy/configure-windows-event-collection" TargetMode="External" /><Relationship Type="http://schemas.openxmlformats.org/officeDocument/2006/relationships/hyperlink" Id="rId182" Target="https://learn.microsoft.com/defender-for-identity/security-assessment" TargetMode="External" /><Relationship Type="http://schemas.openxmlformats.org/officeDocument/2006/relationships/hyperlink" Id="rId180" Target="https://learn.microsoft.com/defender-for-identity/security-posture-assessments/certificates" TargetMode="External" /><Relationship Type="http://schemas.openxmlformats.org/officeDocument/2006/relationships/hyperlink" Id="rId186" Target="https://learn.microsoft.com/defender-for-identity/us-govt-gcc-high" TargetMode="External" /><Relationship Type="http://schemas.openxmlformats.org/officeDocument/2006/relationships/hyperlink" Id="rId280" Target="https://learn.microsoft.com/en-us/entra/identity/authentication/concept-certificate-based-authentication-certificate-revocation-list" TargetMode="External" /><Relationship Type="http://schemas.openxmlformats.org/officeDocument/2006/relationships/hyperlink" Id="rId294" Target="https://learn.microsoft.com/en-us/entra/identity/authentication/concept-certificate-based-authentication-technical-deep-dive" TargetMode="External" /><Relationship Type="http://schemas.openxmlformats.org/officeDocument/2006/relationships/hyperlink" Id="rId571" Target="https://learn.microsoft.com/en-us/entra/identity/authentication/how-to-certificate-based-authentication" TargetMode="External" /><Relationship Type="http://schemas.openxmlformats.org/officeDocument/2006/relationships/hyperlink" Id="rId602" Target="https://learn.microsoft.com/en-us/entra/identity/hybrid/connect/how-to-connect-staged-rollout" TargetMode="External" /><Relationship Type="http://schemas.openxmlformats.org/officeDocument/2006/relationships/hyperlink" Id="rId198" Target="https://learn.microsoft.com/en-us/previous-versions/windows/it-pro/windows-10/security/threat-protection/auditing/audit-certification-services" TargetMode="External" /><Relationship Type="http://schemas.openxmlformats.org/officeDocument/2006/relationships/hyperlink" Id="rId697" Target="https://learn.microsoft.com/entra/architecture/migration-best-practices#migrate-authentication" TargetMode="External" /><Relationship Type="http://schemas.openxmlformats.org/officeDocument/2006/relationships/hyperlink" Id="rId595" Target="https://learn.microsoft.com/entra/fundamentals/licensing" TargetMode="External" /><Relationship Type="http://schemas.openxmlformats.org/officeDocument/2006/relationships/hyperlink" Id="rId303" Target="https://learn.microsoft.com/entra/fundamentals/whats-new" TargetMode="External" /><Relationship Type="http://schemas.openxmlformats.org/officeDocument/2006/relationships/hyperlink" Id="rId296" Target="https://learn.microsoft.com/entra/identity/authentication/concept-authentication-strength-advanced-options" TargetMode="External" /><Relationship Type="http://schemas.openxmlformats.org/officeDocument/2006/relationships/hyperlink" Id="rId299" Target="https://learn.microsoft.com/entra/identity/authentication/concept-certificate-based-authentication" TargetMode="External" /><Relationship Type="http://schemas.openxmlformats.org/officeDocument/2006/relationships/hyperlink" Id="rId426" Target="https://learn.microsoft.com/entra/identity/authentication/concept-certificate-based-authentication-certificate-revocation-list" TargetMode="External" /><Relationship Type="http://schemas.openxmlformats.org/officeDocument/2006/relationships/hyperlink" Id="rId433" Target="https://learn.microsoft.com/entra/identity/authentication/concept-certificate-based-authentication-certificateuserids" TargetMode="External" /><Relationship Type="http://schemas.openxmlformats.org/officeDocument/2006/relationships/hyperlink" Id="rId37" Target="https://learn.microsoft.com/entra/identity/authentication/concept-certificate-based-authentication-limitations" TargetMode="External" /><Relationship Type="http://schemas.openxmlformats.org/officeDocument/2006/relationships/hyperlink" Id="rId600" Target="https://learn.microsoft.com/entra/identity/authentication/concept-certificate-based-authentication-migration" TargetMode="External" /><Relationship Type="http://schemas.openxmlformats.org/officeDocument/2006/relationships/hyperlink" Id="rId468" Target="https://learn.microsoft.com/entra/identity/authentication/how-to-certificate-based-authentication" TargetMode="External" /><Relationship Type="http://schemas.openxmlformats.org/officeDocument/2006/relationships/hyperlink" Id="rId105" Target="https://learn.microsoft.com/entra/identity/authentication/how-to-configure-certificate-authorities" TargetMode="External" /><Relationship Type="http://schemas.openxmlformats.org/officeDocument/2006/relationships/hyperlink" Id="rId532" Target="https://learn.microsoft.com/entra/identity/devices/device-join-plan#understand-considerations-for-applications-and-resources" TargetMode="External" /><Relationship Type="http://schemas.openxmlformats.org/officeDocument/2006/relationships/hyperlink" Id="rId614" Target="https://learn.microsoft.com/entra/identity/hybrid/connect/migrate-from-federation-to-cloud-authentication" TargetMode="External" /><Relationship Type="http://schemas.openxmlformats.org/officeDocument/2006/relationships/hyperlink" Id="rId869" Target="https://learn.microsoft.com/graph/api/resources/featurerolloutpolicy?view=graph-rest-1.0#properties" TargetMode="External" /><Relationship Type="http://schemas.openxmlformats.org/officeDocument/2006/relationships/hyperlink" Id="rId42" Target="https://learn.microsoft.com/intune/cloud-pki/" TargetMode="External" /><Relationship Type="http://schemas.openxmlformats.org/officeDocument/2006/relationships/hyperlink" Id="rId358" Target="https://learn.microsoft.com/intune/cloud-pki/configure-byoca" TargetMode="External" /><Relationship Type="http://schemas.openxmlformats.org/officeDocument/2006/relationships/hyperlink" Id="rId196" Target="https://learn.microsoft.com/intune/cloud-pki/configure-ca" TargetMode="External" /><Relationship Type="http://schemas.openxmlformats.org/officeDocument/2006/relationships/hyperlink" Id="rId462" Target="https://learn.microsoft.com/intune/cloud-pki/delete-ca" TargetMode="External" /><Relationship Type="http://schemas.openxmlformats.org/officeDocument/2006/relationships/hyperlink" Id="rId171" Target="https://learn.microsoft.com/intune/cloud-pki/deployment-models" TargetMode="External" /><Relationship Type="http://schemas.openxmlformats.org/officeDocument/2006/relationships/hyperlink" Id="rId309" Target="https://learn.microsoft.com/intune/cloud-pki/fundamentals" TargetMode="External" /><Relationship Type="http://schemas.openxmlformats.org/officeDocument/2006/relationships/hyperlink" Id="rId747" Target="https://learn.microsoft.com/intune/cloud-pki/monitor-certificates" TargetMode="External" /><Relationship Type="http://schemas.openxmlformats.org/officeDocument/2006/relationships/hyperlink" Id="rId361" Target="https://learn.microsoft.com/intune/cloud-pki/renew-ca" TargetMode="External" /><Relationship Type="http://schemas.openxmlformats.org/officeDocument/2006/relationships/hyperlink" Id="rId124" Target="https://learn.microsoft.com/intune/configmgr/core/plan-design/network/example-deployment-of-pki-certificates" TargetMode="External" /><Relationship Type="http://schemas.openxmlformats.org/officeDocument/2006/relationships/hyperlink" Id="rId161" Target="https://learn.microsoft.com/intune/device-configuration/certificates/imported-pfx-profiles" TargetMode="External" /><Relationship Type="http://schemas.openxmlformats.org/officeDocument/2006/relationships/hyperlink" Id="rId490" Target="https://learn.microsoft.com/intune/device-configuration/certificates/pkcs-profiles" TargetMode="External" /><Relationship Type="http://schemas.openxmlformats.org/officeDocument/2006/relationships/hyperlink" Id="rId555" Target="https://learn.microsoft.com/intune/device-configuration/certificates/remove-profiles" TargetMode="External" /><Relationship Type="http://schemas.openxmlformats.org/officeDocument/2006/relationships/hyperlink" Id="rId35" Target="https://learn.microsoft.com/intune/device-configuration/certificates/scep-profiles" TargetMode="External" /><Relationship Type="http://schemas.openxmlformats.org/officeDocument/2006/relationships/hyperlink" Id="rId538" Target="https://learn.microsoft.com/intune/device-configuration/certificates/scep-profiles#update-certificate-connector-strong-mapping-requirements-for-kb5014754" TargetMode="External" /><Relationship Type="http://schemas.openxmlformats.org/officeDocument/2006/relationships/hyperlink" Id="rId486" Target="https://learn.microsoft.com/intune/device-configuration/certificates/trusted-root-profiles" TargetMode="External" /><Relationship Type="http://schemas.openxmlformats.org/officeDocument/2006/relationships/hyperlink" Id="rId751" Target="https://learn.microsoft.com/intune/device-management/reports/overview" TargetMode="External" /><Relationship Type="http://schemas.openxmlformats.org/officeDocument/2006/relationships/hyperlink" Id="rId159" Target="https://learn.microsoft.com/intune/device-security/certificates/s-mime" TargetMode="External" /><Relationship Type="http://schemas.openxmlformats.org/officeDocument/2006/relationships/hyperlink" Id="rId763" Target="https://learn.microsoft.com/intune/device-security/compliance/custom-settings" TargetMode="External" /><Relationship Type="http://schemas.openxmlformats.org/officeDocument/2006/relationships/hyperlink" Id="rId334" Target="https://learn.microsoft.com/intune/fundamentals/add-ons" TargetMode="External" /><Relationship Type="http://schemas.openxmlformats.org/officeDocument/2006/relationships/hyperlink" Id="rId521" Target="https://learn.microsoft.com/intune/fundamentals/certificates/connector/overview" TargetMode="External" /><Relationship Type="http://schemas.openxmlformats.org/officeDocument/2006/relationships/hyperlink" Id="rId466" Target="https://learn.microsoft.com/intune/fundamentals/certificates/connector/prerequisites" TargetMode="External" /><Relationship Type="http://schemas.openxmlformats.org/officeDocument/2006/relationships/hyperlink" Id="rId96" Target="https://learn.microsoft.com/intune/fundamentals/certificates/overview" TargetMode="External" /><Relationship Type="http://schemas.openxmlformats.org/officeDocument/2006/relationships/hyperlink" Id="rId244" Target="https://learn.microsoft.com/intune/fundamentals/certificates/scep-infrastructure" TargetMode="External" /><Relationship Type="http://schemas.openxmlformats.org/officeDocument/2006/relationships/hyperlink" Id="rId342" Target="https://learn.microsoft.com/intune/fundamentals/government-service" TargetMode="External" /><Relationship Type="http://schemas.openxmlformats.org/officeDocument/2006/relationships/hyperlink" Id="rId339" Target="https://learn.microsoft.com/intune/fundamentals/planning-guide" TargetMode="External" /><Relationship Type="http://schemas.openxmlformats.org/officeDocument/2006/relationships/hyperlink" Id="rId507" Target="https://learn.microsoft.com/intune/fundamentals/planning-guide#step-3---determine-costs-and-licensing" TargetMode="External" /><Relationship Type="http://schemas.openxmlformats.org/officeDocument/2006/relationships/hyperlink" Id="rId44" Target="https://learn.microsoft.com/intune/fundamentals/ref-supported-platforms" TargetMode="External" /><Relationship Type="http://schemas.openxmlformats.org/officeDocument/2006/relationships/hyperlink" Id="rId460" Target="https://learn.microsoft.com/intune/fundamentals/role-based-access-control/create-custom-role" TargetMode="External" /><Relationship Type="http://schemas.openxmlformats.org/officeDocument/2006/relationships/hyperlink" Id="rId336" Target="https://learn.microsoft.com/intune/whats-new/" TargetMode="External" /><Relationship Type="http://schemas.openxmlformats.org/officeDocument/2006/relationships/hyperlink" Id="rId553" Target="https://learn.microsoft.com/intune/whats-new/#notices" TargetMode="External" /><Relationship Type="http://schemas.openxmlformats.org/officeDocument/2006/relationships/hyperlink" Id="rId132" Target="https://learn.microsoft.com/powershell/module/microsoft.powershell.core/about/about_switch" TargetMode="External" /><Relationship Type="http://schemas.openxmlformats.org/officeDocument/2006/relationships/hyperlink" Id="rId905" Target="https://learn.microsoft.com/purview/purview-security" TargetMode="External" /><Relationship Type="http://schemas.openxmlformats.org/officeDocument/2006/relationships/hyperlink" Id="rId785" Target="https://learn.microsoft.com/troubleshoot/entra/entra-id/app-integration/error-code-aadsts220501-unable-to-download-certificate-revocation-list" TargetMode="External" /><Relationship Type="http://schemas.openxmlformats.org/officeDocument/2006/relationships/hyperlink" Id="rId783" Target="https://learn.microsoft.com/troubleshoot/entra/entra-id/app-integration/error-code-aadsts50017-certificate-based-authentication-failed" TargetMode="External" /><Relationship Type="http://schemas.openxmlformats.org/officeDocument/2006/relationships/hyperlink" Id="rId793" Target="https://learn.microsoft.com/troubleshoot/mem/intune/certificates/scep-deployment-to-win10-devices-fails" TargetMode="External" /><Relationship Type="http://schemas.openxmlformats.org/officeDocument/2006/relationships/hyperlink" Id="rId777" Target="https://learn.microsoft.com/troubleshoot/mem/intune/certificates/troubleshoot-pkcs-certificate-profiles" TargetMode="External" /><Relationship Type="http://schemas.openxmlformats.org/officeDocument/2006/relationships/hyperlink" Id="rId639" Target="https://learn.microsoft.com/troubleshoot/windows-server/active-directory/enable-ldap-over-ssl-3rd-certification-authority" TargetMode="External" /><Relationship Type="http://schemas.openxmlformats.org/officeDocument/2006/relationships/hyperlink" Id="rId126" Target="https://learn.microsoft.com/troubleshoot/windows-server/certificates-and-public-key-infrastructure-pki/approval-required-certificate-renewals-autoenrollment" TargetMode="External" /><Relationship Type="http://schemas.openxmlformats.org/officeDocument/2006/relationships/hyperlink" Id="rId803" Target="https://learn.microsoft.com/troubleshoot/windows-server/certificates-and-public-key-infrastructure-pki/decommission-enterprise-certification-authority-and-remove-objects" TargetMode="External" /><Relationship Type="http://schemas.openxmlformats.org/officeDocument/2006/relationships/hyperlink" Id="rId29" Target="https://learn.microsoft.com/troubleshoot/windows-server/certificates-and-public-key-infrastructure-pki/enabling-smart-card-logon-third-party-certification-authorities" TargetMode="External" /><Relationship Type="http://schemas.openxmlformats.org/officeDocument/2006/relationships/hyperlink" Id="rId660" Target="https://learn.microsoft.com/troubleshoot/windows-server/certificates-and-public-key-infrastructure-pki/import-third-party-ca-to-enterprise-ntauth-store" TargetMode="External" /><Relationship Type="http://schemas.openxmlformats.org/officeDocument/2006/relationships/hyperlink" Id="rId518" Target="https://learn.microsoft.com/troubleshoot/windows-server/certificates-and-public-key-infrastructure-pki/renewal-of-enrollment-agent-certificate-fail" TargetMode="External" /><Relationship Type="http://schemas.openxmlformats.org/officeDocument/2006/relationships/hyperlink" Id="rId152" Target="https://learn.microsoft.com/troubleshoot/windows-server/certificates-and-public-key-infrastructure-pki/set-up-certificate-based-authentication-across-forest-without-trust" TargetMode="External" /><Relationship Type="http://schemas.openxmlformats.org/officeDocument/2006/relationships/hyperlink" Id="rId655" Target="https://learn.microsoft.com/troubleshoot/windows-server/certificates-and-public-key-infrastructure-pki/valid-root-ca-certificates-untrusted" TargetMode="External" /><Relationship Type="http://schemas.openxmlformats.org/officeDocument/2006/relationships/hyperlink" Id="rId646" Target="https://learn.microsoft.com/troubleshoot/windows-server/networking/certificate-requirements-eap-tls-peap" TargetMode="External" /><Relationship Type="http://schemas.openxmlformats.org/officeDocument/2006/relationships/hyperlink" Id="rId225" Target="https://learn.microsoft.com/windows-server/administration/windows-commands/certutil" TargetMode="External" /><Relationship Type="http://schemas.openxmlformats.org/officeDocument/2006/relationships/hyperlink" Id="rId657" Target="https://learn.microsoft.com/windows-server/administration/windows-commands/certutil#parameters" TargetMode="External" /><Relationship Type="http://schemas.openxmlformats.org/officeDocument/2006/relationships/hyperlink" Id="rId18" Target="https://learn.microsoft.com/windows-server/identity/ad-cs/active-directory-certificate-services-overview" TargetMode="External" /><Relationship Type="http://schemas.openxmlformats.org/officeDocument/2006/relationships/hyperlink" Id="rId103" Target="https://learn.microsoft.com/windows-server/identity/ad-cs/certificate-authority-web-enrollment" TargetMode="External" /><Relationship Type="http://schemas.openxmlformats.org/officeDocument/2006/relationships/hyperlink" Id="rId100" Target="https://learn.microsoft.com/windows-server/identity/ad-cs/certificate-enrollment-policy-web-service-overview" TargetMode="External" /><Relationship Type="http://schemas.openxmlformats.org/officeDocument/2006/relationships/hyperlink" Id="rId98" Target="https://learn.microsoft.com/windows-server/identity/ad-cs/certificate-enrollment-web-service" TargetMode="External" /><Relationship Type="http://schemas.openxmlformats.org/officeDocument/2006/relationships/hyperlink" Id="rId114" Target="https://learn.microsoft.com/windows-server/identity/ad-cs/certificate-template-concepts" TargetMode="External" /><Relationship Type="http://schemas.openxmlformats.org/officeDocument/2006/relationships/hyperlink" Id="rId892" Target="https://learn.microsoft.com/windows-server/identity/ad-cs/certificate-template-concepts#default-certificate-templates" TargetMode="External" /><Relationship Type="http://schemas.openxmlformats.org/officeDocument/2006/relationships/hyperlink" Id="rId84" Target="https://learn.microsoft.com/windows-server/identity/ad-cs/certification-authority-role" TargetMode="External" /><Relationship Type="http://schemas.openxmlformats.org/officeDocument/2006/relationships/hyperlink" Id="rId431" Target="https://learn.microsoft.com/windows-server/identity/ad-cs/configure-key-archival-recover-private-keys" TargetMode="External" /><Relationship Type="http://schemas.openxmlformats.org/officeDocument/2006/relationships/hyperlink" Id="rId86" Target="https://learn.microsoft.com/windows-server/identity/ad-cs/configure-ml-dsa-certification-authority" TargetMode="External" /><Relationship Type="http://schemas.openxmlformats.org/officeDocument/2006/relationships/hyperlink" Id="rId653" Target="https://learn.microsoft.com/windows-server/identity/ad-cs/distribute-certificates-group-policy" TargetMode="External" /><Relationship Type="http://schemas.openxmlformats.org/officeDocument/2006/relationships/hyperlink" Id="rId92" Target="https://learn.microsoft.com/windows-server/identity/ad-cs/manage-certificate-templates" TargetMode="External" /><Relationship Type="http://schemas.openxmlformats.org/officeDocument/2006/relationships/hyperlink" Id="rId40" Target="https://learn.microsoft.com/windows-server/identity/ad-cs/monitor-ad-cs-health-enterprise-pki" TargetMode="External" /><Relationship Type="http://schemas.openxmlformats.org/officeDocument/2006/relationships/hyperlink" Id="rId94" Target="https://learn.microsoft.com/windows-server/identity/ad-cs/network-device-enrollment-service-overview" TargetMode="External" /><Relationship Type="http://schemas.openxmlformats.org/officeDocument/2006/relationships/hyperlink" Id="rId447" Target="https://learn.microsoft.com/windows-server/identity/ad-cs/operate-certificate-revocation-crl-cdp" TargetMode="External" /><Relationship Type="http://schemas.openxmlformats.org/officeDocument/2006/relationships/hyperlink" Id="rId65" Target="https://learn.microsoft.com/windows-server/identity/ad-cs/post-quantum-cryptography-overview" TargetMode="External" /><Relationship Type="http://schemas.openxmlformats.org/officeDocument/2006/relationships/hyperlink" Id="rId242" Target="https://learn.microsoft.com/windows-server/identity/ad-cs/review-dispose-pending-certificate-requests" TargetMode="External" /><Relationship Type="http://schemas.openxmlformats.org/officeDocument/2006/relationships/hyperlink" Id="rId128" Target="https://learn.microsoft.com/windows-server/identity/ad-cs/secure-delegate-audit-certification-authority" TargetMode="External" /><Relationship Type="http://schemas.openxmlformats.org/officeDocument/2006/relationships/hyperlink" Id="rId27" Target="https://learn.microsoft.com/windows-server/identity/ad-ds/configure-ldap-signing-certificates" TargetMode="External" /><Relationship Type="http://schemas.openxmlformats.org/officeDocument/2006/relationships/hyperlink" Id="rId699" Target="https://learn.microsoft.com/windows-server/identity/ad-fs/decommission/adfs-decommission-guide#pre-requisites-for-decommissioning-ad-fs-servers" TargetMode="External" /><Relationship Type="http://schemas.openxmlformats.org/officeDocument/2006/relationships/hyperlink" Id="rId122" Target="https://learn.microsoft.com/windows-server/networking/core-network-guide/cncg/server-certs/configure-server-certificate-auto-enrollment" TargetMode="External" /><Relationship Type="http://schemas.openxmlformats.org/officeDocument/2006/relationships/hyperlink" Id="rId118" Target="https://learn.microsoft.com/windows-server/networking/core-network-guide/cncg/server-certs/configure-server-certificate-template-remote-access-network-policy-server" TargetMode="External" /><Relationship Type="http://schemas.openxmlformats.org/officeDocument/2006/relationships/hyperlink" Id="rId31" Target="https://learn.microsoft.com/windows-server/networking/technologies/nps/nps-manage-certificates" TargetMode="External" /><Relationship Type="http://schemas.openxmlformats.org/officeDocument/2006/relationships/hyperlink" Id="rId25" Target="https://learn.microsoft.com/windows/security/identity-protection/hello-for-business/deploy/hybrid-cert-trust-pki" TargetMode="External" /><Relationship Type="http://schemas.openxmlformats.org/officeDocument/2006/relationships/hyperlink" Id="rId634" Target="https://learn.microsoft.com/windows/security/identity-protection/hello-for-business/deploy/hybrid-cert-trust-pki#configure-the-enterprise-pki" TargetMode="External" /><Relationship Type="http://schemas.openxmlformats.org/officeDocument/2006/relationships/hyperlink" Id="rId630" Target="https://learn.microsoft.com/windows/security/identity-protection/hello-for-business/deploy/on-premises-cert-trust#configure-the-enterprise-pki" TargetMode="External" /><Relationship Type="http://schemas.openxmlformats.org/officeDocument/2006/relationships/hyperlink" Id="rId632" Target="https://learn.microsoft.com/windows/security/identity-protection/hello-for-business/hello-hybrid-aadj-sso#prerequisites" TargetMode="External" /><Relationship Type="http://schemas.openxmlformats.org/officeDocument/2006/relationships/hyperlink" Id="rId515" Target="https://learn.microsoft.com/windows/security/identity-protection/hello-for-business/hello-hybrid-aadj-sso-cert#requirements" TargetMode="External" /><Relationship Type="http://schemas.openxmlformats.org/officeDocument/2006/relationships/hyperlink" Id="rId193" Target="https://learn.microsoft.com/windows/win32/adschema/a-mspki-certificate-name-flag" TargetMode="External" /><Relationship Type="http://schemas.openxmlformats.org/officeDocument/2006/relationships/hyperlink" Id="rId116" Target="https://learn.microsoft.com/windows/win32/api/certenroll/ne-certenroll-objectidgroupid" TargetMode="External" /><Relationship Type="http://schemas.openxmlformats.org/officeDocument/2006/relationships/hyperlink" Id="rId192" Target="https://learn.microsoft.com/windows/win32/api/certenroll/ne-certenroll-x509certificatetemplatesubjectnameflag" TargetMode="External" /><Relationship Type="http://schemas.openxmlformats.org/officeDocument/2006/relationships/hyperlink" Id="rId134" Target="https://learn.microsoft.com/windows/win32/seccertenroll/cmc-request" TargetMode="External" /><Relationship Type="http://schemas.openxmlformats.org/officeDocument/2006/relationships/hyperlink" Id="rId55" Target="https://raw.githubusercontent.com/cabforum/servercert/main/docs/BR.md" TargetMode="External" /><Relationship Type="http://schemas.openxmlformats.org/officeDocument/2006/relationships/hyperlink" Id="rId178" Target="https://specterops.io/research/certified-pre-owned/" TargetMode="External" /><Relationship Type="http://schemas.openxmlformats.org/officeDocument/2006/relationships/hyperlink" Id="rId251" Target="https://support.microsoft.com/en-us/topic/kb5005413-mitigating-ntlm-relay-attacks-on-active-directory-certificate-services-ad-cs-3612b773-4043-4aa9-b23d-b87910cd3429" TargetMode="External" /><Relationship Type="http://schemas.openxmlformats.org/officeDocument/2006/relationships/hyperlink" Id="rId33" Target="https://support.microsoft.com/en-us/topic/kb5014754-certificate-based-authentication-changes-on-windows-domain-controllers-ad2c23b0-15d8-4340-a468-4d4f3b188f16" TargetMode="External" /><Relationship Type="http://schemas.openxmlformats.org/officeDocument/2006/relationships/hyperlink" Id="rId766" Target="https://support.microsoft.com/topic/kb5014754-certificate-based-authentication-changes-on-windows-domain-controllers-ad2c23b0-15d8-4340-a468-4d4f3b188f16" TargetMode="External" /><Relationship Type="http://schemas.openxmlformats.org/officeDocument/2006/relationships/hyperlink" Id="rId412" Target="https://www.fedramp.gov/marketplace/products.json" TargetMode="External" /><Relationship Type="http://schemas.openxmlformats.org/officeDocument/2006/relationships/hyperlink" Id="rId396" Target="https://www.idmanagement.gov/university/fpki/" TargetMode="External" /><Relationship Type="http://schemas.openxmlformats.org/officeDocument/2006/relationships/hyperlink" Id="rId407" Target="https://www.paloaltonetworks.com/company/press/2026/palo-alto-networks-completes-acquisition-of-cyberark-to-secure-the-ai-era" TargetMode="External" /><Relationship Type="http://schemas.openxmlformats.org/officeDocument/2006/relationships/hyperlink" Id="rId72" Target="https://www.paloaltonetworks.com/network-security/next-gen-trust-security/certificate-manager" TargetMode="External" /><Relationship Type="http://schemas.openxmlformats.org/officeDocument/2006/relationships/hyperlink" Id="rId721" Target="https://www.rfc-editor.org/rfc/rfc8555" TargetMode="External" /><Relationship Type="http://schemas.openxmlformats.org/officeDocument/2006/relationships/hyperlink" Id="rId70" Target="https://www.sec.gov/Archives/edgar/data/1327567/000119312526045600/d40626dex991.htm" TargetMode="External" /><Relationship Type="http://schemas.openxmlformats.org/officeDocument/2006/relationships/hyperlink" Id="rId405" Target="https://www.thomabravo.com/press-releases/cyberark-completes-acquisition-of-machine-identity-management-leader-venafi" TargetMode="External" /><Relationship Type="http://schemas.openxmlformats.org/officeDocument/2006/relationships/hyperlink" Id="rId75"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07 — PKI &amp; Certificates</dc:title>
  <dc:creator/>
  <cp:keywords/>
  <dcterms:created xsi:type="dcterms:W3CDTF">2026-10-20T23:38:11Z</dcterms:created>
  <dcterms:modified xsi:type="dcterms:W3CDTF">2026-10-20T23:38:11Z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AD CS to Cloud PKI, Entra CBA and Federal PKI — Modernization Workbook, combined edition</vt:lpwstr>
  </property>
</Properties>
</file>